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6466F1">
      <w:pPr>
        <w:pStyle w:val="2"/>
        <w:spacing w:line="360" w:lineRule="auto"/>
        <w:rPr>
          <w:rFonts w:cs="Arial"/>
          <w:b/>
          <w:color w:val="auto"/>
          <w:sz w:val="22"/>
          <w:szCs w:val="22"/>
        </w:rPr>
      </w:pPr>
    </w:p>
    <w:p w14:paraId="59CB9DC3">
      <w:pPr>
        <w:pStyle w:val="2"/>
        <w:spacing w:line="360" w:lineRule="auto"/>
        <w:rPr>
          <w:rFonts w:cs="Arial"/>
          <w:b/>
          <w:color w:val="auto"/>
          <w:sz w:val="22"/>
          <w:szCs w:val="22"/>
        </w:rPr>
      </w:pPr>
      <w:r>
        <w:rPr>
          <w:rFonts w:cs="Arial"/>
          <w:b/>
          <w:color w:val="auto"/>
          <w:sz w:val="22"/>
          <w:szCs w:val="22"/>
        </w:rPr>
        <w:t>EDITAL DE LICITAÇÃO</w:t>
      </w:r>
    </w:p>
    <w:p w14:paraId="0087F43B">
      <w:pPr>
        <w:spacing w:line="360" w:lineRule="auto"/>
        <w:jc w:val="center"/>
        <w:rPr>
          <w:rFonts w:ascii="Arial" w:hAnsi="Arial" w:cs="Arial"/>
          <w:b/>
          <w:bCs/>
          <w:sz w:val="22"/>
          <w:szCs w:val="22"/>
        </w:rPr>
      </w:pPr>
      <w:r>
        <w:rPr>
          <w:rFonts w:ascii="Arial" w:hAnsi="Arial" w:cs="Arial"/>
          <w:b/>
          <w:bCs/>
          <w:sz w:val="22"/>
          <w:szCs w:val="22"/>
        </w:rPr>
        <w:t xml:space="preserve">PREGÃO ELETRÔNICO N° </w:t>
      </w:r>
      <w:r>
        <w:rPr>
          <w:rFonts w:hint="default" w:ascii="Arial" w:hAnsi="Arial" w:cs="Arial"/>
          <w:b/>
          <w:bCs/>
          <w:sz w:val="22"/>
          <w:szCs w:val="22"/>
          <w:lang w:val="pt-BR"/>
        </w:rPr>
        <w:t>37/2024</w:t>
      </w:r>
      <w:r>
        <w:rPr>
          <w:rFonts w:ascii="Arial" w:hAnsi="Arial" w:cs="Arial"/>
          <w:b/>
          <w:bCs/>
          <w:sz w:val="22"/>
          <w:szCs w:val="22"/>
        </w:rPr>
        <w:t xml:space="preserve"> </w:t>
      </w:r>
    </w:p>
    <w:p w14:paraId="0AFAB38D">
      <w:pPr>
        <w:spacing w:line="360" w:lineRule="auto"/>
        <w:jc w:val="center"/>
        <w:rPr>
          <w:rFonts w:hint="default" w:ascii="Arial" w:hAnsi="Arial" w:cs="Arial"/>
          <w:b/>
          <w:bCs/>
          <w:sz w:val="22"/>
          <w:szCs w:val="22"/>
          <w:lang w:val="pt-BR"/>
        </w:rPr>
      </w:pPr>
      <w:r>
        <w:rPr>
          <w:rFonts w:hint="default" w:ascii="Arial" w:hAnsi="Arial" w:cs="Arial"/>
          <w:b/>
          <w:bCs/>
          <w:sz w:val="22"/>
          <w:szCs w:val="22"/>
          <w:lang w:val="pt-BR"/>
        </w:rPr>
        <w:t>PROCESSO ADMINISTRATIVO Nº 68/2024</w:t>
      </w:r>
    </w:p>
    <w:p w14:paraId="5150B316">
      <w:pPr>
        <w:spacing w:line="240" w:lineRule="auto"/>
        <w:jc w:val="center"/>
        <w:rPr>
          <w:rFonts w:hint="default" w:ascii="Arial" w:hAnsi="Arial" w:cs="Arial"/>
          <w:b/>
          <w:bCs/>
          <w:sz w:val="22"/>
          <w:szCs w:val="22"/>
          <w:lang w:val="pt-BR"/>
        </w:rPr>
      </w:pPr>
    </w:p>
    <w:tbl>
      <w:tblPr>
        <w:tblStyle w:val="2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16"/>
        <w:gridCol w:w="2315"/>
        <w:gridCol w:w="2113"/>
        <w:gridCol w:w="2077"/>
      </w:tblGrid>
      <w:tr w14:paraId="781A4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7" w:type="pct"/>
            <w:gridSpan w:val="2"/>
            <w:shd w:val="clear" w:color="auto" w:fill="D8D8D8"/>
            <w:noWrap w:val="0"/>
            <w:vAlign w:val="top"/>
          </w:tcPr>
          <w:p w14:paraId="23970A3B">
            <w:pPr>
              <w:keepNext w:val="0"/>
              <w:keepLines w:val="0"/>
              <w:pageBreakBefore w:val="0"/>
              <w:widowControl/>
              <w:kinsoku/>
              <w:wordWrap/>
              <w:overflowPunct/>
              <w:topLinePunct w:val="0"/>
              <w:autoSpaceDE/>
              <w:autoSpaceDN/>
              <w:bidi w:val="0"/>
              <w:adjustRightInd/>
              <w:snapToGrid/>
              <w:spacing w:line="360" w:lineRule="auto"/>
              <w:ind w:right="0"/>
              <w:jc w:val="center"/>
              <w:textAlignment w:val="auto"/>
              <w:rPr>
                <w:rFonts w:hint="default" w:ascii="Arial" w:hAnsi="Arial" w:cs="Arial"/>
                <w:b/>
                <w:color w:val="auto"/>
                <w:sz w:val="20"/>
                <w:szCs w:val="20"/>
                <w:lang w:val="pt-BR"/>
              </w:rPr>
            </w:pPr>
            <w:r>
              <w:rPr>
                <w:rFonts w:hint="default" w:ascii="Arial" w:hAnsi="Arial" w:cs="Arial"/>
                <w:b/>
                <w:color w:val="auto"/>
                <w:sz w:val="20"/>
                <w:szCs w:val="20"/>
                <w:lang w:val="pt-BR"/>
              </w:rPr>
              <w:t>CONTRATANTE</w:t>
            </w:r>
          </w:p>
        </w:tc>
        <w:tc>
          <w:tcPr>
            <w:tcW w:w="2402" w:type="pct"/>
            <w:gridSpan w:val="2"/>
            <w:shd w:val="clear" w:color="auto" w:fill="D7D7D7"/>
            <w:noWrap w:val="0"/>
            <w:vAlign w:val="center"/>
          </w:tcPr>
          <w:p w14:paraId="6248B36B">
            <w:pPr>
              <w:widowControl w:val="0"/>
              <w:tabs>
                <w:tab w:val="left" w:pos="142"/>
                <w:tab w:val="left" w:pos="426"/>
              </w:tabs>
              <w:spacing w:line="360" w:lineRule="auto"/>
              <w:jc w:val="center"/>
              <w:rPr>
                <w:rFonts w:hint="default" w:ascii="Arial" w:hAnsi="Arial" w:cs="Arial"/>
                <w:b/>
                <w:bCs w:val="0"/>
                <w:iCs/>
                <w:snapToGrid w:val="0"/>
                <w:color w:val="auto"/>
                <w:sz w:val="20"/>
                <w:szCs w:val="20"/>
                <w:lang w:val="pt-BR"/>
              </w:rPr>
            </w:pPr>
            <w:r>
              <w:rPr>
                <w:rFonts w:hint="default" w:ascii="Arial" w:hAnsi="Arial" w:cs="Arial"/>
                <w:b/>
                <w:bCs w:val="0"/>
                <w:iCs/>
                <w:snapToGrid w:val="0"/>
                <w:color w:val="auto"/>
                <w:sz w:val="20"/>
                <w:szCs w:val="20"/>
                <w:lang w:val="pt-BR"/>
              </w:rPr>
              <w:t>Prefeitura Municipal de Sinop/MT</w:t>
            </w:r>
          </w:p>
        </w:tc>
      </w:tr>
      <w:tr w14:paraId="55E80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7" w:type="pct"/>
            <w:gridSpan w:val="2"/>
            <w:shd w:val="clear" w:color="auto" w:fill="D8D8D8"/>
            <w:noWrap w:val="0"/>
            <w:vAlign w:val="top"/>
          </w:tcPr>
          <w:p w14:paraId="6EA67BB2">
            <w:pPr>
              <w:keepNext w:val="0"/>
              <w:keepLines w:val="0"/>
              <w:pageBreakBefore w:val="0"/>
              <w:widowControl/>
              <w:kinsoku/>
              <w:wordWrap/>
              <w:overflowPunct/>
              <w:topLinePunct w:val="0"/>
              <w:autoSpaceDE/>
              <w:autoSpaceDN/>
              <w:bidi w:val="0"/>
              <w:adjustRightInd/>
              <w:snapToGrid/>
              <w:spacing w:line="360" w:lineRule="auto"/>
              <w:ind w:right="0"/>
              <w:jc w:val="center"/>
              <w:textAlignment w:val="auto"/>
              <w:rPr>
                <w:rFonts w:hint="default" w:ascii="Arial" w:hAnsi="Arial" w:cs="Arial"/>
                <w:b/>
                <w:color w:val="auto"/>
                <w:sz w:val="20"/>
                <w:szCs w:val="20"/>
                <w:lang w:val="pt-BR"/>
              </w:rPr>
            </w:pPr>
            <w:r>
              <w:rPr>
                <w:rFonts w:hint="default" w:ascii="Arial" w:hAnsi="Arial" w:cs="Arial"/>
                <w:b/>
                <w:color w:val="auto"/>
                <w:sz w:val="20"/>
                <w:szCs w:val="20"/>
              </w:rPr>
              <w:t>LOCAL</w:t>
            </w:r>
            <w:r>
              <w:rPr>
                <w:rFonts w:hint="default" w:ascii="Arial" w:hAnsi="Arial" w:cs="Arial"/>
                <w:b/>
                <w:color w:val="auto"/>
                <w:sz w:val="20"/>
                <w:szCs w:val="20"/>
                <w:lang w:val="pt-BR"/>
              </w:rPr>
              <w:t xml:space="preserve"> DA SESSÃO</w:t>
            </w:r>
          </w:p>
        </w:tc>
        <w:tc>
          <w:tcPr>
            <w:tcW w:w="2402" w:type="pct"/>
            <w:gridSpan w:val="2"/>
            <w:shd w:val="clear" w:color="auto" w:fill="D7D7D7"/>
            <w:noWrap w:val="0"/>
            <w:vAlign w:val="center"/>
          </w:tcPr>
          <w:p w14:paraId="35BE7F41">
            <w:pPr>
              <w:widowControl w:val="0"/>
              <w:tabs>
                <w:tab w:val="left" w:pos="142"/>
                <w:tab w:val="left" w:pos="426"/>
              </w:tabs>
              <w:spacing w:line="360" w:lineRule="auto"/>
              <w:jc w:val="center"/>
              <w:rPr>
                <w:rFonts w:hint="default" w:ascii="Arial" w:hAnsi="Arial" w:cs="Arial"/>
                <w:b/>
                <w:bCs w:val="0"/>
                <w:iCs/>
                <w:snapToGrid w:val="0"/>
                <w:color w:val="auto"/>
                <w:sz w:val="20"/>
                <w:szCs w:val="20"/>
              </w:rPr>
            </w:pPr>
            <w:r>
              <w:rPr>
                <w:rFonts w:hint="default" w:ascii="Arial" w:hAnsi="Arial" w:cs="Arial"/>
                <w:b/>
                <w:bCs w:val="0"/>
                <w:color w:val="auto"/>
                <w:sz w:val="20"/>
                <w:szCs w:val="20"/>
              </w:rPr>
              <w:fldChar w:fldCharType="begin"/>
            </w:r>
            <w:r>
              <w:rPr>
                <w:rFonts w:hint="default" w:ascii="Arial" w:hAnsi="Arial" w:cs="Arial"/>
                <w:b/>
                <w:bCs w:val="0"/>
                <w:color w:val="auto"/>
                <w:sz w:val="20"/>
                <w:szCs w:val="20"/>
              </w:rPr>
              <w:instrText xml:space="preserve"> HYPERLINK "http://www.portaldecompraspublicas.com.br" </w:instrText>
            </w:r>
            <w:r>
              <w:rPr>
                <w:rFonts w:hint="default" w:ascii="Arial" w:hAnsi="Arial" w:cs="Arial"/>
                <w:b/>
                <w:bCs w:val="0"/>
                <w:color w:val="auto"/>
                <w:sz w:val="20"/>
                <w:szCs w:val="20"/>
              </w:rPr>
              <w:fldChar w:fldCharType="separate"/>
            </w:r>
            <w:r>
              <w:rPr>
                <w:rFonts w:hint="default" w:ascii="Arial" w:hAnsi="Arial" w:eastAsia="SimSun" w:cs="Arial"/>
                <w:b/>
                <w:bCs w:val="0"/>
                <w:iCs/>
                <w:snapToGrid w:val="0"/>
                <w:color w:val="auto"/>
                <w:sz w:val="20"/>
                <w:szCs w:val="20"/>
              </w:rPr>
              <w:t>www.portaldecompraspublicas.com.br</w:t>
            </w:r>
            <w:r>
              <w:rPr>
                <w:rFonts w:hint="default" w:ascii="Arial" w:hAnsi="Arial" w:eastAsia="SimSun" w:cs="Arial"/>
                <w:b/>
                <w:bCs w:val="0"/>
                <w:iCs/>
                <w:snapToGrid w:val="0"/>
                <w:color w:val="auto"/>
                <w:sz w:val="20"/>
                <w:szCs w:val="20"/>
              </w:rPr>
              <w:fldChar w:fldCharType="end"/>
            </w:r>
          </w:p>
        </w:tc>
      </w:tr>
      <w:tr w14:paraId="0603A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7" w:type="pct"/>
            <w:gridSpan w:val="2"/>
            <w:shd w:val="clear" w:color="auto" w:fill="D8D8D8"/>
            <w:noWrap w:val="0"/>
            <w:vAlign w:val="top"/>
          </w:tcPr>
          <w:p w14:paraId="0C65F1E1">
            <w:pPr>
              <w:keepNext w:val="0"/>
              <w:keepLines w:val="0"/>
              <w:pageBreakBefore w:val="0"/>
              <w:widowControl/>
              <w:kinsoku/>
              <w:wordWrap/>
              <w:overflowPunct/>
              <w:topLinePunct w:val="0"/>
              <w:autoSpaceDE/>
              <w:autoSpaceDN/>
              <w:bidi w:val="0"/>
              <w:adjustRightInd/>
              <w:snapToGrid/>
              <w:spacing w:before="60" w:after="60" w:line="360" w:lineRule="auto"/>
              <w:ind w:right="0"/>
              <w:jc w:val="center"/>
              <w:textAlignment w:val="auto"/>
              <w:rPr>
                <w:rFonts w:hint="default" w:ascii="Arial" w:hAnsi="Arial" w:cs="Arial"/>
                <w:b/>
                <w:color w:val="auto"/>
                <w:sz w:val="20"/>
                <w:szCs w:val="20"/>
              </w:rPr>
            </w:pPr>
            <w:r>
              <w:rPr>
                <w:rFonts w:hint="default" w:ascii="Arial" w:hAnsi="Arial" w:cs="Arial"/>
                <w:b/>
                <w:color w:val="auto"/>
                <w:sz w:val="20"/>
                <w:szCs w:val="20"/>
              </w:rPr>
              <w:t>DATA DA SESSÃO</w:t>
            </w:r>
          </w:p>
        </w:tc>
        <w:tc>
          <w:tcPr>
            <w:tcW w:w="2402" w:type="pct"/>
            <w:gridSpan w:val="2"/>
            <w:shd w:val="clear" w:color="auto" w:fill="D7D7D7"/>
            <w:noWrap w:val="0"/>
            <w:vAlign w:val="top"/>
          </w:tcPr>
          <w:p w14:paraId="71039980">
            <w:pPr>
              <w:spacing w:before="60" w:after="60" w:line="360" w:lineRule="auto"/>
              <w:jc w:val="center"/>
              <w:rPr>
                <w:rFonts w:hint="default" w:ascii="Arial" w:hAnsi="Arial" w:cs="Arial"/>
                <w:b/>
                <w:bCs w:val="0"/>
                <w:color w:val="auto"/>
                <w:sz w:val="20"/>
                <w:szCs w:val="20"/>
              </w:rPr>
            </w:pPr>
            <w:r>
              <w:rPr>
                <w:rFonts w:hint="default" w:ascii="Arial" w:hAnsi="Arial" w:cs="Arial"/>
                <w:b/>
                <w:bCs w:val="0"/>
                <w:color w:val="auto"/>
                <w:sz w:val="20"/>
                <w:szCs w:val="20"/>
              </w:rPr>
              <w:t xml:space="preserve">Dia </w:t>
            </w:r>
            <w:r>
              <w:rPr>
                <w:rFonts w:hint="default" w:ascii="Arial" w:hAnsi="Arial" w:cs="Arial"/>
                <w:b/>
                <w:bCs w:val="0"/>
                <w:color w:val="auto"/>
                <w:sz w:val="20"/>
                <w:szCs w:val="20"/>
                <w:lang w:val="pt-BR"/>
              </w:rPr>
              <w:t>18/09/2024</w:t>
            </w:r>
          </w:p>
        </w:tc>
      </w:tr>
      <w:tr w14:paraId="70A1B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7" w:type="pct"/>
            <w:gridSpan w:val="2"/>
            <w:shd w:val="clear" w:color="auto" w:fill="D8D8D8"/>
            <w:noWrap w:val="0"/>
            <w:vAlign w:val="top"/>
          </w:tcPr>
          <w:p w14:paraId="4E0D188C">
            <w:pPr>
              <w:keepNext w:val="0"/>
              <w:keepLines w:val="0"/>
              <w:pageBreakBefore w:val="0"/>
              <w:widowControl/>
              <w:kinsoku/>
              <w:wordWrap/>
              <w:overflowPunct/>
              <w:topLinePunct w:val="0"/>
              <w:autoSpaceDE/>
              <w:autoSpaceDN/>
              <w:bidi w:val="0"/>
              <w:adjustRightInd/>
              <w:snapToGrid/>
              <w:spacing w:before="60" w:after="60" w:line="360" w:lineRule="auto"/>
              <w:ind w:right="0"/>
              <w:jc w:val="center"/>
              <w:textAlignment w:val="auto"/>
              <w:rPr>
                <w:rFonts w:hint="default" w:ascii="Arial" w:hAnsi="Arial" w:cs="Arial"/>
                <w:b/>
                <w:color w:val="auto"/>
                <w:sz w:val="20"/>
                <w:szCs w:val="20"/>
              </w:rPr>
            </w:pPr>
            <w:r>
              <w:rPr>
                <w:rFonts w:hint="default" w:ascii="Arial" w:hAnsi="Arial" w:cs="Arial"/>
                <w:b/>
                <w:color w:val="auto"/>
                <w:sz w:val="20"/>
                <w:szCs w:val="20"/>
              </w:rPr>
              <w:t>HORÁRIO DA SESSÃO</w:t>
            </w:r>
          </w:p>
        </w:tc>
        <w:tc>
          <w:tcPr>
            <w:tcW w:w="2402" w:type="pct"/>
            <w:gridSpan w:val="2"/>
            <w:shd w:val="clear" w:color="auto" w:fill="D7D7D7"/>
            <w:noWrap w:val="0"/>
            <w:vAlign w:val="top"/>
          </w:tcPr>
          <w:p w14:paraId="0CB24581">
            <w:pPr>
              <w:spacing w:before="60" w:after="60" w:line="360" w:lineRule="auto"/>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09h00min</w:t>
            </w:r>
            <w:r>
              <w:rPr>
                <w:rFonts w:hint="default" w:ascii="Arial" w:hAnsi="Arial" w:cs="Arial"/>
                <w:b/>
                <w:bCs w:val="0"/>
                <w:color w:val="auto"/>
                <w:sz w:val="20"/>
                <w:szCs w:val="20"/>
              </w:rPr>
              <w:t xml:space="preserve"> </w:t>
            </w:r>
            <w:r>
              <w:rPr>
                <w:rFonts w:hint="default" w:ascii="Arial" w:hAnsi="Arial" w:cs="Arial"/>
                <w:b/>
                <w:bCs w:val="0"/>
                <w:color w:val="auto"/>
                <w:sz w:val="20"/>
                <w:szCs w:val="20"/>
                <w:lang w:val="pt-BR"/>
              </w:rPr>
              <w:t>(</w:t>
            </w:r>
            <w:r>
              <w:rPr>
                <w:rFonts w:hint="default" w:ascii="Arial" w:hAnsi="Arial" w:cs="Arial"/>
                <w:b/>
                <w:bCs w:val="0"/>
                <w:color w:val="auto"/>
                <w:sz w:val="20"/>
                <w:szCs w:val="20"/>
              </w:rPr>
              <w:t>horário de Brasília/DF</w:t>
            </w:r>
            <w:r>
              <w:rPr>
                <w:rFonts w:hint="default" w:ascii="Arial" w:hAnsi="Arial" w:cs="Arial"/>
                <w:b/>
                <w:bCs w:val="0"/>
                <w:color w:val="auto"/>
                <w:sz w:val="20"/>
                <w:szCs w:val="20"/>
                <w:lang w:val="pt-BR"/>
              </w:rPr>
              <w:t>)</w:t>
            </w:r>
          </w:p>
        </w:tc>
      </w:tr>
      <w:tr w14:paraId="19D96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shd w:val="clear" w:color="auto" w:fill="D8D8D8"/>
            <w:noWrap w:val="0"/>
            <w:vAlign w:val="center"/>
          </w:tcPr>
          <w:p w14:paraId="00DAF800">
            <w:pPr>
              <w:spacing w:before="60" w:after="60" w:line="240" w:lineRule="auto"/>
              <w:jc w:val="center"/>
              <w:rPr>
                <w:rFonts w:hint="default" w:ascii="Arial" w:hAnsi="Arial" w:cs="Arial"/>
                <w:b/>
                <w:sz w:val="20"/>
                <w:szCs w:val="20"/>
              </w:rPr>
            </w:pPr>
            <w:r>
              <w:rPr>
                <w:rFonts w:hint="default" w:ascii="Arial" w:hAnsi="Arial" w:cs="Arial"/>
                <w:b/>
                <w:sz w:val="20"/>
                <w:szCs w:val="20"/>
              </w:rPr>
              <w:t>OBJETO</w:t>
            </w:r>
          </w:p>
        </w:tc>
      </w:tr>
      <w:tr w14:paraId="67977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trPr>
        <w:tc>
          <w:tcPr>
            <w:tcW w:w="5000" w:type="pct"/>
            <w:gridSpan w:val="4"/>
            <w:noWrap w:val="0"/>
            <w:vAlign w:val="center"/>
          </w:tcPr>
          <w:p w14:paraId="17A218BA">
            <w:pPr>
              <w:pStyle w:val="128"/>
              <w:tabs>
                <w:tab w:val="left" w:pos="537"/>
              </w:tabs>
              <w:spacing w:before="43" w:line="276" w:lineRule="auto"/>
              <w:ind w:left="0" w:leftChars="0" w:right="107" w:firstLine="0" w:firstLineChars="0"/>
              <w:jc w:val="both"/>
              <w:rPr>
                <w:rFonts w:hint="default" w:ascii="Arial" w:hAnsi="Arial" w:cs="Arial"/>
                <w:b w:val="0"/>
                <w:bCs/>
                <w:sz w:val="20"/>
                <w:szCs w:val="20"/>
                <w:lang w:val="pt-BR"/>
              </w:rPr>
            </w:pPr>
            <w:r>
              <w:rPr>
                <w:rFonts w:hint="default" w:ascii="Arial" w:hAnsi="Arial" w:cs="Arial"/>
                <w:sz w:val="20"/>
                <w:szCs w:val="20"/>
                <w:highlight w:val="none"/>
                <w:lang w:val="pt-BR"/>
              </w:rPr>
              <w:t xml:space="preserve">Contratação </w:t>
            </w:r>
            <w:r>
              <w:rPr>
                <w:rFonts w:hint="default" w:ascii="Arial" w:hAnsi="Arial" w:cs="Arial"/>
                <w:b w:val="0"/>
                <w:bCs/>
                <w:sz w:val="20"/>
                <w:szCs w:val="20"/>
              </w:rPr>
              <w:t xml:space="preserve">de empresa </w:t>
            </w:r>
            <w:r>
              <w:rPr>
                <w:rFonts w:hint="default" w:ascii="Arial" w:hAnsi="Arial" w:cs="Arial"/>
                <w:b w:val="0"/>
                <w:bCs/>
                <w:sz w:val="20"/>
                <w:szCs w:val="20"/>
                <w:lang w:val="pt-BR"/>
              </w:rPr>
              <w:t>especializada para locação de sistema de Data Center para sistemas críticos computacionais e de telecomunicações, contemplando serviços de manutenção preditiva, preventiva e corretiva, compreendendo a locação de container, com fornecimento de ambientes de alta disponibilidade para sistemas críticos computacionais e de telecomunicações, conforme condições estabelecidas no Anexo I Termo de Referência</w:t>
            </w:r>
            <w:r>
              <w:rPr>
                <w:rFonts w:hint="default" w:ascii="Arial" w:hAnsi="Arial" w:cs="Arial"/>
                <w:b w:val="0"/>
                <w:bCs/>
                <w:i w:val="0"/>
                <w:iCs w:val="0"/>
                <w:sz w:val="20"/>
                <w:szCs w:val="20"/>
                <w:u w:val="none"/>
                <w:lang w:val="pt-BR"/>
              </w:rPr>
              <w:t>.</w:t>
            </w:r>
          </w:p>
        </w:tc>
      </w:tr>
      <w:tr w14:paraId="03257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7" w:type="pct"/>
            <w:gridSpan w:val="2"/>
            <w:shd w:val="clear" w:color="auto" w:fill="D8D8D8"/>
            <w:noWrap w:val="0"/>
            <w:vAlign w:val="center"/>
          </w:tcPr>
          <w:p w14:paraId="04720A94">
            <w:pPr>
              <w:spacing w:before="60" w:after="60" w:line="240" w:lineRule="auto"/>
              <w:jc w:val="center"/>
              <w:rPr>
                <w:rFonts w:hint="default" w:ascii="Arial" w:hAnsi="Arial" w:cs="Arial"/>
                <w:b/>
                <w:bCs w:val="0"/>
                <w:sz w:val="20"/>
                <w:szCs w:val="20"/>
                <w:lang w:val="pt-BR"/>
              </w:rPr>
            </w:pPr>
            <w:r>
              <w:rPr>
                <w:rFonts w:hint="default" w:ascii="Arial" w:hAnsi="Arial" w:cs="Arial"/>
                <w:b/>
                <w:bCs w:val="0"/>
                <w:sz w:val="20"/>
                <w:szCs w:val="20"/>
              </w:rPr>
              <w:t>VALOR TOTAL ESTIMADO</w:t>
            </w:r>
          </w:p>
        </w:tc>
        <w:tc>
          <w:tcPr>
            <w:tcW w:w="2402" w:type="pct"/>
            <w:gridSpan w:val="2"/>
            <w:shd w:val="clear" w:color="auto" w:fill="D8D8D8"/>
            <w:noWrap w:val="0"/>
            <w:vAlign w:val="center"/>
          </w:tcPr>
          <w:p w14:paraId="231EAD48">
            <w:pPr>
              <w:spacing w:before="60" w:after="60" w:line="240" w:lineRule="auto"/>
              <w:jc w:val="center"/>
              <w:rPr>
                <w:rFonts w:hint="default" w:ascii="Arial" w:hAnsi="Arial" w:cs="Arial"/>
                <w:b/>
                <w:bCs w:val="0"/>
                <w:sz w:val="20"/>
                <w:szCs w:val="20"/>
              </w:rPr>
            </w:pPr>
            <w:r>
              <w:rPr>
                <w:rFonts w:hint="default" w:ascii="Arial" w:hAnsi="Arial" w:cs="Arial"/>
                <w:b/>
                <w:bCs w:val="0"/>
                <w:sz w:val="20"/>
                <w:szCs w:val="20"/>
              </w:rPr>
              <w:t>DOTAÇÃO ORÇAMENTÁRIA</w:t>
            </w:r>
          </w:p>
        </w:tc>
      </w:tr>
      <w:tr w14:paraId="7CE69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7" w:type="pct"/>
            <w:gridSpan w:val="2"/>
            <w:noWrap w:val="0"/>
            <w:vAlign w:val="center"/>
          </w:tcPr>
          <w:p w14:paraId="4D2C74DA">
            <w:pPr>
              <w:spacing w:before="60" w:after="60" w:line="360" w:lineRule="auto"/>
              <w:jc w:val="center"/>
              <w:rPr>
                <w:rFonts w:hint="default" w:ascii="Arial" w:hAnsi="Arial" w:cs="Arial"/>
                <w:b w:val="0"/>
                <w:bCs/>
                <w:sz w:val="20"/>
                <w:szCs w:val="20"/>
                <w:lang w:val="pt-BR"/>
              </w:rPr>
            </w:pPr>
            <w:r>
              <w:rPr>
                <w:rFonts w:hint="default" w:ascii="Arial" w:hAnsi="Arial" w:eastAsia="SimSun" w:cs="Arial"/>
                <w:b w:val="0"/>
                <w:bCs w:val="0"/>
                <w:i w:val="0"/>
                <w:iCs w:val="0"/>
                <w:color w:val="000000"/>
                <w:kern w:val="0"/>
                <w:sz w:val="20"/>
                <w:szCs w:val="20"/>
                <w:u w:val="none"/>
                <w:lang w:val="en-US" w:eastAsia="zh-CN" w:bidi="ar"/>
              </w:rPr>
              <w:t>R$</w:t>
            </w:r>
            <w:r>
              <w:rPr>
                <w:rFonts w:hint="default" w:ascii="Arial" w:hAnsi="Arial" w:cs="Arial"/>
                <w:b w:val="0"/>
                <w:bCs w:val="0"/>
                <w:i w:val="0"/>
                <w:iCs w:val="0"/>
                <w:color w:val="000000"/>
                <w:kern w:val="0"/>
                <w:sz w:val="20"/>
                <w:szCs w:val="20"/>
                <w:u w:val="none"/>
                <w:lang w:val="pt-BR" w:eastAsia="zh-CN" w:bidi="ar"/>
              </w:rPr>
              <w:t xml:space="preserve"> 1.003.165,60</w:t>
            </w:r>
          </w:p>
        </w:tc>
        <w:tc>
          <w:tcPr>
            <w:tcW w:w="2402" w:type="pct"/>
            <w:gridSpan w:val="2"/>
            <w:noWrap w:val="0"/>
            <w:vAlign w:val="center"/>
          </w:tcPr>
          <w:p w14:paraId="680418C4">
            <w:pPr>
              <w:pStyle w:val="155"/>
              <w:jc w:val="center"/>
              <w:rPr>
                <w:rFonts w:hint="default" w:ascii="Arial" w:hAnsi="Arial" w:cs="Arial"/>
                <w:kern w:val="2"/>
                <w:sz w:val="20"/>
                <w:szCs w:val="20"/>
                <w:lang w:val="en-US" w:eastAsia="zh-CN"/>
                <w14:ligatures w14:val="standardContextual"/>
              </w:rPr>
            </w:pPr>
            <w:r>
              <w:rPr>
                <w:rFonts w:hint="default" w:ascii="Arial" w:hAnsi="Arial" w:cs="Arial"/>
                <w:sz w:val="20"/>
                <w:szCs w:val="20"/>
                <w:highlight w:val="none"/>
                <w:lang w:val="pt-BR"/>
              </w:rPr>
              <w:t>2031.33.90.40.0000.25000000000</w:t>
            </w:r>
          </w:p>
        </w:tc>
      </w:tr>
      <w:tr w14:paraId="362E1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0" w:type="pct"/>
            <w:shd w:val="clear" w:color="auto" w:fill="D8D8D8"/>
            <w:noWrap w:val="0"/>
            <w:vAlign w:val="center"/>
          </w:tcPr>
          <w:p w14:paraId="44103DD7">
            <w:pPr>
              <w:spacing w:before="60" w:after="60" w:line="240" w:lineRule="auto"/>
              <w:jc w:val="center"/>
              <w:rPr>
                <w:rFonts w:hint="default" w:ascii="Arial" w:hAnsi="Arial" w:cs="Arial"/>
                <w:b/>
                <w:sz w:val="20"/>
                <w:szCs w:val="20"/>
              </w:rPr>
            </w:pPr>
            <w:r>
              <w:rPr>
                <w:rFonts w:hint="default" w:ascii="Arial" w:hAnsi="Arial" w:cs="Arial"/>
                <w:b/>
                <w:sz w:val="20"/>
                <w:szCs w:val="20"/>
              </w:rPr>
              <w:t>REGISTRO DE PREÇOS</w:t>
            </w:r>
          </w:p>
        </w:tc>
        <w:tc>
          <w:tcPr>
            <w:tcW w:w="1327" w:type="pct"/>
            <w:shd w:val="clear" w:color="auto" w:fill="D8D8D8"/>
            <w:noWrap w:val="0"/>
            <w:vAlign w:val="center"/>
          </w:tcPr>
          <w:p w14:paraId="5BFEB6B5">
            <w:pPr>
              <w:spacing w:before="60" w:after="60" w:line="240" w:lineRule="auto"/>
              <w:jc w:val="center"/>
              <w:rPr>
                <w:rFonts w:hint="default" w:ascii="Arial" w:hAnsi="Arial" w:cs="Arial"/>
                <w:b/>
                <w:sz w:val="20"/>
                <w:szCs w:val="20"/>
              </w:rPr>
            </w:pPr>
            <w:r>
              <w:rPr>
                <w:rFonts w:hint="default" w:ascii="Arial" w:hAnsi="Arial" w:cs="Arial"/>
                <w:b/>
                <w:sz w:val="20"/>
                <w:szCs w:val="20"/>
              </w:rPr>
              <w:t>VISTORIA/</w:t>
            </w:r>
          </w:p>
          <w:p w14:paraId="21E56F2A">
            <w:pPr>
              <w:spacing w:before="60" w:after="60" w:line="240" w:lineRule="auto"/>
              <w:jc w:val="center"/>
              <w:rPr>
                <w:rFonts w:hint="default" w:ascii="Arial" w:hAnsi="Arial" w:cs="Arial"/>
                <w:b/>
                <w:sz w:val="20"/>
                <w:szCs w:val="20"/>
              </w:rPr>
            </w:pPr>
            <w:r>
              <w:rPr>
                <w:rFonts w:hint="default" w:ascii="Arial" w:hAnsi="Arial" w:cs="Arial"/>
                <w:b/>
                <w:sz w:val="20"/>
                <w:szCs w:val="20"/>
              </w:rPr>
              <w:t>AMOSTRA</w:t>
            </w:r>
          </w:p>
        </w:tc>
        <w:tc>
          <w:tcPr>
            <w:tcW w:w="1211" w:type="pct"/>
            <w:shd w:val="clear" w:color="auto" w:fill="D8D8D8"/>
            <w:noWrap w:val="0"/>
            <w:vAlign w:val="center"/>
          </w:tcPr>
          <w:p w14:paraId="7332E03B">
            <w:pPr>
              <w:spacing w:before="60" w:after="60" w:line="240" w:lineRule="auto"/>
              <w:jc w:val="center"/>
              <w:rPr>
                <w:rFonts w:hint="default" w:ascii="Arial" w:hAnsi="Arial" w:cs="Arial"/>
                <w:b/>
                <w:sz w:val="20"/>
                <w:szCs w:val="20"/>
              </w:rPr>
            </w:pPr>
            <w:r>
              <w:rPr>
                <w:rFonts w:hint="default" w:ascii="Arial" w:hAnsi="Arial" w:cs="Arial"/>
                <w:b/>
                <w:sz w:val="20"/>
                <w:szCs w:val="20"/>
              </w:rPr>
              <w:t>INSTRUMENTO CONTRATUAL</w:t>
            </w:r>
          </w:p>
        </w:tc>
        <w:tc>
          <w:tcPr>
            <w:tcW w:w="1190" w:type="pct"/>
            <w:shd w:val="clear" w:color="auto" w:fill="D8D8D8"/>
            <w:noWrap w:val="0"/>
            <w:vAlign w:val="center"/>
          </w:tcPr>
          <w:p w14:paraId="354F8A11">
            <w:pPr>
              <w:spacing w:before="60" w:after="60" w:line="240" w:lineRule="auto"/>
              <w:jc w:val="center"/>
              <w:rPr>
                <w:rFonts w:hint="default" w:ascii="Arial" w:hAnsi="Arial" w:cs="Arial"/>
                <w:b/>
                <w:sz w:val="20"/>
                <w:szCs w:val="20"/>
                <w:lang w:val="pt-BR"/>
              </w:rPr>
            </w:pPr>
            <w:r>
              <w:rPr>
                <w:rFonts w:hint="default" w:ascii="Arial" w:hAnsi="Arial" w:cs="Arial"/>
                <w:b/>
                <w:sz w:val="20"/>
                <w:szCs w:val="20"/>
                <w:lang w:val="pt-BR"/>
              </w:rPr>
              <w:t>CRITÉRIO DE JULGAMENTO</w:t>
            </w:r>
          </w:p>
        </w:tc>
      </w:tr>
      <w:tr w14:paraId="13BBE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0" w:type="pct"/>
            <w:noWrap w:val="0"/>
            <w:vAlign w:val="center"/>
          </w:tcPr>
          <w:p w14:paraId="1A0318A5">
            <w:pPr>
              <w:spacing w:before="60" w:after="60" w:line="240" w:lineRule="auto"/>
              <w:jc w:val="center"/>
              <w:rPr>
                <w:rFonts w:hint="default" w:ascii="Arial" w:hAnsi="Arial" w:cs="Arial"/>
                <w:b w:val="0"/>
                <w:bCs w:val="0"/>
                <w:color w:val="auto"/>
                <w:sz w:val="20"/>
                <w:szCs w:val="20"/>
                <w:lang w:val="pt-BR"/>
              </w:rPr>
            </w:pPr>
            <w:r>
              <w:rPr>
                <w:rFonts w:hint="default" w:ascii="Arial" w:hAnsi="Arial" w:cs="Arial"/>
                <w:b w:val="0"/>
                <w:bCs w:val="0"/>
                <w:color w:val="auto"/>
                <w:sz w:val="20"/>
                <w:szCs w:val="20"/>
                <w:lang w:val="pt-BR"/>
              </w:rPr>
              <w:t>NÃO</w:t>
            </w:r>
          </w:p>
        </w:tc>
        <w:tc>
          <w:tcPr>
            <w:tcW w:w="1327" w:type="pct"/>
            <w:noWrap w:val="0"/>
            <w:vAlign w:val="center"/>
          </w:tcPr>
          <w:p w14:paraId="722F39ED">
            <w:pPr>
              <w:spacing w:before="60" w:after="60" w:line="240" w:lineRule="auto"/>
              <w:jc w:val="center"/>
              <w:rPr>
                <w:rFonts w:hint="default" w:ascii="Arial" w:hAnsi="Arial" w:cs="Arial"/>
                <w:b w:val="0"/>
                <w:bCs w:val="0"/>
                <w:color w:val="auto"/>
                <w:sz w:val="20"/>
                <w:szCs w:val="20"/>
              </w:rPr>
            </w:pPr>
            <w:r>
              <w:rPr>
                <w:rFonts w:hint="default" w:ascii="Arial" w:hAnsi="Arial" w:cs="Arial"/>
                <w:b w:val="0"/>
                <w:bCs w:val="0"/>
                <w:color w:val="auto"/>
                <w:sz w:val="20"/>
                <w:szCs w:val="20"/>
                <w:lang w:val="pt-BR"/>
              </w:rPr>
              <w:t>SIM</w:t>
            </w:r>
          </w:p>
        </w:tc>
        <w:tc>
          <w:tcPr>
            <w:tcW w:w="1211" w:type="pct"/>
            <w:noWrap w:val="0"/>
            <w:vAlign w:val="center"/>
          </w:tcPr>
          <w:p w14:paraId="1659518E">
            <w:pPr>
              <w:spacing w:before="60" w:after="60" w:line="240" w:lineRule="auto"/>
              <w:jc w:val="center"/>
              <w:rPr>
                <w:rFonts w:hint="default" w:ascii="Arial" w:hAnsi="Arial" w:cs="Arial"/>
                <w:b w:val="0"/>
                <w:bCs w:val="0"/>
                <w:color w:val="auto"/>
                <w:sz w:val="20"/>
                <w:szCs w:val="20"/>
                <w:lang w:val="pt-BR"/>
              </w:rPr>
            </w:pPr>
            <w:r>
              <w:rPr>
                <w:rFonts w:hint="default" w:ascii="Arial" w:hAnsi="Arial" w:cs="Arial"/>
                <w:b w:val="0"/>
                <w:bCs w:val="0"/>
                <w:color w:val="auto"/>
                <w:sz w:val="20"/>
                <w:szCs w:val="20"/>
                <w:lang w:val="pt-BR"/>
              </w:rPr>
              <w:t>SIM</w:t>
            </w:r>
          </w:p>
        </w:tc>
        <w:tc>
          <w:tcPr>
            <w:tcW w:w="1190" w:type="pct"/>
            <w:noWrap w:val="0"/>
            <w:vAlign w:val="center"/>
          </w:tcPr>
          <w:p w14:paraId="7BF7A00A">
            <w:pPr>
              <w:spacing w:before="60" w:after="60" w:line="240" w:lineRule="auto"/>
              <w:jc w:val="center"/>
              <w:rPr>
                <w:rFonts w:hint="default" w:ascii="Arial" w:hAnsi="Arial" w:cs="Arial"/>
                <w:b w:val="0"/>
                <w:bCs w:val="0"/>
                <w:color w:val="auto"/>
                <w:sz w:val="20"/>
                <w:szCs w:val="20"/>
                <w:lang w:val="pt-BR"/>
              </w:rPr>
            </w:pPr>
            <w:r>
              <w:rPr>
                <w:rFonts w:hint="default" w:ascii="Arial" w:hAnsi="Arial" w:cs="Arial"/>
                <w:b w:val="0"/>
                <w:bCs w:val="0"/>
                <w:color w:val="auto"/>
                <w:sz w:val="20"/>
                <w:szCs w:val="20"/>
              </w:rPr>
              <w:t xml:space="preserve">MENOR PREÇO POR </w:t>
            </w:r>
            <w:r>
              <w:rPr>
                <w:rFonts w:hint="default" w:ascii="Arial" w:hAnsi="Arial" w:cs="Arial"/>
                <w:b w:val="0"/>
                <w:bCs w:val="0"/>
                <w:color w:val="auto"/>
                <w:sz w:val="20"/>
                <w:szCs w:val="20"/>
                <w:lang w:val="pt-BR"/>
              </w:rPr>
              <w:t>GRUPO</w:t>
            </w:r>
          </w:p>
        </w:tc>
      </w:tr>
      <w:tr w14:paraId="34D4C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0" w:type="pct"/>
            <w:shd w:val="clear" w:color="auto" w:fill="D8D8D8"/>
            <w:noWrap w:val="0"/>
            <w:vAlign w:val="center"/>
          </w:tcPr>
          <w:p w14:paraId="7D6AFC4E">
            <w:pPr>
              <w:spacing w:line="240" w:lineRule="auto"/>
              <w:jc w:val="center"/>
              <w:rPr>
                <w:rFonts w:hint="default" w:ascii="Arial" w:hAnsi="Arial" w:cs="Arial"/>
                <w:b/>
                <w:bCs/>
                <w:sz w:val="20"/>
                <w:szCs w:val="20"/>
              </w:rPr>
            </w:pPr>
            <w:r>
              <w:rPr>
                <w:rFonts w:hint="default" w:ascii="Arial" w:hAnsi="Arial" w:cs="Arial"/>
                <w:b/>
                <w:bCs/>
                <w:sz w:val="20"/>
                <w:szCs w:val="20"/>
              </w:rPr>
              <w:t>PREFERÊNCIA</w:t>
            </w:r>
          </w:p>
          <w:p w14:paraId="7C512087">
            <w:pPr>
              <w:spacing w:line="240" w:lineRule="auto"/>
              <w:jc w:val="center"/>
              <w:rPr>
                <w:rFonts w:hint="default" w:ascii="Arial" w:hAnsi="Arial" w:cs="Arial"/>
                <w:sz w:val="20"/>
                <w:szCs w:val="20"/>
              </w:rPr>
            </w:pPr>
            <w:r>
              <w:rPr>
                <w:rFonts w:hint="default" w:ascii="Arial" w:hAnsi="Arial" w:cs="Arial"/>
                <w:b/>
                <w:bCs/>
                <w:sz w:val="20"/>
                <w:szCs w:val="20"/>
              </w:rPr>
              <w:t xml:space="preserve"> ME/EPP</w:t>
            </w:r>
          </w:p>
        </w:tc>
        <w:tc>
          <w:tcPr>
            <w:tcW w:w="1327" w:type="pct"/>
            <w:shd w:val="clear" w:color="auto" w:fill="D8D8D8"/>
            <w:noWrap w:val="0"/>
            <w:vAlign w:val="top"/>
          </w:tcPr>
          <w:p w14:paraId="7FB601DF">
            <w:pPr>
              <w:pStyle w:val="151"/>
              <w:shd w:val="clear" w:color="auto" w:fill="auto"/>
              <w:spacing w:before="60" w:after="60" w:line="240" w:lineRule="auto"/>
              <w:jc w:val="center"/>
              <w:rPr>
                <w:rFonts w:hint="default" w:ascii="Arial" w:hAnsi="Arial" w:cs="Arial"/>
                <w:b/>
                <w:bCs/>
                <w:sz w:val="20"/>
                <w:szCs w:val="20"/>
              </w:rPr>
            </w:pPr>
            <w:r>
              <w:rPr>
                <w:rFonts w:hint="default" w:ascii="Arial" w:hAnsi="Arial" w:cs="Arial"/>
                <w:b/>
                <w:bCs/>
                <w:sz w:val="20"/>
                <w:szCs w:val="20"/>
              </w:rPr>
              <w:t>EXCLUSIV</w:t>
            </w:r>
            <w:r>
              <w:rPr>
                <w:rFonts w:hint="default" w:ascii="Arial" w:hAnsi="Arial" w:cs="Arial"/>
                <w:b/>
                <w:bCs/>
                <w:sz w:val="20"/>
                <w:szCs w:val="20"/>
                <w:lang w:val="pt-BR"/>
              </w:rPr>
              <w:t>IDADE</w:t>
            </w:r>
            <w:r>
              <w:rPr>
                <w:rFonts w:hint="default" w:ascii="Arial" w:hAnsi="Arial" w:cs="Arial"/>
                <w:b/>
                <w:bCs/>
                <w:sz w:val="20"/>
                <w:szCs w:val="20"/>
              </w:rPr>
              <w:t xml:space="preserve"> ME/EPP</w:t>
            </w:r>
          </w:p>
        </w:tc>
        <w:tc>
          <w:tcPr>
            <w:tcW w:w="1211" w:type="pct"/>
            <w:shd w:val="clear" w:color="auto" w:fill="D8D8D8"/>
            <w:noWrap w:val="0"/>
            <w:vAlign w:val="center"/>
          </w:tcPr>
          <w:p w14:paraId="2C3E8B6F">
            <w:pPr>
              <w:pStyle w:val="151"/>
              <w:shd w:val="clear" w:color="auto" w:fill="auto"/>
              <w:spacing w:before="60" w:after="60" w:line="240" w:lineRule="auto"/>
              <w:jc w:val="center"/>
              <w:rPr>
                <w:rFonts w:hint="default" w:ascii="Arial" w:hAnsi="Arial" w:cs="Arial"/>
                <w:b/>
                <w:bCs/>
                <w:sz w:val="20"/>
                <w:szCs w:val="20"/>
              </w:rPr>
            </w:pPr>
            <w:r>
              <w:rPr>
                <w:rFonts w:hint="default" w:ascii="Arial" w:hAnsi="Arial" w:cs="Arial"/>
                <w:b/>
                <w:bCs/>
                <w:sz w:val="20"/>
                <w:szCs w:val="20"/>
                <w:lang w:val="pt-BR"/>
              </w:rPr>
              <w:t>RESERVA DE</w:t>
            </w:r>
            <w:r>
              <w:rPr>
                <w:rFonts w:hint="default" w:ascii="Arial" w:hAnsi="Arial" w:cs="Arial"/>
                <w:b/>
                <w:bCs/>
                <w:sz w:val="20"/>
                <w:szCs w:val="20"/>
              </w:rPr>
              <w:t xml:space="preserve"> COTA ME/EPP</w:t>
            </w:r>
          </w:p>
        </w:tc>
        <w:tc>
          <w:tcPr>
            <w:tcW w:w="1190" w:type="pct"/>
            <w:shd w:val="clear" w:color="auto" w:fill="D8D8D8"/>
            <w:noWrap w:val="0"/>
            <w:vAlign w:val="center"/>
          </w:tcPr>
          <w:p w14:paraId="779185A3">
            <w:pPr>
              <w:pStyle w:val="151"/>
              <w:shd w:val="clear" w:color="auto" w:fill="auto"/>
              <w:spacing w:before="60" w:after="60" w:line="240" w:lineRule="auto"/>
              <w:jc w:val="center"/>
              <w:rPr>
                <w:rFonts w:hint="default" w:ascii="Arial" w:hAnsi="Arial" w:cs="Arial"/>
                <w:sz w:val="20"/>
                <w:szCs w:val="20"/>
              </w:rPr>
            </w:pPr>
            <w:r>
              <w:rPr>
                <w:rFonts w:hint="default" w:ascii="Arial" w:hAnsi="Arial" w:cs="Arial"/>
                <w:b/>
                <w:bCs/>
                <w:sz w:val="20"/>
                <w:szCs w:val="20"/>
              </w:rPr>
              <w:t>DECRETO MUNICIPAL</w:t>
            </w:r>
          </w:p>
        </w:tc>
      </w:tr>
      <w:tr w14:paraId="0FD2A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0" w:type="pct"/>
            <w:noWrap w:val="0"/>
            <w:vAlign w:val="center"/>
          </w:tcPr>
          <w:p w14:paraId="53984E1C">
            <w:pPr>
              <w:pStyle w:val="151"/>
              <w:shd w:val="clear" w:color="auto" w:fill="auto"/>
              <w:spacing w:before="60" w:after="60" w:line="360" w:lineRule="auto"/>
              <w:jc w:val="center"/>
              <w:rPr>
                <w:rFonts w:hint="default" w:ascii="Arial" w:hAnsi="Arial" w:cs="Arial"/>
                <w:b w:val="0"/>
                <w:bCs w:val="0"/>
                <w:sz w:val="20"/>
                <w:szCs w:val="20"/>
              </w:rPr>
            </w:pPr>
            <w:r>
              <w:rPr>
                <w:rFonts w:hint="default" w:ascii="Arial" w:hAnsi="Arial" w:cs="Arial"/>
                <w:b w:val="0"/>
                <w:bCs w:val="0"/>
                <w:sz w:val="20"/>
                <w:szCs w:val="20"/>
              </w:rPr>
              <w:t xml:space="preserve">( </w:t>
            </w:r>
            <w:r>
              <w:rPr>
                <w:rFonts w:hint="default" w:ascii="Arial" w:hAnsi="Arial" w:cs="Arial"/>
                <w:b w:val="0"/>
                <w:bCs w:val="0"/>
                <w:sz w:val="20"/>
                <w:szCs w:val="20"/>
                <w:lang w:val="pt-BR"/>
              </w:rPr>
              <w:t>X</w:t>
            </w:r>
            <w:r>
              <w:rPr>
                <w:rFonts w:hint="default" w:ascii="Arial" w:hAnsi="Arial" w:cs="Arial"/>
                <w:b w:val="0"/>
                <w:bCs w:val="0"/>
                <w:sz w:val="20"/>
                <w:szCs w:val="20"/>
              </w:rPr>
              <w:t xml:space="preserve"> )</w:t>
            </w:r>
            <w:r>
              <w:rPr>
                <w:rFonts w:hint="default" w:ascii="Arial" w:hAnsi="Arial" w:cs="Arial"/>
                <w:b w:val="0"/>
                <w:bCs w:val="0"/>
                <w:sz w:val="20"/>
                <w:szCs w:val="20"/>
                <w:lang w:val="pt-BR"/>
              </w:rPr>
              <w:t xml:space="preserve"> </w:t>
            </w:r>
            <w:r>
              <w:rPr>
                <w:rFonts w:hint="default" w:ascii="Arial" w:hAnsi="Arial" w:cs="Arial"/>
                <w:b w:val="0"/>
                <w:bCs w:val="0"/>
                <w:sz w:val="20"/>
                <w:szCs w:val="20"/>
              </w:rPr>
              <w:t>SIM      (  ) NÃO</w:t>
            </w:r>
          </w:p>
        </w:tc>
        <w:tc>
          <w:tcPr>
            <w:tcW w:w="1327" w:type="pct"/>
            <w:noWrap w:val="0"/>
            <w:vAlign w:val="top"/>
          </w:tcPr>
          <w:p w14:paraId="6155EFCD">
            <w:pPr>
              <w:pStyle w:val="151"/>
              <w:shd w:val="clear" w:color="auto" w:fill="auto"/>
              <w:spacing w:before="60" w:after="60" w:line="360" w:lineRule="auto"/>
              <w:jc w:val="center"/>
              <w:rPr>
                <w:rFonts w:hint="default" w:ascii="Arial" w:hAnsi="Arial" w:cs="Arial"/>
                <w:b w:val="0"/>
                <w:bCs w:val="0"/>
                <w:color w:val="FF0000"/>
                <w:sz w:val="20"/>
                <w:szCs w:val="20"/>
              </w:rPr>
            </w:pPr>
            <w:r>
              <w:rPr>
                <w:rFonts w:hint="default" w:ascii="Arial" w:hAnsi="Arial" w:cs="Arial"/>
                <w:b w:val="0"/>
                <w:bCs w:val="0"/>
                <w:sz w:val="20"/>
                <w:szCs w:val="20"/>
              </w:rPr>
              <w:t>(</w:t>
            </w:r>
            <w:r>
              <w:rPr>
                <w:rFonts w:hint="default" w:ascii="Arial" w:hAnsi="Arial" w:cs="Arial"/>
                <w:b w:val="0"/>
                <w:bCs w:val="0"/>
                <w:sz w:val="20"/>
                <w:szCs w:val="20"/>
                <w:lang w:val="pt-BR"/>
              </w:rPr>
              <w:t xml:space="preserve">  </w:t>
            </w:r>
            <w:r>
              <w:rPr>
                <w:rFonts w:hint="default" w:ascii="Arial" w:hAnsi="Arial" w:cs="Arial"/>
                <w:b w:val="0"/>
                <w:bCs w:val="0"/>
                <w:sz w:val="20"/>
                <w:szCs w:val="20"/>
              </w:rPr>
              <w:t xml:space="preserve"> )</w:t>
            </w:r>
            <w:r>
              <w:rPr>
                <w:rFonts w:hint="default" w:ascii="Arial" w:hAnsi="Arial" w:cs="Arial"/>
                <w:b w:val="0"/>
                <w:bCs w:val="0"/>
                <w:sz w:val="20"/>
                <w:szCs w:val="20"/>
                <w:lang w:val="pt-BR"/>
              </w:rPr>
              <w:t xml:space="preserve"> </w:t>
            </w:r>
            <w:r>
              <w:rPr>
                <w:rFonts w:hint="default" w:ascii="Arial" w:hAnsi="Arial" w:cs="Arial"/>
                <w:b w:val="0"/>
                <w:bCs w:val="0"/>
                <w:sz w:val="20"/>
                <w:szCs w:val="20"/>
              </w:rPr>
              <w:t xml:space="preserve">SIM      ( </w:t>
            </w:r>
            <w:r>
              <w:rPr>
                <w:rFonts w:hint="default" w:ascii="Arial" w:hAnsi="Arial" w:cs="Arial"/>
                <w:b w:val="0"/>
                <w:bCs w:val="0"/>
                <w:sz w:val="20"/>
                <w:szCs w:val="20"/>
                <w:lang w:val="pt-BR"/>
              </w:rPr>
              <w:t>X</w:t>
            </w:r>
            <w:r>
              <w:rPr>
                <w:rFonts w:hint="default" w:ascii="Arial" w:hAnsi="Arial" w:cs="Arial"/>
                <w:b w:val="0"/>
                <w:bCs w:val="0"/>
                <w:sz w:val="20"/>
                <w:szCs w:val="20"/>
              </w:rPr>
              <w:t xml:space="preserve">  ) NÃO</w:t>
            </w:r>
          </w:p>
        </w:tc>
        <w:tc>
          <w:tcPr>
            <w:tcW w:w="1211" w:type="pct"/>
            <w:noWrap w:val="0"/>
            <w:vAlign w:val="center"/>
          </w:tcPr>
          <w:p w14:paraId="3A79110B">
            <w:pPr>
              <w:pStyle w:val="151"/>
              <w:shd w:val="clear" w:color="auto" w:fill="auto"/>
              <w:spacing w:before="60" w:after="60" w:line="360" w:lineRule="auto"/>
              <w:jc w:val="center"/>
              <w:rPr>
                <w:rFonts w:hint="default" w:ascii="Arial" w:hAnsi="Arial" w:cs="Arial"/>
                <w:b w:val="0"/>
                <w:bCs w:val="0"/>
                <w:color w:val="FF0000"/>
                <w:sz w:val="20"/>
                <w:szCs w:val="20"/>
              </w:rPr>
            </w:pPr>
            <w:r>
              <w:rPr>
                <w:rFonts w:hint="default" w:ascii="Arial" w:hAnsi="Arial" w:cs="Arial"/>
                <w:b w:val="0"/>
                <w:bCs w:val="0"/>
                <w:sz w:val="20"/>
                <w:szCs w:val="20"/>
              </w:rPr>
              <w:t>(</w:t>
            </w:r>
            <w:r>
              <w:rPr>
                <w:rFonts w:hint="default" w:ascii="Arial" w:hAnsi="Arial" w:cs="Arial"/>
                <w:b w:val="0"/>
                <w:bCs w:val="0"/>
                <w:sz w:val="20"/>
                <w:szCs w:val="20"/>
                <w:lang w:val="pt-BR"/>
              </w:rPr>
              <w:t xml:space="preserve"> </w:t>
            </w:r>
            <w:r>
              <w:rPr>
                <w:rFonts w:hint="default" w:ascii="Arial" w:hAnsi="Arial" w:cs="Arial"/>
                <w:b w:val="0"/>
                <w:bCs w:val="0"/>
                <w:sz w:val="20"/>
                <w:szCs w:val="20"/>
              </w:rPr>
              <w:t xml:space="preserve"> )</w:t>
            </w:r>
            <w:r>
              <w:rPr>
                <w:rFonts w:hint="default" w:ascii="Arial" w:hAnsi="Arial" w:cs="Arial"/>
                <w:b w:val="0"/>
                <w:bCs w:val="0"/>
                <w:sz w:val="20"/>
                <w:szCs w:val="20"/>
                <w:lang w:val="pt-BR"/>
              </w:rPr>
              <w:t xml:space="preserve"> </w:t>
            </w:r>
            <w:r>
              <w:rPr>
                <w:rFonts w:hint="default" w:ascii="Arial" w:hAnsi="Arial" w:cs="Arial"/>
                <w:b w:val="0"/>
                <w:bCs w:val="0"/>
                <w:sz w:val="20"/>
                <w:szCs w:val="20"/>
              </w:rPr>
              <w:t xml:space="preserve">SIM      ( </w:t>
            </w:r>
            <w:r>
              <w:rPr>
                <w:rFonts w:hint="default" w:ascii="Arial" w:hAnsi="Arial" w:cs="Arial"/>
                <w:b w:val="0"/>
                <w:bCs w:val="0"/>
                <w:sz w:val="20"/>
                <w:szCs w:val="20"/>
                <w:lang w:val="pt-BR"/>
              </w:rPr>
              <w:t>X</w:t>
            </w:r>
            <w:r>
              <w:rPr>
                <w:rFonts w:hint="default" w:ascii="Arial" w:hAnsi="Arial" w:cs="Arial"/>
                <w:b w:val="0"/>
                <w:bCs w:val="0"/>
                <w:sz w:val="20"/>
                <w:szCs w:val="20"/>
              </w:rPr>
              <w:t xml:space="preserve"> ) NÃO</w:t>
            </w:r>
          </w:p>
        </w:tc>
        <w:tc>
          <w:tcPr>
            <w:tcW w:w="1190" w:type="pct"/>
            <w:noWrap w:val="0"/>
            <w:vAlign w:val="center"/>
          </w:tcPr>
          <w:p w14:paraId="14EC180E">
            <w:pPr>
              <w:pStyle w:val="151"/>
              <w:shd w:val="clear" w:color="auto" w:fill="auto"/>
              <w:spacing w:before="60" w:after="60" w:line="360" w:lineRule="auto"/>
              <w:jc w:val="center"/>
              <w:rPr>
                <w:rFonts w:hint="default" w:ascii="Arial" w:hAnsi="Arial" w:cs="Arial"/>
                <w:b w:val="0"/>
                <w:bCs w:val="0"/>
                <w:color w:val="FF0000"/>
                <w:sz w:val="20"/>
                <w:szCs w:val="20"/>
                <w:lang w:val="pt-BR"/>
              </w:rPr>
            </w:pPr>
            <w:r>
              <w:rPr>
                <w:rFonts w:hint="default" w:ascii="Arial" w:hAnsi="Arial" w:cs="Arial"/>
                <w:b w:val="0"/>
                <w:bCs w:val="0"/>
                <w:color w:val="auto"/>
                <w:sz w:val="20"/>
                <w:szCs w:val="20"/>
                <w:highlight w:val="none"/>
                <w:lang w:val="pt-BR"/>
              </w:rPr>
              <w:t>359/2023</w:t>
            </w:r>
          </w:p>
        </w:tc>
      </w:tr>
      <w:tr w14:paraId="4DF5C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0" w:type="pct"/>
            <w:shd w:val="clear" w:color="auto" w:fill="D7D7D7"/>
            <w:noWrap w:val="0"/>
            <w:vAlign w:val="center"/>
          </w:tcPr>
          <w:p w14:paraId="3D0225F9">
            <w:pPr>
              <w:spacing w:line="240" w:lineRule="auto"/>
              <w:jc w:val="center"/>
              <w:rPr>
                <w:rFonts w:hint="default" w:ascii="Arial" w:hAnsi="Arial" w:cs="Arial"/>
                <w:b/>
                <w:bCs/>
                <w:sz w:val="20"/>
                <w:szCs w:val="20"/>
                <w:lang w:val="pt-BR"/>
              </w:rPr>
            </w:pPr>
            <w:r>
              <w:rPr>
                <w:rFonts w:hint="default" w:ascii="Arial" w:hAnsi="Arial" w:cs="Arial"/>
                <w:b/>
                <w:bCs/>
                <w:sz w:val="20"/>
                <w:szCs w:val="20"/>
                <w:lang w:val="pt-BR"/>
              </w:rPr>
              <w:t>MODO DE DISPUTA</w:t>
            </w:r>
          </w:p>
        </w:tc>
        <w:tc>
          <w:tcPr>
            <w:tcW w:w="1327" w:type="pct"/>
            <w:shd w:val="clear" w:color="auto" w:fill="D7D7D7"/>
            <w:noWrap w:val="0"/>
            <w:vAlign w:val="top"/>
          </w:tcPr>
          <w:p w14:paraId="1CF93A32">
            <w:pPr>
              <w:pStyle w:val="151"/>
              <w:keepNext w:val="0"/>
              <w:keepLines w:val="0"/>
              <w:pageBreakBefore w:val="0"/>
              <w:widowControl w:val="0"/>
              <w:shd w:val="clear" w:color="auto" w:fill="auto"/>
              <w:kinsoku/>
              <w:wordWrap/>
              <w:overflowPunct/>
              <w:topLinePunct w:val="0"/>
              <w:autoSpaceDE/>
              <w:autoSpaceDN/>
              <w:bidi w:val="0"/>
              <w:adjustRightInd/>
              <w:snapToGrid/>
              <w:spacing w:after="0" w:line="240" w:lineRule="auto"/>
              <w:jc w:val="center"/>
              <w:textAlignment w:val="auto"/>
              <w:rPr>
                <w:rFonts w:hint="default" w:ascii="Arial" w:hAnsi="Arial" w:cs="Arial"/>
                <w:b/>
                <w:bCs/>
                <w:sz w:val="20"/>
                <w:szCs w:val="20"/>
                <w:lang w:val="pt-BR"/>
              </w:rPr>
            </w:pPr>
          </w:p>
          <w:p w14:paraId="1C07DE92">
            <w:pPr>
              <w:pStyle w:val="151"/>
              <w:keepNext w:val="0"/>
              <w:keepLines w:val="0"/>
              <w:pageBreakBefore w:val="0"/>
              <w:widowControl w:val="0"/>
              <w:shd w:val="clear" w:color="auto" w:fill="auto"/>
              <w:kinsoku/>
              <w:wordWrap/>
              <w:overflowPunct/>
              <w:topLinePunct w:val="0"/>
              <w:autoSpaceDE/>
              <w:autoSpaceDN/>
              <w:bidi w:val="0"/>
              <w:adjustRightInd/>
              <w:snapToGrid/>
              <w:spacing w:after="0" w:line="240" w:lineRule="auto"/>
              <w:jc w:val="center"/>
              <w:textAlignment w:val="auto"/>
              <w:rPr>
                <w:rFonts w:hint="default" w:ascii="Arial" w:hAnsi="Arial" w:cs="Arial"/>
                <w:b/>
                <w:bCs/>
                <w:sz w:val="20"/>
                <w:szCs w:val="20"/>
                <w:lang w:val="pt-BR"/>
              </w:rPr>
            </w:pPr>
            <w:r>
              <w:rPr>
                <w:rFonts w:hint="default" w:ascii="Arial" w:hAnsi="Arial" w:cs="Arial"/>
                <w:b/>
                <w:bCs/>
                <w:sz w:val="20"/>
                <w:szCs w:val="20"/>
                <w:lang w:val="pt-BR"/>
              </w:rPr>
              <w:t>INTERVALO MÍNIMO DE LANCES</w:t>
            </w:r>
          </w:p>
        </w:tc>
        <w:tc>
          <w:tcPr>
            <w:tcW w:w="1211" w:type="pct"/>
            <w:shd w:val="clear" w:color="auto" w:fill="D7D7D7"/>
            <w:noWrap w:val="0"/>
            <w:vAlign w:val="center"/>
          </w:tcPr>
          <w:p w14:paraId="73AEB05B">
            <w:pPr>
              <w:pStyle w:val="151"/>
              <w:shd w:val="clear" w:color="auto" w:fill="auto"/>
              <w:spacing w:before="60" w:after="60" w:line="240" w:lineRule="auto"/>
              <w:jc w:val="center"/>
              <w:rPr>
                <w:rFonts w:hint="default" w:ascii="Arial" w:hAnsi="Arial" w:cs="Arial"/>
                <w:b/>
                <w:bCs/>
                <w:sz w:val="20"/>
                <w:szCs w:val="20"/>
                <w:lang w:val="pt-BR"/>
              </w:rPr>
            </w:pPr>
            <w:r>
              <w:rPr>
                <w:rFonts w:hint="default" w:ascii="Arial" w:hAnsi="Arial" w:cs="Arial"/>
                <w:b/>
                <w:bCs/>
                <w:sz w:val="20"/>
                <w:szCs w:val="20"/>
                <w:lang w:val="pt-BR"/>
              </w:rPr>
              <w:t>PRAZO DE INTENÇÃO DE RECURSO</w:t>
            </w:r>
          </w:p>
        </w:tc>
        <w:tc>
          <w:tcPr>
            <w:tcW w:w="1190" w:type="pct"/>
            <w:shd w:val="clear" w:color="auto" w:fill="D7D7D7"/>
            <w:noWrap w:val="0"/>
            <w:vAlign w:val="center"/>
          </w:tcPr>
          <w:p w14:paraId="12D3ED3C">
            <w:pPr>
              <w:pStyle w:val="151"/>
              <w:shd w:val="clear" w:color="auto" w:fill="auto"/>
              <w:spacing w:before="60" w:after="60" w:line="240" w:lineRule="auto"/>
              <w:jc w:val="center"/>
              <w:rPr>
                <w:rFonts w:hint="default" w:ascii="Arial" w:hAnsi="Arial" w:cs="Arial"/>
                <w:b/>
                <w:bCs/>
                <w:color w:val="auto"/>
                <w:sz w:val="20"/>
                <w:szCs w:val="20"/>
                <w:highlight w:val="none"/>
                <w:lang w:val="pt-BR"/>
              </w:rPr>
            </w:pPr>
            <w:r>
              <w:rPr>
                <w:rFonts w:hint="default" w:ascii="Arial" w:hAnsi="Arial" w:cs="Arial"/>
                <w:b/>
                <w:bCs/>
                <w:sz w:val="20"/>
                <w:szCs w:val="20"/>
                <w:lang w:val="pt-BR"/>
              </w:rPr>
              <w:t>RAZÕES E CONTRARRAZÕES RECURSAIS</w:t>
            </w:r>
          </w:p>
        </w:tc>
      </w:tr>
      <w:tr w14:paraId="76D48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0" w:type="pct"/>
            <w:noWrap w:val="0"/>
            <w:vAlign w:val="center"/>
          </w:tcPr>
          <w:p w14:paraId="4FEE0274">
            <w:pPr>
              <w:pStyle w:val="151"/>
              <w:shd w:val="clear" w:color="auto" w:fill="auto"/>
              <w:spacing w:before="60" w:after="60" w:line="360" w:lineRule="auto"/>
              <w:jc w:val="center"/>
              <w:rPr>
                <w:rFonts w:hint="default" w:ascii="Arial" w:hAnsi="Arial" w:cs="Arial"/>
                <w:b w:val="0"/>
                <w:bCs w:val="0"/>
                <w:sz w:val="20"/>
                <w:szCs w:val="20"/>
              </w:rPr>
            </w:pPr>
            <w:r>
              <w:rPr>
                <w:rFonts w:hint="default" w:ascii="Arial" w:hAnsi="Arial" w:cs="Arial"/>
                <w:b w:val="0"/>
                <w:bCs w:val="0"/>
                <w:sz w:val="20"/>
                <w:szCs w:val="20"/>
                <w:lang w:val="pt-BR"/>
              </w:rPr>
              <w:t>ABERTO</w:t>
            </w:r>
            <w:r>
              <w:rPr>
                <w:rFonts w:hint="default" w:ascii="Arial" w:hAnsi="Arial" w:cs="Arial"/>
                <w:b w:val="0"/>
                <w:bCs w:val="0"/>
                <w:sz w:val="20"/>
                <w:szCs w:val="20"/>
              </w:rPr>
              <w:t xml:space="preserve">     </w:t>
            </w:r>
          </w:p>
        </w:tc>
        <w:tc>
          <w:tcPr>
            <w:tcW w:w="1327" w:type="pct"/>
            <w:noWrap w:val="0"/>
            <w:vAlign w:val="top"/>
          </w:tcPr>
          <w:p w14:paraId="5AB1E678">
            <w:pPr>
              <w:pStyle w:val="151"/>
              <w:shd w:val="clear" w:color="auto" w:fill="auto"/>
              <w:spacing w:before="60" w:after="60" w:line="360" w:lineRule="auto"/>
              <w:jc w:val="center"/>
              <w:rPr>
                <w:rFonts w:hint="default" w:ascii="Arial" w:hAnsi="Arial" w:cs="Arial"/>
                <w:b w:val="0"/>
                <w:bCs w:val="0"/>
                <w:sz w:val="20"/>
                <w:szCs w:val="20"/>
                <w:lang w:val="pt-BR"/>
              </w:rPr>
            </w:pPr>
            <w:r>
              <w:rPr>
                <w:rFonts w:hint="default" w:ascii="Arial" w:hAnsi="Arial" w:cs="Arial"/>
                <w:b w:val="0"/>
                <w:bCs w:val="0"/>
                <w:sz w:val="20"/>
                <w:szCs w:val="20"/>
                <w:lang w:val="pt-BR"/>
              </w:rPr>
              <w:t>R$ 0,01</w:t>
            </w:r>
          </w:p>
        </w:tc>
        <w:tc>
          <w:tcPr>
            <w:tcW w:w="1211" w:type="pct"/>
            <w:noWrap w:val="0"/>
            <w:vAlign w:val="center"/>
          </w:tcPr>
          <w:p w14:paraId="2996AF54">
            <w:pPr>
              <w:pStyle w:val="151"/>
              <w:shd w:val="clear" w:color="auto" w:fill="auto"/>
              <w:spacing w:before="60" w:after="60" w:line="360" w:lineRule="auto"/>
              <w:jc w:val="center"/>
              <w:rPr>
                <w:rFonts w:hint="default" w:ascii="Arial" w:hAnsi="Arial" w:cs="Arial"/>
                <w:b w:val="0"/>
                <w:bCs w:val="0"/>
                <w:sz w:val="20"/>
                <w:szCs w:val="20"/>
                <w:lang w:val="pt-BR"/>
              </w:rPr>
            </w:pPr>
            <w:r>
              <w:rPr>
                <w:rFonts w:hint="default" w:ascii="Arial" w:hAnsi="Arial" w:cs="Arial"/>
                <w:b w:val="0"/>
                <w:bCs w:val="0"/>
                <w:sz w:val="20"/>
                <w:szCs w:val="20"/>
                <w:lang w:val="pt-BR"/>
              </w:rPr>
              <w:t>1 hora</w:t>
            </w:r>
          </w:p>
        </w:tc>
        <w:tc>
          <w:tcPr>
            <w:tcW w:w="1190" w:type="pct"/>
            <w:noWrap w:val="0"/>
            <w:vAlign w:val="center"/>
          </w:tcPr>
          <w:p w14:paraId="0D713C25">
            <w:pPr>
              <w:pStyle w:val="151"/>
              <w:shd w:val="clear" w:color="auto" w:fill="auto"/>
              <w:spacing w:before="60" w:after="60" w:line="360" w:lineRule="auto"/>
              <w:jc w:val="center"/>
              <w:rPr>
                <w:rFonts w:hint="default" w:ascii="Arial" w:hAnsi="Arial" w:cs="Arial"/>
                <w:b w:val="0"/>
                <w:bCs w:val="0"/>
                <w:color w:val="auto"/>
                <w:sz w:val="20"/>
                <w:szCs w:val="20"/>
                <w:highlight w:val="none"/>
                <w:lang w:val="pt-BR"/>
              </w:rPr>
            </w:pPr>
            <w:r>
              <w:rPr>
                <w:rFonts w:hint="default" w:ascii="Arial" w:hAnsi="Arial" w:cs="Arial"/>
                <w:b w:val="0"/>
                <w:bCs w:val="0"/>
                <w:color w:val="auto"/>
                <w:sz w:val="20"/>
                <w:szCs w:val="20"/>
                <w:highlight w:val="none"/>
                <w:lang w:val="pt-BR"/>
              </w:rPr>
              <w:t>3 dias úteis</w:t>
            </w:r>
          </w:p>
        </w:tc>
      </w:tr>
      <w:tr w14:paraId="61F95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shd w:val="clear" w:color="auto" w:fill="D8D8D8"/>
            <w:noWrap w:val="0"/>
            <w:vAlign w:val="center"/>
          </w:tcPr>
          <w:p w14:paraId="1B80EF24">
            <w:pPr>
              <w:pStyle w:val="151"/>
              <w:shd w:val="clear" w:color="auto" w:fill="auto"/>
              <w:spacing w:before="60" w:after="60" w:line="240" w:lineRule="auto"/>
              <w:jc w:val="center"/>
              <w:rPr>
                <w:rFonts w:hint="default" w:ascii="Arial" w:hAnsi="Arial" w:cs="Arial"/>
                <w:sz w:val="20"/>
                <w:szCs w:val="20"/>
              </w:rPr>
            </w:pPr>
            <w:r>
              <w:rPr>
                <w:rFonts w:hint="default" w:ascii="Arial" w:hAnsi="Arial" w:cs="Arial"/>
                <w:b/>
                <w:bCs/>
                <w:sz w:val="20"/>
                <w:szCs w:val="20"/>
              </w:rPr>
              <w:t xml:space="preserve">PRAZO PARA ENVIO DA PROPOSTA </w:t>
            </w:r>
            <w:r>
              <w:rPr>
                <w:rFonts w:hint="default" w:ascii="Arial" w:hAnsi="Arial" w:cs="Arial"/>
                <w:b/>
                <w:bCs/>
                <w:sz w:val="20"/>
                <w:szCs w:val="20"/>
                <w:lang w:val="pt-BR"/>
              </w:rPr>
              <w:t>DE PREÇOS</w:t>
            </w:r>
            <w:r>
              <w:rPr>
                <w:rFonts w:hint="default" w:ascii="Arial" w:hAnsi="Arial" w:cs="Arial"/>
                <w:b/>
                <w:bCs/>
                <w:sz w:val="20"/>
                <w:szCs w:val="20"/>
              </w:rPr>
              <w:t xml:space="preserve"> E DOS DOCUMENTOS PARA HABILITAÇÃO</w:t>
            </w:r>
          </w:p>
        </w:tc>
      </w:tr>
      <w:tr w14:paraId="2B228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noWrap w:val="0"/>
            <w:vAlign w:val="center"/>
          </w:tcPr>
          <w:p w14:paraId="0E53415E">
            <w:pPr>
              <w:pStyle w:val="151"/>
              <w:shd w:val="clear" w:color="auto" w:fill="auto"/>
              <w:spacing w:before="60" w:after="60" w:line="360" w:lineRule="auto"/>
              <w:jc w:val="center"/>
              <w:rPr>
                <w:rFonts w:hint="default" w:ascii="Arial" w:hAnsi="Arial" w:cs="Arial"/>
                <w:sz w:val="20"/>
                <w:szCs w:val="20"/>
              </w:rPr>
            </w:pPr>
            <w:r>
              <w:rPr>
                <w:rFonts w:hint="default" w:ascii="Arial" w:hAnsi="Arial" w:cs="Arial"/>
                <w:b w:val="0"/>
                <w:bCs w:val="0"/>
                <w:sz w:val="20"/>
                <w:szCs w:val="20"/>
              </w:rPr>
              <w:t>Até 2 horas após a convocação realizada pelo Pregoeiro</w:t>
            </w:r>
          </w:p>
        </w:tc>
      </w:tr>
      <w:tr w14:paraId="1B9A2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5000" w:type="pct"/>
            <w:gridSpan w:val="4"/>
            <w:shd w:val="clear" w:color="auto" w:fill="D8D8D8"/>
            <w:noWrap w:val="0"/>
            <w:vAlign w:val="center"/>
          </w:tcPr>
          <w:p w14:paraId="147115B3">
            <w:pPr>
              <w:pStyle w:val="151"/>
              <w:shd w:val="clear" w:color="auto" w:fill="auto"/>
              <w:spacing w:before="60" w:after="60" w:line="240" w:lineRule="auto"/>
              <w:jc w:val="center"/>
              <w:rPr>
                <w:rFonts w:hint="default" w:ascii="Arial" w:hAnsi="Arial" w:cs="Arial"/>
                <w:b/>
                <w:bCs/>
                <w:sz w:val="20"/>
                <w:szCs w:val="20"/>
                <w:lang w:val="pt-BR"/>
              </w:rPr>
            </w:pPr>
            <w:r>
              <w:rPr>
                <w:rFonts w:hint="default" w:ascii="Arial" w:hAnsi="Arial" w:cs="Arial"/>
                <w:b/>
                <w:bCs/>
                <w:sz w:val="20"/>
                <w:szCs w:val="20"/>
              </w:rPr>
              <w:t>PEDIDOS DE ESCLARECIMENTOS</w:t>
            </w:r>
            <w:r>
              <w:rPr>
                <w:rFonts w:hint="default" w:ascii="Arial" w:hAnsi="Arial" w:cs="Arial"/>
                <w:b/>
                <w:bCs/>
                <w:sz w:val="20"/>
                <w:szCs w:val="20"/>
                <w:lang w:val="pt-BR"/>
              </w:rPr>
              <w:t xml:space="preserve"> E</w:t>
            </w:r>
          </w:p>
          <w:p w14:paraId="792E5467">
            <w:pPr>
              <w:pStyle w:val="151"/>
              <w:shd w:val="clear" w:color="auto" w:fill="auto"/>
              <w:spacing w:before="60" w:after="60" w:line="240" w:lineRule="auto"/>
              <w:jc w:val="center"/>
              <w:rPr>
                <w:rFonts w:hint="default" w:ascii="Arial" w:hAnsi="Arial" w:cs="Arial"/>
                <w:sz w:val="20"/>
                <w:szCs w:val="20"/>
              </w:rPr>
            </w:pPr>
            <w:r>
              <w:rPr>
                <w:rFonts w:hint="default" w:ascii="Arial" w:hAnsi="Arial" w:cs="Arial"/>
                <w:b/>
                <w:bCs/>
                <w:sz w:val="20"/>
                <w:szCs w:val="20"/>
              </w:rPr>
              <w:t>IMPUGNAÇÕES</w:t>
            </w:r>
          </w:p>
        </w:tc>
      </w:tr>
      <w:tr w14:paraId="3BA7A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noWrap w:val="0"/>
            <w:vAlign w:val="center"/>
          </w:tcPr>
          <w:p w14:paraId="4D3C9E4C">
            <w:pPr>
              <w:pStyle w:val="151"/>
              <w:shd w:val="clear" w:color="auto" w:fill="auto"/>
              <w:spacing w:before="60" w:after="60" w:line="360" w:lineRule="auto"/>
              <w:jc w:val="center"/>
              <w:rPr>
                <w:rFonts w:hint="default" w:ascii="Arial" w:hAnsi="Arial" w:cs="Arial"/>
                <w:b w:val="0"/>
                <w:bCs w:val="0"/>
                <w:sz w:val="20"/>
                <w:szCs w:val="20"/>
              </w:rPr>
            </w:pPr>
            <w:r>
              <w:rPr>
                <w:rFonts w:hint="default" w:ascii="Arial" w:hAnsi="Arial" w:cs="Arial"/>
                <w:b w:val="0"/>
                <w:bCs w:val="0"/>
                <w:sz w:val="20"/>
                <w:szCs w:val="20"/>
              </w:rPr>
              <w:t>Em até 3 dias úteis antes da abertura das propostas</w:t>
            </w:r>
          </w:p>
        </w:tc>
      </w:tr>
    </w:tbl>
    <w:p w14:paraId="416EE14D">
      <w:pPr>
        <w:spacing w:line="360" w:lineRule="auto"/>
        <w:jc w:val="both"/>
        <w:rPr>
          <w:rFonts w:ascii="Arial" w:hAnsi="Arial" w:cs="Arial"/>
          <w:b/>
          <w:bCs/>
          <w:sz w:val="22"/>
          <w:szCs w:val="22"/>
        </w:rPr>
      </w:pPr>
    </w:p>
    <w:p w14:paraId="6C20045B">
      <w:pPr>
        <w:spacing w:line="360" w:lineRule="auto"/>
        <w:jc w:val="both"/>
        <w:rPr>
          <w:rFonts w:ascii="Arial" w:hAnsi="Arial" w:cs="Arial"/>
          <w:b/>
          <w:bCs/>
          <w:sz w:val="22"/>
          <w:szCs w:val="22"/>
        </w:rPr>
      </w:pPr>
    </w:p>
    <w:p w14:paraId="18957FED">
      <w:pPr>
        <w:spacing w:line="360" w:lineRule="auto"/>
        <w:jc w:val="both"/>
        <w:rPr>
          <w:rFonts w:ascii="Arial" w:hAnsi="Arial" w:cs="Arial"/>
          <w:b/>
          <w:bCs/>
          <w:sz w:val="22"/>
          <w:szCs w:val="22"/>
        </w:rPr>
      </w:pPr>
    </w:p>
    <w:p w14:paraId="1B4CEA55">
      <w:pPr>
        <w:spacing w:line="360" w:lineRule="auto"/>
        <w:jc w:val="both"/>
        <w:rPr>
          <w:rFonts w:ascii="Arial" w:hAnsi="Arial" w:cs="Arial"/>
          <w:b/>
          <w:bCs/>
          <w:sz w:val="22"/>
          <w:szCs w:val="22"/>
        </w:rPr>
      </w:pPr>
    </w:p>
    <w:p w14:paraId="4A9F721E">
      <w:pPr>
        <w:spacing w:line="360" w:lineRule="auto"/>
        <w:jc w:val="both"/>
        <w:rPr>
          <w:rFonts w:ascii="Arial" w:hAnsi="Arial" w:cs="Arial"/>
          <w:b/>
          <w:bCs/>
          <w:sz w:val="22"/>
          <w:szCs w:val="22"/>
        </w:rPr>
      </w:pPr>
    </w:p>
    <w:p w14:paraId="4CCCF2DA">
      <w:pPr>
        <w:pStyle w:val="2"/>
        <w:spacing w:line="360" w:lineRule="auto"/>
        <w:rPr>
          <w:rFonts w:cs="Arial"/>
          <w:b/>
          <w:color w:val="auto"/>
          <w:sz w:val="22"/>
          <w:szCs w:val="22"/>
        </w:rPr>
      </w:pPr>
      <w:r>
        <w:rPr>
          <w:rFonts w:cs="Arial"/>
          <w:b/>
          <w:color w:val="auto"/>
          <w:sz w:val="22"/>
          <w:szCs w:val="22"/>
        </w:rPr>
        <w:t>EDITAL DE LICITAÇÃO</w:t>
      </w:r>
    </w:p>
    <w:p w14:paraId="0FFF2857">
      <w:pPr>
        <w:spacing w:line="360" w:lineRule="auto"/>
        <w:jc w:val="center"/>
        <w:rPr>
          <w:rFonts w:ascii="Arial" w:hAnsi="Arial" w:cs="Arial"/>
          <w:b/>
          <w:bCs/>
          <w:sz w:val="22"/>
          <w:szCs w:val="22"/>
        </w:rPr>
      </w:pPr>
      <w:r>
        <w:rPr>
          <w:rFonts w:ascii="Arial" w:hAnsi="Arial" w:cs="Arial"/>
          <w:b/>
          <w:bCs/>
          <w:sz w:val="22"/>
          <w:szCs w:val="22"/>
        </w:rPr>
        <w:t xml:space="preserve">PREGÃO ELETRÔNICO N° </w:t>
      </w:r>
      <w:r>
        <w:rPr>
          <w:rFonts w:hint="default" w:ascii="Arial" w:hAnsi="Arial" w:cs="Arial"/>
          <w:b/>
          <w:bCs/>
          <w:sz w:val="22"/>
          <w:szCs w:val="22"/>
          <w:lang w:val="pt-BR"/>
        </w:rPr>
        <w:t>37/2024</w:t>
      </w:r>
      <w:r>
        <w:rPr>
          <w:rFonts w:ascii="Arial" w:hAnsi="Arial" w:cs="Arial"/>
          <w:b/>
          <w:bCs/>
          <w:sz w:val="22"/>
          <w:szCs w:val="22"/>
        </w:rPr>
        <w:t xml:space="preserve"> </w:t>
      </w:r>
    </w:p>
    <w:p w14:paraId="50D98E1C">
      <w:pPr>
        <w:spacing w:line="360" w:lineRule="auto"/>
        <w:jc w:val="center"/>
        <w:rPr>
          <w:rFonts w:hint="default" w:ascii="Arial" w:hAnsi="Arial" w:cs="Arial"/>
          <w:b/>
          <w:bCs/>
          <w:sz w:val="22"/>
          <w:szCs w:val="22"/>
          <w:lang w:val="pt-BR"/>
        </w:rPr>
      </w:pPr>
      <w:r>
        <w:rPr>
          <w:rFonts w:hint="default" w:ascii="Arial" w:hAnsi="Arial" w:cs="Arial"/>
          <w:b/>
          <w:bCs/>
          <w:sz w:val="22"/>
          <w:szCs w:val="22"/>
          <w:lang w:val="pt-BR"/>
        </w:rPr>
        <w:t>PROCESSO ADMINISTRATIVO Nº 68/2024</w:t>
      </w:r>
    </w:p>
    <w:p w14:paraId="236FC5FD">
      <w:pPr>
        <w:pStyle w:val="2"/>
        <w:widowControl w:val="0"/>
        <w:pBdr>
          <w:top w:val="double" w:color="auto" w:sz="4" w:space="1"/>
          <w:left w:val="double" w:color="auto" w:sz="4" w:space="4"/>
          <w:bottom w:val="double" w:color="auto" w:sz="4" w:space="1"/>
          <w:right w:val="double" w:color="auto" w:sz="4" w:space="4"/>
          <w:between w:val="double" w:color="auto" w:sz="4" w:space="1"/>
        </w:pBdr>
        <w:shd w:val="clear" w:color="auto" w:fill="D9D9D9"/>
        <w:adjustRightInd w:val="0"/>
        <w:spacing w:before="100" w:beforeAutospacing="1" w:after="100" w:afterAutospacing="1" w:line="360" w:lineRule="atLeast"/>
        <w:textAlignment w:val="baseline"/>
        <w:rPr>
          <w:rFonts w:cs="Arial"/>
          <w:b/>
          <w:color w:val="auto"/>
          <w:sz w:val="22"/>
          <w:szCs w:val="22"/>
        </w:rPr>
      </w:pPr>
      <w:bookmarkStart w:id="0" w:name="_Toc102538607"/>
      <w:r>
        <w:rPr>
          <w:rFonts w:cs="Arial"/>
          <w:b/>
          <w:color w:val="auto"/>
          <w:sz w:val="22"/>
          <w:szCs w:val="22"/>
        </w:rPr>
        <w:t>PREÂMBULO</w:t>
      </w:r>
      <w:bookmarkEnd w:id="0"/>
    </w:p>
    <w:p w14:paraId="7C1A89FE">
      <w:pPr>
        <w:widowControl w:val="0"/>
        <w:tabs>
          <w:tab w:val="left" w:pos="426"/>
          <w:tab w:val="left" w:pos="2214"/>
        </w:tabs>
        <w:adjustRightInd w:val="0"/>
        <w:spacing w:before="240" w:after="240" w:line="360" w:lineRule="auto"/>
        <w:jc w:val="both"/>
        <w:textAlignment w:val="baseline"/>
        <w:rPr>
          <w:rFonts w:hint="default" w:ascii="Arial" w:hAnsi="Arial" w:cs="Arial"/>
          <w:sz w:val="22"/>
          <w:szCs w:val="22"/>
          <w:lang w:val="pt-BR"/>
        </w:rPr>
      </w:pPr>
      <w:r>
        <w:rPr>
          <w:rFonts w:ascii="Arial" w:hAnsi="Arial" w:cs="Arial"/>
          <w:sz w:val="22"/>
          <w:szCs w:val="22"/>
        </w:rPr>
        <w:t>A Prefeitura Municipal de Sinop,</w:t>
      </w:r>
      <w:r>
        <w:rPr>
          <w:rFonts w:ascii="Arial" w:hAnsi="Arial" w:cs="Arial"/>
          <w:b/>
          <w:sz w:val="22"/>
          <w:szCs w:val="22"/>
        </w:rPr>
        <w:t xml:space="preserve"> </w:t>
      </w:r>
      <w:r>
        <w:rPr>
          <w:rFonts w:ascii="Arial" w:hAnsi="Arial" w:cs="Arial"/>
          <w:sz w:val="22"/>
          <w:szCs w:val="22"/>
        </w:rPr>
        <w:t xml:space="preserve">Estado de Mato Grosso, por meio de seu Pregoeiro, nomeado pela </w:t>
      </w:r>
      <w:r>
        <w:rPr>
          <w:rFonts w:ascii="Arial" w:hAnsi="Arial" w:cs="Arial"/>
          <w:sz w:val="22"/>
          <w:szCs w:val="22"/>
          <w:highlight w:val="none"/>
        </w:rPr>
        <w:t xml:space="preserve">Portaria nº </w:t>
      </w:r>
      <w:r>
        <w:rPr>
          <w:rFonts w:hint="default" w:ascii="Arial" w:hAnsi="Arial" w:cs="Arial"/>
          <w:sz w:val="22"/>
          <w:szCs w:val="22"/>
          <w:highlight w:val="none"/>
          <w:lang w:val="pt-BR"/>
        </w:rPr>
        <w:t>068</w:t>
      </w:r>
      <w:r>
        <w:rPr>
          <w:rFonts w:ascii="Arial" w:hAnsi="Arial" w:cs="Arial"/>
          <w:sz w:val="22"/>
          <w:szCs w:val="22"/>
          <w:highlight w:val="none"/>
        </w:rPr>
        <w:t>/202</w:t>
      </w:r>
      <w:r>
        <w:rPr>
          <w:rFonts w:hint="default" w:ascii="Arial" w:hAnsi="Arial" w:cs="Arial"/>
          <w:sz w:val="22"/>
          <w:szCs w:val="22"/>
          <w:highlight w:val="none"/>
          <w:lang w:val="pt-BR"/>
        </w:rPr>
        <w:t>4</w:t>
      </w:r>
      <w:r>
        <w:rPr>
          <w:rFonts w:ascii="Arial" w:hAnsi="Arial" w:cs="Arial"/>
          <w:sz w:val="22"/>
          <w:szCs w:val="22"/>
          <w:highlight w:val="none"/>
        </w:rPr>
        <w:t xml:space="preserve">, de </w:t>
      </w:r>
      <w:r>
        <w:rPr>
          <w:rFonts w:hint="default" w:ascii="Arial" w:hAnsi="Arial" w:cs="Arial"/>
          <w:sz w:val="22"/>
          <w:szCs w:val="22"/>
          <w:highlight w:val="none"/>
          <w:lang w:val="pt-BR"/>
        </w:rPr>
        <w:t xml:space="preserve">25 </w:t>
      </w:r>
      <w:r>
        <w:rPr>
          <w:rFonts w:ascii="Arial" w:hAnsi="Arial" w:cs="Arial"/>
          <w:sz w:val="22"/>
          <w:szCs w:val="22"/>
          <w:highlight w:val="none"/>
        </w:rPr>
        <w:t xml:space="preserve">de </w:t>
      </w:r>
      <w:r>
        <w:rPr>
          <w:rFonts w:hint="default" w:ascii="Arial" w:hAnsi="Arial" w:cs="Arial"/>
          <w:sz w:val="22"/>
          <w:szCs w:val="22"/>
          <w:highlight w:val="none"/>
          <w:lang w:val="pt-BR"/>
        </w:rPr>
        <w:t>janeiro</w:t>
      </w:r>
      <w:r>
        <w:rPr>
          <w:rFonts w:ascii="Arial" w:hAnsi="Arial" w:cs="Arial"/>
          <w:sz w:val="22"/>
          <w:szCs w:val="22"/>
          <w:highlight w:val="none"/>
        </w:rPr>
        <w:t xml:space="preserve"> de 202</w:t>
      </w:r>
      <w:r>
        <w:rPr>
          <w:rFonts w:hint="default" w:ascii="Arial" w:hAnsi="Arial" w:cs="Arial"/>
          <w:sz w:val="22"/>
          <w:szCs w:val="22"/>
          <w:highlight w:val="none"/>
          <w:lang w:val="pt-BR"/>
        </w:rPr>
        <w:t>4</w:t>
      </w:r>
      <w:r>
        <w:rPr>
          <w:rFonts w:ascii="Arial" w:hAnsi="Arial" w:cs="Arial"/>
          <w:sz w:val="22"/>
          <w:szCs w:val="22"/>
          <w:highlight w:val="none"/>
        </w:rPr>
        <w:t>,</w:t>
      </w:r>
      <w:r>
        <w:rPr>
          <w:rFonts w:ascii="Arial" w:hAnsi="Arial" w:cs="Arial"/>
          <w:sz w:val="22"/>
          <w:szCs w:val="22"/>
        </w:rPr>
        <w:t xml:space="preserve"> com endereço à Avenida das Embaúbas, nº 1.386, Setor Comercial, Sinop/MT, CEP 78.550-206, CNPJ 15.024.003/0001-32, isenta de inscrição estadual, torna pública a abertura do processo licitatório, na modalidade </w:t>
      </w:r>
      <w:r>
        <w:rPr>
          <w:rFonts w:ascii="Arial" w:hAnsi="Arial" w:cs="Arial"/>
          <w:b/>
          <w:bCs w:val="0"/>
          <w:sz w:val="22"/>
          <w:szCs w:val="22"/>
        </w:rPr>
        <w:t>PREGÃO</w:t>
      </w:r>
      <w:r>
        <w:rPr>
          <w:rFonts w:hint="default" w:ascii="Arial" w:hAnsi="Arial" w:cs="Arial"/>
          <w:b/>
          <w:bCs w:val="0"/>
          <w:sz w:val="22"/>
          <w:szCs w:val="22"/>
          <w:lang w:val="pt-BR"/>
        </w:rPr>
        <w:t>,</w:t>
      </w:r>
      <w:r>
        <w:rPr>
          <w:rFonts w:hint="default" w:ascii="Arial" w:hAnsi="Arial" w:cs="Arial"/>
          <w:b w:val="0"/>
          <w:bCs/>
          <w:sz w:val="22"/>
          <w:szCs w:val="22"/>
          <w:lang w:val="pt-BR"/>
        </w:rPr>
        <w:t xml:space="preserve"> na forma</w:t>
      </w:r>
      <w:r>
        <w:rPr>
          <w:rFonts w:ascii="Arial" w:hAnsi="Arial" w:cs="Arial"/>
          <w:b w:val="0"/>
          <w:bCs/>
          <w:sz w:val="22"/>
          <w:szCs w:val="22"/>
        </w:rPr>
        <w:t xml:space="preserve"> </w:t>
      </w:r>
      <w:r>
        <w:rPr>
          <w:rFonts w:ascii="Arial" w:hAnsi="Arial" w:cs="Arial"/>
          <w:b/>
          <w:bCs w:val="0"/>
          <w:sz w:val="22"/>
          <w:szCs w:val="22"/>
        </w:rPr>
        <w:t>ELETRÔNIC</w:t>
      </w:r>
      <w:r>
        <w:rPr>
          <w:rFonts w:hint="default" w:ascii="Arial" w:hAnsi="Arial" w:cs="Arial"/>
          <w:b/>
          <w:bCs w:val="0"/>
          <w:sz w:val="22"/>
          <w:szCs w:val="22"/>
          <w:lang w:val="pt-BR"/>
        </w:rPr>
        <w:t>A</w:t>
      </w:r>
      <w:r>
        <w:rPr>
          <w:rFonts w:ascii="Arial" w:hAnsi="Arial" w:cs="Arial"/>
          <w:b w:val="0"/>
          <w:bCs/>
          <w:sz w:val="22"/>
          <w:szCs w:val="22"/>
        </w:rPr>
        <w:t xml:space="preserve">, do tipo </w:t>
      </w:r>
      <w:r>
        <w:rPr>
          <w:rFonts w:ascii="Arial" w:hAnsi="Arial" w:cs="Arial"/>
          <w:b/>
          <w:bCs w:val="0"/>
          <w:sz w:val="22"/>
          <w:szCs w:val="22"/>
        </w:rPr>
        <w:t xml:space="preserve">MENOR PREÇO POR </w:t>
      </w:r>
      <w:r>
        <w:rPr>
          <w:rFonts w:hint="default" w:ascii="Arial" w:hAnsi="Arial" w:cs="Arial"/>
          <w:b/>
          <w:bCs w:val="0"/>
          <w:sz w:val="22"/>
          <w:szCs w:val="22"/>
          <w:lang w:val="pt-BR"/>
        </w:rPr>
        <w:t>GRUPO</w:t>
      </w:r>
      <w:r>
        <w:rPr>
          <w:rFonts w:ascii="Arial" w:hAnsi="Arial" w:cs="Arial"/>
          <w:b/>
          <w:bCs w:val="0"/>
          <w:sz w:val="22"/>
          <w:szCs w:val="22"/>
        </w:rPr>
        <w:t xml:space="preserve">, </w:t>
      </w:r>
      <w:r>
        <w:rPr>
          <w:rFonts w:ascii="Arial" w:hAnsi="Arial" w:cs="Arial"/>
          <w:b w:val="0"/>
          <w:bCs/>
          <w:sz w:val="22"/>
          <w:szCs w:val="22"/>
        </w:rPr>
        <w:t>para AMPLA CONCORRÊNCIA</w:t>
      </w:r>
      <w:r>
        <w:rPr>
          <w:rFonts w:ascii="Arial" w:hAnsi="Arial" w:cs="Arial"/>
          <w:b w:val="0"/>
          <w:bCs/>
          <w:sz w:val="22"/>
          <w:szCs w:val="22"/>
          <w:u w:val="none"/>
        </w:rPr>
        <w:t>,</w:t>
      </w:r>
      <w:r>
        <w:rPr>
          <w:rFonts w:hint="default" w:ascii="Arial" w:hAnsi="Arial" w:cs="Arial"/>
          <w:b w:val="0"/>
          <w:bCs/>
          <w:sz w:val="22"/>
          <w:szCs w:val="22"/>
          <w:u w:val="none"/>
          <w:lang w:val="pt-BR"/>
        </w:rPr>
        <w:t xml:space="preserve"> com MODO DE DISPUTA ABERTO, </w:t>
      </w:r>
      <w:r>
        <w:rPr>
          <w:rFonts w:ascii="Arial" w:hAnsi="Arial" w:cs="Arial"/>
          <w:b w:val="0"/>
          <w:bCs/>
          <w:sz w:val="22"/>
          <w:szCs w:val="22"/>
        </w:rPr>
        <w:t xml:space="preserve">às </w:t>
      </w:r>
      <w:r>
        <w:rPr>
          <w:rFonts w:ascii="Arial" w:hAnsi="Arial" w:cs="Arial"/>
          <w:b/>
          <w:bCs w:val="0"/>
          <w:sz w:val="22"/>
          <w:szCs w:val="22"/>
        </w:rPr>
        <w:t>0</w:t>
      </w:r>
      <w:r>
        <w:rPr>
          <w:rFonts w:hint="default" w:ascii="Arial" w:hAnsi="Arial" w:cs="Arial"/>
          <w:b/>
          <w:bCs w:val="0"/>
          <w:sz w:val="22"/>
          <w:szCs w:val="22"/>
          <w:lang w:val="pt-BR"/>
        </w:rPr>
        <w:t>9</w:t>
      </w:r>
      <w:r>
        <w:rPr>
          <w:rFonts w:ascii="Arial" w:hAnsi="Arial" w:cs="Arial"/>
          <w:b/>
          <w:bCs w:val="0"/>
          <w:sz w:val="22"/>
          <w:szCs w:val="22"/>
        </w:rPr>
        <w:t>h00min</w:t>
      </w:r>
      <w:r>
        <w:rPr>
          <w:rFonts w:ascii="Arial" w:hAnsi="Arial" w:cs="Arial"/>
          <w:b w:val="0"/>
          <w:bCs/>
          <w:sz w:val="22"/>
          <w:szCs w:val="22"/>
        </w:rPr>
        <w:t xml:space="preserve"> (horário de Brasília/DF) do dia </w:t>
      </w:r>
      <w:r>
        <w:rPr>
          <w:rFonts w:hint="default" w:ascii="Arial" w:hAnsi="Arial" w:cs="Arial"/>
          <w:b/>
          <w:bCs w:val="0"/>
          <w:sz w:val="22"/>
          <w:szCs w:val="22"/>
          <w:lang w:val="pt-BR"/>
        </w:rPr>
        <w:t>18</w:t>
      </w:r>
      <w:r>
        <w:rPr>
          <w:rFonts w:ascii="Arial" w:hAnsi="Arial" w:cs="Arial"/>
          <w:b/>
          <w:bCs w:val="0"/>
          <w:sz w:val="22"/>
          <w:szCs w:val="22"/>
        </w:rPr>
        <w:t xml:space="preserve"> de </w:t>
      </w:r>
      <w:r>
        <w:rPr>
          <w:rFonts w:hint="default" w:ascii="Arial" w:hAnsi="Arial" w:cs="Arial"/>
          <w:b/>
          <w:bCs w:val="0"/>
          <w:sz w:val="22"/>
          <w:szCs w:val="22"/>
          <w:lang w:val="pt-BR"/>
        </w:rPr>
        <w:t xml:space="preserve">setembro </w:t>
      </w:r>
      <w:r>
        <w:rPr>
          <w:rFonts w:ascii="Arial" w:hAnsi="Arial" w:cs="Arial"/>
          <w:b/>
          <w:bCs w:val="0"/>
          <w:sz w:val="22"/>
          <w:szCs w:val="22"/>
        </w:rPr>
        <w:t xml:space="preserve">de </w:t>
      </w:r>
      <w:r>
        <w:rPr>
          <w:rFonts w:ascii="Arial" w:hAnsi="Arial" w:cs="Arial"/>
          <w:b/>
          <w:bCs w:val="0"/>
          <w:sz w:val="22"/>
          <w:szCs w:val="22"/>
          <w:lang w:val="pt-BR"/>
        </w:rPr>
        <w:t>2024</w:t>
      </w:r>
      <w:r>
        <w:rPr>
          <w:rFonts w:ascii="Arial" w:hAnsi="Arial" w:cs="Arial"/>
          <w:b w:val="0"/>
          <w:bCs/>
          <w:sz w:val="22"/>
          <w:szCs w:val="22"/>
        </w:rPr>
        <w:t>, para</w:t>
      </w:r>
      <w:r>
        <w:rPr>
          <w:rFonts w:ascii="Arial" w:hAnsi="Arial" w:cs="Arial"/>
          <w:b/>
          <w:bCs w:val="0"/>
          <w:sz w:val="22"/>
          <w:szCs w:val="22"/>
        </w:rPr>
        <w:t xml:space="preserve"> </w:t>
      </w:r>
      <w:r>
        <w:rPr>
          <w:rFonts w:hint="default" w:ascii="Arial" w:hAnsi="Arial" w:cs="Arial"/>
          <w:b/>
          <w:bCs/>
          <w:sz w:val="22"/>
          <w:szCs w:val="22"/>
          <w:highlight w:val="none"/>
          <w:lang w:val="pt-BR"/>
        </w:rPr>
        <w:t xml:space="preserve">Contratação </w:t>
      </w:r>
      <w:r>
        <w:rPr>
          <w:rFonts w:hint="default" w:ascii="Arial" w:hAnsi="Arial" w:cs="Arial"/>
          <w:b/>
          <w:bCs/>
          <w:sz w:val="22"/>
          <w:szCs w:val="22"/>
        </w:rPr>
        <w:t xml:space="preserve">de empresa </w:t>
      </w:r>
      <w:r>
        <w:rPr>
          <w:rFonts w:hint="default" w:ascii="Arial" w:hAnsi="Arial" w:cs="Arial"/>
          <w:b/>
          <w:bCs/>
          <w:sz w:val="22"/>
          <w:szCs w:val="22"/>
          <w:lang w:val="pt-BR"/>
        </w:rPr>
        <w:t xml:space="preserve">especializada para locação de sistema de Data Center para sistemas críticos computacionais e de telecomunicações, contemplando serviços de manutenção preditiva, preventiva e corretiva, compreendendo a locação de container, com fornecimento de ambientes de alta disponibilidade para sistemas críticos computacionais e de telecomunicações, </w:t>
      </w:r>
      <w:r>
        <w:rPr>
          <w:rFonts w:hint="default" w:ascii="Arial" w:hAnsi="Arial" w:cs="Arial"/>
          <w:b/>
          <w:bCs/>
          <w:sz w:val="22"/>
          <w:szCs w:val="22"/>
          <w:highlight w:val="none"/>
          <w:lang w:val="pt-BR"/>
        </w:rPr>
        <w:t xml:space="preserve">para atender a demanda </w:t>
      </w:r>
      <w:r>
        <w:rPr>
          <w:rFonts w:hint="default" w:ascii="Arial" w:hAnsi="Arial" w:cs="Arial"/>
          <w:b/>
          <w:bCs/>
          <w:i w:val="0"/>
          <w:iCs w:val="0"/>
          <w:sz w:val="22"/>
          <w:szCs w:val="22"/>
          <w:u w:val="none"/>
          <w:lang w:val="pt-BR"/>
        </w:rPr>
        <w:t>da Secretaria Municipal de Administração e Modernização</w:t>
      </w:r>
      <w:r>
        <w:rPr>
          <w:rFonts w:ascii="Arial" w:hAnsi="Arial" w:cs="Arial"/>
          <w:b w:val="0"/>
          <w:bCs/>
          <w:sz w:val="22"/>
          <w:szCs w:val="22"/>
        </w:rPr>
        <w:t xml:space="preserve">, conforme descrito no </w:t>
      </w:r>
      <w:r>
        <w:rPr>
          <w:rFonts w:ascii="Arial" w:hAnsi="Arial" w:cs="Arial"/>
          <w:b w:val="0"/>
          <w:bCs/>
          <w:sz w:val="22"/>
          <w:szCs w:val="22"/>
          <w:u w:val="none"/>
        </w:rPr>
        <w:t>Anexo I</w:t>
      </w:r>
      <w:r>
        <w:rPr>
          <w:rFonts w:ascii="Arial" w:hAnsi="Arial" w:cs="Arial"/>
          <w:b w:val="0"/>
          <w:bCs/>
          <w:sz w:val="22"/>
          <w:szCs w:val="22"/>
        </w:rPr>
        <w:t xml:space="preserve"> – </w:t>
      </w:r>
      <w:r>
        <w:rPr>
          <w:rFonts w:ascii="Arial" w:hAnsi="Arial" w:cs="Arial"/>
          <w:sz w:val="22"/>
          <w:szCs w:val="22"/>
        </w:rPr>
        <w:t xml:space="preserve">Termo de Referência deste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nos termos da Lei Federal n.º 14.133, de 1º de abril de 2021, do </w:t>
      </w:r>
      <w:r>
        <w:rPr>
          <w:rFonts w:hint="default" w:ascii="Arial" w:hAnsi="Arial" w:cs="Arial"/>
          <w:sz w:val="22"/>
          <w:szCs w:val="22"/>
          <w:highlight w:val="none"/>
          <w:lang w:val="pt-BR"/>
        </w:rPr>
        <w:t>Decreto Municipal n.º 359/2023,</w:t>
      </w:r>
      <w:r>
        <w:rPr>
          <w:rFonts w:hint="default" w:ascii="Arial" w:hAnsi="Arial" w:cs="Arial"/>
          <w:sz w:val="22"/>
          <w:szCs w:val="22"/>
          <w:lang w:val="pt-BR"/>
        </w:rPr>
        <w:t xml:space="preserve"> demais legislações aplicáveis e, ainda, de acordo com as condições estabelecidas neste Edital e seus Anexos.</w:t>
      </w:r>
    </w:p>
    <w:p w14:paraId="6FB021AF">
      <w:pPr>
        <w:spacing w:line="360" w:lineRule="auto"/>
        <w:jc w:val="both"/>
        <w:rPr>
          <w:rFonts w:hint="default" w:ascii="Arial" w:hAnsi="Arial" w:cs="Arial"/>
          <w:sz w:val="22"/>
          <w:szCs w:val="22"/>
        </w:rPr>
      </w:pPr>
      <w:r>
        <w:rPr>
          <w:rFonts w:hint="default" w:ascii="Arial" w:hAnsi="Arial" w:cs="Arial"/>
          <w:sz w:val="22"/>
          <w:szCs w:val="22"/>
        </w:rPr>
        <w:t xml:space="preserve">Em caso de discordância e/ou contradição existente entre as especificações do objeto descritas na plataforma do </w:t>
      </w:r>
      <w:r>
        <w:rPr>
          <w:rFonts w:hint="default" w:ascii="Arial" w:hAnsi="Arial" w:cs="Arial"/>
          <w:b w:val="0"/>
          <w:bCs w:val="0"/>
          <w:color w:val="auto"/>
          <w:sz w:val="22"/>
          <w:szCs w:val="22"/>
        </w:rPr>
        <w:t>Portal de Compras Públicas</w:t>
      </w:r>
      <w:r>
        <w:rPr>
          <w:rFonts w:hint="default" w:ascii="Arial" w:hAnsi="Arial" w:cs="Arial"/>
          <w:sz w:val="22"/>
          <w:szCs w:val="22"/>
        </w:rPr>
        <w:t xml:space="preserve"> e as especificações técnicas constantes neste Edital e seus </w:t>
      </w:r>
      <w:r>
        <w:rPr>
          <w:rFonts w:hint="default" w:ascii="Arial" w:hAnsi="Arial" w:cs="Arial"/>
          <w:sz w:val="22"/>
          <w:szCs w:val="22"/>
          <w:lang w:val="pt-BR"/>
        </w:rPr>
        <w:t>A</w:t>
      </w:r>
      <w:r>
        <w:rPr>
          <w:rFonts w:hint="default" w:ascii="Arial" w:hAnsi="Arial" w:cs="Arial"/>
          <w:sz w:val="22"/>
          <w:szCs w:val="22"/>
        </w:rPr>
        <w:t>nexos, prevalecerão as previstas neste instrumento convocatório, não sendo aceit</w:t>
      </w:r>
      <w:r>
        <w:rPr>
          <w:rFonts w:hint="default" w:ascii="Arial" w:hAnsi="Arial" w:cs="Arial"/>
          <w:sz w:val="22"/>
          <w:szCs w:val="22"/>
          <w:lang w:val="pt-BR"/>
        </w:rPr>
        <w:t>as</w:t>
      </w:r>
      <w:r>
        <w:rPr>
          <w:rFonts w:hint="default" w:ascii="Arial" w:hAnsi="Arial" w:cs="Arial"/>
          <w:sz w:val="22"/>
          <w:szCs w:val="22"/>
        </w:rPr>
        <w:t xml:space="preserve"> alegações de suposta indução ao erro, razão pela qual a licitante deverá se atentar unicamente </w:t>
      </w:r>
      <w:r>
        <w:rPr>
          <w:rFonts w:hint="default" w:ascii="Arial" w:hAnsi="Arial" w:cs="Arial"/>
          <w:sz w:val="22"/>
          <w:szCs w:val="22"/>
          <w:lang w:val="pt-BR"/>
        </w:rPr>
        <w:t>à</w:t>
      </w:r>
      <w:r>
        <w:rPr>
          <w:rFonts w:hint="default" w:ascii="Arial" w:hAnsi="Arial" w:cs="Arial"/>
          <w:sz w:val="22"/>
          <w:szCs w:val="22"/>
        </w:rPr>
        <w:t>s descrições do objeto contidas neste Edital e Termo de Referência.</w:t>
      </w:r>
    </w:p>
    <w:p w14:paraId="2A89B62A">
      <w:pPr>
        <w:spacing w:line="240" w:lineRule="auto"/>
        <w:jc w:val="both"/>
        <w:rPr>
          <w:rFonts w:hint="default" w:ascii="Arial" w:hAnsi="Arial" w:cs="Arial"/>
          <w:sz w:val="22"/>
          <w:szCs w:val="22"/>
        </w:rPr>
      </w:pPr>
    </w:p>
    <w:p w14:paraId="671FE6EC">
      <w:pPr>
        <w:spacing w:line="360" w:lineRule="auto"/>
        <w:jc w:val="both"/>
        <w:rPr>
          <w:rFonts w:hint="default" w:ascii="Arial" w:hAnsi="Arial" w:cs="Arial"/>
          <w:sz w:val="22"/>
          <w:szCs w:val="22"/>
          <w:highlight w:val="none"/>
          <w:lang w:val="pt-BR"/>
        </w:rPr>
      </w:pPr>
      <w:r>
        <w:rPr>
          <w:rFonts w:hint="default" w:ascii="Arial" w:hAnsi="Arial" w:cs="Arial"/>
          <w:sz w:val="22"/>
          <w:szCs w:val="22"/>
          <w:lang w:val="pt-BR"/>
        </w:rPr>
        <w:t xml:space="preserve">As licitantes deverão utilizar-se dos Modelos de Declarações Conjuntas disponíveis no Anexo IX do Edital, uma vez que eles contemplam todas as exigências da Lei Federal n.º 14.133/2021, da Lei Complementar 123/2006 e do </w:t>
      </w:r>
      <w:r>
        <w:rPr>
          <w:rFonts w:hint="default" w:ascii="Arial" w:hAnsi="Arial" w:cs="Arial"/>
          <w:sz w:val="22"/>
          <w:szCs w:val="22"/>
          <w:highlight w:val="none"/>
          <w:lang w:val="pt-BR"/>
        </w:rPr>
        <w:t>Decreto Municipal n.º 359/2023. Caso a licitante opte por enviar suas próprias declarações e, por acaso, estiver faltando alguma das exigências contidas nos modelos do Anexo IX, a licitante poderá ser inabilitada e/ou desclassificada.</w:t>
      </w:r>
    </w:p>
    <w:p w14:paraId="6EFD3C08">
      <w:pPr>
        <w:spacing w:line="240" w:lineRule="auto"/>
        <w:jc w:val="both"/>
        <w:rPr>
          <w:rFonts w:hint="default" w:ascii="Arial" w:hAnsi="Arial" w:cs="Arial"/>
          <w:sz w:val="22"/>
          <w:szCs w:val="22"/>
          <w:highlight w:val="none"/>
          <w:lang w:val="pt-BR"/>
        </w:rPr>
      </w:pPr>
    </w:p>
    <w:p w14:paraId="5955D80B">
      <w:pPr>
        <w:spacing w:line="360" w:lineRule="auto"/>
        <w:jc w:val="both"/>
        <w:rPr>
          <w:rFonts w:hint="default" w:ascii="Arial" w:hAnsi="Arial" w:cs="Arial"/>
          <w:sz w:val="22"/>
          <w:szCs w:val="22"/>
          <w:highlight w:val="none"/>
          <w:lang w:val="pt-BR"/>
        </w:rPr>
      </w:pPr>
      <w:r>
        <w:rPr>
          <w:rFonts w:hint="default" w:ascii="Arial" w:hAnsi="Arial" w:cs="Arial"/>
          <w:sz w:val="22"/>
          <w:szCs w:val="22"/>
          <w:highlight w:val="none"/>
          <w:lang w:val="pt-BR"/>
        </w:rPr>
        <w:t>As licitantes também deverão utilizar-se do Modelo de Proposta Readequada disposto no Anexo II do Edital, pois ele contém todas as informações necessárias para cadastramento.</w:t>
      </w:r>
    </w:p>
    <w:p w14:paraId="6A9213DE">
      <w:pPr>
        <w:pStyle w:val="2"/>
        <w:widowControl w:val="0"/>
        <w:numPr>
          <w:ilvl w:val="0"/>
          <w:numId w:val="4"/>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adjustRightInd w:val="0"/>
        <w:spacing w:line="360" w:lineRule="atLeast"/>
        <w:ind w:left="0" w:firstLine="0"/>
        <w:textAlignment w:val="baseline"/>
        <w:rPr>
          <w:rFonts w:cs="Arial"/>
          <w:b/>
          <w:color w:val="auto"/>
          <w:sz w:val="22"/>
          <w:szCs w:val="22"/>
        </w:rPr>
      </w:pPr>
      <w:r>
        <w:rPr>
          <w:rFonts w:cs="Arial"/>
          <w:b/>
          <w:color w:val="auto"/>
          <w:sz w:val="22"/>
          <w:szCs w:val="22"/>
        </w:rPr>
        <w:t>DO OBJETO</w:t>
      </w:r>
    </w:p>
    <w:p w14:paraId="777FD459">
      <w:pPr>
        <w:pStyle w:val="17"/>
        <w:numPr>
          <w:ilvl w:val="1"/>
          <w:numId w:val="5"/>
        </w:numPr>
        <w:tabs>
          <w:tab w:val="left" w:pos="426"/>
        </w:tabs>
        <w:spacing w:before="240" w:after="240" w:line="360" w:lineRule="auto"/>
        <w:ind w:left="0" w:firstLine="0"/>
        <w:rPr>
          <w:rFonts w:ascii="Arial" w:hAnsi="Arial" w:cs="Arial"/>
          <w:b/>
          <w:bCs/>
          <w:sz w:val="22"/>
          <w:szCs w:val="22"/>
        </w:rPr>
      </w:pPr>
      <w:r>
        <w:rPr>
          <w:rFonts w:ascii="Arial" w:hAnsi="Arial" w:cs="Arial"/>
          <w:sz w:val="22"/>
          <w:szCs w:val="22"/>
        </w:rPr>
        <w:t>Constitui objeto d</w:t>
      </w:r>
      <w:r>
        <w:rPr>
          <w:rFonts w:ascii="Arial" w:hAnsi="Arial" w:cs="Arial"/>
          <w:b w:val="0"/>
          <w:bCs w:val="0"/>
          <w:sz w:val="22"/>
          <w:szCs w:val="22"/>
        </w:rPr>
        <w:t xml:space="preserve">o presente </w:t>
      </w:r>
      <w:r>
        <w:rPr>
          <w:rFonts w:hint="default" w:ascii="Arial" w:hAnsi="Arial" w:cs="Arial"/>
          <w:b w:val="0"/>
          <w:bCs w:val="0"/>
          <w:sz w:val="22"/>
          <w:szCs w:val="22"/>
          <w:lang w:val="pt-BR"/>
        </w:rPr>
        <w:t>E</w:t>
      </w:r>
      <w:r>
        <w:rPr>
          <w:rFonts w:ascii="Arial" w:hAnsi="Arial" w:cs="Arial"/>
          <w:b w:val="0"/>
          <w:bCs w:val="0"/>
          <w:sz w:val="22"/>
          <w:szCs w:val="22"/>
        </w:rPr>
        <w:t>dital a</w:t>
      </w:r>
      <w:r>
        <w:rPr>
          <w:rFonts w:ascii="Arial" w:hAnsi="Arial" w:cs="Arial"/>
          <w:b/>
          <w:bCs/>
          <w:sz w:val="22"/>
          <w:szCs w:val="22"/>
        </w:rPr>
        <w:t xml:space="preserve"> </w:t>
      </w:r>
      <w:r>
        <w:rPr>
          <w:rFonts w:hint="default" w:ascii="Arial" w:hAnsi="Arial" w:cs="Arial"/>
          <w:b/>
          <w:bCs/>
          <w:sz w:val="22"/>
          <w:szCs w:val="22"/>
          <w:highlight w:val="none"/>
          <w:lang w:val="pt-BR"/>
        </w:rPr>
        <w:t xml:space="preserve">Contratação </w:t>
      </w:r>
      <w:r>
        <w:rPr>
          <w:rFonts w:hint="default" w:ascii="Arial" w:hAnsi="Arial" w:cs="Arial"/>
          <w:b/>
          <w:bCs/>
          <w:sz w:val="22"/>
          <w:szCs w:val="22"/>
        </w:rPr>
        <w:t xml:space="preserve">de empresa </w:t>
      </w:r>
      <w:r>
        <w:rPr>
          <w:rFonts w:hint="default" w:ascii="Arial" w:hAnsi="Arial" w:cs="Arial"/>
          <w:b/>
          <w:bCs/>
          <w:sz w:val="22"/>
          <w:szCs w:val="22"/>
          <w:lang w:val="pt-BR"/>
        </w:rPr>
        <w:t>especializada para locação de sistema de Data Center para sistemas críticos computacionais e de telecomunicações, contemplando serviços de manutenção preditiva, preventiva e corretiva, compreendendo a locação de container, com fornecimento de ambientes de alta disponibilidade para sistemas críticos computacionais e de telecomunicações, conforme condições estabelecidas no Anexo I - Termo de Referência</w:t>
      </w:r>
      <w:r>
        <w:rPr>
          <w:rFonts w:hint="default" w:ascii="Arial" w:hAnsi="Arial" w:cs="Arial"/>
          <w:b/>
          <w:bCs/>
          <w:sz w:val="22"/>
          <w:szCs w:val="22"/>
          <w:highlight w:val="none"/>
          <w:lang w:val="pt-BR"/>
        </w:rPr>
        <w:t>, de acordo com a</w:t>
      </w:r>
      <w:bookmarkStart w:id="74" w:name="_GoBack"/>
      <w:bookmarkEnd w:id="74"/>
      <w:r>
        <w:rPr>
          <w:rFonts w:hint="default" w:ascii="Arial" w:hAnsi="Arial" w:cs="Arial"/>
          <w:b/>
          <w:bCs/>
          <w:sz w:val="22"/>
          <w:szCs w:val="22"/>
          <w:highlight w:val="none"/>
          <w:lang w:val="pt-BR"/>
        </w:rPr>
        <w:t xml:space="preserve"> </w:t>
      </w:r>
      <w:r>
        <w:rPr>
          <w:rFonts w:hint="default" w:ascii="Arial" w:hAnsi="Arial" w:cs="Arial"/>
          <w:b/>
          <w:bCs/>
          <w:i w:val="0"/>
          <w:iCs w:val="0"/>
          <w:sz w:val="22"/>
          <w:szCs w:val="22"/>
          <w:u w:val="none"/>
          <w:lang w:val="pt-BR"/>
        </w:rPr>
        <w:t>solicitação da Secretaria Municipal de Administração e Modernização.</w:t>
      </w:r>
    </w:p>
    <w:p w14:paraId="1FF45FAC">
      <w:pPr>
        <w:pStyle w:val="152"/>
        <w:keepNext w:val="0"/>
        <w:widowControl/>
        <w:numPr>
          <w:ilvl w:val="1"/>
          <w:numId w:val="5"/>
        </w:numPr>
        <w:shd w:val="clear" w:color="auto" w:fill="auto"/>
        <w:tabs>
          <w:tab w:val="left" w:pos="480"/>
        </w:tabs>
        <w:spacing w:before="0" w:after="0" w:line="360" w:lineRule="auto"/>
        <w:ind w:left="0" w:leftChars="0" w:firstLine="0" w:firstLineChars="0"/>
        <w:rPr>
          <w:rFonts w:hint="default" w:ascii="Arial" w:hAnsi="Arial" w:cs="Arial"/>
          <w:sz w:val="22"/>
          <w:szCs w:val="22"/>
        </w:rPr>
      </w:pPr>
      <w:r>
        <w:rPr>
          <w:rFonts w:hint="default" w:ascii="Arial" w:hAnsi="Arial" w:cs="Arial"/>
          <w:sz w:val="22"/>
          <w:szCs w:val="22"/>
        </w:rPr>
        <w:t xml:space="preserve">Fica facultada à licitante participar de quantos </w:t>
      </w:r>
      <w:r>
        <w:rPr>
          <w:rFonts w:hint="default" w:ascii="Arial" w:hAnsi="Arial" w:cs="Arial"/>
          <w:color w:val="auto"/>
          <w:sz w:val="22"/>
          <w:szCs w:val="22"/>
        </w:rPr>
        <w:t>itens</w:t>
      </w:r>
      <w:r>
        <w:rPr>
          <w:rFonts w:hint="default" w:ascii="Arial" w:hAnsi="Arial" w:cs="Arial"/>
          <w:sz w:val="22"/>
          <w:szCs w:val="22"/>
        </w:rPr>
        <w:t xml:space="preserve"> forem de seu interesse. Entretanto, optando-se por participar de um item, deverá enviar proposta para a totalidade solicitada.</w:t>
      </w:r>
    </w:p>
    <w:p w14:paraId="4BC76BB7">
      <w:pPr>
        <w:pStyle w:val="152"/>
        <w:keepNext w:val="0"/>
        <w:widowControl/>
        <w:numPr>
          <w:ilvl w:val="0"/>
          <w:numId w:val="0"/>
        </w:numPr>
        <w:shd w:val="clear" w:color="auto" w:fill="auto"/>
        <w:spacing w:before="0" w:after="0" w:line="240" w:lineRule="auto"/>
        <w:ind w:leftChars="0"/>
        <w:rPr>
          <w:rFonts w:hint="default" w:ascii="Arial" w:hAnsi="Arial" w:cs="Arial"/>
          <w:sz w:val="22"/>
          <w:szCs w:val="22"/>
        </w:rPr>
      </w:pPr>
    </w:p>
    <w:p w14:paraId="44553BF0">
      <w:pPr>
        <w:pStyle w:val="152"/>
        <w:keepNext w:val="0"/>
        <w:widowControl/>
        <w:shd w:val="clear" w:color="auto" w:fill="auto"/>
        <w:spacing w:before="0" w:after="0" w:line="360" w:lineRule="auto"/>
        <w:ind w:firstLine="0"/>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w:t>
      </w:r>
      <w:r>
        <w:rPr>
          <w:rFonts w:hint="default" w:ascii="Arial" w:hAnsi="Arial" w:cs="Arial"/>
          <w:sz w:val="22"/>
          <w:szCs w:val="22"/>
        </w:rPr>
        <w:t xml:space="preserve"> A licitante deverá ficar atenta às especificações dos itens, especialmente quando indicar marcas como referência de qualidade, necessidade de padronização, necessidade de manter a compatibilidade com plataformas padrões ou única capaz de atender, assim como eventuais vedações de marcas ou produtos que não atendam as expectativas da Administração, conforme art. 42 da Lei</w:t>
      </w:r>
      <w:r>
        <w:rPr>
          <w:rFonts w:hint="default" w:ascii="Arial" w:hAnsi="Arial" w:cs="Arial"/>
          <w:sz w:val="22"/>
          <w:szCs w:val="22"/>
          <w:lang w:val="pt-BR"/>
        </w:rPr>
        <w:t xml:space="preserve"> Federal n.º</w:t>
      </w:r>
      <w:r>
        <w:rPr>
          <w:rFonts w:hint="default" w:ascii="Arial" w:hAnsi="Arial" w:cs="Arial"/>
          <w:sz w:val="22"/>
          <w:szCs w:val="22"/>
        </w:rPr>
        <w:t xml:space="preserve"> 14.133/2021.</w:t>
      </w:r>
    </w:p>
    <w:p w14:paraId="582F9D74">
      <w:pPr>
        <w:pStyle w:val="17"/>
        <w:numPr>
          <w:ilvl w:val="0"/>
          <w:numId w:val="4"/>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142" w:hanging="142"/>
        <w:jc w:val="center"/>
        <w:rPr>
          <w:rFonts w:ascii="Arial" w:hAnsi="Arial" w:cs="Arial"/>
          <w:b/>
          <w:sz w:val="22"/>
          <w:szCs w:val="22"/>
        </w:rPr>
      </w:pPr>
      <w:r>
        <w:rPr>
          <w:rFonts w:ascii="Arial" w:hAnsi="Arial" w:cs="Arial"/>
          <w:b/>
          <w:sz w:val="22"/>
          <w:szCs w:val="22"/>
        </w:rPr>
        <w:t>DO ENDEREÇO, DATA E HORÁRIO D</w:t>
      </w:r>
      <w:r>
        <w:rPr>
          <w:rFonts w:hint="default" w:ascii="Arial" w:hAnsi="Arial" w:cs="Arial"/>
          <w:b/>
          <w:sz w:val="22"/>
          <w:szCs w:val="22"/>
          <w:lang w:val="pt-BR"/>
        </w:rPr>
        <w:t>A</w:t>
      </w:r>
      <w:r>
        <w:rPr>
          <w:rFonts w:ascii="Arial" w:hAnsi="Arial" w:cs="Arial"/>
          <w:b/>
          <w:sz w:val="22"/>
          <w:szCs w:val="22"/>
        </w:rPr>
        <w:t xml:space="preserve"> </w:t>
      </w:r>
      <w:r>
        <w:rPr>
          <w:rFonts w:hint="default" w:ascii="Arial" w:hAnsi="Arial" w:cs="Arial"/>
          <w:b/>
          <w:sz w:val="22"/>
          <w:szCs w:val="22"/>
          <w:lang w:val="pt-BR"/>
        </w:rPr>
        <w:t>SESSÃO</w:t>
      </w:r>
    </w:p>
    <w:p w14:paraId="4F58A0B6">
      <w:pPr>
        <w:widowControl w:val="0"/>
        <w:numPr>
          <w:ilvl w:val="1"/>
          <w:numId w:val="6"/>
        </w:numPr>
        <w:tabs>
          <w:tab w:val="left" w:pos="142"/>
          <w:tab w:val="left" w:pos="426"/>
        </w:tabs>
        <w:spacing w:before="240" w:after="240" w:line="360" w:lineRule="auto"/>
        <w:ind w:left="0" w:firstLine="0"/>
        <w:jc w:val="both"/>
        <w:rPr>
          <w:rFonts w:ascii="Arial" w:hAnsi="Arial" w:cs="Arial"/>
          <w:bCs/>
          <w:iCs/>
          <w:snapToGrid w:val="0"/>
          <w:color w:val="000000"/>
          <w:sz w:val="22"/>
          <w:szCs w:val="22"/>
        </w:rPr>
      </w:pPr>
      <w:r>
        <w:rPr>
          <w:rFonts w:ascii="Arial" w:hAnsi="Arial" w:cs="Arial"/>
          <w:color w:val="000000"/>
          <w:sz w:val="22"/>
          <w:szCs w:val="22"/>
        </w:rPr>
        <w:t xml:space="preserve">O início da sessão pública será às </w:t>
      </w:r>
      <w:r>
        <w:rPr>
          <w:rFonts w:hint="default" w:ascii="Arial" w:hAnsi="Arial" w:cs="Arial"/>
          <w:b/>
          <w:bCs/>
          <w:color w:val="000000"/>
          <w:sz w:val="22"/>
          <w:szCs w:val="22"/>
          <w:lang w:val="pt-BR"/>
        </w:rPr>
        <w:t>09</w:t>
      </w:r>
      <w:r>
        <w:rPr>
          <w:rFonts w:ascii="Arial" w:hAnsi="Arial" w:cs="Arial"/>
          <w:b/>
          <w:bCs/>
          <w:color w:val="000000"/>
          <w:sz w:val="22"/>
          <w:szCs w:val="22"/>
        </w:rPr>
        <w:t>h</w:t>
      </w:r>
      <w:r>
        <w:rPr>
          <w:rFonts w:hint="default" w:ascii="Arial" w:hAnsi="Arial" w:cs="Arial"/>
          <w:b/>
          <w:bCs/>
          <w:color w:val="000000"/>
          <w:sz w:val="22"/>
          <w:szCs w:val="22"/>
          <w:lang w:val="pt-BR"/>
        </w:rPr>
        <w:t>00</w:t>
      </w:r>
      <w:r>
        <w:rPr>
          <w:rFonts w:ascii="Arial" w:hAnsi="Arial" w:cs="Arial"/>
          <w:b/>
          <w:bCs/>
          <w:color w:val="000000"/>
          <w:sz w:val="22"/>
          <w:szCs w:val="22"/>
        </w:rPr>
        <w:t>min</w:t>
      </w:r>
      <w:r>
        <w:rPr>
          <w:rFonts w:ascii="Arial" w:hAnsi="Arial" w:cs="Arial"/>
          <w:b w:val="0"/>
          <w:bCs/>
          <w:color w:val="000000"/>
          <w:sz w:val="22"/>
          <w:szCs w:val="22"/>
        </w:rPr>
        <w:t xml:space="preserve"> (horário de Brasília</w:t>
      </w:r>
      <w:r>
        <w:rPr>
          <w:rFonts w:hint="default" w:ascii="Arial" w:hAnsi="Arial" w:cs="Arial"/>
          <w:b w:val="0"/>
          <w:bCs/>
          <w:color w:val="000000"/>
          <w:sz w:val="22"/>
          <w:szCs w:val="22"/>
          <w:lang w:val="pt-BR"/>
        </w:rPr>
        <w:t>/DF</w:t>
      </w:r>
      <w:r>
        <w:rPr>
          <w:rFonts w:ascii="Arial" w:hAnsi="Arial" w:cs="Arial"/>
          <w:b w:val="0"/>
          <w:bCs/>
          <w:color w:val="000000"/>
          <w:sz w:val="22"/>
          <w:szCs w:val="22"/>
        </w:rPr>
        <w:t xml:space="preserve">) do dia </w:t>
      </w:r>
      <w:r>
        <w:rPr>
          <w:rFonts w:hint="default" w:ascii="Arial" w:hAnsi="Arial" w:cs="Arial"/>
          <w:b/>
          <w:bCs w:val="0"/>
          <w:color w:val="000000"/>
          <w:sz w:val="22"/>
          <w:szCs w:val="22"/>
          <w:lang w:val="pt-BR"/>
        </w:rPr>
        <w:t>18</w:t>
      </w:r>
      <w:r>
        <w:rPr>
          <w:rFonts w:ascii="Arial" w:hAnsi="Arial" w:cs="Arial"/>
          <w:b/>
          <w:bCs w:val="0"/>
          <w:color w:val="000000"/>
          <w:sz w:val="22"/>
          <w:szCs w:val="22"/>
        </w:rPr>
        <w:t xml:space="preserve"> de </w:t>
      </w:r>
      <w:r>
        <w:rPr>
          <w:rFonts w:hint="default" w:ascii="Arial" w:hAnsi="Arial" w:cs="Arial"/>
          <w:b/>
          <w:bCs w:val="0"/>
          <w:color w:val="000000"/>
          <w:sz w:val="22"/>
          <w:szCs w:val="22"/>
          <w:lang w:val="pt-BR"/>
        </w:rPr>
        <w:t>setembro</w:t>
      </w:r>
      <w:r>
        <w:rPr>
          <w:rFonts w:ascii="Arial" w:hAnsi="Arial" w:cs="Arial"/>
          <w:b/>
          <w:bCs w:val="0"/>
          <w:color w:val="000000"/>
          <w:sz w:val="22"/>
          <w:szCs w:val="22"/>
        </w:rPr>
        <w:t xml:space="preserve"> de </w:t>
      </w:r>
      <w:r>
        <w:rPr>
          <w:rFonts w:ascii="Arial" w:hAnsi="Arial" w:cs="Arial"/>
          <w:b/>
          <w:bCs w:val="0"/>
          <w:color w:val="000000"/>
          <w:sz w:val="22"/>
          <w:szCs w:val="22"/>
          <w:lang w:val="pt-BR"/>
        </w:rPr>
        <w:t>2024</w:t>
      </w:r>
      <w:r>
        <w:rPr>
          <w:rFonts w:ascii="Arial" w:hAnsi="Arial" w:cs="Arial"/>
          <w:b w:val="0"/>
          <w:bCs/>
          <w:snapToGrid w:val="0"/>
          <w:color w:val="000000"/>
          <w:sz w:val="22"/>
          <w:szCs w:val="22"/>
        </w:rPr>
        <w:t>, a</w:t>
      </w:r>
      <w:r>
        <w:rPr>
          <w:rFonts w:ascii="Arial" w:hAnsi="Arial" w:cs="Arial"/>
          <w:snapToGrid w:val="0"/>
          <w:color w:val="000000"/>
          <w:sz w:val="22"/>
          <w:szCs w:val="22"/>
        </w:rPr>
        <w:t xml:space="preserve">través do endereço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5"/>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bCs/>
          <w:iCs/>
          <w:snapToGrid w:val="0"/>
          <w:color w:val="000000"/>
          <w:sz w:val="22"/>
          <w:szCs w:val="22"/>
        </w:rPr>
        <w:t>.</w:t>
      </w:r>
    </w:p>
    <w:p w14:paraId="11C8582D">
      <w:pPr>
        <w:pStyle w:val="2"/>
        <w:numPr>
          <w:ilvl w:val="0"/>
          <w:numId w:val="4"/>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iCs/>
          <w:sz w:val="22"/>
          <w:szCs w:val="22"/>
        </w:rPr>
      </w:pPr>
      <w:r>
        <w:rPr>
          <w:rFonts w:cs="Arial"/>
          <w:b/>
          <w:bCs/>
          <w:iCs/>
          <w:color w:val="auto"/>
          <w:sz w:val="22"/>
          <w:szCs w:val="22"/>
        </w:rPr>
        <w:t>DAS CONDIÇÕES DE PARTICIPAÇÃO</w:t>
      </w:r>
    </w:p>
    <w:p w14:paraId="163C9D87">
      <w:pPr>
        <w:widowControl w:val="0"/>
        <w:tabs>
          <w:tab w:val="left" w:pos="2410"/>
        </w:tabs>
        <w:spacing w:before="240" w:after="240" w:line="360" w:lineRule="auto"/>
        <w:jc w:val="both"/>
        <w:rPr>
          <w:rFonts w:ascii="Arial" w:hAnsi="Arial" w:cs="Arial"/>
          <w:color w:val="000000"/>
          <w:sz w:val="22"/>
          <w:szCs w:val="22"/>
        </w:rPr>
      </w:pPr>
      <w:r>
        <w:rPr>
          <w:rFonts w:ascii="Arial" w:hAnsi="Arial" w:cs="Arial"/>
          <w:b/>
          <w:sz w:val="22"/>
          <w:szCs w:val="22"/>
        </w:rPr>
        <w:t>3.1.</w:t>
      </w:r>
      <w:r>
        <w:rPr>
          <w:rFonts w:ascii="Arial" w:hAnsi="Arial" w:cs="Arial"/>
          <w:sz w:val="22"/>
          <w:szCs w:val="22"/>
        </w:rPr>
        <w:t xml:space="preserve"> </w:t>
      </w:r>
      <w:r>
        <w:rPr>
          <w:rFonts w:ascii="Arial" w:hAnsi="Arial" w:cs="Arial"/>
          <w:color w:val="000000"/>
          <w:sz w:val="22"/>
          <w:szCs w:val="22"/>
        </w:rPr>
        <w:t xml:space="preserve">Poderão participar deste </w:t>
      </w:r>
      <w:r>
        <w:rPr>
          <w:rFonts w:hint="default" w:ascii="Arial" w:hAnsi="Arial" w:cs="Arial"/>
          <w:color w:val="000000"/>
          <w:sz w:val="22"/>
          <w:szCs w:val="22"/>
          <w:lang w:val="pt-BR"/>
        </w:rPr>
        <w:t>P</w:t>
      </w:r>
      <w:r>
        <w:rPr>
          <w:rFonts w:ascii="Arial" w:hAnsi="Arial" w:cs="Arial"/>
          <w:color w:val="000000"/>
          <w:sz w:val="22"/>
          <w:szCs w:val="22"/>
        </w:rPr>
        <w:t>regão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 constantes deste </w:t>
      </w:r>
      <w:r>
        <w:rPr>
          <w:rFonts w:hint="default" w:ascii="Arial" w:hAnsi="Arial" w:cs="Arial"/>
          <w:color w:val="000000"/>
          <w:sz w:val="22"/>
          <w:szCs w:val="22"/>
          <w:lang w:val="pt-BR"/>
        </w:rPr>
        <w:t>E</w:t>
      </w:r>
      <w:r>
        <w:rPr>
          <w:rFonts w:ascii="Arial" w:hAnsi="Arial" w:cs="Arial"/>
          <w:color w:val="000000"/>
          <w:sz w:val="22"/>
          <w:szCs w:val="22"/>
        </w:rPr>
        <w:t xml:space="preserve">dital e seus </w:t>
      </w:r>
      <w:r>
        <w:rPr>
          <w:rFonts w:hint="default" w:ascii="Arial" w:hAnsi="Arial" w:cs="Arial"/>
          <w:color w:val="000000"/>
          <w:sz w:val="22"/>
          <w:szCs w:val="22"/>
          <w:lang w:val="pt-BR"/>
        </w:rPr>
        <w:t>A</w:t>
      </w:r>
      <w:r>
        <w:rPr>
          <w:rFonts w:ascii="Arial" w:hAnsi="Arial" w:cs="Arial"/>
          <w:color w:val="000000"/>
          <w:sz w:val="22"/>
          <w:szCs w:val="22"/>
        </w:rPr>
        <w:t>nexos.</w:t>
      </w:r>
    </w:p>
    <w:p w14:paraId="6190C293">
      <w:pPr>
        <w:pStyle w:val="26"/>
        <w:widowControl w:val="0"/>
        <w:numPr>
          <w:ilvl w:val="0"/>
          <w:numId w:val="0"/>
        </w:numPr>
        <w:tabs>
          <w:tab w:val="left" w:pos="284"/>
          <w:tab w:val="left" w:pos="426"/>
        </w:tabs>
        <w:adjustRightInd w:val="0"/>
        <w:spacing w:before="240" w:after="240" w:line="360" w:lineRule="auto"/>
        <w:ind w:left="0" w:leftChars="0" w:firstLine="481" w:firstLineChars="218"/>
        <w:textAlignment w:val="baseline"/>
        <w:rPr>
          <w:rFonts w:ascii="Arial" w:hAnsi="Arial" w:cs="Arial"/>
          <w:sz w:val="22"/>
          <w:szCs w:val="22"/>
          <w:u w:val="none"/>
        </w:rPr>
      </w:pPr>
      <w:r>
        <w:rPr>
          <w:rFonts w:hint="default" w:ascii="Arial" w:hAnsi="Arial" w:cs="Arial"/>
          <w:b/>
          <w:bCs/>
          <w:sz w:val="22"/>
          <w:szCs w:val="22"/>
          <w:u w:val="none"/>
          <w:lang w:val="pt-BR"/>
        </w:rPr>
        <w:t xml:space="preserve">3.1.1. </w:t>
      </w:r>
      <w:r>
        <w:rPr>
          <w:rFonts w:ascii="Arial" w:hAnsi="Arial" w:cs="Arial"/>
          <w:sz w:val="22"/>
          <w:szCs w:val="22"/>
          <w:u w:val="none"/>
        </w:rPr>
        <w:t>Em relação ao</w:t>
      </w:r>
      <w:r>
        <w:rPr>
          <w:rFonts w:hint="default" w:ascii="Arial" w:hAnsi="Arial" w:cs="Arial"/>
          <w:sz w:val="22"/>
          <w:szCs w:val="22"/>
          <w:u w:val="none"/>
          <w:lang w:val="pt-BR"/>
        </w:rPr>
        <w:t xml:space="preserve"> grupo de itens 01, a participação será</w:t>
      </w:r>
      <w:r>
        <w:rPr>
          <w:rFonts w:ascii="Arial" w:hAnsi="Arial" w:cs="Arial"/>
          <w:sz w:val="22"/>
          <w:szCs w:val="22"/>
          <w:u w:val="none"/>
        </w:rPr>
        <w:t xml:space="preserve"> destinad</w:t>
      </w:r>
      <w:r>
        <w:rPr>
          <w:rFonts w:hint="default" w:ascii="Arial" w:hAnsi="Arial" w:cs="Arial"/>
          <w:sz w:val="22"/>
          <w:szCs w:val="22"/>
          <w:u w:val="none"/>
          <w:lang w:val="pt-BR"/>
        </w:rPr>
        <w:t>a</w:t>
      </w:r>
      <w:r>
        <w:rPr>
          <w:rFonts w:ascii="Arial" w:hAnsi="Arial" w:cs="Arial"/>
          <w:sz w:val="22"/>
          <w:szCs w:val="22"/>
          <w:u w:val="none"/>
        </w:rPr>
        <w:t xml:space="preserve"> a todas as empresas, incluindo </w:t>
      </w:r>
      <w:r>
        <w:rPr>
          <w:rFonts w:hint="default" w:ascii="Arial" w:hAnsi="Arial" w:cs="Arial"/>
          <w:sz w:val="22"/>
          <w:szCs w:val="22"/>
          <w:u w:val="none"/>
          <w:lang w:val="pt-BR"/>
        </w:rPr>
        <w:t>M</w:t>
      </w:r>
      <w:r>
        <w:rPr>
          <w:rFonts w:ascii="Arial" w:hAnsi="Arial" w:cs="Arial"/>
          <w:sz w:val="22"/>
          <w:szCs w:val="22"/>
          <w:u w:val="none"/>
        </w:rPr>
        <w:t xml:space="preserve">icroempresas e </w:t>
      </w:r>
      <w:r>
        <w:rPr>
          <w:rFonts w:hint="default" w:ascii="Arial" w:hAnsi="Arial" w:cs="Arial"/>
          <w:sz w:val="22"/>
          <w:szCs w:val="22"/>
          <w:u w:val="none"/>
          <w:lang w:val="pt-BR"/>
        </w:rPr>
        <w:t>E</w:t>
      </w:r>
      <w:r>
        <w:rPr>
          <w:rFonts w:ascii="Arial" w:hAnsi="Arial" w:cs="Arial"/>
          <w:sz w:val="22"/>
          <w:szCs w:val="22"/>
          <w:u w:val="none"/>
        </w:rPr>
        <w:t xml:space="preserve">mpresas de </w:t>
      </w:r>
      <w:r>
        <w:rPr>
          <w:rFonts w:hint="default" w:ascii="Arial" w:hAnsi="Arial" w:cs="Arial"/>
          <w:sz w:val="22"/>
          <w:szCs w:val="22"/>
          <w:u w:val="none"/>
          <w:lang w:val="pt-BR"/>
        </w:rPr>
        <w:t>P</w:t>
      </w:r>
      <w:r>
        <w:rPr>
          <w:rFonts w:ascii="Arial" w:hAnsi="Arial" w:cs="Arial"/>
          <w:sz w:val="22"/>
          <w:szCs w:val="22"/>
          <w:u w:val="none"/>
        </w:rPr>
        <w:t xml:space="preserve">equeno </w:t>
      </w:r>
      <w:r>
        <w:rPr>
          <w:rFonts w:hint="default" w:ascii="Arial" w:hAnsi="Arial" w:cs="Arial"/>
          <w:sz w:val="22"/>
          <w:szCs w:val="22"/>
          <w:u w:val="none"/>
          <w:lang w:val="pt-BR"/>
        </w:rPr>
        <w:t>P</w:t>
      </w:r>
      <w:r>
        <w:rPr>
          <w:rFonts w:ascii="Arial" w:hAnsi="Arial" w:cs="Arial"/>
          <w:sz w:val="22"/>
          <w:szCs w:val="22"/>
          <w:u w:val="none"/>
        </w:rPr>
        <w:t>orte, com tratamento diferenciado.</w:t>
      </w:r>
    </w:p>
    <w:p w14:paraId="5E8A8258">
      <w:pPr>
        <w:spacing w:before="240" w:after="240" w:line="360" w:lineRule="auto"/>
        <w:jc w:val="both"/>
        <w:rPr>
          <w:rFonts w:ascii="Arial" w:hAnsi="Arial" w:cs="Arial"/>
          <w:b w:val="0"/>
          <w:bCs/>
          <w:color w:val="000000"/>
          <w:sz w:val="22"/>
          <w:szCs w:val="22"/>
        </w:rPr>
      </w:pPr>
      <w:r>
        <w:rPr>
          <w:rFonts w:ascii="Arial" w:hAnsi="Arial" w:cs="Arial"/>
          <w:b/>
          <w:sz w:val="22"/>
          <w:szCs w:val="22"/>
        </w:rPr>
        <w:t>3.2.</w:t>
      </w:r>
      <w:r>
        <w:rPr>
          <w:rFonts w:ascii="Arial" w:hAnsi="Arial" w:cs="Arial"/>
          <w:sz w:val="22"/>
          <w:szCs w:val="22"/>
        </w:rPr>
        <w:t xml:space="preserve"> </w:t>
      </w:r>
      <w:r>
        <w:rPr>
          <w:rFonts w:ascii="Arial" w:hAnsi="Arial" w:cs="Arial"/>
          <w:b w:val="0"/>
          <w:bCs/>
          <w:color w:val="000000"/>
          <w:sz w:val="22"/>
          <w:szCs w:val="22"/>
        </w:rPr>
        <w:t xml:space="preserve">Não poderão participar deste </w:t>
      </w:r>
      <w:r>
        <w:rPr>
          <w:rFonts w:hint="default" w:ascii="Arial" w:hAnsi="Arial" w:cs="Arial"/>
          <w:b w:val="0"/>
          <w:bCs/>
          <w:color w:val="000000"/>
          <w:sz w:val="22"/>
          <w:szCs w:val="22"/>
          <w:lang w:val="pt-BR"/>
        </w:rPr>
        <w:t>P</w:t>
      </w:r>
      <w:r>
        <w:rPr>
          <w:rFonts w:ascii="Arial" w:hAnsi="Arial" w:cs="Arial"/>
          <w:b w:val="0"/>
          <w:bCs/>
          <w:color w:val="000000"/>
          <w:sz w:val="22"/>
          <w:szCs w:val="22"/>
        </w:rPr>
        <w:t>regão:</w:t>
      </w:r>
    </w:p>
    <w:p w14:paraId="6EB891CD">
      <w:pPr>
        <w:tabs>
          <w:tab w:val="left" w:pos="1134"/>
        </w:tabs>
        <w:spacing w:before="240" w:after="240" w:line="360" w:lineRule="auto"/>
        <w:ind w:firstLine="567"/>
        <w:jc w:val="both"/>
        <w:rPr>
          <w:rFonts w:ascii="Arial" w:hAnsi="Arial" w:cs="Arial"/>
          <w:b/>
          <w:color w:val="000000"/>
          <w:sz w:val="22"/>
          <w:szCs w:val="22"/>
        </w:rPr>
      </w:pPr>
      <w:r>
        <w:rPr>
          <w:rFonts w:ascii="Arial" w:hAnsi="Arial" w:cs="Arial"/>
          <w:b/>
          <w:color w:val="000000"/>
          <w:sz w:val="22"/>
          <w:szCs w:val="22"/>
        </w:rPr>
        <w:t>3.2.1.</w:t>
      </w:r>
      <w:r>
        <w:rPr>
          <w:rFonts w:ascii="Arial" w:hAnsi="Arial" w:cs="Arial"/>
          <w:color w:val="000000"/>
          <w:sz w:val="22"/>
          <w:szCs w:val="22"/>
        </w:rPr>
        <w:t xml:space="preserve"> Empresas que não atenderem às condições deste </w:t>
      </w:r>
      <w:r>
        <w:rPr>
          <w:rFonts w:hint="default" w:ascii="Arial" w:hAnsi="Arial" w:cs="Arial"/>
          <w:color w:val="000000"/>
          <w:sz w:val="22"/>
          <w:szCs w:val="22"/>
          <w:lang w:val="pt-BR"/>
        </w:rPr>
        <w:t>E</w:t>
      </w:r>
      <w:r>
        <w:rPr>
          <w:rFonts w:ascii="Arial" w:hAnsi="Arial" w:cs="Arial"/>
          <w:color w:val="000000"/>
          <w:sz w:val="22"/>
          <w:szCs w:val="22"/>
        </w:rPr>
        <w:t>dital</w:t>
      </w:r>
      <w:r>
        <w:rPr>
          <w:rFonts w:hint="default" w:ascii="Arial" w:hAnsi="Arial" w:cs="Arial"/>
          <w:color w:val="000000"/>
          <w:sz w:val="22"/>
          <w:szCs w:val="22"/>
          <w:lang w:val="pt-BR"/>
        </w:rPr>
        <w:t xml:space="preserve"> e seus Anexos</w:t>
      </w:r>
      <w:r>
        <w:rPr>
          <w:rFonts w:ascii="Arial" w:hAnsi="Arial" w:cs="Arial"/>
          <w:color w:val="000000"/>
          <w:sz w:val="22"/>
          <w:szCs w:val="22"/>
        </w:rPr>
        <w:t>;</w:t>
      </w:r>
    </w:p>
    <w:p w14:paraId="25704876">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3.2.2.</w:t>
      </w:r>
      <w:r>
        <w:rPr>
          <w:rFonts w:ascii="Arial" w:hAnsi="Arial" w:cs="Arial"/>
          <w:color w:val="000000"/>
          <w:sz w:val="22"/>
          <w:szCs w:val="22"/>
        </w:rPr>
        <w:t xml:space="preserve"> Empresas que estejam em processo de falência;</w:t>
      </w:r>
    </w:p>
    <w:p w14:paraId="19F47109">
      <w:pPr>
        <w:pStyle w:val="137"/>
        <w:numPr>
          <w:ilvl w:val="0"/>
          <w:numId w:val="0"/>
        </w:numPr>
        <w:spacing w:line="360" w:lineRule="auto"/>
        <w:ind w:left="0" w:leftChars="0" w:firstLine="592" w:firstLineChars="268"/>
        <w:rPr>
          <w:sz w:val="22"/>
          <w:szCs w:val="22"/>
        </w:rPr>
      </w:pPr>
      <w:r>
        <w:rPr>
          <w:rFonts w:ascii="Arial" w:hAnsi="Arial" w:cs="Arial"/>
          <w:b/>
          <w:color w:val="000000"/>
          <w:sz w:val="22"/>
          <w:szCs w:val="22"/>
        </w:rPr>
        <w:t>3.2.3.</w:t>
      </w:r>
      <w:r>
        <w:rPr>
          <w:rFonts w:ascii="Arial" w:hAnsi="Arial" w:cs="Arial"/>
          <w:color w:val="000000"/>
          <w:sz w:val="22"/>
          <w:szCs w:val="22"/>
        </w:rPr>
        <w:t xml:space="preserve"> </w:t>
      </w:r>
      <w:bookmarkStart w:id="1" w:name="_Ref113883003"/>
      <w:r>
        <w:rPr>
          <w:rFonts w:hint="default" w:cs="Arial"/>
          <w:color w:val="000000"/>
          <w:sz w:val="22"/>
          <w:szCs w:val="22"/>
          <w:lang w:val="pt-BR"/>
        </w:rPr>
        <w:t>P</w:t>
      </w:r>
      <w:r>
        <w:rPr>
          <w:sz w:val="22"/>
          <w:szCs w:val="22"/>
        </w:rPr>
        <w:t>essoa física ou jurídica que se encontre, ao tempo da licitação, impossibilitada de participar da licitação em decorrência de sanção que lhe foi imposta;</w:t>
      </w:r>
      <w:bookmarkEnd w:id="1"/>
    </w:p>
    <w:p w14:paraId="0C0E9F2E">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3.2.4.</w:t>
      </w:r>
      <w:r>
        <w:rPr>
          <w:rFonts w:ascii="Arial" w:hAnsi="Arial" w:cs="Arial"/>
          <w:color w:val="000000"/>
          <w:sz w:val="22"/>
          <w:szCs w:val="22"/>
        </w:rPr>
        <w:t xml:space="preserve"> Empresas inadimplentes em obrigações assumidas com a Prefeitura Municipal de Sinop/MT;</w:t>
      </w:r>
    </w:p>
    <w:p w14:paraId="41AF8A68">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3.2.5.</w:t>
      </w:r>
      <w:r>
        <w:rPr>
          <w:rFonts w:ascii="Arial" w:hAnsi="Arial" w:cs="Arial"/>
          <w:color w:val="000000"/>
          <w:sz w:val="22"/>
          <w:szCs w:val="22"/>
        </w:rPr>
        <w:t xml:space="preserve"> Empresas cujo objeto social não seja pertinente e compatível com o objeto dest</w:t>
      </w:r>
      <w:r>
        <w:rPr>
          <w:rFonts w:hint="default" w:ascii="Arial" w:hAnsi="Arial" w:cs="Arial"/>
          <w:color w:val="000000"/>
          <w:sz w:val="22"/>
          <w:szCs w:val="22"/>
          <w:lang w:val="pt-BR"/>
        </w:rPr>
        <w:t>a licitação</w:t>
      </w:r>
      <w:r>
        <w:rPr>
          <w:rFonts w:ascii="Arial" w:hAnsi="Arial" w:cs="Arial"/>
          <w:color w:val="000000"/>
          <w:sz w:val="22"/>
          <w:szCs w:val="22"/>
        </w:rPr>
        <w:t>;</w:t>
      </w:r>
    </w:p>
    <w:p w14:paraId="1A6765AE">
      <w:pPr>
        <w:pStyle w:val="137"/>
        <w:numPr>
          <w:ilvl w:val="0"/>
          <w:numId w:val="0"/>
        </w:numPr>
        <w:spacing w:line="360" w:lineRule="auto"/>
        <w:ind w:left="0" w:leftChars="0" w:firstLine="481" w:firstLineChars="218"/>
        <w:rPr>
          <w:sz w:val="22"/>
          <w:szCs w:val="22"/>
        </w:rPr>
      </w:pPr>
      <w:r>
        <w:rPr>
          <w:rFonts w:ascii="Arial" w:hAnsi="Arial" w:cs="Arial"/>
          <w:b/>
          <w:color w:val="000000"/>
          <w:sz w:val="22"/>
          <w:szCs w:val="22"/>
        </w:rPr>
        <w:t>3.2.6.</w:t>
      </w:r>
      <w:r>
        <w:rPr>
          <w:rFonts w:ascii="Arial" w:hAnsi="Arial" w:cs="Arial"/>
          <w:color w:val="000000"/>
          <w:sz w:val="22"/>
          <w:szCs w:val="22"/>
        </w:rPr>
        <w:t xml:space="preserve"> </w:t>
      </w:r>
      <w:r>
        <w:rPr>
          <w:rFonts w:hint="default"/>
          <w:sz w:val="22"/>
          <w:szCs w:val="22"/>
          <w:lang w:val="pt-BR"/>
        </w:rPr>
        <w:t>A</w:t>
      </w:r>
      <w:r>
        <w:rPr>
          <w:sz w:val="22"/>
          <w:szCs w:val="22"/>
        </w:rPr>
        <w:t xml:space="preserve">quele que mantenha vínculo de natureza técnica, comercial, econômica, financeira, trabalhista ou civil com dirigente do órgão ou entidade contratante ou com agente público que desempenhe função na licitação ou atue na fiscalização ou na gestão </w:t>
      </w:r>
      <w:r>
        <w:rPr>
          <w:rFonts w:hint="default"/>
          <w:sz w:val="22"/>
          <w:szCs w:val="22"/>
          <w:lang w:val="pt-BR"/>
        </w:rPr>
        <w:t>do Contrato</w:t>
      </w:r>
      <w:r>
        <w:rPr>
          <w:sz w:val="22"/>
          <w:szCs w:val="22"/>
        </w:rPr>
        <w:t>, ou que deles seja cônjuge, companheiro ou parente em linha reta, colateral ou por afinidade, até o terceiro grau;</w:t>
      </w:r>
    </w:p>
    <w:p w14:paraId="29A3D51F">
      <w:pPr>
        <w:pStyle w:val="128"/>
        <w:numPr>
          <w:ilvl w:val="2"/>
          <w:numId w:val="7"/>
        </w:numPr>
        <w:tabs>
          <w:tab w:val="left" w:pos="993"/>
          <w:tab w:val="left" w:pos="1134"/>
        </w:tabs>
        <w:spacing w:before="240" w:after="240" w:line="360" w:lineRule="auto"/>
        <w:ind w:left="0" w:firstLine="567"/>
        <w:contextualSpacing/>
        <w:jc w:val="both"/>
        <w:rPr>
          <w:rFonts w:ascii="Arial" w:hAnsi="Arial" w:cs="Arial"/>
          <w:color w:val="000000"/>
          <w:sz w:val="22"/>
          <w:szCs w:val="22"/>
        </w:rPr>
      </w:pPr>
      <w:r>
        <w:rPr>
          <w:rFonts w:ascii="Arial" w:hAnsi="Arial" w:cs="Arial"/>
          <w:color w:val="000000"/>
          <w:sz w:val="22"/>
          <w:szCs w:val="22"/>
        </w:rPr>
        <w:t>Empresas estrangeiras não autorizadas a funcionar no país;</w:t>
      </w:r>
    </w:p>
    <w:p w14:paraId="6849D0C5">
      <w:pPr>
        <w:numPr>
          <w:ilvl w:val="2"/>
          <w:numId w:val="7"/>
        </w:numPr>
        <w:tabs>
          <w:tab w:val="left" w:pos="1134"/>
        </w:tabs>
        <w:autoSpaceDE w:val="0"/>
        <w:autoSpaceDN w:val="0"/>
        <w:spacing w:before="100" w:beforeAutospacing="1" w:after="100" w:afterAutospacing="1" w:line="360" w:lineRule="auto"/>
        <w:ind w:left="0" w:firstLine="567"/>
        <w:jc w:val="both"/>
        <w:rPr>
          <w:rFonts w:ascii="Arial" w:hAnsi="Arial" w:cs="Arial"/>
          <w:sz w:val="22"/>
          <w:szCs w:val="22"/>
        </w:rPr>
      </w:pP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w:t>
      </w:r>
      <w:r>
        <w:rPr>
          <w:rFonts w:hint="default" w:ascii="Arial" w:hAnsi="Arial" w:cs="Arial"/>
          <w:sz w:val="22"/>
          <w:szCs w:val="22"/>
          <w:lang w:val="pt-BR"/>
        </w:rPr>
        <w:t xml:space="preserve">o Município </w:t>
      </w:r>
      <w:r>
        <w:rPr>
          <w:rFonts w:ascii="Arial" w:hAnsi="Arial" w:cs="Arial"/>
          <w:sz w:val="22"/>
          <w:szCs w:val="22"/>
        </w:rPr>
        <w:t>de Sinop/MT.</w:t>
      </w:r>
    </w:p>
    <w:p w14:paraId="020EB98B">
      <w:pPr>
        <w:pStyle w:val="137"/>
        <w:numPr>
          <w:ilvl w:val="2"/>
          <w:numId w:val="7"/>
        </w:numPr>
        <w:tabs>
          <w:tab w:val="left" w:pos="1200"/>
        </w:tabs>
        <w:spacing w:line="360" w:lineRule="auto"/>
        <w:ind w:left="0" w:leftChars="0" w:firstLine="567" w:firstLineChars="0"/>
        <w:rPr>
          <w:sz w:val="22"/>
          <w:szCs w:val="22"/>
        </w:rPr>
      </w:pPr>
      <w:bookmarkStart w:id="2" w:name="_Ref114659912"/>
      <w:bookmarkStart w:id="3" w:name="_Ref113883338"/>
      <w:r>
        <w:rPr>
          <w:rFonts w:hint="default"/>
          <w:sz w:val="22"/>
          <w:szCs w:val="22"/>
          <w:lang w:val="pt-BR"/>
        </w:rPr>
        <w:t>A</w:t>
      </w:r>
      <w:r>
        <w:rPr>
          <w:sz w:val="22"/>
          <w:szCs w:val="22"/>
        </w:rPr>
        <w:t>utor do anteprojeto, do projeto básico ou do projeto executivo, pessoa física ou jurídica, quando a licitação versar sobre serviços ou fornecimento de bens a ele relacionados;</w:t>
      </w:r>
      <w:bookmarkEnd w:id="2"/>
      <w:bookmarkEnd w:id="3"/>
    </w:p>
    <w:p w14:paraId="2509C78D">
      <w:pPr>
        <w:pStyle w:val="137"/>
        <w:numPr>
          <w:ilvl w:val="2"/>
          <w:numId w:val="7"/>
        </w:numPr>
        <w:spacing w:line="360" w:lineRule="auto"/>
        <w:ind w:left="0" w:leftChars="0" w:firstLine="567" w:firstLineChars="0"/>
        <w:rPr>
          <w:sz w:val="22"/>
          <w:szCs w:val="22"/>
        </w:rPr>
      </w:pPr>
      <w:bookmarkStart w:id="4" w:name="_Ref114659913"/>
      <w:bookmarkStart w:id="5" w:name="_Ref113883339"/>
      <w:r>
        <w:rPr>
          <w:rFonts w:hint="default"/>
          <w:sz w:val="22"/>
          <w:szCs w:val="22"/>
          <w:lang w:val="pt-BR"/>
        </w:rPr>
        <w:t>E</w:t>
      </w:r>
      <w:r>
        <w:rPr>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Pr>
          <w:sz w:val="22"/>
          <w:szCs w:val="22"/>
        </w:rPr>
        <w:t xml:space="preserve"> </w:t>
      </w:r>
      <w:bookmarkEnd w:id="5"/>
    </w:p>
    <w:p w14:paraId="46E92E01">
      <w:pPr>
        <w:pStyle w:val="137"/>
        <w:numPr>
          <w:ilvl w:val="2"/>
          <w:numId w:val="7"/>
        </w:numPr>
        <w:spacing w:line="360" w:lineRule="auto"/>
        <w:ind w:left="0" w:leftChars="0" w:firstLine="567" w:firstLineChars="0"/>
        <w:rPr>
          <w:sz w:val="22"/>
          <w:szCs w:val="22"/>
        </w:rPr>
      </w:pPr>
      <w:bookmarkStart w:id="6" w:name="_Ref113883579"/>
      <w:r>
        <w:rPr>
          <w:rFonts w:hint="default"/>
          <w:sz w:val="22"/>
          <w:szCs w:val="22"/>
          <w:lang w:val="pt-BR"/>
        </w:rPr>
        <w:t>E</w:t>
      </w:r>
      <w:r>
        <w:rPr>
          <w:sz w:val="22"/>
          <w:szCs w:val="22"/>
        </w:rPr>
        <w:t>mpresas controladoras, controladas ou coligadas, nos termos da Lei nº 6.404</w:t>
      </w:r>
      <w:r>
        <w:rPr>
          <w:rFonts w:hint="default"/>
          <w:sz w:val="22"/>
          <w:szCs w:val="22"/>
          <w:lang w:val="pt-BR"/>
        </w:rPr>
        <w:t>/</w:t>
      </w:r>
      <w:r>
        <w:rPr>
          <w:sz w:val="22"/>
          <w:szCs w:val="22"/>
        </w:rPr>
        <w:t>1976, concorrendo entre si;</w:t>
      </w:r>
      <w:bookmarkEnd w:id="6"/>
    </w:p>
    <w:p w14:paraId="1926A389">
      <w:pPr>
        <w:pStyle w:val="137"/>
        <w:numPr>
          <w:ilvl w:val="2"/>
          <w:numId w:val="7"/>
        </w:numPr>
        <w:spacing w:line="360" w:lineRule="auto"/>
        <w:ind w:left="0" w:leftChars="0" w:firstLine="567" w:firstLineChars="0"/>
        <w:rPr>
          <w:sz w:val="22"/>
          <w:szCs w:val="22"/>
        </w:rPr>
      </w:pPr>
      <w:r>
        <w:rPr>
          <w:rFonts w:hint="default"/>
          <w:sz w:val="22"/>
          <w:szCs w:val="22"/>
          <w:lang w:val="pt-BR"/>
        </w:rPr>
        <w:t>P</w:t>
      </w:r>
      <w:r>
        <w:rPr>
          <w:sz w:val="22"/>
          <w:szCs w:val="22"/>
        </w:rPr>
        <w:t xml:space="preserve">essoa física ou jurídica que, nos 5 (cinco) anos anteriores à divulgação do </w:t>
      </w:r>
      <w:r>
        <w:rPr>
          <w:rFonts w:hint="default"/>
          <w:sz w:val="22"/>
          <w:szCs w:val="22"/>
          <w:lang w:val="pt-BR"/>
        </w:rPr>
        <w:t>E</w:t>
      </w:r>
      <w:r>
        <w:rPr>
          <w:sz w:val="22"/>
          <w:szCs w:val="22"/>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10F3BA3">
      <w:pPr>
        <w:pStyle w:val="137"/>
        <w:numPr>
          <w:ilvl w:val="2"/>
          <w:numId w:val="7"/>
        </w:numPr>
        <w:spacing w:line="360" w:lineRule="auto"/>
        <w:ind w:left="0" w:leftChars="0" w:firstLine="567" w:firstLineChars="0"/>
        <w:rPr>
          <w:sz w:val="22"/>
          <w:szCs w:val="22"/>
        </w:rPr>
      </w:pPr>
      <w:bookmarkStart w:id="7" w:name="_Ref113962336"/>
      <w:r>
        <w:rPr>
          <w:rFonts w:hint="default"/>
          <w:sz w:val="22"/>
          <w:szCs w:val="22"/>
          <w:lang w:val="pt-BR"/>
        </w:rPr>
        <w:t>A</w:t>
      </w:r>
      <w:r>
        <w:rPr>
          <w:sz w:val="22"/>
          <w:szCs w:val="22"/>
        </w:rPr>
        <w:t>gente público do órgão ou entidade licitante;</w:t>
      </w:r>
      <w:bookmarkEnd w:id="7"/>
    </w:p>
    <w:p w14:paraId="1668001E">
      <w:pPr>
        <w:pStyle w:val="137"/>
        <w:numPr>
          <w:ilvl w:val="2"/>
          <w:numId w:val="7"/>
        </w:numPr>
        <w:spacing w:line="360" w:lineRule="auto"/>
        <w:ind w:left="0" w:leftChars="0" w:firstLine="567" w:firstLineChars="0"/>
        <w:rPr>
          <w:sz w:val="22"/>
          <w:szCs w:val="22"/>
        </w:rPr>
      </w:pPr>
      <w:r>
        <w:rPr>
          <w:sz w:val="22"/>
          <w:szCs w:val="22"/>
        </w:rPr>
        <w:t>Organizações da Sociedade Civil de Interesse Público - OSCIP, atuando nessa condição;</w:t>
      </w:r>
    </w:p>
    <w:p w14:paraId="6B8A1DF7">
      <w:pPr>
        <w:pStyle w:val="137"/>
        <w:numPr>
          <w:ilvl w:val="2"/>
          <w:numId w:val="7"/>
        </w:numPr>
        <w:spacing w:line="360" w:lineRule="auto"/>
        <w:ind w:left="0" w:leftChars="0" w:firstLine="567" w:firstLineChars="0"/>
        <w:rPr>
          <w:rFonts w:hint="default" w:ascii="Arial" w:hAnsi="Arial" w:cs="Arial"/>
          <w:color w:val="auto"/>
          <w:sz w:val="22"/>
          <w:szCs w:val="22"/>
          <w:u w:val="none"/>
        </w:rPr>
      </w:pPr>
      <w:r>
        <w:rPr>
          <w:rFonts w:hint="default" w:ascii="Arial" w:hAnsi="Arial" w:cs="Arial"/>
          <w:sz w:val="22"/>
          <w:szCs w:val="22"/>
        </w:rPr>
        <w:t xml:space="preserve">Não poderá participar, direta ou indiretamente, da licitação ou da execução </w:t>
      </w:r>
      <w:r>
        <w:rPr>
          <w:rFonts w:hint="default" w:ascii="Arial" w:hAnsi="Arial" w:cs="Arial"/>
          <w:color w:val="auto"/>
          <w:sz w:val="22"/>
          <w:szCs w:val="22"/>
          <w:lang w:val="pt-BR"/>
        </w:rPr>
        <w:t>do Contrato</w:t>
      </w:r>
      <w:r>
        <w:rPr>
          <w:rFonts w:hint="default" w:ascii="Arial" w:hAnsi="Arial" w:cs="Arial"/>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"art9§1" </w:instrText>
      </w:r>
      <w:r>
        <w:rPr>
          <w:rFonts w:hint="default" w:ascii="Arial" w:hAnsi="Arial" w:cs="Arial"/>
          <w:color w:val="auto"/>
          <w:sz w:val="22"/>
          <w:szCs w:val="22"/>
          <w:u w:val="none"/>
        </w:rPr>
        <w:fldChar w:fldCharType="separate"/>
      </w:r>
      <w:r>
        <w:rPr>
          <w:rStyle w:val="15"/>
          <w:rFonts w:hint="default" w:ascii="Arial" w:hAnsi="Arial" w:cs="Arial"/>
          <w:color w:val="auto"/>
          <w:sz w:val="22"/>
          <w:szCs w:val="22"/>
          <w:u w:val="none"/>
        </w:rPr>
        <w:t>§ 1º do art. 9º da Lei</w:t>
      </w:r>
      <w:r>
        <w:rPr>
          <w:rStyle w:val="15"/>
          <w:rFonts w:hint="default" w:ascii="Arial" w:hAnsi="Arial" w:cs="Arial"/>
          <w:color w:val="auto"/>
          <w:sz w:val="22"/>
          <w:szCs w:val="22"/>
          <w:u w:val="none"/>
          <w:lang w:val="pt-BR"/>
        </w:rPr>
        <w:t xml:space="preserve"> Federal</w:t>
      </w:r>
      <w:r>
        <w:rPr>
          <w:rStyle w:val="15"/>
          <w:rFonts w:hint="default" w:ascii="Arial" w:hAnsi="Arial" w:cs="Arial"/>
          <w:color w:val="auto"/>
          <w:sz w:val="22"/>
          <w:szCs w:val="22"/>
          <w:u w:val="none"/>
        </w:rPr>
        <w:t xml:space="preserve"> nº 14.133</w:t>
      </w:r>
      <w:r>
        <w:rPr>
          <w:rStyle w:val="15"/>
          <w:rFonts w:hint="default" w:ascii="Arial" w:hAnsi="Arial" w:cs="Arial"/>
          <w:color w:val="auto"/>
          <w:sz w:val="22"/>
          <w:szCs w:val="22"/>
          <w:u w:val="none"/>
          <w:lang w:val="pt-BR"/>
        </w:rPr>
        <w:t>/</w:t>
      </w:r>
      <w:r>
        <w:rPr>
          <w:rStyle w:val="15"/>
          <w:rFonts w:hint="default" w:ascii="Arial" w:hAnsi="Arial" w:cs="Arial"/>
          <w:color w:val="auto"/>
          <w:sz w:val="22"/>
          <w:szCs w:val="22"/>
          <w:u w:val="none"/>
        </w:rPr>
        <w:t>2021</w:t>
      </w:r>
      <w:r>
        <w:rPr>
          <w:rStyle w:val="15"/>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5FA69BA0">
      <w:pPr>
        <w:pStyle w:val="134"/>
        <w:numPr>
          <w:ilvl w:val="1"/>
          <w:numId w:val="7"/>
        </w:numPr>
        <w:tabs>
          <w:tab w:val="left" w:pos="480"/>
        </w:tabs>
        <w:spacing w:line="360" w:lineRule="auto"/>
        <w:ind w:left="0" w:leftChars="0" w:firstLine="0" w:firstLineChars="0"/>
        <w:rPr>
          <w:rFonts w:hint="default" w:ascii="Arial" w:hAnsi="Arial" w:cs="Arial"/>
          <w:sz w:val="22"/>
          <w:szCs w:val="22"/>
        </w:rPr>
      </w:pPr>
      <w:r>
        <w:rPr>
          <w:rFonts w:hint="default" w:ascii="Arial" w:hAnsi="Arial" w:cs="Arial"/>
          <w:sz w:val="22"/>
          <w:szCs w:val="22"/>
        </w:rPr>
        <w:t xml:space="preserve">O impedimento de que trata o item </w:t>
      </w:r>
      <w:r>
        <w:rPr>
          <w:rFonts w:hint="default" w:ascii="Arial" w:hAnsi="Arial" w:cs="Arial"/>
          <w:sz w:val="22"/>
          <w:szCs w:val="22"/>
          <w:lang w:val="pt-BR"/>
        </w:rPr>
        <w:t>3.2.3.</w:t>
      </w:r>
      <w:r>
        <w:rPr>
          <w:rFonts w:hint="default" w:ascii="Arial" w:hAnsi="Arial" w:cs="Arial"/>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156234E">
      <w:pPr>
        <w:pStyle w:val="134"/>
        <w:numPr>
          <w:ilvl w:val="1"/>
          <w:numId w:val="7"/>
        </w:numPr>
        <w:tabs>
          <w:tab w:val="left" w:pos="480"/>
        </w:tabs>
        <w:spacing w:line="360" w:lineRule="auto"/>
        <w:ind w:left="0" w:leftChars="0" w:firstLine="0" w:firstLineChars="0"/>
        <w:rPr>
          <w:sz w:val="22"/>
          <w:szCs w:val="22"/>
        </w:rPr>
      </w:pPr>
      <w:bookmarkStart w:id="8" w:name="art14§2"/>
      <w:bookmarkEnd w:id="8"/>
      <w:r>
        <w:rPr>
          <w:rFonts w:hint="default" w:ascii="Arial" w:hAnsi="Arial" w:cs="Arial"/>
          <w:sz w:val="22"/>
          <w:szCs w:val="22"/>
        </w:rPr>
        <w:t xml:space="preserve">A critério da Administração e exclusivamente a seu serviço, o autor dos projetos e a empresa a que se referem os itens </w:t>
      </w:r>
      <w:r>
        <w:rPr>
          <w:rFonts w:hint="default" w:ascii="Arial" w:hAnsi="Arial" w:cs="Arial"/>
          <w:sz w:val="22"/>
          <w:szCs w:val="22"/>
        </w:rPr>
        <w:fldChar w:fldCharType="begin"/>
      </w:r>
      <w:r>
        <w:rPr>
          <w:rFonts w:hint="default" w:ascii="Arial" w:hAnsi="Arial" w:cs="Arial"/>
          <w:sz w:val="22"/>
          <w:szCs w:val="22"/>
        </w:rPr>
        <w:instrText xml:space="preserve"> REF _Ref114659912 \r \h  \* MERGEFORMAT </w:instrText>
      </w:r>
      <w:r>
        <w:rPr>
          <w:rFonts w:hint="default" w:ascii="Arial" w:hAnsi="Arial" w:cs="Arial"/>
          <w:sz w:val="22"/>
          <w:szCs w:val="22"/>
        </w:rPr>
        <w:fldChar w:fldCharType="separate"/>
      </w:r>
      <w:r>
        <w:rPr>
          <w:rFonts w:hint="default" w:ascii="Arial" w:hAnsi="Arial" w:cs="Arial"/>
          <w:sz w:val="22"/>
          <w:szCs w:val="22"/>
        </w:rPr>
        <w:t>3.</w:t>
      </w:r>
      <w:r>
        <w:rPr>
          <w:rFonts w:hint="default" w:ascii="Arial" w:hAnsi="Arial" w:cs="Arial"/>
          <w:sz w:val="22"/>
          <w:szCs w:val="22"/>
          <w:lang w:val="pt-BR"/>
        </w:rPr>
        <w:t>2</w:t>
      </w:r>
      <w:r>
        <w:rPr>
          <w:rFonts w:hint="default" w:ascii="Arial" w:hAnsi="Arial" w:cs="Arial"/>
          <w:sz w:val="22"/>
          <w:szCs w:val="22"/>
        </w:rPr>
        <w:t>.</w:t>
      </w:r>
      <w:r>
        <w:rPr>
          <w:rFonts w:hint="default" w:ascii="Arial" w:hAnsi="Arial" w:cs="Arial"/>
          <w:sz w:val="22"/>
          <w:szCs w:val="22"/>
        </w:rPr>
        <w:fldChar w:fldCharType="end"/>
      </w:r>
      <w:r>
        <w:rPr>
          <w:rFonts w:hint="default" w:ascii="Arial" w:hAnsi="Arial" w:cs="Arial"/>
          <w:sz w:val="22"/>
          <w:szCs w:val="22"/>
          <w:lang w:val="pt-BR"/>
        </w:rPr>
        <w:t>9.</w:t>
      </w:r>
      <w:r>
        <w:rPr>
          <w:rFonts w:hint="default" w:ascii="Arial" w:hAnsi="Arial" w:cs="Arial"/>
          <w:sz w:val="22"/>
          <w:szCs w:val="22"/>
        </w:rPr>
        <w:t xml:space="preserve"> e </w:t>
      </w:r>
      <w:r>
        <w:rPr>
          <w:rFonts w:hint="default" w:ascii="Arial" w:hAnsi="Arial" w:cs="Arial"/>
          <w:sz w:val="22"/>
          <w:szCs w:val="22"/>
        </w:rPr>
        <w:fldChar w:fldCharType="begin"/>
      </w:r>
      <w:r>
        <w:rPr>
          <w:rFonts w:hint="default" w:ascii="Arial" w:hAnsi="Arial" w:cs="Arial"/>
          <w:sz w:val="22"/>
          <w:szCs w:val="22"/>
        </w:rPr>
        <w:instrText xml:space="preserve"> REF _Ref114659913 \r \h  \* MERGEFORMAT </w:instrText>
      </w:r>
      <w:r>
        <w:rPr>
          <w:rFonts w:hint="default" w:ascii="Arial" w:hAnsi="Arial" w:cs="Arial"/>
          <w:sz w:val="22"/>
          <w:szCs w:val="22"/>
        </w:rPr>
        <w:fldChar w:fldCharType="separate"/>
      </w:r>
      <w:r>
        <w:rPr>
          <w:rFonts w:hint="default" w:ascii="Arial" w:hAnsi="Arial" w:cs="Arial"/>
          <w:sz w:val="22"/>
          <w:szCs w:val="22"/>
        </w:rPr>
        <w:t>3.</w:t>
      </w:r>
      <w:r>
        <w:rPr>
          <w:rFonts w:hint="default" w:ascii="Arial" w:hAnsi="Arial" w:cs="Arial"/>
          <w:sz w:val="22"/>
          <w:szCs w:val="22"/>
          <w:lang w:val="pt-BR"/>
        </w:rPr>
        <w:t>2</w:t>
      </w:r>
      <w:r>
        <w:rPr>
          <w:rFonts w:hint="default" w:ascii="Arial" w:hAnsi="Arial" w:cs="Arial"/>
          <w:sz w:val="22"/>
          <w:szCs w:val="22"/>
        </w:rPr>
        <w:t>.</w:t>
      </w:r>
      <w:r>
        <w:rPr>
          <w:rFonts w:hint="default" w:ascii="Arial" w:hAnsi="Arial" w:cs="Arial"/>
          <w:sz w:val="22"/>
          <w:szCs w:val="22"/>
        </w:rPr>
        <w:fldChar w:fldCharType="end"/>
      </w:r>
      <w:r>
        <w:rPr>
          <w:rFonts w:hint="default" w:ascii="Arial" w:hAnsi="Arial" w:cs="Arial"/>
          <w:sz w:val="22"/>
          <w:szCs w:val="22"/>
          <w:lang w:val="pt-BR"/>
        </w:rPr>
        <w:t>10.</w:t>
      </w:r>
      <w:r>
        <w:rPr>
          <w:rFonts w:hint="default" w:ascii="Arial" w:hAnsi="Arial" w:cs="Arial"/>
          <w:sz w:val="22"/>
          <w:szCs w:val="22"/>
        </w:rPr>
        <w:t xml:space="preserve"> poderão participar no apoio das atividades de planejamento da contratação, de execução da licitação ou de gestão </w:t>
      </w:r>
      <w:r>
        <w:rPr>
          <w:rFonts w:hint="default" w:ascii="Arial" w:hAnsi="Arial" w:cs="Arial"/>
          <w:color w:val="auto"/>
          <w:sz w:val="22"/>
          <w:szCs w:val="22"/>
          <w:lang w:val="pt-BR"/>
        </w:rPr>
        <w:t xml:space="preserve">do </w:t>
      </w:r>
      <w:r>
        <w:rPr>
          <w:rFonts w:hint="default" w:cs="Arial"/>
          <w:color w:val="auto"/>
          <w:sz w:val="22"/>
          <w:szCs w:val="22"/>
          <w:lang w:val="pt-BR"/>
        </w:rPr>
        <w:t>Contrato</w:t>
      </w:r>
      <w:r>
        <w:rPr>
          <w:sz w:val="22"/>
          <w:szCs w:val="22"/>
        </w:rPr>
        <w:t>, desde que sob supervisão exclusiva de agentes públicos do órgão ou entidade.</w:t>
      </w:r>
    </w:p>
    <w:p w14:paraId="7A478814">
      <w:pPr>
        <w:pStyle w:val="134"/>
        <w:numPr>
          <w:ilvl w:val="1"/>
          <w:numId w:val="7"/>
        </w:numPr>
        <w:tabs>
          <w:tab w:val="left" w:pos="480"/>
        </w:tabs>
        <w:spacing w:line="360" w:lineRule="auto"/>
        <w:ind w:left="0" w:leftChars="0" w:firstLine="0" w:firstLineChars="0"/>
        <w:rPr>
          <w:sz w:val="22"/>
          <w:szCs w:val="22"/>
        </w:rPr>
      </w:pPr>
      <w:bookmarkStart w:id="9" w:name="art14§3"/>
      <w:bookmarkEnd w:id="9"/>
      <w:r>
        <w:rPr>
          <w:sz w:val="22"/>
          <w:szCs w:val="22"/>
        </w:rPr>
        <w:t>Equiparam-se aos autores do projeto as empresas integrantes do mesmo grupo econômico.</w:t>
      </w:r>
    </w:p>
    <w:p w14:paraId="757231F3">
      <w:pPr>
        <w:pStyle w:val="134"/>
        <w:numPr>
          <w:ilvl w:val="1"/>
          <w:numId w:val="7"/>
        </w:numPr>
        <w:tabs>
          <w:tab w:val="left" w:pos="480"/>
        </w:tabs>
        <w:spacing w:line="360" w:lineRule="auto"/>
        <w:ind w:left="0" w:leftChars="0" w:firstLine="0" w:firstLineChars="0"/>
        <w:rPr>
          <w:sz w:val="22"/>
          <w:szCs w:val="22"/>
        </w:rPr>
      </w:pPr>
      <w:bookmarkStart w:id="10" w:name="art14§4"/>
      <w:bookmarkEnd w:id="10"/>
      <w:r>
        <w:rPr>
          <w:sz w:val="22"/>
          <w:szCs w:val="22"/>
        </w:rPr>
        <w:t xml:space="preserve">O disposto nos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não impede a licitação ou a contratação de serviço que inclua como encargo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a elaboração do projeto básico e do projeto executivo, nas contratações integradas, e do projeto executivo, nos demais regimes de execução.</w:t>
      </w:r>
    </w:p>
    <w:p w14:paraId="5625A17F">
      <w:pPr>
        <w:pStyle w:val="134"/>
        <w:numPr>
          <w:ilvl w:val="1"/>
          <w:numId w:val="7"/>
        </w:numPr>
        <w:tabs>
          <w:tab w:val="left" w:pos="480"/>
        </w:tabs>
        <w:spacing w:line="360" w:lineRule="auto"/>
        <w:ind w:left="0" w:leftChars="0" w:firstLine="0" w:firstLineChars="0"/>
        <w:rPr>
          <w:sz w:val="22"/>
          <w:szCs w:val="22"/>
        </w:rPr>
      </w:pPr>
      <w:bookmarkStart w:id="11" w:name="art14§5"/>
      <w:bookmarkEnd w:id="11"/>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color w:val="auto"/>
          <w:sz w:val="22"/>
          <w:szCs w:val="22"/>
          <w:u w:val="none"/>
        </w:rPr>
        <w:fldChar w:fldCharType="begin"/>
      </w:r>
      <w:r>
        <w:rPr>
          <w:color w:val="auto"/>
          <w:sz w:val="22"/>
          <w:szCs w:val="22"/>
          <w:u w:val="none"/>
        </w:rPr>
        <w:instrText xml:space="preserve"> HYPERLINK "http://www.planalto.gov.br/ccivil_03/_ato2019-2022/2021/lei/L14133.htm" \h </w:instrText>
      </w:r>
      <w:r>
        <w:rPr>
          <w:color w:val="auto"/>
          <w:sz w:val="22"/>
          <w:szCs w:val="22"/>
          <w:u w:val="none"/>
        </w:rPr>
        <w:fldChar w:fldCharType="separate"/>
      </w:r>
      <w:r>
        <w:rPr>
          <w:rStyle w:val="15"/>
          <w:color w:val="auto"/>
          <w:sz w:val="22"/>
          <w:szCs w:val="22"/>
          <w:u w:val="none"/>
        </w:rPr>
        <w:t xml:space="preserve">Lei </w:t>
      </w:r>
      <w:r>
        <w:rPr>
          <w:rStyle w:val="15"/>
          <w:rFonts w:hint="default"/>
          <w:color w:val="auto"/>
          <w:sz w:val="22"/>
          <w:szCs w:val="22"/>
          <w:u w:val="none"/>
          <w:lang w:val="pt-BR"/>
        </w:rPr>
        <w:t xml:space="preserve">Federal </w:t>
      </w:r>
      <w:r>
        <w:rPr>
          <w:rStyle w:val="15"/>
          <w:color w:val="auto"/>
          <w:sz w:val="22"/>
          <w:szCs w:val="22"/>
          <w:u w:val="none"/>
        </w:rPr>
        <w:t>nº 14.133/2021</w:t>
      </w:r>
      <w:r>
        <w:rPr>
          <w:rStyle w:val="15"/>
          <w:color w:val="auto"/>
          <w:sz w:val="22"/>
          <w:szCs w:val="22"/>
          <w:u w:val="none"/>
        </w:rPr>
        <w:fldChar w:fldCharType="end"/>
      </w:r>
      <w:r>
        <w:rPr>
          <w:color w:val="auto"/>
          <w:sz w:val="22"/>
          <w:szCs w:val="22"/>
          <w:u w:val="none"/>
        </w:rPr>
        <w:t>.</w:t>
      </w:r>
    </w:p>
    <w:p w14:paraId="440A8ACD">
      <w:pPr>
        <w:pStyle w:val="134"/>
        <w:numPr>
          <w:ilvl w:val="1"/>
          <w:numId w:val="7"/>
        </w:numPr>
        <w:tabs>
          <w:tab w:val="left" w:pos="480"/>
        </w:tabs>
        <w:spacing w:line="360" w:lineRule="auto"/>
        <w:ind w:left="0" w:leftChars="0" w:firstLine="0" w:firstLineChars="0"/>
        <w:rPr>
          <w:sz w:val="22"/>
          <w:szCs w:val="22"/>
        </w:rPr>
      </w:pPr>
      <w:r>
        <w:rPr>
          <w:sz w:val="22"/>
          <w:szCs w:val="22"/>
        </w:rPr>
        <w:t xml:space="preserve">A vedação de que trata o item </w:t>
      </w:r>
      <w:r>
        <w:rPr>
          <w:rFonts w:hint="default"/>
          <w:sz w:val="22"/>
          <w:szCs w:val="22"/>
          <w:lang w:val="pt-BR"/>
        </w:rPr>
        <w:t>3.2.13.</w:t>
      </w:r>
      <w:r>
        <w:rPr>
          <w:sz w:val="22"/>
          <w:szCs w:val="22"/>
        </w:rPr>
        <w:t xml:space="preserve"> estende-se a terceiro que auxilie a condução da contratação na qualidade de integrante de </w:t>
      </w:r>
      <w:r>
        <w:rPr>
          <w:rFonts w:hint="default"/>
          <w:sz w:val="22"/>
          <w:szCs w:val="22"/>
          <w:lang w:val="pt-BR"/>
        </w:rPr>
        <w:t>E</w:t>
      </w:r>
      <w:r>
        <w:rPr>
          <w:sz w:val="22"/>
          <w:szCs w:val="22"/>
        </w:rPr>
        <w:t xml:space="preserve">quipe de </w:t>
      </w:r>
      <w:r>
        <w:rPr>
          <w:rFonts w:hint="default"/>
          <w:sz w:val="22"/>
          <w:szCs w:val="22"/>
          <w:lang w:val="pt-BR"/>
        </w:rPr>
        <w:t>A</w:t>
      </w:r>
      <w:r>
        <w:rPr>
          <w:sz w:val="22"/>
          <w:szCs w:val="22"/>
        </w:rPr>
        <w:t>poio, profissional especializado ou funcionário ou representante de empresa que preste assessoria técnica.</w:t>
      </w:r>
    </w:p>
    <w:p w14:paraId="5F6D03DD">
      <w:pPr>
        <w:pStyle w:val="128"/>
        <w:widowControl w:val="0"/>
        <w:numPr>
          <w:ilvl w:val="1"/>
          <w:numId w:val="7"/>
        </w:numPr>
        <w:tabs>
          <w:tab w:val="left" w:pos="426"/>
        </w:tabs>
        <w:adjustRightInd w:val="0"/>
        <w:spacing w:before="240" w:after="240" w:line="360" w:lineRule="auto"/>
        <w:ind w:left="0" w:firstLine="0"/>
        <w:contextualSpacing/>
        <w:jc w:val="both"/>
        <w:textAlignment w:val="baseline"/>
        <w:rPr>
          <w:rFonts w:ascii="Arial" w:hAnsi="Arial" w:cs="Arial"/>
          <w:sz w:val="22"/>
          <w:szCs w:val="22"/>
        </w:rPr>
      </w:pPr>
      <w:r>
        <w:rPr>
          <w:rFonts w:ascii="Arial" w:hAnsi="Arial" w:cs="Arial"/>
          <w:color w:val="000000"/>
          <w:sz w:val="22"/>
          <w:szCs w:val="22"/>
        </w:rPr>
        <w:t>Será permitida a participação de consórcio de empresas, sendo exigidas:</w:t>
      </w:r>
    </w:p>
    <w:p w14:paraId="2074661A">
      <w:pPr>
        <w:pStyle w:val="128"/>
        <w:widowControl w:val="0"/>
        <w:numPr>
          <w:ilvl w:val="0"/>
          <w:numId w:val="0"/>
        </w:numPr>
        <w:tabs>
          <w:tab w:val="left" w:pos="1276"/>
        </w:tabs>
        <w:adjustRightInd w:val="0"/>
        <w:spacing w:before="240" w:after="240" w:line="360" w:lineRule="auto"/>
        <w:ind w:left="0" w:leftChars="0" w:firstLine="481" w:firstLineChars="218"/>
        <w:contextualSpacing/>
        <w:jc w:val="both"/>
        <w:textAlignment w:val="baseline"/>
        <w:rPr>
          <w:rFonts w:ascii="Arial" w:hAnsi="Arial" w:cs="Arial"/>
          <w:sz w:val="22"/>
          <w:szCs w:val="22"/>
        </w:rPr>
      </w:pPr>
      <w:r>
        <w:rPr>
          <w:rFonts w:hint="default" w:ascii="Arial" w:hAnsi="Arial" w:cs="Arial"/>
          <w:b/>
          <w:bCs/>
          <w:color w:val="000000"/>
          <w:sz w:val="22"/>
          <w:szCs w:val="22"/>
          <w:lang w:val="pt-BR"/>
        </w:rPr>
        <w:t>3.9.1.</w:t>
      </w:r>
      <w:r>
        <w:rPr>
          <w:rFonts w:hint="default" w:ascii="Arial" w:hAnsi="Arial" w:cs="Arial"/>
          <w:color w:val="000000"/>
          <w:sz w:val="22"/>
          <w:szCs w:val="22"/>
          <w:lang w:val="pt-BR"/>
        </w:rPr>
        <w:t xml:space="preserve"> </w:t>
      </w:r>
      <w:r>
        <w:rPr>
          <w:rFonts w:ascii="Arial" w:hAnsi="Arial" w:cs="Arial"/>
          <w:color w:val="000000"/>
          <w:sz w:val="22"/>
          <w:szCs w:val="22"/>
        </w:rPr>
        <w:t>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lang w:val="pt-BR"/>
        </w:rPr>
        <w:t xml:space="preserve"> E</w:t>
      </w:r>
      <w:r>
        <w:rPr>
          <w:rFonts w:ascii="Arial" w:hAnsi="Arial" w:cs="Arial"/>
          <w:color w:val="000000"/>
          <w:sz w:val="22"/>
          <w:szCs w:val="22"/>
        </w:rPr>
        <w:t>dital e representará as consorciadas perante o município;</w:t>
      </w:r>
    </w:p>
    <w:p w14:paraId="6AEEC156">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3.9.2. </w:t>
      </w:r>
      <w:r>
        <w:rPr>
          <w:rFonts w:ascii="Arial" w:hAnsi="Arial" w:cs="Arial"/>
          <w:color w:val="000000"/>
          <w:sz w:val="22"/>
          <w:szCs w:val="22"/>
        </w:rPr>
        <w:t xml:space="preserve">A apresentação da documentação de habilitação especificada no </w:t>
      </w:r>
      <w:r>
        <w:rPr>
          <w:rFonts w:hint="default" w:ascii="Arial" w:hAnsi="Arial" w:cs="Arial"/>
          <w:color w:val="000000"/>
          <w:sz w:val="22"/>
          <w:szCs w:val="22"/>
          <w:lang w:val="pt-BR"/>
        </w:rPr>
        <w:t>E</w:t>
      </w:r>
      <w:r>
        <w:rPr>
          <w:rFonts w:ascii="Arial" w:hAnsi="Arial" w:cs="Arial"/>
          <w:color w:val="000000"/>
          <w:sz w:val="22"/>
          <w:szCs w:val="22"/>
        </w:rPr>
        <w:t>dital por empresa consorciada;</w:t>
      </w:r>
    </w:p>
    <w:p w14:paraId="55651A3A">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3.9.3.</w:t>
      </w:r>
      <w:r>
        <w:rPr>
          <w:rFonts w:hint="default" w:ascii="Arial" w:hAnsi="Arial" w:cs="Arial"/>
          <w:color w:val="000000"/>
          <w:sz w:val="22"/>
          <w:szCs w:val="22"/>
          <w:lang w:val="pt-BR"/>
        </w:rPr>
        <w:t xml:space="preserve"> </w:t>
      </w: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hint="default" w:ascii="Arial" w:hAnsi="Arial" w:cs="Arial"/>
          <w:color w:val="000000"/>
          <w:sz w:val="22"/>
          <w:szCs w:val="22"/>
          <w:lang w:val="pt-BR"/>
        </w:rPr>
        <w:t>E</w:t>
      </w:r>
      <w:r>
        <w:rPr>
          <w:rFonts w:ascii="Arial" w:hAnsi="Arial" w:cs="Arial"/>
          <w:color w:val="000000"/>
          <w:sz w:val="22"/>
          <w:szCs w:val="22"/>
        </w:rPr>
        <w:t>dital;</w:t>
      </w:r>
    </w:p>
    <w:p w14:paraId="2BDD4916">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3.9.4.</w:t>
      </w:r>
      <w:r>
        <w:rPr>
          <w:rFonts w:hint="default" w:ascii="Arial" w:hAnsi="Arial" w:cs="Arial"/>
          <w:color w:val="000000"/>
          <w:sz w:val="22"/>
          <w:szCs w:val="22"/>
          <w:lang w:val="pt-BR"/>
        </w:rPr>
        <w:t xml:space="preserve"> </w:t>
      </w:r>
      <w:r>
        <w:rPr>
          <w:rFonts w:ascii="Arial" w:hAnsi="Arial" w:cs="Arial"/>
          <w:color w:val="000000"/>
          <w:sz w:val="22"/>
          <w:szCs w:val="22"/>
        </w:rPr>
        <w:t xml:space="preserve">A demonstração, por cada empresa consorciada, do atendimento aos índices contábeis definidos no </w:t>
      </w:r>
      <w:r>
        <w:rPr>
          <w:rFonts w:hint="default" w:ascii="Arial" w:hAnsi="Arial" w:cs="Arial"/>
          <w:color w:val="000000"/>
          <w:sz w:val="22"/>
          <w:szCs w:val="22"/>
          <w:lang w:val="pt-BR"/>
        </w:rPr>
        <w:t>E</w:t>
      </w:r>
      <w:r>
        <w:rPr>
          <w:rFonts w:ascii="Arial" w:hAnsi="Arial" w:cs="Arial"/>
          <w:color w:val="000000"/>
          <w:sz w:val="22"/>
          <w:szCs w:val="22"/>
        </w:rPr>
        <w:t>dital, para fins de qualificação econômico-financeira;</w:t>
      </w:r>
    </w:p>
    <w:p w14:paraId="187EE782">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3.9.5. </w:t>
      </w:r>
      <w:r>
        <w:rPr>
          <w:rFonts w:ascii="Arial" w:hAnsi="Arial" w:cs="Arial"/>
          <w:color w:val="000000"/>
          <w:sz w:val="22"/>
          <w:szCs w:val="22"/>
        </w:rPr>
        <w:t>A responsabilidade solidária das empresas consorciadas pelas obrigações do consórcio, nas etapas da licitação e durante a vigência d</w:t>
      </w:r>
      <w:r>
        <w:rPr>
          <w:rFonts w:hint="default" w:ascii="Arial" w:hAnsi="Arial" w:cs="Arial"/>
          <w:color w:val="auto"/>
          <w:sz w:val="22"/>
          <w:szCs w:val="22"/>
          <w:lang w:val="pt-BR"/>
        </w:rPr>
        <w:t>o Contrato</w:t>
      </w:r>
      <w:r>
        <w:rPr>
          <w:rFonts w:ascii="Arial" w:hAnsi="Arial" w:cs="Arial"/>
          <w:color w:val="000000"/>
          <w:sz w:val="22"/>
          <w:szCs w:val="22"/>
        </w:rPr>
        <w:t>;</w:t>
      </w:r>
    </w:p>
    <w:p w14:paraId="68D7DD95">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3.9.6.</w:t>
      </w:r>
      <w:r>
        <w:rPr>
          <w:rFonts w:hint="default" w:ascii="Arial" w:hAnsi="Arial" w:cs="Arial"/>
          <w:color w:val="000000"/>
          <w:sz w:val="22"/>
          <w:szCs w:val="22"/>
          <w:lang w:val="pt-BR"/>
        </w:rPr>
        <w:t xml:space="preserve"> </w:t>
      </w:r>
      <w:r>
        <w:rPr>
          <w:rFonts w:ascii="Arial" w:hAnsi="Arial" w:cs="Arial"/>
          <w:color w:val="000000"/>
          <w:sz w:val="22"/>
          <w:szCs w:val="22"/>
        </w:rPr>
        <w:t>A obrigatoriedade de liderança por empresa brasileira no consórcio formado por empresas brasileiras e estrangeiras; e</w:t>
      </w:r>
    </w:p>
    <w:p w14:paraId="2B97B9D9">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hint="default" w:ascii="Arial" w:hAnsi="Arial" w:cs="Arial"/>
          <w:color w:val="000000"/>
          <w:sz w:val="22"/>
          <w:szCs w:val="22"/>
          <w:lang w:val="pt-BR"/>
        </w:rPr>
      </w:pPr>
      <w:r>
        <w:rPr>
          <w:rFonts w:hint="default" w:ascii="Arial" w:hAnsi="Arial" w:cs="Arial"/>
          <w:b/>
          <w:bCs/>
          <w:color w:val="000000"/>
          <w:sz w:val="22"/>
          <w:szCs w:val="22"/>
          <w:lang w:val="pt-BR"/>
        </w:rPr>
        <w:t xml:space="preserve">3.9.7. </w:t>
      </w:r>
      <w:r>
        <w:rPr>
          <w:rFonts w:ascii="Arial" w:hAnsi="Arial" w:cs="Arial"/>
          <w:color w:val="000000"/>
          <w:sz w:val="22"/>
          <w:szCs w:val="22"/>
        </w:rPr>
        <w:t>A constituição e o registro do consórcio antes da celebração d</w:t>
      </w:r>
      <w:r>
        <w:rPr>
          <w:rFonts w:hint="default" w:ascii="Arial" w:hAnsi="Arial" w:cs="Arial"/>
          <w:color w:val="auto"/>
          <w:sz w:val="22"/>
          <w:szCs w:val="22"/>
          <w:lang w:val="pt-BR"/>
        </w:rPr>
        <w:t>o Contrato;</w:t>
      </w:r>
    </w:p>
    <w:p w14:paraId="5BABC638">
      <w:pPr>
        <w:pStyle w:val="21"/>
        <w:keepNext w:val="0"/>
        <w:keepLines w:val="0"/>
        <w:widowControl/>
        <w:suppressLineNumbers w:val="0"/>
        <w:spacing w:before="225" w:beforeAutospacing="0" w:after="225" w:afterAutospacing="0" w:line="360" w:lineRule="auto"/>
        <w:ind w:left="0" w:right="0" w:firstLine="570"/>
        <w:jc w:val="both"/>
        <w:rPr>
          <w:sz w:val="22"/>
          <w:szCs w:val="22"/>
        </w:rPr>
      </w:pPr>
      <w:r>
        <w:rPr>
          <w:rFonts w:hint="default" w:ascii="Arial" w:hAnsi="Arial" w:cs="Arial"/>
          <w:b/>
          <w:bCs/>
          <w:sz w:val="22"/>
          <w:szCs w:val="22"/>
          <w:lang w:val="pt-BR"/>
        </w:rPr>
        <w:t>3.9.8.</w:t>
      </w:r>
      <w:r>
        <w:rPr>
          <w:rFonts w:hint="default" w:ascii="Arial" w:hAnsi="Arial" w:cs="Arial"/>
          <w:sz w:val="22"/>
          <w:szCs w:val="22"/>
        </w:rPr>
        <w:t xml:space="preserve"> </w:t>
      </w:r>
      <w:r>
        <w:rPr>
          <w:rFonts w:hint="default" w:ascii="Arial" w:hAnsi="Arial" w:cs="Arial"/>
          <w:sz w:val="22"/>
          <w:szCs w:val="22"/>
          <w:lang w:val="pt-BR"/>
        </w:rPr>
        <w:t>Fica estabelecido</w:t>
      </w:r>
      <w:r>
        <w:rPr>
          <w:rFonts w:hint="default" w:ascii="Arial" w:hAnsi="Arial" w:cs="Arial"/>
          <w:sz w:val="22"/>
          <w:szCs w:val="22"/>
        </w:rPr>
        <w:t xml:space="preserve"> para o consórcio</w:t>
      </w:r>
      <w:r>
        <w:rPr>
          <w:rFonts w:hint="default" w:ascii="Arial" w:hAnsi="Arial" w:cs="Arial"/>
          <w:sz w:val="22"/>
          <w:szCs w:val="22"/>
          <w:lang w:val="pt-BR"/>
        </w:rPr>
        <w:t xml:space="preserve"> o</w:t>
      </w:r>
      <w:r>
        <w:rPr>
          <w:rFonts w:hint="default" w:ascii="Arial" w:hAnsi="Arial" w:cs="Arial"/>
          <w:sz w:val="22"/>
          <w:szCs w:val="22"/>
        </w:rPr>
        <w:t xml:space="preserve"> acréscimo de 10% (dez por cento) sobre o valor exigido de licitante individual para a habilitação econômico-financeira</w:t>
      </w:r>
      <w:r>
        <w:rPr>
          <w:rFonts w:hint="default" w:ascii="Arial" w:hAnsi="Arial" w:cs="Arial"/>
          <w:sz w:val="22"/>
          <w:szCs w:val="22"/>
          <w:lang w:val="pt-BR"/>
        </w:rPr>
        <w:t>.</w:t>
      </w:r>
      <w:bookmarkStart w:id="12" w:name="art15§2"/>
      <w:bookmarkEnd w:id="12"/>
      <w:r>
        <w:rPr>
          <w:rFonts w:hint="default" w:ascii="Arial" w:hAnsi="Arial" w:cs="Arial"/>
          <w:sz w:val="22"/>
          <w:szCs w:val="22"/>
        </w:rPr>
        <w:t xml:space="preserve"> O acréscimo  não se aplica aos consórcios compostos, em sua totalidade, de microempresas e pequenas empresas, assim definidas em lei.</w:t>
      </w:r>
    </w:p>
    <w:p w14:paraId="0B55DFEE">
      <w:pPr>
        <w:widowControl w:val="0"/>
        <w:numPr>
          <w:ilvl w:val="0"/>
          <w:numId w:val="0"/>
        </w:numPr>
        <w:tabs>
          <w:tab w:val="left" w:pos="142"/>
          <w:tab w:val="left" w:pos="426"/>
          <w:tab w:val="left" w:pos="851"/>
        </w:tabs>
        <w:adjustRightInd w:val="0"/>
        <w:spacing w:before="240" w:after="240" w:line="360" w:lineRule="auto"/>
        <w:ind w:leftChars="0"/>
        <w:jc w:val="both"/>
        <w:textAlignment w:val="baseline"/>
        <w:rPr>
          <w:rFonts w:ascii="Arial" w:hAnsi="Arial" w:cs="Arial"/>
          <w:sz w:val="22"/>
          <w:szCs w:val="22"/>
        </w:rPr>
      </w:pPr>
      <w:r>
        <w:rPr>
          <w:rFonts w:hint="default" w:ascii="Arial" w:hAnsi="Arial" w:cs="Arial"/>
          <w:b/>
          <w:bCs/>
          <w:color w:val="000000"/>
          <w:sz w:val="22"/>
          <w:szCs w:val="22"/>
          <w:lang w:val="pt-BR"/>
        </w:rPr>
        <w:t xml:space="preserve">3.10. </w:t>
      </w:r>
      <w:r>
        <w:rPr>
          <w:rFonts w:ascii="Arial" w:hAnsi="Arial" w:cs="Arial"/>
          <w:color w:val="000000"/>
          <w:sz w:val="22"/>
          <w:szCs w:val="22"/>
        </w:rPr>
        <w:t>Fica vedada a participação de empresa consorciada, na mesma licitação, por meio de mais de um consórcio ou isoladamente.</w:t>
      </w:r>
    </w:p>
    <w:p w14:paraId="1F70BF20">
      <w:pPr>
        <w:pStyle w:val="26"/>
        <w:widowControl w:val="0"/>
        <w:numPr>
          <w:ilvl w:val="0"/>
          <w:numId w:val="0"/>
        </w:numPr>
        <w:tabs>
          <w:tab w:val="left" w:pos="142"/>
          <w:tab w:val="left" w:pos="426"/>
          <w:tab w:val="left" w:pos="851"/>
          <w:tab w:val="left" w:pos="1276"/>
          <w:tab w:val="left" w:pos="1843"/>
        </w:tabs>
        <w:adjustRightInd w:val="0"/>
        <w:spacing w:before="240" w:after="240" w:line="360" w:lineRule="auto"/>
        <w:ind w:leftChars="0"/>
        <w:textAlignment w:val="baseline"/>
        <w:rPr>
          <w:rFonts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lang w:val="pt-BR"/>
        </w:rPr>
        <w:t xml:space="preserve"> </w:t>
      </w:r>
      <w:r>
        <w:rPr>
          <w:rFonts w:ascii="Arial" w:hAnsi="Arial" w:cs="Arial"/>
          <w:sz w:val="22"/>
          <w:szCs w:val="22"/>
        </w:rPr>
        <w:t>Sob pena de inabilitação ou desclassificação, todos os documentos apresentados deverão referir-se ao mesmo CNPJ constante n</w:t>
      </w:r>
      <w:r>
        <w:rPr>
          <w:rFonts w:hint="default" w:ascii="Arial" w:hAnsi="Arial" w:cs="Arial"/>
          <w:sz w:val="22"/>
          <w:szCs w:val="22"/>
          <w:lang w:val="pt-BR"/>
        </w:rPr>
        <w:t>o credenciamento junto à plataforma eletrônica</w:t>
      </w:r>
      <w:r>
        <w:rPr>
          <w:rFonts w:ascii="Arial" w:hAnsi="Arial" w:cs="Arial"/>
          <w:sz w:val="22"/>
          <w:szCs w:val="22"/>
        </w:rPr>
        <w:t xml:space="preserve">. </w:t>
      </w:r>
    </w:p>
    <w:p w14:paraId="717780AF">
      <w:pPr>
        <w:pStyle w:val="134"/>
        <w:numPr>
          <w:ilvl w:val="0"/>
          <w:numId w:val="0"/>
        </w:numPr>
        <w:spacing w:line="360" w:lineRule="auto"/>
        <w:ind w:leftChars="0"/>
        <w:rPr>
          <w:rFonts w:eastAsia="Times New Roman"/>
          <w:color w:val="auto"/>
          <w:sz w:val="22"/>
          <w:szCs w:val="22"/>
        </w:rPr>
      </w:pPr>
      <w:r>
        <w:rPr>
          <w:rFonts w:hint="default"/>
          <w:b/>
          <w:bCs/>
          <w:color w:val="auto"/>
          <w:sz w:val="22"/>
          <w:szCs w:val="22"/>
          <w:lang w:val="pt-BR"/>
        </w:rPr>
        <w:t xml:space="preserve">3.12. </w:t>
      </w:r>
      <w:r>
        <w:rPr>
          <w:color w:val="auto"/>
          <w:sz w:val="22"/>
          <w:szCs w:val="22"/>
        </w:rPr>
        <w:t xml:space="preserve">Será </w:t>
      </w:r>
      <w:r>
        <w:rPr>
          <w:b w:val="0"/>
          <w:bCs w:val="0"/>
          <w:color w:val="auto"/>
          <w:sz w:val="22"/>
          <w:szCs w:val="22"/>
          <w:u w:val="none"/>
        </w:rPr>
        <w:t xml:space="preserve">concedido tratamento favorecido para as </w:t>
      </w:r>
      <w:r>
        <w:rPr>
          <w:rFonts w:hint="default"/>
          <w:b w:val="0"/>
          <w:bCs w:val="0"/>
          <w:color w:val="auto"/>
          <w:sz w:val="22"/>
          <w:szCs w:val="22"/>
          <w:u w:val="none"/>
          <w:lang w:val="pt-BR"/>
        </w:rPr>
        <w:t>M</w:t>
      </w:r>
      <w:r>
        <w:rPr>
          <w:b w:val="0"/>
          <w:bCs w:val="0"/>
          <w:color w:val="auto"/>
          <w:sz w:val="22"/>
          <w:szCs w:val="22"/>
          <w:u w:val="none"/>
        </w:rPr>
        <w:t xml:space="preserve">icroempresas e </w:t>
      </w:r>
      <w:r>
        <w:rPr>
          <w:rFonts w:hint="default"/>
          <w:b w:val="0"/>
          <w:bCs w:val="0"/>
          <w:color w:val="auto"/>
          <w:sz w:val="22"/>
          <w:szCs w:val="22"/>
          <w:u w:val="none"/>
          <w:lang w:val="pt-BR"/>
        </w:rPr>
        <w:t>E</w:t>
      </w:r>
      <w:r>
        <w:rPr>
          <w:b w:val="0"/>
          <w:bCs w:val="0"/>
          <w:color w:val="auto"/>
          <w:sz w:val="22"/>
          <w:szCs w:val="22"/>
          <w:u w:val="none"/>
        </w:rPr>
        <w:t xml:space="preserve">mpresas de </w:t>
      </w:r>
      <w:r>
        <w:rPr>
          <w:rFonts w:hint="default"/>
          <w:b w:val="0"/>
          <w:bCs w:val="0"/>
          <w:color w:val="auto"/>
          <w:sz w:val="22"/>
          <w:szCs w:val="22"/>
          <w:u w:val="none"/>
          <w:lang w:val="pt-BR"/>
        </w:rPr>
        <w:t>P</w:t>
      </w:r>
      <w:r>
        <w:rPr>
          <w:b w:val="0"/>
          <w:bCs w:val="0"/>
          <w:color w:val="auto"/>
          <w:sz w:val="22"/>
          <w:szCs w:val="22"/>
          <w:u w:val="none"/>
        </w:rPr>
        <w:t xml:space="preserve">equeno </w:t>
      </w:r>
      <w:r>
        <w:rPr>
          <w:rFonts w:hint="default"/>
          <w:b w:val="0"/>
          <w:bCs w:val="0"/>
          <w:color w:val="auto"/>
          <w:sz w:val="22"/>
          <w:szCs w:val="22"/>
          <w:u w:val="none"/>
          <w:lang w:val="pt-BR"/>
        </w:rPr>
        <w:t>P</w:t>
      </w:r>
      <w:r>
        <w:rPr>
          <w:b w:val="0"/>
          <w:bCs w:val="0"/>
          <w:color w:val="auto"/>
          <w:sz w:val="22"/>
          <w:szCs w:val="22"/>
          <w:u w:val="none"/>
        </w:rPr>
        <w:t xml:space="preserve">orte, para as </w:t>
      </w:r>
      <w:r>
        <w:rPr>
          <w:rFonts w:hint="default"/>
          <w:b w:val="0"/>
          <w:bCs w:val="0"/>
          <w:color w:val="auto"/>
          <w:sz w:val="22"/>
          <w:szCs w:val="22"/>
          <w:u w:val="none"/>
          <w:lang w:val="pt-BR"/>
        </w:rPr>
        <w:t>S</w:t>
      </w:r>
      <w:r>
        <w:rPr>
          <w:b w:val="0"/>
          <w:bCs w:val="0"/>
          <w:color w:val="auto"/>
          <w:sz w:val="22"/>
          <w:szCs w:val="22"/>
          <w:u w:val="none"/>
        </w:rPr>
        <w:t xml:space="preserve">ociedades </w:t>
      </w:r>
      <w:r>
        <w:rPr>
          <w:rFonts w:hint="default"/>
          <w:b w:val="0"/>
          <w:bCs w:val="0"/>
          <w:color w:val="auto"/>
          <w:sz w:val="22"/>
          <w:szCs w:val="22"/>
          <w:u w:val="none"/>
          <w:lang w:val="pt-BR"/>
        </w:rPr>
        <w:t>C</w:t>
      </w:r>
      <w:r>
        <w:rPr>
          <w:b w:val="0"/>
          <w:bCs w:val="0"/>
          <w:color w:val="auto"/>
          <w:sz w:val="22"/>
          <w:szCs w:val="22"/>
          <w:u w:val="none"/>
        </w:rPr>
        <w:t xml:space="preserve">ooperativas </w:t>
      </w:r>
      <w:r>
        <w:rPr>
          <w:rFonts w:eastAsia="Times New Roman"/>
          <w:b w:val="0"/>
          <w:bCs w:val="0"/>
          <w:color w:val="auto"/>
          <w:sz w:val="22"/>
          <w:szCs w:val="22"/>
          <w:u w:val="none"/>
        </w:rPr>
        <w:t xml:space="preserve">mencionadas no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\l "art16" \h </w:instrText>
      </w:r>
      <w:r>
        <w:rPr>
          <w:b w:val="0"/>
          <w:bCs w:val="0"/>
          <w:color w:val="auto"/>
          <w:sz w:val="22"/>
          <w:szCs w:val="22"/>
          <w:u w:val="none"/>
        </w:rPr>
        <w:fldChar w:fldCharType="separate"/>
      </w:r>
      <w:r>
        <w:rPr>
          <w:rStyle w:val="15"/>
          <w:rFonts w:eastAsia="Times New Roman"/>
          <w:b w:val="0"/>
          <w:bCs w:val="0"/>
          <w:color w:val="auto"/>
          <w:sz w:val="22"/>
          <w:szCs w:val="22"/>
          <w:u w:val="none"/>
        </w:rPr>
        <w:t xml:space="preserve">artigo </w:t>
      </w:r>
      <w:r>
        <w:rPr>
          <w:rStyle w:val="15"/>
          <w:b w:val="0"/>
          <w:bCs w:val="0"/>
          <w:color w:val="auto"/>
          <w:sz w:val="22"/>
          <w:szCs w:val="22"/>
          <w:u w:val="none"/>
        </w:rPr>
        <w:t xml:space="preserve">16 da Lei </w:t>
      </w:r>
      <w:r>
        <w:rPr>
          <w:rStyle w:val="15"/>
          <w:rFonts w:hint="default"/>
          <w:b w:val="0"/>
          <w:bCs w:val="0"/>
          <w:color w:val="auto"/>
          <w:sz w:val="22"/>
          <w:szCs w:val="22"/>
          <w:u w:val="none"/>
          <w:lang w:val="pt-BR"/>
        </w:rPr>
        <w:t xml:space="preserve">Federal </w:t>
      </w:r>
      <w:r>
        <w:rPr>
          <w:rStyle w:val="15"/>
          <w:b w:val="0"/>
          <w:bCs w:val="0"/>
          <w:color w:val="auto"/>
          <w:sz w:val="22"/>
          <w:szCs w:val="22"/>
          <w:u w:val="none"/>
        </w:rPr>
        <w:t>nº 14.133</w:t>
      </w:r>
      <w:r>
        <w:rPr>
          <w:rStyle w:val="15"/>
          <w:rFonts w:hint="default"/>
          <w:b w:val="0"/>
          <w:bCs w:val="0"/>
          <w:color w:val="auto"/>
          <w:sz w:val="22"/>
          <w:szCs w:val="22"/>
          <w:u w:val="none"/>
          <w:lang w:val="pt-BR"/>
        </w:rPr>
        <w:t>/</w:t>
      </w:r>
      <w:r>
        <w:rPr>
          <w:rStyle w:val="15"/>
          <w:b w:val="0"/>
          <w:bCs w:val="0"/>
          <w:color w:val="auto"/>
          <w:sz w:val="22"/>
          <w:szCs w:val="22"/>
          <w:u w:val="none"/>
        </w:rPr>
        <w:t>2021</w:t>
      </w:r>
      <w:r>
        <w:rPr>
          <w:rStyle w:val="15"/>
          <w:b w:val="0"/>
          <w:bCs w:val="0"/>
          <w:color w:val="auto"/>
          <w:sz w:val="22"/>
          <w:szCs w:val="22"/>
          <w:u w:val="none"/>
        </w:rPr>
        <w:fldChar w:fldCharType="end"/>
      </w:r>
      <w:r>
        <w:rPr>
          <w:b w:val="0"/>
          <w:bCs w:val="0"/>
          <w:color w:val="auto"/>
          <w:sz w:val="22"/>
          <w:szCs w:val="22"/>
          <w:u w:val="none"/>
        </w:rPr>
        <w:t xml:space="preserve">, para o </w:t>
      </w:r>
      <w:r>
        <w:rPr>
          <w:rFonts w:hint="default"/>
          <w:b w:val="0"/>
          <w:bCs w:val="0"/>
          <w:color w:val="auto"/>
          <w:sz w:val="22"/>
          <w:szCs w:val="22"/>
          <w:u w:val="none"/>
          <w:lang w:val="pt-BR"/>
        </w:rPr>
        <w:t>A</w:t>
      </w:r>
      <w:r>
        <w:rPr>
          <w:b w:val="0"/>
          <w:bCs w:val="0"/>
          <w:color w:val="auto"/>
          <w:sz w:val="22"/>
          <w:szCs w:val="22"/>
          <w:u w:val="none"/>
        </w:rPr>
        <w:t xml:space="preserve">gricultor </w:t>
      </w:r>
      <w:r>
        <w:rPr>
          <w:rFonts w:hint="default"/>
          <w:b w:val="0"/>
          <w:bCs w:val="0"/>
          <w:color w:val="auto"/>
          <w:sz w:val="22"/>
          <w:szCs w:val="22"/>
          <w:u w:val="none"/>
          <w:lang w:val="pt-BR"/>
        </w:rPr>
        <w:t>F</w:t>
      </w:r>
      <w:r>
        <w:rPr>
          <w:b w:val="0"/>
          <w:bCs w:val="0"/>
          <w:color w:val="auto"/>
          <w:sz w:val="22"/>
          <w:szCs w:val="22"/>
          <w:u w:val="none"/>
        </w:rPr>
        <w:t xml:space="preserve">amiliar, o </w:t>
      </w:r>
      <w:r>
        <w:rPr>
          <w:rFonts w:hint="default"/>
          <w:b w:val="0"/>
          <w:bCs w:val="0"/>
          <w:color w:val="auto"/>
          <w:sz w:val="22"/>
          <w:szCs w:val="22"/>
          <w:u w:val="none"/>
          <w:lang w:val="pt-BR"/>
        </w:rPr>
        <w:t>P</w:t>
      </w:r>
      <w:r>
        <w:rPr>
          <w:b w:val="0"/>
          <w:bCs w:val="0"/>
          <w:color w:val="auto"/>
          <w:sz w:val="22"/>
          <w:szCs w:val="22"/>
          <w:u w:val="none"/>
        </w:rPr>
        <w:t xml:space="preserve">rodutor </w:t>
      </w:r>
      <w:r>
        <w:rPr>
          <w:rFonts w:hint="default"/>
          <w:b w:val="0"/>
          <w:bCs w:val="0"/>
          <w:color w:val="auto"/>
          <w:sz w:val="22"/>
          <w:szCs w:val="22"/>
          <w:u w:val="none"/>
          <w:lang w:val="pt-BR"/>
        </w:rPr>
        <w:t>R</w:t>
      </w:r>
      <w:r>
        <w:rPr>
          <w:b w:val="0"/>
          <w:bCs w:val="0"/>
          <w:color w:val="auto"/>
          <w:sz w:val="22"/>
          <w:szCs w:val="22"/>
          <w:u w:val="none"/>
        </w:rPr>
        <w:t xml:space="preserve">ural pessoa física e para o </w:t>
      </w:r>
      <w:r>
        <w:rPr>
          <w:rFonts w:hint="default"/>
          <w:b w:val="0"/>
          <w:bCs w:val="0"/>
          <w:color w:val="auto"/>
          <w:sz w:val="22"/>
          <w:szCs w:val="22"/>
          <w:u w:val="none"/>
          <w:lang w:val="pt-BR"/>
        </w:rPr>
        <w:t>M</w:t>
      </w:r>
      <w:r>
        <w:rPr>
          <w:b w:val="0"/>
          <w:bCs w:val="0"/>
          <w:color w:val="auto"/>
          <w:sz w:val="22"/>
          <w:szCs w:val="22"/>
          <w:u w:val="none"/>
        </w:rPr>
        <w:t xml:space="preserve">icroempreendedor </w:t>
      </w:r>
      <w:r>
        <w:rPr>
          <w:rFonts w:hint="default"/>
          <w:b w:val="0"/>
          <w:bCs w:val="0"/>
          <w:color w:val="auto"/>
          <w:sz w:val="22"/>
          <w:szCs w:val="22"/>
          <w:u w:val="none"/>
          <w:lang w:val="pt-BR"/>
        </w:rPr>
        <w:t>I</w:t>
      </w:r>
      <w:r>
        <w:rPr>
          <w:b w:val="0"/>
          <w:bCs w:val="0"/>
          <w:color w:val="auto"/>
          <w:sz w:val="22"/>
          <w:szCs w:val="22"/>
          <w:u w:val="none"/>
        </w:rPr>
        <w:t xml:space="preserve">ndividual - MEI, nos limites previstos da </w:t>
      </w:r>
      <w:r>
        <w:rPr>
          <w:b w:val="0"/>
          <w:bCs w:val="0"/>
          <w:color w:val="auto"/>
          <w:sz w:val="22"/>
          <w:szCs w:val="22"/>
          <w:u w:val="none"/>
        </w:rPr>
        <w:fldChar w:fldCharType="begin"/>
      </w:r>
      <w:r>
        <w:rPr>
          <w:b w:val="0"/>
          <w:bCs w:val="0"/>
          <w:color w:val="auto"/>
          <w:sz w:val="22"/>
          <w:szCs w:val="22"/>
          <w:u w:val="none"/>
        </w:rPr>
        <w:instrText xml:space="preserve"> HYPERLINK "https://www.planalto.gov.br/ccivil_03/leis/lcp/lcp123.htm" \h </w:instrText>
      </w:r>
      <w:r>
        <w:rPr>
          <w:b w:val="0"/>
          <w:bCs w:val="0"/>
          <w:color w:val="auto"/>
          <w:sz w:val="22"/>
          <w:szCs w:val="22"/>
          <w:u w:val="none"/>
        </w:rPr>
        <w:fldChar w:fldCharType="separate"/>
      </w:r>
      <w:r>
        <w:rPr>
          <w:rStyle w:val="15"/>
          <w:b w:val="0"/>
          <w:bCs w:val="0"/>
          <w:color w:val="auto"/>
          <w:sz w:val="22"/>
          <w:szCs w:val="22"/>
          <w:u w:val="none"/>
        </w:rPr>
        <w:t>Lei Complementar nº 123</w:t>
      </w:r>
      <w:r>
        <w:rPr>
          <w:rStyle w:val="15"/>
          <w:rFonts w:hint="default"/>
          <w:b w:val="0"/>
          <w:bCs w:val="0"/>
          <w:color w:val="auto"/>
          <w:sz w:val="22"/>
          <w:szCs w:val="22"/>
          <w:u w:val="none"/>
          <w:lang w:val="pt-BR"/>
        </w:rPr>
        <w:t>/</w:t>
      </w:r>
      <w:r>
        <w:rPr>
          <w:rStyle w:val="15"/>
          <w:b w:val="0"/>
          <w:bCs w:val="0"/>
          <w:color w:val="auto"/>
          <w:sz w:val="22"/>
          <w:szCs w:val="22"/>
          <w:u w:val="none"/>
        </w:rPr>
        <w:t>2006</w:t>
      </w:r>
      <w:r>
        <w:rPr>
          <w:rStyle w:val="15"/>
          <w:b w:val="0"/>
          <w:bCs w:val="0"/>
          <w:color w:val="auto"/>
          <w:sz w:val="22"/>
          <w:szCs w:val="22"/>
          <w:u w:val="none"/>
        </w:rPr>
        <w:fldChar w:fldCharType="end"/>
      </w:r>
      <w:r>
        <w:rPr>
          <w:b w:val="0"/>
          <w:bCs w:val="0"/>
          <w:color w:val="auto"/>
          <w:sz w:val="22"/>
          <w:szCs w:val="22"/>
          <w:u w:val="none"/>
        </w:rPr>
        <w:t xml:space="preserve"> e do De</w:t>
      </w:r>
      <w:r>
        <w:rPr>
          <w:color w:val="auto"/>
          <w:sz w:val="22"/>
          <w:szCs w:val="22"/>
        </w:rPr>
        <w:t>creto n.º 8.538</w:t>
      </w:r>
      <w:r>
        <w:rPr>
          <w:rFonts w:hint="default"/>
          <w:color w:val="auto"/>
          <w:sz w:val="22"/>
          <w:szCs w:val="22"/>
          <w:lang w:val="pt-BR"/>
        </w:rPr>
        <w:t>/</w:t>
      </w:r>
      <w:r>
        <w:rPr>
          <w:color w:val="auto"/>
          <w:sz w:val="22"/>
          <w:szCs w:val="22"/>
        </w:rPr>
        <w:t>2015.</w:t>
      </w:r>
    </w:p>
    <w:p w14:paraId="37966268">
      <w:pPr>
        <w:pStyle w:val="138"/>
        <w:numPr>
          <w:ilvl w:val="0"/>
          <w:numId w:val="0"/>
        </w:numPr>
        <w:spacing w:line="360" w:lineRule="auto"/>
        <w:ind w:left="4" w:leftChars="0" w:hanging="4" w:firstLineChars="0"/>
        <w:rPr>
          <w:i w:val="0"/>
          <w:iCs w:val="0"/>
          <w:color w:val="auto"/>
          <w:sz w:val="22"/>
          <w:szCs w:val="22"/>
        </w:rPr>
      </w:pPr>
      <w:bookmarkStart w:id="13" w:name="_Ref117015508"/>
      <w:r>
        <w:rPr>
          <w:rFonts w:hint="default"/>
          <w:b/>
          <w:bCs/>
          <w:i w:val="0"/>
          <w:iCs w:val="0"/>
          <w:color w:val="auto"/>
          <w:sz w:val="22"/>
          <w:szCs w:val="22"/>
          <w:lang w:val="pt-BR"/>
        </w:rPr>
        <w:t xml:space="preserve">3.13. </w:t>
      </w:r>
      <w:r>
        <w:rPr>
          <w:i w:val="0"/>
          <w:iCs w:val="0"/>
          <w:color w:val="auto"/>
          <w:sz w:val="22"/>
          <w:szCs w:val="22"/>
        </w:rPr>
        <w:t xml:space="preserve">A obtenção do benefício a que se refere o item anterior fica limitada às </w:t>
      </w:r>
      <w:r>
        <w:rPr>
          <w:rFonts w:hint="default"/>
          <w:i w:val="0"/>
          <w:iCs w:val="0"/>
          <w:color w:val="auto"/>
          <w:sz w:val="22"/>
          <w:szCs w:val="22"/>
          <w:lang w:val="pt-BR"/>
        </w:rPr>
        <w:t>M</w:t>
      </w:r>
      <w:r>
        <w:rPr>
          <w:i w:val="0"/>
          <w:iCs w:val="0"/>
          <w:color w:val="auto"/>
          <w:sz w:val="22"/>
          <w:szCs w:val="22"/>
        </w:rPr>
        <w:t xml:space="preserve">icroempresas e às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w:t>
      </w:r>
      <w:bookmarkEnd w:id="13"/>
    </w:p>
    <w:p w14:paraId="38BDC5A0">
      <w:pPr>
        <w:pStyle w:val="21"/>
        <w:keepNext w:val="0"/>
        <w:keepLines w:val="0"/>
        <w:widowControl/>
        <w:suppressLineNumbers w:val="0"/>
        <w:spacing w:before="225" w:beforeAutospacing="0" w:after="225" w:afterAutospacing="0" w:line="360" w:lineRule="auto"/>
        <w:jc w:val="both"/>
        <w:rPr>
          <w:rFonts w:hint="default"/>
          <w:i w:val="0"/>
          <w:iCs w:val="0"/>
          <w:sz w:val="22"/>
          <w:szCs w:val="22"/>
          <w:lang w:val="pt-BR"/>
        </w:rPr>
      </w:pPr>
      <w:r>
        <w:rPr>
          <w:rFonts w:hint="default" w:ascii="Arial" w:hAnsi="Arial" w:cs="Arial"/>
          <w:b/>
          <w:bCs/>
          <w:i w:val="0"/>
          <w:iCs w:val="0"/>
          <w:sz w:val="22"/>
          <w:szCs w:val="22"/>
          <w:lang w:val="pt-BR"/>
        </w:rPr>
        <w:t>3.14.</w:t>
      </w:r>
      <w:r>
        <w:rPr>
          <w:rFonts w:hint="default" w:ascii="Arial" w:hAnsi="Arial" w:cs="Arial"/>
          <w:i w:val="0"/>
          <w:iCs w:val="0"/>
          <w:sz w:val="22"/>
          <w:szCs w:val="22"/>
          <w:lang w:val="pt-BR"/>
        </w:rPr>
        <w:t xml:space="preserve"> Não será concedido tratamento diferenciado </w:t>
      </w:r>
      <w:r>
        <w:rPr>
          <w:rFonts w:hint="default" w:ascii="Arial" w:hAnsi="Arial" w:cs="Arial"/>
          <w:i w:val="0"/>
          <w:iCs w:val="0"/>
          <w:sz w:val="22"/>
          <w:szCs w:val="22"/>
        </w:rPr>
        <w:t xml:space="preserve">no caso de licitação para aquisição de bens ou contratação de serviços </w:t>
      </w:r>
      <w:r>
        <w:rPr>
          <w:rFonts w:hint="default" w:ascii="Arial" w:hAnsi="Arial" w:cs="Arial"/>
          <w:i w:val="0"/>
          <w:iCs w:val="0"/>
          <w:sz w:val="22"/>
          <w:szCs w:val="22"/>
          <w:lang w:val="pt-BR"/>
        </w:rPr>
        <w:t>comuns, até mesmo de engenharia</w:t>
      </w:r>
      <w:r>
        <w:rPr>
          <w:rFonts w:hint="default" w:ascii="Arial" w:hAnsi="Arial" w:cs="Arial"/>
          <w:i w:val="0"/>
          <w:iCs w:val="0"/>
          <w:sz w:val="22"/>
          <w:szCs w:val="22"/>
        </w:rPr>
        <w:t xml:space="preserve">, ao item </w:t>
      </w:r>
      <w:r>
        <w:rPr>
          <w:rFonts w:hint="default" w:ascii="Arial" w:hAnsi="Arial" w:cs="Arial"/>
          <w:i w:val="0"/>
          <w:iCs w:val="0"/>
          <w:sz w:val="22"/>
          <w:szCs w:val="22"/>
          <w:lang w:val="pt-BR"/>
        </w:rPr>
        <w:t xml:space="preserve">ou lote </w:t>
      </w:r>
      <w:r>
        <w:rPr>
          <w:rFonts w:hint="default" w:ascii="Arial" w:hAnsi="Arial" w:cs="Arial"/>
          <w:i w:val="0"/>
          <w:iCs w:val="0"/>
          <w:sz w:val="22"/>
          <w:szCs w:val="22"/>
        </w:rPr>
        <w:t xml:space="preserve">cujo valor estimado for superior à receita bruta máxima admitida para fins de enquadramento como </w:t>
      </w:r>
      <w:r>
        <w:rPr>
          <w:rFonts w:hint="default" w:ascii="Arial" w:hAnsi="Arial" w:cs="Arial"/>
          <w:i w:val="0"/>
          <w:iCs w:val="0"/>
          <w:sz w:val="22"/>
          <w:szCs w:val="22"/>
          <w:lang w:val="pt-BR"/>
        </w:rPr>
        <w:t>E</w:t>
      </w:r>
      <w:r>
        <w:rPr>
          <w:rFonts w:hint="default" w:ascii="Arial" w:hAnsi="Arial" w:cs="Arial"/>
          <w:i w:val="0"/>
          <w:iCs w:val="0"/>
          <w:sz w:val="22"/>
          <w:szCs w:val="22"/>
        </w:rPr>
        <w:t xml:space="preserve">mpresa de </w:t>
      </w:r>
      <w:r>
        <w:rPr>
          <w:rFonts w:hint="default" w:ascii="Arial" w:hAnsi="Arial" w:cs="Arial"/>
          <w:i w:val="0"/>
          <w:iCs w:val="0"/>
          <w:sz w:val="22"/>
          <w:szCs w:val="22"/>
          <w:lang w:val="pt-BR"/>
        </w:rPr>
        <w:t>P</w:t>
      </w:r>
      <w:r>
        <w:rPr>
          <w:rFonts w:hint="default" w:ascii="Arial" w:hAnsi="Arial" w:cs="Arial"/>
          <w:i w:val="0"/>
          <w:iCs w:val="0"/>
          <w:sz w:val="22"/>
          <w:szCs w:val="22"/>
        </w:rPr>
        <w:t>equeno</w:t>
      </w:r>
      <w:r>
        <w:rPr>
          <w:rFonts w:hint="default" w:ascii="Arial" w:hAnsi="Arial" w:cs="Arial"/>
          <w:i w:val="0"/>
          <w:iCs w:val="0"/>
          <w:sz w:val="22"/>
          <w:szCs w:val="22"/>
          <w:lang w:val="pt-BR"/>
        </w:rPr>
        <w:t xml:space="preserve"> P</w:t>
      </w:r>
      <w:r>
        <w:rPr>
          <w:rFonts w:hint="default" w:ascii="Arial" w:hAnsi="Arial" w:cs="Arial"/>
          <w:i w:val="0"/>
          <w:iCs w:val="0"/>
          <w:sz w:val="22"/>
          <w:szCs w:val="22"/>
        </w:rPr>
        <w:t>orte</w:t>
      </w:r>
      <w:r>
        <w:rPr>
          <w:rFonts w:hint="default" w:ascii="Arial" w:hAnsi="Arial" w:cs="Arial"/>
          <w:i w:val="0"/>
          <w:iCs w:val="0"/>
          <w:sz w:val="22"/>
          <w:szCs w:val="22"/>
          <w:lang w:val="pt-BR"/>
        </w:rPr>
        <w:t>.</w:t>
      </w:r>
    </w:p>
    <w:p w14:paraId="371A3381">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bookmarkStart w:id="14" w:name="art4§1ii"/>
      <w:bookmarkEnd w:id="14"/>
      <w:r>
        <w:rPr>
          <w:rFonts w:cs="Arial"/>
          <w:sz w:val="22"/>
          <w:szCs w:val="22"/>
        </w:rPr>
        <w:t>4. D</w:t>
      </w:r>
      <w:r>
        <w:rPr>
          <w:rFonts w:hint="default" w:cs="Arial"/>
          <w:sz w:val="22"/>
          <w:szCs w:val="22"/>
          <w:lang w:val="pt-BR"/>
        </w:rPr>
        <w:t xml:space="preserve">OS ESCLARECIMENTOS E DA IMPUGNAÇÃO </w:t>
      </w:r>
    </w:p>
    <w:p w14:paraId="5C5C57D6">
      <w:pPr>
        <w:pStyle w:val="134"/>
        <w:numPr>
          <w:ilvl w:val="0"/>
          <w:numId w:val="0"/>
        </w:numPr>
        <w:spacing w:line="360" w:lineRule="auto"/>
        <w:ind w:leftChars="0"/>
        <w:rPr>
          <w:rStyle w:val="15"/>
          <w:rFonts w:hint="default" w:ascii="Arial" w:hAnsi="Arial" w:cs="Arial"/>
          <w:color w:val="000000"/>
          <w:sz w:val="22"/>
          <w:szCs w:val="22"/>
          <w:u w:val="none"/>
          <w:lang w:val="pt-BR"/>
        </w:rPr>
      </w:pPr>
      <w:r>
        <w:rPr>
          <w:rFonts w:hint="default"/>
          <w:b/>
          <w:bCs/>
          <w:sz w:val="22"/>
          <w:szCs w:val="22"/>
          <w:lang w:val="pt-BR"/>
        </w:rPr>
        <w:t>4.1.</w:t>
      </w:r>
      <w:r>
        <w:rPr>
          <w:rFonts w:hint="default"/>
          <w:sz w:val="22"/>
          <w:szCs w:val="22"/>
          <w:lang w:val="pt-BR"/>
        </w:rPr>
        <w:t xml:space="preserve"> </w:t>
      </w:r>
      <w:r>
        <w:rPr>
          <w:rFonts w:hint="default" w:ascii="Arial" w:hAnsi="Arial" w:cs="Arial"/>
          <w:sz w:val="22"/>
          <w:szCs w:val="22"/>
        </w:rPr>
        <w:t xml:space="preserve">Qualquer pessoa é parte legítima para impugnar este Edital por irregularidade na aplicação da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w:instrText>
      </w:r>
      <w:r>
        <w:rPr>
          <w:rFonts w:hint="default" w:ascii="Arial" w:hAnsi="Arial" w:cs="Arial"/>
          <w:sz w:val="22"/>
          <w:szCs w:val="22"/>
        </w:rPr>
        <w:fldChar w:fldCharType="separate"/>
      </w:r>
      <w:r>
        <w:rPr>
          <w:rStyle w:val="15"/>
          <w:rFonts w:hint="default" w:ascii="Arial" w:hAnsi="Arial" w:cs="Arial"/>
          <w:color w:val="000000"/>
          <w:sz w:val="22"/>
          <w:szCs w:val="22"/>
          <w:u w:val="none"/>
        </w:rPr>
        <w:t xml:space="preserve">Lei </w:t>
      </w:r>
      <w:r>
        <w:rPr>
          <w:rStyle w:val="15"/>
          <w:rFonts w:hint="default" w:ascii="Arial" w:hAnsi="Arial" w:cs="Arial"/>
          <w:color w:val="000000"/>
          <w:sz w:val="22"/>
          <w:szCs w:val="22"/>
          <w:u w:val="none"/>
          <w:lang w:val="pt-BR"/>
        </w:rPr>
        <w:t xml:space="preserve">Federal </w:t>
      </w:r>
      <w:r>
        <w:rPr>
          <w:rStyle w:val="15"/>
          <w:rFonts w:hint="default" w:ascii="Arial" w:hAnsi="Arial" w:cs="Arial"/>
          <w:color w:val="000000"/>
          <w:sz w:val="22"/>
          <w:szCs w:val="22"/>
          <w:u w:val="none"/>
        </w:rPr>
        <w:t>nº 14.133</w:t>
      </w:r>
      <w:r>
        <w:rPr>
          <w:rStyle w:val="15"/>
          <w:rFonts w:hint="default" w:ascii="Arial" w:hAnsi="Arial" w:cs="Arial"/>
          <w:color w:val="000000"/>
          <w:sz w:val="22"/>
          <w:szCs w:val="22"/>
          <w:u w:val="none"/>
          <w:lang w:val="pt-BR"/>
        </w:rPr>
        <w:t>/</w:t>
      </w:r>
      <w:r>
        <w:rPr>
          <w:rStyle w:val="15"/>
          <w:rFonts w:hint="default" w:ascii="Arial" w:hAnsi="Arial" w:cs="Arial"/>
          <w:color w:val="000000"/>
          <w:sz w:val="22"/>
          <w:szCs w:val="22"/>
          <w:u w:val="none"/>
        </w:rPr>
        <w:t>2021</w:t>
      </w:r>
      <w:r>
        <w:rPr>
          <w:rStyle w:val="15"/>
          <w:rFonts w:hint="default" w:ascii="Arial" w:hAnsi="Arial" w:cs="Arial"/>
          <w:color w:val="000000"/>
          <w:sz w:val="22"/>
          <w:szCs w:val="22"/>
          <w:u w:val="none"/>
        </w:rPr>
        <w:fldChar w:fldCharType="end"/>
      </w:r>
      <w:r>
        <w:rPr>
          <w:rFonts w:hint="default" w:ascii="Arial" w:hAnsi="Arial" w:cs="Arial"/>
          <w:sz w:val="22"/>
          <w:szCs w:val="22"/>
        </w:rPr>
        <w:t xml:space="preserve"> </w:t>
      </w:r>
      <w:r>
        <w:rPr>
          <w:rFonts w:hint="default" w:ascii="Arial" w:hAnsi="Arial" w:cs="Arial"/>
          <w:sz w:val="22"/>
          <w:szCs w:val="22"/>
          <w:lang w:val="pt-BR"/>
        </w:rPr>
        <w:t>o</w:t>
      </w:r>
      <w:r>
        <w:rPr>
          <w:rFonts w:hint="default" w:ascii="Arial" w:hAnsi="Arial" w:cs="Arial"/>
          <w:sz w:val="22"/>
          <w:szCs w:val="22"/>
        </w:rPr>
        <w:t>u para solicitar esclarecimento</w:t>
      </w:r>
      <w:r>
        <w:rPr>
          <w:rFonts w:hint="default" w:ascii="Arial" w:hAnsi="Arial" w:cs="Arial"/>
          <w:sz w:val="22"/>
          <w:szCs w:val="22"/>
          <w:lang w:val="pt-BR"/>
        </w:rPr>
        <w:t>s</w:t>
      </w:r>
      <w:r>
        <w:rPr>
          <w:rFonts w:hint="default" w:ascii="Arial" w:hAnsi="Arial" w:cs="Arial"/>
          <w:sz w:val="22"/>
          <w:szCs w:val="22"/>
        </w:rPr>
        <w:t xml:space="preserve"> sobre os seus termos</w:t>
      </w:r>
      <w:r>
        <w:rPr>
          <w:rFonts w:hint="default" w:ascii="Arial" w:hAnsi="Arial" w:cs="Arial"/>
          <w:sz w:val="22"/>
          <w:szCs w:val="22"/>
          <w:lang w:val="pt-BR"/>
        </w:rPr>
        <w:t xml:space="preserve">, </w:t>
      </w:r>
      <w:r>
        <w:rPr>
          <w:rFonts w:hint="default" w:ascii="Arial" w:hAnsi="Arial" w:cs="Arial"/>
          <w:sz w:val="22"/>
          <w:szCs w:val="22"/>
        </w:rPr>
        <w:t>devendo protocolar o pedido até 3 (três) dias úteis antes da data da abertura do certame</w:t>
      </w:r>
      <w:r>
        <w:rPr>
          <w:rFonts w:hint="default" w:ascii="Arial" w:hAnsi="Arial" w:cs="Arial"/>
          <w:sz w:val="22"/>
          <w:szCs w:val="22"/>
          <w:lang w:val="pt-BR"/>
        </w:rPr>
        <w:t xml:space="preserve">, conforme preceitua o art. 164 </w:t>
      </w:r>
      <w:r>
        <w:rPr>
          <w:rFonts w:hint="default" w:ascii="Arial" w:hAnsi="Arial" w:cs="Arial"/>
          <w:sz w:val="22"/>
          <w:szCs w:val="22"/>
        </w:rPr>
        <w:t xml:space="preserve">da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w:instrText>
      </w:r>
      <w:r>
        <w:rPr>
          <w:rFonts w:hint="default" w:ascii="Arial" w:hAnsi="Arial" w:cs="Arial"/>
          <w:sz w:val="22"/>
          <w:szCs w:val="22"/>
        </w:rPr>
        <w:fldChar w:fldCharType="separate"/>
      </w:r>
      <w:r>
        <w:rPr>
          <w:rStyle w:val="15"/>
          <w:rFonts w:hint="default" w:ascii="Arial" w:hAnsi="Arial" w:cs="Arial"/>
          <w:color w:val="000000"/>
          <w:sz w:val="22"/>
          <w:szCs w:val="22"/>
          <w:u w:val="none"/>
        </w:rPr>
        <w:t xml:space="preserve">Lei </w:t>
      </w:r>
      <w:r>
        <w:rPr>
          <w:rStyle w:val="15"/>
          <w:rFonts w:hint="default" w:ascii="Arial" w:hAnsi="Arial" w:cs="Arial"/>
          <w:color w:val="000000"/>
          <w:sz w:val="22"/>
          <w:szCs w:val="22"/>
          <w:u w:val="none"/>
          <w:lang w:val="pt-BR"/>
        </w:rPr>
        <w:t xml:space="preserve">Federal </w:t>
      </w:r>
      <w:r>
        <w:rPr>
          <w:rStyle w:val="15"/>
          <w:rFonts w:hint="default" w:ascii="Arial" w:hAnsi="Arial" w:cs="Arial"/>
          <w:color w:val="000000"/>
          <w:sz w:val="22"/>
          <w:szCs w:val="22"/>
          <w:u w:val="none"/>
        </w:rPr>
        <w:t>nº 14.133</w:t>
      </w:r>
      <w:r>
        <w:rPr>
          <w:rStyle w:val="15"/>
          <w:rFonts w:hint="default" w:ascii="Arial" w:hAnsi="Arial" w:cs="Arial"/>
          <w:color w:val="000000"/>
          <w:sz w:val="22"/>
          <w:szCs w:val="22"/>
          <w:u w:val="none"/>
          <w:lang w:val="pt-BR"/>
        </w:rPr>
        <w:t>/</w:t>
      </w:r>
      <w:r>
        <w:rPr>
          <w:rStyle w:val="15"/>
          <w:rFonts w:hint="default" w:ascii="Arial" w:hAnsi="Arial" w:cs="Arial"/>
          <w:color w:val="000000"/>
          <w:sz w:val="22"/>
          <w:szCs w:val="22"/>
          <w:u w:val="none"/>
        </w:rPr>
        <w:t>2021</w:t>
      </w:r>
      <w:r>
        <w:rPr>
          <w:rStyle w:val="15"/>
          <w:rFonts w:hint="default" w:ascii="Arial" w:hAnsi="Arial" w:cs="Arial"/>
          <w:color w:val="000000"/>
          <w:sz w:val="22"/>
          <w:szCs w:val="22"/>
          <w:u w:val="none"/>
        </w:rPr>
        <w:fldChar w:fldCharType="end"/>
      </w:r>
      <w:r>
        <w:rPr>
          <w:rStyle w:val="15"/>
          <w:rFonts w:hint="default" w:ascii="Arial" w:hAnsi="Arial" w:cs="Arial"/>
          <w:color w:val="000000"/>
          <w:sz w:val="22"/>
          <w:szCs w:val="22"/>
          <w:u w:val="none"/>
          <w:lang w:val="pt-BR"/>
        </w:rPr>
        <w:t>.</w:t>
      </w:r>
    </w:p>
    <w:p w14:paraId="3A82B938">
      <w:pPr>
        <w:spacing w:before="240" w:after="240" w:line="360" w:lineRule="auto"/>
        <w:jc w:val="both"/>
        <w:rPr>
          <w:rFonts w:hint="default" w:ascii="Arial" w:hAnsi="Arial" w:cs="Arial"/>
          <w:snapToGrid w:val="0"/>
          <w:sz w:val="22"/>
          <w:szCs w:val="22"/>
        </w:rPr>
      </w:pPr>
      <w:r>
        <w:rPr>
          <w:rFonts w:hint="default" w:ascii="Arial" w:hAnsi="Arial" w:cs="Arial"/>
          <w:b/>
          <w:bCs/>
          <w:sz w:val="22"/>
          <w:szCs w:val="22"/>
          <w:lang w:val="pt-BR"/>
        </w:rPr>
        <w:t xml:space="preserve">4.2. </w:t>
      </w:r>
      <w:r>
        <w:rPr>
          <w:rFonts w:hint="default" w:ascii="Arial" w:hAnsi="Arial" w:cs="Arial"/>
          <w:sz w:val="22"/>
          <w:szCs w:val="22"/>
        </w:rPr>
        <w:t>O Pregoeiro responderá à impugnação ou ao pedido de esclarecimento</w:t>
      </w:r>
      <w:r>
        <w:rPr>
          <w:rFonts w:hint="default" w:ascii="Arial" w:hAnsi="Arial" w:cs="Arial"/>
          <w:sz w:val="22"/>
          <w:szCs w:val="22"/>
          <w:lang w:val="pt-BR"/>
        </w:rPr>
        <w:t>s e</w:t>
      </w:r>
      <w:r>
        <w:rPr>
          <w:rFonts w:hint="default" w:ascii="Arial" w:hAnsi="Arial" w:cs="Arial"/>
          <w:sz w:val="22"/>
          <w:szCs w:val="22"/>
        </w:rPr>
        <w:t xml:space="preserve"> </w:t>
      </w:r>
      <w:r>
        <w:rPr>
          <w:rFonts w:hint="default" w:ascii="Arial" w:hAnsi="Arial" w:cs="Arial"/>
          <w:sz w:val="22"/>
          <w:szCs w:val="22"/>
          <w:lang w:val="pt-BR"/>
        </w:rPr>
        <w:t>divulgará</w:t>
      </w:r>
      <w:r>
        <w:rPr>
          <w:rFonts w:hint="default" w:ascii="Arial" w:hAnsi="Arial" w:cs="Arial"/>
          <w:sz w:val="22"/>
          <w:szCs w:val="22"/>
        </w:rPr>
        <w:t xml:space="preserve"> </w:t>
      </w:r>
      <w:r>
        <w:rPr>
          <w:rFonts w:hint="default" w:ascii="Arial" w:hAnsi="Arial" w:cs="Arial"/>
          <w:sz w:val="22"/>
          <w:szCs w:val="22"/>
          <w:lang w:val="pt-BR"/>
        </w:rPr>
        <w:t xml:space="preserve">no Portal de Compras Públicas ou via e-mail, se for o caso, </w:t>
      </w:r>
      <w:r>
        <w:rPr>
          <w:rFonts w:hint="default" w:ascii="Arial" w:hAnsi="Arial" w:cs="Arial"/>
          <w:sz w:val="22"/>
          <w:szCs w:val="22"/>
        </w:rPr>
        <w:t>no prazo de até 3 (três) dias úteis, limitado ao último dia útil anterior à data da abertura do certame, pode</w:t>
      </w:r>
      <w:r>
        <w:rPr>
          <w:rFonts w:hint="default" w:ascii="Arial" w:hAnsi="Arial" w:cs="Arial"/>
          <w:sz w:val="22"/>
          <w:szCs w:val="22"/>
          <w:lang w:val="pt-BR"/>
        </w:rPr>
        <w:t>ndo o Pregoeiro</w:t>
      </w:r>
      <w:r>
        <w:rPr>
          <w:rFonts w:hint="default" w:ascii="Arial" w:hAnsi="Arial" w:cs="Arial"/>
          <w:sz w:val="22"/>
          <w:szCs w:val="22"/>
        </w:rPr>
        <w:t xml:space="preserve"> requisitar subsídios formais aos responsáveis pela elaboração do </w:t>
      </w:r>
      <w:r>
        <w:rPr>
          <w:rFonts w:hint="default" w:ascii="Arial" w:hAnsi="Arial" w:cs="Arial"/>
          <w:sz w:val="22"/>
          <w:szCs w:val="22"/>
          <w:lang w:val="pt-BR"/>
        </w:rPr>
        <w:t>Estudo Técnico Preliminar, do Termo de Referência, do</w:t>
      </w:r>
      <w:r>
        <w:rPr>
          <w:rFonts w:hint="default" w:ascii="Arial" w:hAnsi="Arial" w:cs="Arial"/>
          <w:sz w:val="22"/>
          <w:szCs w:val="22"/>
        </w:rPr>
        <w:t xml:space="preserve"> </w:t>
      </w:r>
      <w:r>
        <w:rPr>
          <w:rFonts w:hint="default" w:ascii="Arial" w:hAnsi="Arial" w:cs="Arial"/>
          <w:sz w:val="22"/>
          <w:szCs w:val="22"/>
          <w:lang w:val="pt-BR"/>
        </w:rPr>
        <w:t>Edital e seus</w:t>
      </w:r>
      <w:r>
        <w:rPr>
          <w:rFonts w:hint="default" w:ascii="Arial" w:hAnsi="Arial" w:cs="Arial"/>
          <w:sz w:val="22"/>
          <w:szCs w:val="22"/>
        </w:rPr>
        <w:t xml:space="preserve"> </w:t>
      </w:r>
      <w:r>
        <w:rPr>
          <w:rFonts w:hint="default" w:ascii="Arial" w:hAnsi="Arial" w:cs="Arial"/>
          <w:sz w:val="22"/>
          <w:szCs w:val="22"/>
          <w:lang w:val="pt-BR"/>
        </w:rPr>
        <w:t>A</w:t>
      </w:r>
      <w:r>
        <w:rPr>
          <w:rFonts w:hint="default" w:ascii="Arial" w:hAnsi="Arial" w:cs="Arial"/>
          <w:sz w:val="22"/>
          <w:szCs w:val="22"/>
        </w:rPr>
        <w:t>nexos.</w:t>
      </w:r>
    </w:p>
    <w:p w14:paraId="48395B60">
      <w:pPr>
        <w:pStyle w:val="133"/>
        <w:spacing w:before="240" w:beforeAutospacing="0" w:after="240" w:afterAutospacing="0" w:line="360" w:lineRule="auto"/>
        <w:jc w:val="both"/>
        <w:rPr>
          <w:rFonts w:hint="default" w:ascii="Arial" w:hAnsi="Arial" w:cs="Arial"/>
          <w:sz w:val="22"/>
          <w:szCs w:val="22"/>
        </w:rPr>
      </w:pPr>
      <w:r>
        <w:rPr>
          <w:rFonts w:hint="default" w:ascii="Arial" w:hAnsi="Arial" w:cs="Arial"/>
          <w:b/>
          <w:bCs/>
          <w:sz w:val="22"/>
          <w:szCs w:val="22"/>
          <w:lang w:val="pt-BR"/>
        </w:rPr>
        <w:t xml:space="preserve">4.3. </w:t>
      </w:r>
      <w:r>
        <w:rPr>
          <w:rFonts w:hint="default" w:ascii="Arial" w:hAnsi="Arial" w:cs="Arial"/>
          <w:sz w:val="22"/>
          <w:szCs w:val="22"/>
        </w:rPr>
        <w:t>A impugnação e o pedido de esclarecimento</w:t>
      </w:r>
      <w:r>
        <w:rPr>
          <w:rFonts w:hint="default" w:ascii="Arial" w:hAnsi="Arial" w:cs="Arial"/>
          <w:sz w:val="22"/>
          <w:szCs w:val="22"/>
          <w:lang w:val="pt-BR"/>
        </w:rPr>
        <w:t>s</w:t>
      </w:r>
      <w:r>
        <w:rPr>
          <w:rFonts w:hint="default" w:ascii="Arial" w:hAnsi="Arial" w:cs="Arial"/>
          <w:sz w:val="22"/>
          <w:szCs w:val="22"/>
        </w:rPr>
        <w:t xml:space="preserve"> poderão ser realizados por forma eletrônica,  através do </w:t>
      </w:r>
      <w:r>
        <w:rPr>
          <w:rFonts w:hint="default" w:ascii="Arial" w:hAnsi="Arial" w:cs="Arial"/>
          <w:i/>
          <w:sz w:val="22"/>
          <w:szCs w:val="22"/>
        </w:rPr>
        <w:t>site</w:t>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15"/>
          <w:rFonts w:hint="default" w:ascii="Arial" w:hAnsi="Arial" w:cs="Arial"/>
          <w:sz w:val="22"/>
          <w:szCs w:val="22"/>
        </w:rPr>
        <w:t>www.portaldecompraspublicas.com.br</w:t>
      </w:r>
      <w:r>
        <w:rPr>
          <w:rFonts w:hint="default" w:ascii="Arial" w:hAnsi="Arial" w:cs="Arial"/>
          <w:sz w:val="22"/>
          <w:szCs w:val="22"/>
        </w:rPr>
        <w:fldChar w:fldCharType="end"/>
      </w:r>
      <w:r>
        <w:rPr>
          <w:rFonts w:hint="default" w:ascii="Arial" w:hAnsi="Arial" w:cs="Arial"/>
          <w:sz w:val="22"/>
          <w:szCs w:val="22"/>
        </w:rPr>
        <w:t xml:space="preserve"> ou através do </w:t>
      </w:r>
      <w:r>
        <w:rPr>
          <w:rFonts w:hint="default" w:ascii="Arial" w:hAnsi="Arial" w:cs="Arial"/>
          <w:i/>
          <w:sz w:val="22"/>
          <w:szCs w:val="22"/>
        </w:rPr>
        <w:t xml:space="preserve">e-mail </w:t>
      </w:r>
      <w:r>
        <w:rPr>
          <w:rFonts w:hint="default" w:ascii="Arial" w:hAnsi="Arial" w:cs="Arial"/>
          <w:sz w:val="22"/>
          <w:szCs w:val="22"/>
        </w:rPr>
        <w:fldChar w:fldCharType="begin"/>
      </w:r>
      <w:r>
        <w:rPr>
          <w:rFonts w:hint="default" w:ascii="Arial" w:hAnsi="Arial" w:cs="Arial"/>
          <w:sz w:val="22"/>
          <w:szCs w:val="22"/>
        </w:rPr>
        <w:instrText xml:space="preserve"> HYPERLINK "mailto:licitacao@sinop.mt.gov.br" </w:instrText>
      </w:r>
      <w:r>
        <w:rPr>
          <w:rFonts w:hint="default" w:ascii="Arial" w:hAnsi="Arial" w:cs="Arial"/>
          <w:sz w:val="22"/>
          <w:szCs w:val="22"/>
        </w:rPr>
        <w:fldChar w:fldCharType="separate"/>
      </w:r>
      <w:r>
        <w:rPr>
          <w:rStyle w:val="15"/>
          <w:rFonts w:hint="default" w:ascii="Arial" w:hAnsi="Arial" w:cs="Arial"/>
          <w:sz w:val="22"/>
          <w:szCs w:val="22"/>
        </w:rPr>
        <w:t>licitacao@sinop.mt.gov.br</w:t>
      </w:r>
      <w:r>
        <w:rPr>
          <w:rFonts w:hint="default" w:ascii="Arial" w:hAnsi="Arial" w:cs="Arial"/>
          <w:sz w:val="22"/>
          <w:szCs w:val="22"/>
        </w:rPr>
        <w:fldChar w:fldCharType="end"/>
      </w:r>
      <w:r>
        <w:rPr>
          <w:rFonts w:hint="default" w:ascii="Arial" w:hAnsi="Arial" w:cs="Arial"/>
          <w:color w:val="000000"/>
          <w:sz w:val="22"/>
          <w:szCs w:val="22"/>
        </w:rPr>
        <w:t xml:space="preserve">, </w:t>
      </w:r>
      <w:r>
        <w:rPr>
          <w:rFonts w:hint="default" w:ascii="Arial" w:hAnsi="Arial" w:cs="Arial"/>
          <w:sz w:val="22"/>
          <w:szCs w:val="22"/>
        </w:rPr>
        <w:t>ou ainda, protocolando o documento original no Departamento de Protocolo da Secretaria Municipal de Administração, localizado na Rua das Avencas, nº 1.481, Setor Comercial, Sinop/MT, CEP: 78.550-210, antiga Câmara Municipal</w:t>
      </w:r>
      <w:r>
        <w:rPr>
          <w:rFonts w:hint="default" w:ascii="Arial" w:hAnsi="Arial" w:cs="Arial"/>
          <w:color w:val="000000"/>
          <w:sz w:val="22"/>
          <w:szCs w:val="22"/>
        </w:rPr>
        <w:t>.</w:t>
      </w:r>
    </w:p>
    <w:p w14:paraId="5EA27A59">
      <w:pPr>
        <w:pStyle w:val="134"/>
        <w:numPr>
          <w:ilvl w:val="0"/>
          <w:numId w:val="0"/>
        </w:numPr>
        <w:spacing w:line="360" w:lineRule="auto"/>
        <w:ind w:leftChars="0"/>
        <w:rPr>
          <w:sz w:val="22"/>
          <w:szCs w:val="22"/>
        </w:rPr>
      </w:pPr>
      <w:r>
        <w:rPr>
          <w:rFonts w:hint="default"/>
          <w:b/>
          <w:bCs/>
          <w:sz w:val="22"/>
          <w:szCs w:val="22"/>
          <w:lang w:val="pt-BR"/>
        </w:rPr>
        <w:t>4.4.</w:t>
      </w:r>
      <w:r>
        <w:rPr>
          <w:rFonts w:hint="default"/>
          <w:sz w:val="22"/>
          <w:szCs w:val="22"/>
          <w:lang w:val="pt-BR"/>
        </w:rPr>
        <w:t xml:space="preserve"> </w:t>
      </w:r>
      <w:r>
        <w:rPr>
          <w:sz w:val="22"/>
          <w:szCs w:val="22"/>
        </w:rPr>
        <w:t>As impugnações e pedidos de esclarecimentos não suspendem os prazos previstos no certame.</w:t>
      </w:r>
    </w:p>
    <w:p w14:paraId="7E5178CB">
      <w:pPr>
        <w:pStyle w:val="137"/>
        <w:numPr>
          <w:ilvl w:val="0"/>
          <w:numId w:val="0"/>
        </w:numPr>
        <w:spacing w:line="360" w:lineRule="auto"/>
        <w:ind w:left="0" w:leftChars="0" w:firstLine="481" w:firstLineChars="218"/>
        <w:rPr>
          <w:sz w:val="22"/>
          <w:szCs w:val="22"/>
        </w:rPr>
      </w:pPr>
      <w:r>
        <w:rPr>
          <w:rFonts w:hint="default"/>
          <w:b/>
          <w:bCs/>
          <w:sz w:val="22"/>
          <w:szCs w:val="22"/>
          <w:lang w:val="pt-BR"/>
        </w:rPr>
        <w:t xml:space="preserve">4.1.1. </w:t>
      </w:r>
      <w:r>
        <w:rPr>
          <w:sz w:val="22"/>
          <w:szCs w:val="22"/>
        </w:rPr>
        <w:t>A concessão de efeito suspensivo à impugnação é medida excepcional e deverá ser motivada pelo agente de contratação, nos autos do processo de licitação.</w:t>
      </w:r>
    </w:p>
    <w:p w14:paraId="3C45A2E8">
      <w:pPr>
        <w:widowControl w:val="0"/>
        <w:spacing w:line="360" w:lineRule="auto"/>
        <w:jc w:val="both"/>
        <w:rPr>
          <w:rFonts w:hint="default" w:ascii="Arial" w:hAnsi="Arial" w:cs="Arial"/>
          <w:sz w:val="22"/>
          <w:szCs w:val="22"/>
        </w:rPr>
      </w:pPr>
      <w:r>
        <w:rPr>
          <w:rFonts w:hint="default" w:ascii="Arial" w:hAnsi="Arial" w:cs="Arial"/>
          <w:b/>
          <w:bCs/>
          <w:sz w:val="22"/>
          <w:szCs w:val="22"/>
          <w:lang w:val="pt-BR"/>
        </w:rPr>
        <w:t xml:space="preserve">4.5. </w:t>
      </w:r>
      <w:r>
        <w:rPr>
          <w:rFonts w:hint="default" w:ascii="Arial" w:hAnsi="Arial" w:cs="Arial"/>
          <w:sz w:val="22"/>
          <w:szCs w:val="22"/>
        </w:rPr>
        <w:t>Caso procedente e acolhida a impugnação do Edital, seus vícios serão sanados e, caso afete a formulação das propostas, nova data será designada pela Administração para a realização do certame.</w:t>
      </w:r>
    </w:p>
    <w:p w14:paraId="1ED544B3">
      <w:pPr>
        <w:widowControl w:val="0"/>
        <w:spacing w:line="360" w:lineRule="auto"/>
        <w:jc w:val="both"/>
        <w:rPr>
          <w:rFonts w:hint="default" w:ascii="Arial" w:hAnsi="Arial" w:cs="Arial"/>
          <w:b w:val="0"/>
          <w:bCs/>
          <w:sz w:val="22"/>
          <w:szCs w:val="22"/>
          <w:lang w:val="pt-BR"/>
        </w:rPr>
      </w:pPr>
      <w:r>
        <w:rPr>
          <w:rFonts w:hint="default" w:ascii="Arial" w:hAnsi="Arial" w:cs="Arial"/>
          <w:b/>
          <w:bCs w:val="0"/>
          <w:sz w:val="22"/>
          <w:szCs w:val="22"/>
          <w:lang w:val="pt-BR"/>
        </w:rPr>
        <w:t>4.6</w:t>
      </w:r>
      <w:r>
        <w:rPr>
          <w:rFonts w:hint="default" w:ascii="Arial" w:hAnsi="Arial" w:cs="Arial"/>
          <w:b/>
          <w:bCs w:val="0"/>
          <w:sz w:val="22"/>
          <w:szCs w:val="22"/>
        </w:rPr>
        <w:t>.</w:t>
      </w:r>
      <w:r>
        <w:rPr>
          <w:rFonts w:hint="default" w:ascii="Arial" w:hAnsi="Arial" w:cs="Arial"/>
          <w:b w:val="0"/>
          <w:bCs/>
          <w:sz w:val="22"/>
          <w:szCs w:val="22"/>
        </w:rPr>
        <w:t xml:space="preserve"> O prazo limite para recebimento dos pedidos de esclarecimentos e </w:t>
      </w:r>
      <w:r>
        <w:rPr>
          <w:rFonts w:hint="default" w:ascii="Arial" w:hAnsi="Arial" w:cs="Arial"/>
          <w:b w:val="0"/>
          <w:bCs/>
          <w:sz w:val="22"/>
          <w:szCs w:val="22"/>
          <w:lang w:val="pt-BR"/>
        </w:rPr>
        <w:t xml:space="preserve">de </w:t>
      </w:r>
      <w:r>
        <w:rPr>
          <w:rFonts w:hint="default" w:ascii="Arial" w:hAnsi="Arial" w:cs="Arial"/>
          <w:b w:val="0"/>
          <w:bCs/>
          <w:sz w:val="22"/>
          <w:szCs w:val="22"/>
        </w:rPr>
        <w:t xml:space="preserve">impugnação </w:t>
      </w:r>
      <w:r>
        <w:rPr>
          <w:rFonts w:hint="default" w:ascii="Arial" w:hAnsi="Arial" w:cs="Arial"/>
          <w:b w:val="0"/>
          <w:bCs/>
          <w:sz w:val="22"/>
          <w:szCs w:val="22"/>
          <w:lang w:val="pt-BR"/>
        </w:rPr>
        <w:t>encerrar-se-á às 23h59min (horário de Brasília/DF).</w:t>
      </w:r>
    </w:p>
    <w:p w14:paraId="28D85E0C">
      <w:pPr>
        <w:widowControl w:val="0"/>
        <w:numPr>
          <w:ilvl w:val="0"/>
          <w:numId w:val="0"/>
        </w:numPr>
        <w:tabs>
          <w:tab w:val="left" w:pos="0"/>
        </w:tabs>
        <w:adjustRightInd w:val="0"/>
        <w:spacing w:before="240" w:after="240" w:line="360" w:lineRule="auto"/>
        <w:jc w:val="both"/>
        <w:textAlignment w:val="baseline"/>
        <w:rPr>
          <w:rFonts w:ascii="Arial" w:hAnsi="Arial" w:cs="Arial"/>
          <w:sz w:val="22"/>
          <w:szCs w:val="22"/>
        </w:rPr>
      </w:pPr>
      <w:r>
        <w:rPr>
          <w:rFonts w:hint="default" w:ascii="Arial" w:hAnsi="Arial" w:cs="Arial"/>
          <w:b/>
          <w:bCs w:val="0"/>
          <w:sz w:val="22"/>
          <w:szCs w:val="22"/>
          <w:lang w:val="pt-BR"/>
        </w:rPr>
        <w:t xml:space="preserve">4.7. </w:t>
      </w:r>
      <w:r>
        <w:rPr>
          <w:rFonts w:ascii="Arial" w:hAnsi="Arial" w:cs="Arial"/>
          <w:bCs/>
          <w:sz w:val="22"/>
          <w:szCs w:val="22"/>
        </w:rPr>
        <w:t>A</w:t>
      </w:r>
      <w:r>
        <w:rPr>
          <w:rFonts w:ascii="Arial" w:hAnsi="Arial" w:cs="Arial"/>
          <w:sz w:val="22"/>
          <w:szCs w:val="22"/>
        </w:rPr>
        <w:t>s impugnações protocoladas intempestivamente serão desconsideradas.</w:t>
      </w:r>
    </w:p>
    <w:p w14:paraId="2552BBB7">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r>
        <w:rPr>
          <w:rFonts w:hint="default" w:cs="Arial"/>
          <w:sz w:val="22"/>
          <w:szCs w:val="22"/>
          <w:lang w:val="pt-BR"/>
        </w:rPr>
        <w:t>5</w:t>
      </w:r>
      <w:r>
        <w:rPr>
          <w:rFonts w:cs="Arial"/>
          <w:sz w:val="22"/>
          <w:szCs w:val="22"/>
        </w:rPr>
        <w:t>. DO CREDENCIAMENTO</w:t>
      </w:r>
      <w:r>
        <w:rPr>
          <w:rFonts w:hint="default" w:cs="Arial"/>
          <w:sz w:val="22"/>
          <w:szCs w:val="22"/>
          <w:lang w:val="pt-BR"/>
        </w:rPr>
        <w:t xml:space="preserve"> E </w:t>
      </w:r>
      <w:r>
        <w:rPr>
          <w:rFonts w:hint="default"/>
          <w:b/>
          <w:bCs/>
          <w:sz w:val="22"/>
          <w:szCs w:val="22"/>
          <w:lang w:val="pt-BR"/>
        </w:rPr>
        <w:t>DO REGISTRO</w:t>
      </w:r>
      <w:r>
        <w:rPr>
          <w:b/>
          <w:bCs/>
          <w:sz w:val="22"/>
          <w:szCs w:val="22"/>
        </w:rPr>
        <w:t xml:space="preserve"> DA PROPOSTA DE PREÇOS</w:t>
      </w:r>
    </w:p>
    <w:p w14:paraId="4B0ECFCE">
      <w:pPr>
        <w:spacing w:before="240" w:after="240" w:line="360" w:lineRule="auto"/>
        <w:jc w:val="both"/>
        <w:rPr>
          <w:rFonts w:ascii="Arial" w:hAnsi="Arial" w:cs="Arial"/>
          <w:sz w:val="22"/>
          <w:szCs w:val="22"/>
        </w:rPr>
      </w:pPr>
      <w:r>
        <w:rPr>
          <w:rFonts w:ascii="Arial" w:hAnsi="Arial" w:cs="Arial"/>
          <w:b/>
          <w:sz w:val="22"/>
          <w:szCs w:val="22"/>
        </w:rPr>
        <w:t xml:space="preserve"> </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w:t>
      </w:r>
      <w:r>
        <w:rPr>
          <w:rFonts w:ascii="Arial" w:hAnsi="Arial" w:cs="Arial"/>
          <w:i/>
          <w:sz w:val="22"/>
          <w:szCs w:val="22"/>
        </w:rPr>
        <w:t>Internet</w:t>
      </w:r>
      <w:r>
        <w:rPr>
          <w:rFonts w:ascii="Arial" w:hAnsi="Arial" w:cs="Arial"/>
          <w:sz w:val="22"/>
          <w:szCs w:val="22"/>
        </w:rPr>
        <w:t>.</w:t>
      </w:r>
    </w:p>
    <w:p w14:paraId="47704E0C">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.2.</w:t>
      </w:r>
      <w:r>
        <w:rPr>
          <w:rFonts w:ascii="Arial" w:hAnsi="Arial" w:cs="Arial"/>
          <w:sz w:val="22"/>
          <w:szCs w:val="22"/>
        </w:rPr>
        <w:t xml:space="preserve"> A realização do procedimento estará a cargo do Pregoeiro e da Administradora do Pregão Eletrônico, empresa responsável para, através da rede mundial de computadores, prover o sistema de compras eletrônicas.</w:t>
      </w:r>
    </w:p>
    <w:p w14:paraId="00865FBB">
      <w:pPr>
        <w:pStyle w:val="21"/>
        <w:spacing w:before="240" w:beforeAutospacing="0" w:after="240" w:afterAutospacing="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.3.</w:t>
      </w:r>
      <w:r>
        <w:rPr>
          <w:rFonts w:ascii="Arial" w:hAnsi="Arial" w:cs="Arial"/>
          <w:sz w:val="22"/>
          <w:szCs w:val="22"/>
        </w:rPr>
        <w:t xml:space="preserve"> O fornecedor deverá fazer o seu cadastramento junto ao site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5"/>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sz w:val="22"/>
          <w:szCs w:val="22"/>
        </w:rPr>
        <w:t xml:space="preserve"> e preencher o Termo de Adesão, onde qualquer pessoa física ou jurídica, que manifeste interesse em cadastrar-se e apresente a documentação exigida, terá acesso ao portal. </w:t>
      </w:r>
    </w:p>
    <w:p w14:paraId="065AA0E2">
      <w:pPr>
        <w:pStyle w:val="119"/>
        <w:widowControl w:val="0"/>
        <w:suppressLineNumbers w:val="0"/>
        <w:suppressAutoHyphens w:val="0"/>
        <w:spacing w:before="240" w:after="240" w:line="360" w:lineRule="auto"/>
        <w:ind w:firstLine="425"/>
        <w:rPr>
          <w:snapToGrid w:val="0"/>
          <w:lang w:eastAsia="pt-BR"/>
        </w:rPr>
      </w:pPr>
      <w:r>
        <w:rPr>
          <w:rFonts w:hint="default"/>
          <w:b/>
          <w:snapToGrid w:val="0"/>
          <w:lang w:val="en-US" w:eastAsia="pt-BR"/>
        </w:rPr>
        <w:t>5</w:t>
      </w:r>
      <w:r>
        <w:rPr>
          <w:b/>
          <w:snapToGrid w:val="0"/>
          <w:lang w:eastAsia="pt-BR"/>
        </w:rPr>
        <w:t>.3.1.</w:t>
      </w:r>
      <w:r>
        <w:rPr>
          <w:snapToGrid w:val="0"/>
          <w:lang w:eastAsia="pt-BR"/>
        </w:rPr>
        <w:t xml:space="preserve"> O credenciamento dar-se-á pela atribuição de chave de identificação e de senha, pessoal e intransferível, para acesso ao sistema eletrônico.</w:t>
      </w:r>
    </w:p>
    <w:p w14:paraId="5AF210D9">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snapToGrid w:val="0"/>
          <w:sz w:val="22"/>
          <w:szCs w:val="22"/>
          <w:lang w:val="pt-BR"/>
        </w:rPr>
        <w:t>5</w:t>
      </w:r>
      <w:r>
        <w:rPr>
          <w:rFonts w:ascii="Arial" w:hAnsi="Arial" w:cs="Arial"/>
          <w:b/>
          <w:snapToGrid w:val="0"/>
          <w:sz w:val="22"/>
          <w:szCs w:val="22"/>
        </w:rPr>
        <w:t>.3.2.</w:t>
      </w:r>
      <w:r>
        <w:rPr>
          <w:rFonts w:ascii="Arial" w:hAnsi="Arial" w:cs="Arial"/>
          <w:snapToGrid w:val="0"/>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Pregão Eletrônico.</w:t>
      </w:r>
      <w:r>
        <w:rPr>
          <w:rFonts w:hint="default" w:ascii="Arial" w:hAnsi="Arial" w:cs="Arial"/>
          <w:snapToGrid w:val="0"/>
          <w:sz w:val="22"/>
          <w:szCs w:val="22"/>
          <w:lang w:val="pt-BR"/>
        </w:rPr>
        <w:t xml:space="preserve"> </w:t>
      </w:r>
    </w:p>
    <w:p w14:paraId="16F5C862">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bCs/>
          <w:snapToGrid w:val="0"/>
          <w:sz w:val="22"/>
          <w:szCs w:val="22"/>
          <w:lang w:val="pt-BR"/>
        </w:rPr>
        <w:t xml:space="preserve">5.3.3. </w:t>
      </w:r>
      <w:r>
        <w:rPr>
          <w:rFonts w:hint="default" w:ascii="Arial" w:hAnsi="Arial" w:eastAsia="Arial" w:cs="Arial"/>
          <w:sz w:val="22"/>
          <w:szCs w:val="22"/>
        </w:rPr>
        <w:t>É de responsabilidade d</w:t>
      </w:r>
      <w:r>
        <w:rPr>
          <w:rFonts w:hint="default" w:ascii="Arial" w:hAnsi="Arial" w:eastAsia="Arial" w:cs="Arial"/>
          <w:sz w:val="22"/>
          <w:szCs w:val="22"/>
          <w:lang w:val="pt-BR"/>
        </w:rPr>
        <w:t>o</w:t>
      </w:r>
      <w:r>
        <w:rPr>
          <w:rFonts w:hint="default" w:ascii="Arial" w:hAnsi="Arial" w:eastAsia="Arial" w:cs="Arial"/>
          <w:sz w:val="22"/>
          <w:szCs w:val="22"/>
        </w:rPr>
        <w:t xml:space="preserve"> licitante cadastrad</w:t>
      </w:r>
      <w:r>
        <w:rPr>
          <w:rFonts w:hint="default" w:ascii="Arial" w:hAnsi="Arial" w:eastAsia="Arial" w:cs="Arial"/>
          <w:sz w:val="22"/>
          <w:szCs w:val="22"/>
          <w:lang w:val="pt-BR"/>
        </w:rPr>
        <w:t>o</w:t>
      </w:r>
      <w:r>
        <w:rPr>
          <w:rFonts w:hint="default" w:ascii="Arial" w:hAnsi="Arial" w:eastAsia="Arial" w:cs="Arial"/>
          <w:sz w:val="22"/>
          <w:szCs w:val="22"/>
        </w:rPr>
        <w:t xml:space="preserve"> conferir a exatidão dos seus dados cadastrais no </w:t>
      </w:r>
      <w:r>
        <w:rPr>
          <w:rFonts w:hint="default" w:ascii="Arial" w:hAnsi="Arial" w:eastAsia="Arial" w:cs="Arial"/>
          <w:sz w:val="22"/>
          <w:szCs w:val="22"/>
          <w:lang w:val="pt-BR"/>
        </w:rPr>
        <w:t>s</w:t>
      </w:r>
      <w:r>
        <w:rPr>
          <w:rFonts w:hint="default" w:ascii="Arial" w:hAnsi="Arial" w:eastAsia="Arial" w:cs="Arial"/>
          <w:sz w:val="22"/>
          <w:szCs w:val="22"/>
        </w:rPr>
        <w:t>istema e mantê-los atualizados junto aos órgãos responsáveis pela informação, devendo proceder, imediatamente, à correção ou à alteração dos registros tão logo identifique incorreção ou aqueles se tornem desatualizados.</w:t>
      </w:r>
    </w:p>
    <w:p w14:paraId="23640330">
      <w:pPr>
        <w:pStyle w:val="17"/>
        <w:spacing w:before="240" w:after="240" w:line="360" w:lineRule="auto"/>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.4.</w:t>
      </w:r>
      <w:r>
        <w:rPr>
          <w:rFonts w:ascii="Arial" w:hAnsi="Arial" w:cs="Arial"/>
          <w:sz w:val="22"/>
          <w:szCs w:val="22"/>
        </w:rPr>
        <w:t xml:space="preserve"> Como requisito para participação no </w:t>
      </w:r>
      <w:r>
        <w:rPr>
          <w:rFonts w:hint="default" w:ascii="Arial" w:hAnsi="Arial" w:cs="Arial"/>
          <w:sz w:val="22"/>
          <w:szCs w:val="22"/>
          <w:lang w:val="pt-BR"/>
        </w:rPr>
        <w:t>P</w:t>
      </w:r>
      <w:r>
        <w:rPr>
          <w:rFonts w:ascii="Arial" w:hAnsi="Arial" w:cs="Arial"/>
          <w:sz w:val="22"/>
          <w:szCs w:val="22"/>
        </w:rPr>
        <w:t xml:space="preserve">regão, em campo próprio do sistema eletrônico, a proponente deverá manifestar o pleno conhecimento e atendimento às exigências de habilitação previstas no </w:t>
      </w:r>
      <w:r>
        <w:rPr>
          <w:rFonts w:hint="default" w:ascii="Arial" w:hAnsi="Arial" w:cs="Arial"/>
          <w:sz w:val="22"/>
          <w:szCs w:val="22"/>
          <w:lang w:val="pt-BR"/>
        </w:rPr>
        <w:t>E</w:t>
      </w:r>
      <w:r>
        <w:rPr>
          <w:rFonts w:ascii="Arial" w:hAnsi="Arial" w:cs="Arial"/>
          <w:sz w:val="22"/>
          <w:szCs w:val="22"/>
        </w:rPr>
        <w:t>dital, bem como manifestar sua condição de microempresa ou empresa de pequeno porte nos termos da Lei Complementar nº 123/2006.</w:t>
      </w:r>
    </w:p>
    <w:p w14:paraId="090F9228">
      <w:pPr>
        <w:spacing w:before="240" w:after="240" w:line="360" w:lineRule="auto"/>
        <w:ind w:firstLine="567"/>
        <w:jc w:val="both"/>
        <w:rPr>
          <w:rFonts w:ascii="Arial" w:hAnsi="Arial" w:cs="Arial"/>
          <w:sz w:val="22"/>
          <w:szCs w:val="22"/>
        </w:rPr>
      </w:pPr>
      <w:r>
        <w:rPr>
          <w:rFonts w:ascii="Arial" w:hAnsi="Arial" w:cs="Arial"/>
          <w:sz w:val="22"/>
          <w:szCs w:val="22"/>
        </w:rPr>
        <w:t xml:space="preserve"> </w:t>
      </w:r>
      <w:r>
        <w:rPr>
          <w:rFonts w:hint="default" w:ascii="Arial" w:hAnsi="Arial" w:cs="Arial"/>
          <w:b/>
          <w:sz w:val="22"/>
          <w:szCs w:val="22"/>
          <w:lang w:val="pt-BR"/>
        </w:rPr>
        <w:t>5</w:t>
      </w:r>
      <w:r>
        <w:rPr>
          <w:rFonts w:ascii="Arial" w:hAnsi="Arial" w:cs="Arial"/>
          <w:b/>
          <w:sz w:val="22"/>
          <w:szCs w:val="22"/>
        </w:rPr>
        <w:t>.4.1.</w:t>
      </w:r>
      <w:r>
        <w:rPr>
          <w:rFonts w:ascii="Arial" w:hAnsi="Arial" w:cs="Arial"/>
          <w:sz w:val="22"/>
          <w:szCs w:val="22"/>
        </w:rPr>
        <w:t xml:space="preserve">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4DEC7494">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.5.</w:t>
      </w:r>
      <w:r>
        <w:rPr>
          <w:rFonts w:ascii="Arial" w:hAnsi="Arial" w:cs="Arial"/>
          <w:sz w:val="22"/>
          <w:szCs w:val="22"/>
        </w:rPr>
        <w:t xml:space="preserve"> O fornecedor deverá acompanhar as operações no sistema eletrônico durante a sessão pública do </w:t>
      </w:r>
      <w:r>
        <w:rPr>
          <w:rFonts w:hint="default" w:ascii="Arial" w:hAnsi="Arial" w:cs="Arial"/>
          <w:sz w:val="22"/>
          <w:szCs w:val="22"/>
          <w:lang w:val="pt-BR"/>
        </w:rPr>
        <w:t>P</w:t>
      </w:r>
      <w:r>
        <w:rPr>
          <w:rFonts w:ascii="Arial" w:hAnsi="Arial" w:cs="Arial"/>
          <w:sz w:val="22"/>
          <w:szCs w:val="22"/>
        </w:rPr>
        <w:t>regão, ficando responsável pelo ônus decorrente da perda de negócios diante da inobservância de quaisquer mensagens emitidas pelo Pregoeiro e/ou pelo sistema ou de sua desconexão.</w:t>
      </w:r>
    </w:p>
    <w:p w14:paraId="1D0D4C3F">
      <w:pPr>
        <w:numPr>
          <w:ilvl w:val="0"/>
          <w:numId w:val="0"/>
        </w:numPr>
        <w:tabs>
          <w:tab w:val="left" w:pos="0"/>
          <w:tab w:val="left" w:pos="426"/>
          <w:tab w:val="left" w:pos="1418"/>
        </w:tabs>
        <w:suppressAutoHyphens/>
        <w:autoSpaceDE w:val="0"/>
        <w:autoSpaceDN w:val="0"/>
        <w:spacing w:before="100" w:beforeAutospacing="1" w:after="100" w:afterAutospacing="1" w:line="360" w:lineRule="auto"/>
        <w:ind w:leftChars="0"/>
        <w:jc w:val="both"/>
        <w:rPr>
          <w:rFonts w:ascii="Arial" w:hAnsi="Arial" w:cs="Arial"/>
          <w:sz w:val="22"/>
          <w:szCs w:val="22"/>
        </w:rPr>
      </w:pPr>
      <w:r>
        <w:rPr>
          <w:rFonts w:hint="default" w:ascii="Arial" w:hAnsi="Arial" w:cs="Arial"/>
          <w:b/>
          <w:bCs/>
          <w:sz w:val="22"/>
          <w:szCs w:val="22"/>
          <w:lang w:val="pt-BR"/>
        </w:rPr>
        <w:t xml:space="preserve">5.6. </w:t>
      </w:r>
      <w:r>
        <w:rPr>
          <w:rFonts w:ascii="Arial" w:hAnsi="Arial" w:cs="Arial"/>
          <w:sz w:val="22"/>
          <w:szCs w:val="22"/>
        </w:rPr>
        <w:t>Não será admitida a participação de um mesmo representante para mais de uma empresa licitante, ou ainda, representantes distintos substabelecidos pelo mesmo procurador, mesmo que em itens ou lotes distintos.</w:t>
      </w:r>
    </w:p>
    <w:p w14:paraId="71F9AD47">
      <w:pPr>
        <w:pStyle w:val="134"/>
        <w:numPr>
          <w:ilvl w:val="0"/>
          <w:numId w:val="0"/>
        </w:numPr>
        <w:tabs>
          <w:tab w:val="left" w:pos="480"/>
        </w:tabs>
        <w:spacing w:line="360" w:lineRule="auto"/>
        <w:ind w:leftChars="0"/>
        <w:rPr>
          <w:sz w:val="22"/>
          <w:szCs w:val="22"/>
        </w:rPr>
      </w:pPr>
      <w:r>
        <w:rPr>
          <w:rFonts w:hint="default"/>
          <w:b/>
          <w:bCs/>
          <w:sz w:val="22"/>
          <w:szCs w:val="22"/>
          <w:lang w:val="pt-BR"/>
        </w:rPr>
        <w:t xml:space="preserve">5.7. </w:t>
      </w:r>
      <w:r>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D5A75F3">
      <w:pPr>
        <w:pStyle w:val="134"/>
        <w:numPr>
          <w:ilvl w:val="0"/>
          <w:numId w:val="0"/>
        </w:numPr>
        <w:tabs>
          <w:tab w:val="left" w:pos="480"/>
        </w:tabs>
        <w:spacing w:line="360" w:lineRule="auto"/>
        <w:ind w:leftChars="0"/>
        <w:rPr>
          <w:sz w:val="22"/>
          <w:szCs w:val="22"/>
        </w:rPr>
      </w:pPr>
      <w:r>
        <w:rPr>
          <w:rFonts w:hint="default"/>
          <w:b/>
          <w:bCs/>
          <w:sz w:val="22"/>
          <w:szCs w:val="22"/>
          <w:lang w:val="pt-BR"/>
        </w:rPr>
        <w:t>5.8.</w:t>
      </w:r>
      <w:r>
        <w:rPr>
          <w:rFonts w:hint="default"/>
          <w:sz w:val="22"/>
          <w:szCs w:val="22"/>
          <w:lang w:val="pt-BR"/>
        </w:rPr>
        <w:t xml:space="preserve"> </w:t>
      </w:r>
      <w:r>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BE9E816">
      <w:pPr>
        <w:pStyle w:val="134"/>
        <w:numPr>
          <w:ilvl w:val="0"/>
          <w:numId w:val="0"/>
        </w:numPr>
        <w:tabs>
          <w:tab w:val="left" w:pos="480"/>
        </w:tabs>
        <w:spacing w:line="360" w:lineRule="auto"/>
        <w:ind w:leftChars="0"/>
        <w:rPr>
          <w:sz w:val="22"/>
          <w:szCs w:val="22"/>
        </w:rPr>
      </w:pPr>
      <w:r>
        <w:rPr>
          <w:rFonts w:hint="default"/>
          <w:b/>
          <w:bCs/>
          <w:sz w:val="22"/>
          <w:szCs w:val="22"/>
          <w:lang w:val="pt-BR"/>
        </w:rPr>
        <w:t xml:space="preserve">5.9. </w:t>
      </w:r>
      <w:r>
        <w:rPr>
          <w:sz w:val="22"/>
          <w:szCs w:val="22"/>
        </w:rPr>
        <w:t>A não observância do disposto no item anterior poderá ensejar desclassificação no momento da habilitação.</w:t>
      </w:r>
    </w:p>
    <w:p w14:paraId="67CACD73">
      <w:pPr>
        <w:pStyle w:val="136"/>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5.10. </w:t>
      </w:r>
      <w:r>
        <w:rPr>
          <w:i w:val="0"/>
          <w:iCs w:val="0"/>
          <w:color w:val="auto"/>
          <w:sz w:val="22"/>
          <w:szCs w:val="22"/>
        </w:rPr>
        <w:t>Na presente licitação a fase de habilitação sucederá as fases de apresentação de propostas e lances e de julgamento.</w:t>
      </w:r>
    </w:p>
    <w:p w14:paraId="607037F6">
      <w:pPr>
        <w:widowControl w:val="0"/>
        <w:numPr>
          <w:ilvl w:val="0"/>
          <w:numId w:val="0"/>
        </w:numPr>
        <w:tabs>
          <w:tab w:val="left" w:pos="142"/>
          <w:tab w:val="left" w:pos="426"/>
        </w:tabs>
        <w:spacing w:before="240" w:after="240" w:line="360" w:lineRule="auto"/>
        <w:ind w:leftChars="0"/>
        <w:jc w:val="both"/>
        <w:rPr>
          <w:rFonts w:ascii="Arial" w:hAnsi="Arial" w:cs="Arial"/>
          <w:b w:val="0"/>
          <w:bCs w:val="0"/>
          <w:color w:val="000000"/>
          <w:sz w:val="22"/>
          <w:szCs w:val="22"/>
        </w:rPr>
      </w:pPr>
      <w:bookmarkStart w:id="15" w:name="_Ref113886867"/>
      <w:r>
        <w:rPr>
          <w:rFonts w:hint="default" w:ascii="Arial" w:hAnsi="Arial" w:cs="Arial"/>
          <w:b/>
          <w:bCs/>
          <w:i w:val="0"/>
          <w:iCs w:val="0"/>
          <w:color w:val="auto"/>
          <w:sz w:val="22"/>
          <w:szCs w:val="22"/>
          <w:lang w:val="pt-BR"/>
        </w:rPr>
        <w:t xml:space="preserve">5.11. </w:t>
      </w:r>
      <w:r>
        <w:rPr>
          <w:rFonts w:hint="default" w:ascii="Arial" w:hAnsi="Arial" w:cs="Arial"/>
          <w:i w:val="0"/>
          <w:iCs w:val="0"/>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5"/>
      <w:r>
        <w:rPr>
          <w:rFonts w:hint="default" w:ascii="Arial" w:hAnsi="Arial" w:cs="Arial"/>
          <w:i w:val="0"/>
          <w:iCs w:val="0"/>
          <w:color w:val="auto"/>
          <w:sz w:val="22"/>
          <w:szCs w:val="22"/>
          <w:lang w:val="pt-BR"/>
        </w:rPr>
        <w:t>, que</w:t>
      </w:r>
      <w:r>
        <w:rPr>
          <w:rFonts w:hint="default"/>
          <w:i w:val="0"/>
          <w:iCs w:val="0"/>
          <w:color w:val="auto"/>
          <w:sz w:val="22"/>
          <w:szCs w:val="22"/>
          <w:lang w:val="pt-BR"/>
        </w:rPr>
        <w:t xml:space="preserve"> </w:t>
      </w:r>
      <w:r>
        <w:rPr>
          <w:rFonts w:ascii="Arial" w:hAnsi="Arial" w:cs="Arial"/>
          <w:color w:val="000000"/>
          <w:sz w:val="22"/>
          <w:szCs w:val="22"/>
        </w:rPr>
        <w:t>será a partir das</w:t>
      </w:r>
      <w:r>
        <w:rPr>
          <w:rFonts w:ascii="Arial" w:hAnsi="Arial" w:cs="Arial"/>
          <w:b w:val="0"/>
          <w:bCs w:val="0"/>
          <w:color w:val="000000"/>
          <w:sz w:val="22"/>
          <w:szCs w:val="22"/>
        </w:rPr>
        <w:t xml:space="preserve"> </w:t>
      </w:r>
      <w:r>
        <w:rPr>
          <w:rFonts w:hint="default" w:ascii="Arial" w:hAnsi="Arial" w:cs="Arial"/>
          <w:b/>
          <w:bCs/>
          <w:color w:val="000000"/>
          <w:sz w:val="22"/>
          <w:szCs w:val="22"/>
          <w:lang w:val="pt-BR"/>
        </w:rPr>
        <w:t>09</w:t>
      </w:r>
      <w:r>
        <w:rPr>
          <w:rFonts w:ascii="Arial" w:hAnsi="Arial" w:cs="Arial"/>
          <w:b/>
          <w:bCs/>
          <w:color w:val="000000"/>
          <w:sz w:val="22"/>
          <w:szCs w:val="22"/>
        </w:rPr>
        <w:t>h</w:t>
      </w:r>
      <w:r>
        <w:rPr>
          <w:rFonts w:hint="default" w:ascii="Arial" w:hAnsi="Arial" w:cs="Arial"/>
          <w:b/>
          <w:bCs/>
          <w:color w:val="000000"/>
          <w:sz w:val="22"/>
          <w:szCs w:val="22"/>
          <w:lang w:val="pt-BR"/>
        </w:rPr>
        <w:t>00</w:t>
      </w:r>
      <w:r>
        <w:rPr>
          <w:rFonts w:ascii="Arial" w:hAnsi="Arial" w:cs="Arial"/>
          <w:b/>
          <w:bCs/>
          <w:color w:val="000000"/>
          <w:sz w:val="22"/>
          <w:szCs w:val="22"/>
        </w:rPr>
        <w:t>min</w:t>
      </w:r>
      <w:r>
        <w:rPr>
          <w:rFonts w:ascii="Arial" w:hAnsi="Arial" w:cs="Arial"/>
          <w:b w:val="0"/>
          <w:bCs w:val="0"/>
          <w:color w:val="000000"/>
          <w:sz w:val="22"/>
          <w:szCs w:val="22"/>
        </w:rPr>
        <w:t xml:space="preserve"> (horário de Brasília/DF) do dia </w:t>
      </w:r>
      <w:r>
        <w:rPr>
          <w:rFonts w:hint="default" w:ascii="Arial" w:hAnsi="Arial" w:cs="Arial"/>
          <w:b/>
          <w:bCs/>
          <w:color w:val="000000"/>
          <w:sz w:val="22"/>
          <w:szCs w:val="22"/>
          <w:lang w:val="pt-BR"/>
        </w:rPr>
        <w:t xml:space="preserve">03 </w:t>
      </w:r>
      <w:r>
        <w:rPr>
          <w:rFonts w:ascii="Arial" w:hAnsi="Arial" w:cs="Arial"/>
          <w:b/>
          <w:bCs/>
          <w:color w:val="000000"/>
          <w:sz w:val="22"/>
          <w:szCs w:val="22"/>
        </w:rPr>
        <w:t xml:space="preserve">de </w:t>
      </w:r>
      <w:r>
        <w:rPr>
          <w:rFonts w:hint="default" w:ascii="Arial" w:hAnsi="Arial" w:cs="Arial"/>
          <w:b/>
          <w:bCs/>
          <w:color w:val="000000"/>
          <w:sz w:val="22"/>
          <w:szCs w:val="22"/>
          <w:lang w:val="pt-BR"/>
        </w:rPr>
        <w:t xml:space="preserve">setembro </w:t>
      </w:r>
      <w:r>
        <w:rPr>
          <w:rFonts w:ascii="Arial" w:hAnsi="Arial" w:cs="Arial"/>
          <w:b/>
          <w:bCs/>
          <w:color w:val="000000"/>
          <w:sz w:val="22"/>
          <w:szCs w:val="22"/>
        </w:rPr>
        <w:t xml:space="preserve">de </w:t>
      </w:r>
      <w:r>
        <w:rPr>
          <w:rFonts w:ascii="Arial" w:hAnsi="Arial" w:cs="Arial"/>
          <w:b/>
          <w:bCs/>
          <w:color w:val="000000"/>
          <w:sz w:val="22"/>
          <w:szCs w:val="22"/>
          <w:lang w:val="pt-BR"/>
        </w:rPr>
        <w:t>2024</w:t>
      </w:r>
      <w:r>
        <w:rPr>
          <w:rFonts w:ascii="Arial" w:hAnsi="Arial" w:cs="Arial"/>
          <w:b w:val="0"/>
          <w:bCs w:val="0"/>
          <w:color w:val="000000"/>
          <w:sz w:val="22"/>
          <w:szCs w:val="22"/>
        </w:rPr>
        <w:t xml:space="preserve">, até às </w:t>
      </w:r>
      <w:r>
        <w:rPr>
          <w:rFonts w:hint="default" w:ascii="Arial" w:hAnsi="Arial" w:cs="Arial"/>
          <w:b/>
          <w:bCs/>
          <w:color w:val="000000"/>
          <w:sz w:val="22"/>
          <w:szCs w:val="22"/>
          <w:lang w:val="pt-BR"/>
        </w:rPr>
        <w:t>09</w:t>
      </w:r>
      <w:r>
        <w:rPr>
          <w:rFonts w:ascii="Arial" w:hAnsi="Arial" w:cs="Arial"/>
          <w:b/>
          <w:bCs/>
          <w:color w:val="000000"/>
          <w:sz w:val="22"/>
          <w:szCs w:val="22"/>
        </w:rPr>
        <w:t xml:space="preserve">h00min </w:t>
      </w:r>
      <w:r>
        <w:rPr>
          <w:rFonts w:ascii="Arial" w:hAnsi="Arial" w:cs="Arial"/>
          <w:b w:val="0"/>
          <w:bCs w:val="0"/>
          <w:color w:val="000000"/>
          <w:sz w:val="22"/>
          <w:szCs w:val="22"/>
        </w:rPr>
        <w:t xml:space="preserve">(horário de Brasília/DF) do dia </w:t>
      </w:r>
      <w:r>
        <w:rPr>
          <w:rFonts w:hint="default" w:ascii="Arial" w:hAnsi="Arial" w:cs="Arial"/>
          <w:b/>
          <w:bCs/>
          <w:color w:val="000000"/>
          <w:sz w:val="22"/>
          <w:szCs w:val="22"/>
          <w:lang w:val="pt-BR"/>
        </w:rPr>
        <w:t>18</w:t>
      </w:r>
      <w:r>
        <w:rPr>
          <w:rFonts w:ascii="Arial" w:hAnsi="Arial" w:cs="Arial"/>
          <w:b/>
          <w:bCs/>
          <w:color w:val="000000"/>
          <w:sz w:val="22"/>
          <w:szCs w:val="22"/>
        </w:rPr>
        <w:t xml:space="preserve"> de </w:t>
      </w:r>
      <w:r>
        <w:rPr>
          <w:rFonts w:hint="default" w:ascii="Arial" w:hAnsi="Arial" w:cs="Arial"/>
          <w:b/>
          <w:bCs/>
          <w:color w:val="000000"/>
          <w:sz w:val="22"/>
          <w:szCs w:val="22"/>
          <w:lang w:val="pt-BR"/>
        </w:rPr>
        <w:t xml:space="preserve">setembro </w:t>
      </w:r>
      <w:r>
        <w:rPr>
          <w:rFonts w:ascii="Arial" w:hAnsi="Arial" w:cs="Arial"/>
          <w:b/>
          <w:bCs/>
          <w:color w:val="000000"/>
          <w:sz w:val="22"/>
          <w:szCs w:val="22"/>
        </w:rPr>
        <w:t xml:space="preserve">de </w:t>
      </w:r>
      <w:r>
        <w:rPr>
          <w:rFonts w:ascii="Arial" w:hAnsi="Arial" w:cs="Arial"/>
          <w:b/>
          <w:bCs/>
          <w:color w:val="000000"/>
          <w:sz w:val="22"/>
          <w:szCs w:val="22"/>
          <w:lang w:val="pt-BR"/>
        </w:rPr>
        <w:t>2024</w:t>
      </w:r>
      <w:r>
        <w:rPr>
          <w:rFonts w:ascii="Arial" w:hAnsi="Arial" w:cs="Arial"/>
          <w:b w:val="0"/>
          <w:bCs w:val="0"/>
          <w:color w:val="000000"/>
          <w:sz w:val="22"/>
          <w:szCs w:val="22"/>
        </w:rPr>
        <w:t xml:space="preserve">. </w:t>
      </w:r>
      <w:bookmarkStart w:id="16" w:name="_Ref113968921"/>
    </w:p>
    <w:p w14:paraId="64692346">
      <w:pPr>
        <w:widowControl w:val="0"/>
        <w:numPr>
          <w:ilvl w:val="0"/>
          <w:numId w:val="0"/>
        </w:numPr>
        <w:tabs>
          <w:tab w:val="left" w:pos="142"/>
          <w:tab w:val="left" w:pos="426"/>
        </w:tabs>
        <w:spacing w:before="240" w:after="240" w:line="360" w:lineRule="auto"/>
        <w:ind w:leftChars="0"/>
        <w:jc w:val="both"/>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highlight w:val="none"/>
          <w:lang w:val="pt-BR"/>
        </w:rPr>
        <w:t>5.12.</w:t>
      </w:r>
      <w:r>
        <w:rPr>
          <w:rFonts w:hint="default" w:ascii="Arial" w:hAnsi="Arial" w:cs="Arial"/>
          <w:i w:val="0"/>
          <w:iCs w:val="0"/>
          <w:color w:val="auto"/>
          <w:sz w:val="22"/>
          <w:szCs w:val="22"/>
          <w:highlight w:val="none"/>
          <w:lang w:val="pt-BR"/>
        </w:rPr>
        <w:t xml:space="preserve"> </w:t>
      </w:r>
      <w:r>
        <w:rPr>
          <w:rFonts w:hint="default" w:ascii="Arial" w:hAnsi="Arial" w:cs="Arial"/>
          <w:i w:val="0"/>
          <w:iCs w:val="0"/>
          <w:color w:val="auto"/>
          <w:sz w:val="22"/>
          <w:szCs w:val="22"/>
          <w:highlight w:val="none"/>
        </w:rPr>
        <w:t>No cadastramento da proposta inicial, o licitante declarará, em campo próprio do sistema, que:</w:t>
      </w:r>
      <w:bookmarkEnd w:id="16"/>
    </w:p>
    <w:p w14:paraId="0501F74F">
      <w:pPr>
        <w:pStyle w:val="137"/>
        <w:numPr>
          <w:ilvl w:val="0"/>
          <w:numId w:val="0"/>
        </w:numPr>
        <w:spacing w:before="288" w:beforeLines="120" w:after="288" w:afterLines="120" w:line="360" w:lineRule="auto"/>
        <w:ind w:left="9" w:leftChars="0" w:firstLine="473" w:firstLineChars="214"/>
        <w:rPr>
          <w:i w:val="0"/>
          <w:iCs w:val="0"/>
          <w:color w:val="auto"/>
          <w:sz w:val="22"/>
          <w:szCs w:val="22"/>
          <w:highlight w:val="none"/>
        </w:rPr>
      </w:pPr>
      <w:r>
        <w:rPr>
          <w:rFonts w:hint="default"/>
          <w:b/>
          <w:bCs/>
          <w:i w:val="0"/>
          <w:iCs w:val="0"/>
          <w:color w:val="auto"/>
          <w:sz w:val="22"/>
          <w:szCs w:val="22"/>
          <w:highlight w:val="none"/>
          <w:lang w:val="pt-BR"/>
        </w:rPr>
        <w:t>5.12.1.</w:t>
      </w:r>
      <w:r>
        <w:rPr>
          <w:rFonts w:hint="default"/>
          <w:i w:val="0"/>
          <w:iCs w:val="0"/>
          <w:color w:val="auto"/>
          <w:sz w:val="22"/>
          <w:szCs w:val="22"/>
          <w:highlight w:val="none"/>
          <w:lang w:val="pt-BR"/>
        </w:rPr>
        <w:t xml:space="preserve"> E</w:t>
      </w:r>
      <w:r>
        <w:rPr>
          <w:i w:val="0"/>
          <w:iCs w:val="0"/>
          <w:color w:val="auto"/>
          <w:sz w:val="22"/>
          <w:szCs w:val="22"/>
          <w:highlight w:val="none"/>
        </w:rPr>
        <w:t xml:space="preserve">stá ciente e concorda com as condições contidas no </w:t>
      </w:r>
      <w:r>
        <w:rPr>
          <w:rFonts w:hint="default"/>
          <w:i w:val="0"/>
          <w:iCs w:val="0"/>
          <w:color w:val="auto"/>
          <w:sz w:val="22"/>
          <w:szCs w:val="22"/>
          <w:highlight w:val="none"/>
          <w:lang w:val="pt-BR"/>
        </w:rPr>
        <w:t>E</w:t>
      </w:r>
      <w:r>
        <w:rPr>
          <w:i w:val="0"/>
          <w:iCs w:val="0"/>
          <w:color w:val="auto"/>
          <w:sz w:val="22"/>
          <w:szCs w:val="22"/>
          <w:highlight w:val="none"/>
        </w:rPr>
        <w:t xml:space="preserve">dital e seus </w:t>
      </w:r>
      <w:r>
        <w:rPr>
          <w:rFonts w:hint="default"/>
          <w:i w:val="0"/>
          <w:iCs w:val="0"/>
          <w:color w:val="auto"/>
          <w:sz w:val="22"/>
          <w:szCs w:val="22"/>
          <w:highlight w:val="none"/>
          <w:lang w:val="pt-BR"/>
        </w:rPr>
        <w:t>A</w:t>
      </w:r>
      <w:r>
        <w:rPr>
          <w:i w:val="0"/>
          <w:iCs w:val="0"/>
          <w:color w:val="auto"/>
          <w:sz w:val="22"/>
          <w:szCs w:val="22"/>
          <w:highlight w:val="none"/>
        </w:rPr>
        <w:t>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3F455D3">
      <w:pPr>
        <w:pStyle w:val="137"/>
        <w:numPr>
          <w:ilvl w:val="0"/>
          <w:numId w:val="0"/>
        </w:numPr>
        <w:spacing w:line="360" w:lineRule="auto"/>
        <w:ind w:left="9" w:leftChars="0" w:firstLine="473" w:firstLineChars="214"/>
        <w:rPr>
          <w:rFonts w:hint="default" w:ascii="Arial" w:hAnsi="Arial" w:cs="Arial"/>
          <w:i w:val="0"/>
          <w:iCs w:val="0"/>
          <w:color w:val="auto"/>
          <w:sz w:val="22"/>
          <w:szCs w:val="22"/>
          <w:highlight w:val="none"/>
        </w:rPr>
      </w:pPr>
      <w:r>
        <w:rPr>
          <w:rFonts w:hint="default"/>
          <w:b/>
          <w:bCs/>
          <w:i w:val="0"/>
          <w:iCs w:val="0"/>
          <w:color w:val="auto"/>
          <w:sz w:val="22"/>
          <w:szCs w:val="22"/>
          <w:highlight w:val="none"/>
          <w:lang w:val="pt-BR"/>
        </w:rPr>
        <w:t xml:space="preserve">5.12.2. </w:t>
      </w:r>
      <w:r>
        <w:rPr>
          <w:rFonts w:hint="default" w:ascii="Arial" w:hAnsi="Arial" w:cs="Arial"/>
          <w:b w:val="0"/>
          <w:bCs w:val="0"/>
          <w:i w:val="0"/>
          <w:iCs w:val="0"/>
          <w:color w:val="auto"/>
          <w:sz w:val="22"/>
          <w:szCs w:val="22"/>
          <w:highlight w:val="none"/>
          <w:lang w:val="pt-BR"/>
        </w:rPr>
        <w:t>N</w:t>
      </w:r>
      <w:r>
        <w:rPr>
          <w:rFonts w:hint="default" w:ascii="Arial" w:hAnsi="Arial" w:cs="Arial"/>
          <w:i w:val="0"/>
          <w:iCs w:val="0"/>
          <w:color w:val="auto"/>
          <w:sz w:val="22"/>
          <w:szCs w:val="22"/>
          <w:highlight w:val="none"/>
        </w:rPr>
        <w:t xml:space="preserve">ão emprega menor de 18 anos em trabalho noturno, perigoso ou insalubre e não emprega menor de 16 anos, salvo menor, a partir de 14 anos, na condição de aprendiz, nos termos do </w:t>
      </w:r>
      <w:r>
        <w:rPr>
          <w:rFonts w:hint="default" w:ascii="Arial" w:hAnsi="Arial" w:cs="Arial"/>
          <w:i w:val="0"/>
          <w:iCs w:val="0"/>
          <w:color w:val="auto"/>
          <w:sz w:val="22"/>
          <w:szCs w:val="22"/>
          <w:highlight w:val="none"/>
          <w:u w:val="none"/>
        </w:rPr>
        <w:fldChar w:fldCharType="begin"/>
      </w:r>
      <w:r>
        <w:rPr>
          <w:rFonts w:hint="default" w:ascii="Arial" w:hAnsi="Arial" w:cs="Arial"/>
          <w:i w:val="0"/>
          <w:iCs w:val="0"/>
          <w:color w:val="auto"/>
          <w:sz w:val="22"/>
          <w:szCs w:val="22"/>
          <w:highlight w:val="none"/>
          <w:u w:val="none"/>
        </w:rPr>
        <w:instrText xml:space="preserve"> HYPERLINK "https://www.planalto.gov.br/ccivil_03/constituicao/constituicaocompilado.htm" \l "art7" </w:instrText>
      </w:r>
      <w:r>
        <w:rPr>
          <w:rFonts w:hint="default" w:ascii="Arial" w:hAnsi="Arial" w:cs="Arial"/>
          <w:i w:val="0"/>
          <w:iCs w:val="0"/>
          <w:color w:val="auto"/>
          <w:sz w:val="22"/>
          <w:szCs w:val="22"/>
          <w:highlight w:val="none"/>
          <w:u w:val="none"/>
        </w:rPr>
        <w:fldChar w:fldCharType="separate"/>
      </w:r>
      <w:r>
        <w:rPr>
          <w:rStyle w:val="15"/>
          <w:rFonts w:hint="default" w:ascii="Arial" w:hAnsi="Arial" w:cs="Arial"/>
          <w:i w:val="0"/>
          <w:iCs w:val="0"/>
          <w:color w:val="auto"/>
          <w:sz w:val="22"/>
          <w:szCs w:val="22"/>
          <w:highlight w:val="none"/>
          <w:u w:val="none"/>
        </w:rPr>
        <w:t>artigo 7°, XXXIII, da Constituição</w:t>
      </w:r>
      <w:r>
        <w:rPr>
          <w:rStyle w:val="15"/>
          <w:rFonts w:hint="default" w:ascii="Arial" w:hAnsi="Arial" w:cs="Arial"/>
          <w:i w:val="0"/>
          <w:iCs w:val="0"/>
          <w:color w:val="auto"/>
          <w:sz w:val="22"/>
          <w:szCs w:val="22"/>
          <w:highlight w:val="none"/>
          <w:u w:val="none"/>
        </w:rPr>
        <w:fldChar w:fldCharType="end"/>
      </w:r>
      <w:r>
        <w:rPr>
          <w:rFonts w:hint="default" w:ascii="Arial" w:hAnsi="Arial" w:cs="Arial"/>
          <w:i w:val="0"/>
          <w:iCs w:val="0"/>
          <w:color w:val="auto"/>
          <w:sz w:val="22"/>
          <w:szCs w:val="22"/>
          <w:highlight w:val="none"/>
        </w:rPr>
        <w:t>;</w:t>
      </w:r>
    </w:p>
    <w:p w14:paraId="7B72C6B9">
      <w:pPr>
        <w:pStyle w:val="137"/>
        <w:numPr>
          <w:ilvl w:val="0"/>
          <w:numId w:val="0"/>
        </w:numPr>
        <w:spacing w:line="360" w:lineRule="auto"/>
        <w:ind w:left="9" w:leftChars="0" w:firstLine="473" w:firstLineChars="214"/>
        <w:rPr>
          <w:rFonts w:hint="default" w:ascii="Arial" w:hAnsi="Arial" w:cs="Arial"/>
          <w:i w:val="0"/>
          <w:iCs w:val="0"/>
          <w:color w:val="auto"/>
          <w:sz w:val="22"/>
          <w:szCs w:val="22"/>
          <w:highlight w:val="none"/>
        </w:rPr>
      </w:pPr>
      <w:r>
        <w:rPr>
          <w:rFonts w:hint="default"/>
          <w:b/>
          <w:bCs/>
          <w:i w:val="0"/>
          <w:iCs w:val="0"/>
          <w:color w:val="auto"/>
          <w:sz w:val="22"/>
          <w:szCs w:val="22"/>
          <w:highlight w:val="none"/>
          <w:lang w:val="pt-BR"/>
        </w:rPr>
        <w:t>5.12.3.</w:t>
      </w:r>
      <w:r>
        <w:rPr>
          <w:rFonts w:hint="default"/>
          <w:i w:val="0"/>
          <w:iCs w:val="0"/>
          <w:color w:val="auto"/>
          <w:sz w:val="22"/>
          <w:szCs w:val="22"/>
          <w:highlight w:val="none"/>
          <w:lang w:val="pt-BR"/>
        </w:rPr>
        <w:t xml:space="preserve"> </w:t>
      </w:r>
      <w:r>
        <w:rPr>
          <w:rFonts w:hint="default" w:ascii="Arial" w:hAnsi="Arial" w:cs="Arial"/>
          <w:i w:val="0"/>
          <w:iCs w:val="0"/>
          <w:color w:val="auto"/>
          <w:sz w:val="22"/>
          <w:szCs w:val="22"/>
          <w:highlight w:val="none"/>
          <w:lang w:val="pt-BR"/>
        </w:rPr>
        <w:t>N</w:t>
      </w:r>
      <w:r>
        <w:rPr>
          <w:rFonts w:hint="default" w:ascii="Arial" w:hAnsi="Arial" w:cs="Arial"/>
          <w:i w:val="0"/>
          <w:iCs w:val="0"/>
          <w:color w:val="auto"/>
          <w:sz w:val="22"/>
          <w:szCs w:val="22"/>
          <w:highlight w:val="none"/>
        </w:rPr>
        <w:t xml:space="preserve">ão possui empregados executando trabalho degradante ou forçado, observando o disposto nos </w:t>
      </w:r>
      <w:r>
        <w:rPr>
          <w:rFonts w:hint="default" w:ascii="Arial" w:hAnsi="Arial" w:cs="Arial"/>
          <w:i w:val="0"/>
          <w:iCs w:val="0"/>
          <w:color w:val="auto"/>
          <w:sz w:val="22"/>
          <w:szCs w:val="22"/>
          <w:highlight w:val="none"/>
          <w:u w:val="none"/>
        </w:rPr>
        <w:fldChar w:fldCharType="begin"/>
      </w:r>
      <w:r>
        <w:rPr>
          <w:rFonts w:hint="default" w:ascii="Arial" w:hAnsi="Arial" w:cs="Arial"/>
          <w:i w:val="0"/>
          <w:iCs w:val="0"/>
          <w:color w:val="auto"/>
          <w:sz w:val="22"/>
          <w:szCs w:val="22"/>
          <w:highlight w:val="none"/>
          <w:u w:val="none"/>
        </w:rPr>
        <w:instrText xml:space="preserve"> HYPERLINK "https://www.planalto.gov.br/ccivil_03/constituicao/constituicaocompilado.htm" </w:instrText>
      </w:r>
      <w:r>
        <w:rPr>
          <w:rFonts w:hint="default" w:ascii="Arial" w:hAnsi="Arial" w:cs="Arial"/>
          <w:i w:val="0"/>
          <w:iCs w:val="0"/>
          <w:color w:val="auto"/>
          <w:sz w:val="22"/>
          <w:szCs w:val="22"/>
          <w:highlight w:val="none"/>
          <w:u w:val="none"/>
        </w:rPr>
        <w:fldChar w:fldCharType="separate"/>
      </w:r>
      <w:r>
        <w:rPr>
          <w:rStyle w:val="15"/>
          <w:rFonts w:hint="default" w:ascii="Arial" w:hAnsi="Arial" w:cs="Arial"/>
          <w:i w:val="0"/>
          <w:iCs w:val="0"/>
          <w:color w:val="auto"/>
          <w:sz w:val="22"/>
          <w:szCs w:val="22"/>
          <w:highlight w:val="none"/>
          <w:u w:val="none"/>
        </w:rPr>
        <w:t>incisos III e IV do art. 1º e no inciso III do art. 5º da Constituição Federal</w:t>
      </w:r>
      <w:r>
        <w:rPr>
          <w:rStyle w:val="15"/>
          <w:rFonts w:hint="default" w:ascii="Arial" w:hAnsi="Arial" w:cs="Arial"/>
          <w:i w:val="0"/>
          <w:iCs w:val="0"/>
          <w:color w:val="auto"/>
          <w:sz w:val="22"/>
          <w:szCs w:val="22"/>
          <w:highlight w:val="none"/>
          <w:u w:val="none"/>
        </w:rPr>
        <w:fldChar w:fldCharType="end"/>
      </w:r>
      <w:r>
        <w:rPr>
          <w:rFonts w:hint="default" w:ascii="Arial" w:hAnsi="Arial" w:cs="Arial"/>
          <w:i w:val="0"/>
          <w:iCs w:val="0"/>
          <w:color w:val="auto"/>
          <w:sz w:val="22"/>
          <w:szCs w:val="22"/>
          <w:highlight w:val="none"/>
        </w:rPr>
        <w:t>;</w:t>
      </w:r>
    </w:p>
    <w:p w14:paraId="10D0BBC9">
      <w:pPr>
        <w:pStyle w:val="137"/>
        <w:numPr>
          <w:ilvl w:val="0"/>
          <w:numId w:val="0"/>
        </w:numPr>
        <w:spacing w:line="360" w:lineRule="auto"/>
        <w:ind w:left="9" w:leftChars="0" w:firstLine="473" w:firstLineChars="214"/>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highlight w:val="none"/>
          <w:lang w:val="pt-BR"/>
        </w:rPr>
        <w:t>5.12.4.</w:t>
      </w:r>
      <w:r>
        <w:rPr>
          <w:rFonts w:hint="default" w:ascii="Arial" w:hAnsi="Arial" w:cs="Arial"/>
          <w:i w:val="0"/>
          <w:iCs w:val="0"/>
          <w:color w:val="auto"/>
          <w:sz w:val="22"/>
          <w:szCs w:val="22"/>
          <w:highlight w:val="none"/>
          <w:lang w:val="pt-BR"/>
        </w:rPr>
        <w:t xml:space="preserve"> C</w:t>
      </w:r>
      <w:r>
        <w:rPr>
          <w:rFonts w:hint="default" w:ascii="Arial" w:hAnsi="Arial" w:cs="Arial"/>
          <w:i w:val="0"/>
          <w:iCs w:val="0"/>
          <w:color w:val="auto"/>
          <w:sz w:val="22"/>
          <w:szCs w:val="22"/>
          <w:highlight w:val="none"/>
        </w:rPr>
        <w:t>umpre as exigências de reserva de cargos para pessoa com deficiência e para reabilitado da Previdência Social, previstas em lei e em outras normas específicas.</w:t>
      </w:r>
    </w:p>
    <w:p w14:paraId="09480709">
      <w:pPr>
        <w:pStyle w:val="134"/>
        <w:numPr>
          <w:ilvl w:val="0"/>
          <w:numId w:val="0"/>
        </w:numPr>
        <w:spacing w:line="360" w:lineRule="auto"/>
        <w:ind w:leftChars="0"/>
        <w:rPr>
          <w:rFonts w:hint="default" w:ascii="Arial" w:hAnsi="Arial" w:cs="Arial"/>
          <w:i w:val="0"/>
          <w:iCs w:val="0"/>
          <w:color w:val="auto"/>
          <w:sz w:val="22"/>
          <w:szCs w:val="22"/>
          <w:highlight w:val="none"/>
          <w:u w:val="none"/>
        </w:rPr>
      </w:pPr>
      <w:r>
        <w:rPr>
          <w:rFonts w:hint="default" w:ascii="Arial" w:hAnsi="Arial" w:cs="Arial"/>
          <w:b/>
          <w:bCs/>
          <w:i w:val="0"/>
          <w:iCs w:val="0"/>
          <w:color w:val="auto"/>
          <w:sz w:val="22"/>
          <w:szCs w:val="22"/>
          <w:highlight w:val="none"/>
          <w:lang w:val="pt-BR"/>
        </w:rPr>
        <w:t>5.13.</w:t>
      </w:r>
      <w:r>
        <w:rPr>
          <w:rFonts w:hint="default" w:ascii="Arial" w:hAnsi="Arial" w:cs="Arial"/>
          <w:i w:val="0"/>
          <w:iCs w:val="0"/>
          <w:color w:val="auto"/>
          <w:sz w:val="22"/>
          <w:szCs w:val="22"/>
          <w:highlight w:val="none"/>
          <w:lang w:val="pt-BR"/>
        </w:rPr>
        <w:t xml:space="preserve"> </w:t>
      </w:r>
      <w:r>
        <w:rPr>
          <w:rFonts w:hint="default" w:ascii="Arial" w:hAnsi="Arial" w:cs="Arial"/>
          <w:i w:val="0"/>
          <w:iCs w:val="0"/>
          <w:color w:val="auto"/>
          <w:sz w:val="22"/>
          <w:szCs w:val="22"/>
          <w:highlight w:val="none"/>
        </w:rPr>
        <w:t xml:space="preserve">O licitante organizado em </w:t>
      </w:r>
      <w:r>
        <w:rPr>
          <w:rFonts w:hint="default" w:ascii="Arial" w:hAnsi="Arial" w:cs="Arial"/>
          <w:i w:val="0"/>
          <w:iCs w:val="0"/>
          <w:color w:val="auto"/>
          <w:sz w:val="22"/>
          <w:szCs w:val="22"/>
          <w:highlight w:val="none"/>
          <w:lang w:val="pt-BR"/>
        </w:rPr>
        <w:t>C</w:t>
      </w:r>
      <w:r>
        <w:rPr>
          <w:rFonts w:hint="default" w:ascii="Arial" w:hAnsi="Arial" w:cs="Arial"/>
          <w:i w:val="0"/>
          <w:iCs w:val="0"/>
          <w:color w:val="auto"/>
          <w:sz w:val="22"/>
          <w:szCs w:val="22"/>
          <w:highlight w:val="none"/>
        </w:rPr>
        <w:t xml:space="preserve">ooperativa deverá declarar, ainda, em campo próprio do sistema eletrônico, que cumpre os requisitos estabelecidos no </w:t>
      </w:r>
      <w:r>
        <w:rPr>
          <w:rFonts w:hint="default" w:ascii="Arial" w:hAnsi="Arial" w:cs="Arial"/>
          <w:i w:val="0"/>
          <w:iCs w:val="0"/>
          <w:color w:val="auto"/>
          <w:sz w:val="22"/>
          <w:szCs w:val="22"/>
          <w:highlight w:val="none"/>
          <w:u w:val="none"/>
        </w:rPr>
        <w:fldChar w:fldCharType="begin"/>
      </w:r>
      <w:r>
        <w:rPr>
          <w:rFonts w:hint="default" w:ascii="Arial" w:hAnsi="Arial" w:cs="Arial"/>
          <w:i w:val="0"/>
          <w:iCs w:val="0"/>
          <w:color w:val="auto"/>
          <w:sz w:val="22"/>
          <w:szCs w:val="22"/>
          <w:highlight w:val="none"/>
          <w:u w:val="none"/>
        </w:rPr>
        <w:instrText xml:space="preserve"> HYPERLINK "http://www.planalto.gov.br/ccivil_03/_ato2019-2022/2021/lei/L14133.htm" \l "art16" \h </w:instrText>
      </w:r>
      <w:r>
        <w:rPr>
          <w:rFonts w:hint="default" w:ascii="Arial" w:hAnsi="Arial" w:cs="Arial"/>
          <w:i w:val="0"/>
          <w:iCs w:val="0"/>
          <w:color w:val="auto"/>
          <w:sz w:val="22"/>
          <w:szCs w:val="22"/>
          <w:highlight w:val="none"/>
          <w:u w:val="none"/>
        </w:rPr>
        <w:fldChar w:fldCharType="separate"/>
      </w:r>
      <w:r>
        <w:rPr>
          <w:rStyle w:val="15"/>
          <w:rFonts w:hint="default" w:ascii="Arial" w:hAnsi="Arial" w:cs="Arial"/>
          <w:i w:val="0"/>
          <w:iCs w:val="0"/>
          <w:color w:val="auto"/>
          <w:sz w:val="22"/>
          <w:szCs w:val="22"/>
          <w:highlight w:val="none"/>
          <w:u w:val="none"/>
        </w:rPr>
        <w:t>artigo 16 da Lei</w:t>
      </w:r>
      <w:r>
        <w:rPr>
          <w:rStyle w:val="15"/>
          <w:rFonts w:hint="default" w:ascii="Arial" w:hAnsi="Arial" w:cs="Arial"/>
          <w:i w:val="0"/>
          <w:iCs w:val="0"/>
          <w:color w:val="auto"/>
          <w:sz w:val="22"/>
          <w:szCs w:val="22"/>
          <w:highlight w:val="none"/>
          <w:u w:val="none"/>
          <w:lang w:val="pt-BR"/>
        </w:rPr>
        <w:t xml:space="preserve"> Federal</w:t>
      </w:r>
      <w:r>
        <w:rPr>
          <w:rStyle w:val="15"/>
          <w:rFonts w:hint="default" w:ascii="Arial" w:hAnsi="Arial" w:cs="Arial"/>
          <w:i w:val="0"/>
          <w:iCs w:val="0"/>
          <w:color w:val="auto"/>
          <w:sz w:val="22"/>
          <w:szCs w:val="22"/>
          <w:highlight w:val="none"/>
          <w:u w:val="none"/>
        </w:rPr>
        <w:t xml:space="preserve"> nº 14.133</w:t>
      </w:r>
      <w:r>
        <w:rPr>
          <w:rStyle w:val="15"/>
          <w:rFonts w:hint="default" w:ascii="Arial" w:hAnsi="Arial" w:cs="Arial"/>
          <w:i w:val="0"/>
          <w:iCs w:val="0"/>
          <w:color w:val="auto"/>
          <w:sz w:val="22"/>
          <w:szCs w:val="22"/>
          <w:highlight w:val="none"/>
          <w:u w:val="none"/>
          <w:lang w:val="pt-BR"/>
        </w:rPr>
        <w:t>/</w:t>
      </w:r>
      <w:r>
        <w:rPr>
          <w:rStyle w:val="15"/>
          <w:rFonts w:hint="default" w:ascii="Arial" w:hAnsi="Arial" w:cs="Arial"/>
          <w:i w:val="0"/>
          <w:iCs w:val="0"/>
          <w:color w:val="auto"/>
          <w:sz w:val="22"/>
          <w:szCs w:val="22"/>
          <w:highlight w:val="none"/>
          <w:u w:val="none"/>
        </w:rPr>
        <w:t>2021</w:t>
      </w:r>
      <w:r>
        <w:rPr>
          <w:rStyle w:val="15"/>
          <w:rFonts w:hint="default" w:ascii="Arial" w:hAnsi="Arial" w:cs="Arial"/>
          <w:i w:val="0"/>
          <w:iCs w:val="0"/>
          <w:color w:val="auto"/>
          <w:sz w:val="22"/>
          <w:szCs w:val="22"/>
          <w:highlight w:val="none"/>
          <w:u w:val="none"/>
        </w:rPr>
        <w:fldChar w:fldCharType="end"/>
      </w:r>
      <w:r>
        <w:rPr>
          <w:rFonts w:hint="default" w:ascii="Arial" w:hAnsi="Arial" w:cs="Arial"/>
          <w:i w:val="0"/>
          <w:iCs w:val="0"/>
          <w:color w:val="auto"/>
          <w:sz w:val="22"/>
          <w:szCs w:val="22"/>
          <w:highlight w:val="none"/>
          <w:u w:val="none"/>
        </w:rPr>
        <w:t>.</w:t>
      </w:r>
    </w:p>
    <w:p w14:paraId="2AA83B26">
      <w:pPr>
        <w:pStyle w:val="134"/>
        <w:numPr>
          <w:ilvl w:val="0"/>
          <w:numId w:val="0"/>
        </w:numPr>
        <w:spacing w:line="360" w:lineRule="auto"/>
        <w:ind w:leftChars="0"/>
        <w:rPr>
          <w:rFonts w:hint="default" w:ascii="Arial" w:hAnsi="Arial" w:cs="Arial"/>
          <w:i w:val="0"/>
          <w:iCs w:val="0"/>
          <w:color w:val="auto"/>
          <w:sz w:val="22"/>
          <w:szCs w:val="22"/>
        </w:rPr>
      </w:pPr>
      <w:bookmarkStart w:id="17" w:name="_Ref117000019"/>
      <w:r>
        <w:rPr>
          <w:rFonts w:hint="default" w:ascii="Arial" w:hAnsi="Arial" w:cs="Arial"/>
          <w:b/>
          <w:bCs/>
          <w:i w:val="0"/>
          <w:iCs w:val="0"/>
          <w:color w:val="auto"/>
          <w:sz w:val="22"/>
          <w:szCs w:val="22"/>
          <w:lang w:val="pt-BR"/>
        </w:rPr>
        <w:t>5.14.</w:t>
      </w:r>
      <w:r>
        <w:rPr>
          <w:rFonts w:hint="default" w:ascii="Arial" w:hAnsi="Arial" w:cs="Arial"/>
          <w:i w:val="0"/>
          <w:iCs w:val="0"/>
          <w:color w:val="auto"/>
          <w:sz w:val="22"/>
          <w:szCs w:val="22"/>
          <w:lang w:val="pt-BR"/>
        </w:rPr>
        <w:t xml:space="preserve"> </w:t>
      </w:r>
      <w:r>
        <w:rPr>
          <w:rFonts w:hint="default" w:ascii="Arial" w:hAnsi="Arial" w:cs="Arial"/>
          <w:i w:val="0"/>
          <w:iCs w:val="0"/>
          <w:color w:val="auto"/>
          <w:sz w:val="22"/>
          <w:szCs w:val="22"/>
        </w:rPr>
        <w:t xml:space="preserve">O fornecedor enquadrado como </w:t>
      </w:r>
      <w:r>
        <w:rPr>
          <w:rFonts w:hint="default" w:ascii="Arial" w:hAnsi="Arial" w:cs="Arial"/>
          <w:i w:val="0"/>
          <w:iCs w:val="0"/>
          <w:color w:val="auto"/>
          <w:sz w:val="22"/>
          <w:szCs w:val="22"/>
          <w:lang w:val="pt-BR"/>
        </w:rPr>
        <w:t>M</w:t>
      </w:r>
      <w:r>
        <w:rPr>
          <w:rFonts w:hint="default" w:ascii="Arial" w:hAnsi="Arial" w:cs="Arial"/>
          <w:i w:val="0"/>
          <w:iCs w:val="0"/>
          <w:color w:val="auto"/>
          <w:sz w:val="22"/>
          <w:szCs w:val="22"/>
        </w:rPr>
        <w:t xml:space="preserve">icroempresa, </w:t>
      </w:r>
      <w:r>
        <w:rPr>
          <w:rFonts w:hint="default" w:ascii="Arial" w:hAnsi="Arial" w:cs="Arial"/>
          <w:i w:val="0"/>
          <w:iCs w:val="0"/>
          <w:color w:val="auto"/>
          <w:sz w:val="22"/>
          <w:szCs w:val="22"/>
          <w:lang w:val="pt-BR"/>
        </w:rPr>
        <w:t>E</w:t>
      </w:r>
      <w:r>
        <w:rPr>
          <w:rFonts w:hint="default" w:ascii="Arial" w:hAnsi="Arial" w:cs="Arial"/>
          <w:i w:val="0"/>
          <w:iCs w:val="0"/>
          <w:color w:val="auto"/>
          <w:sz w:val="22"/>
          <w:szCs w:val="22"/>
        </w:rPr>
        <w:t xml:space="preserve">mpresa de </w:t>
      </w:r>
      <w:r>
        <w:rPr>
          <w:rFonts w:hint="default" w:ascii="Arial" w:hAnsi="Arial" w:cs="Arial"/>
          <w:i w:val="0"/>
          <w:iCs w:val="0"/>
          <w:color w:val="auto"/>
          <w:sz w:val="22"/>
          <w:szCs w:val="22"/>
          <w:lang w:val="pt-BR"/>
        </w:rPr>
        <w:t>P</w:t>
      </w:r>
      <w:r>
        <w:rPr>
          <w:rFonts w:hint="default" w:ascii="Arial" w:hAnsi="Arial" w:cs="Arial"/>
          <w:i w:val="0"/>
          <w:iCs w:val="0"/>
          <w:color w:val="auto"/>
          <w:sz w:val="22"/>
          <w:szCs w:val="22"/>
        </w:rPr>
        <w:t xml:space="preserve">equeno </w:t>
      </w:r>
      <w:r>
        <w:rPr>
          <w:rFonts w:hint="default" w:ascii="Arial" w:hAnsi="Arial" w:cs="Arial"/>
          <w:i w:val="0"/>
          <w:iCs w:val="0"/>
          <w:color w:val="auto"/>
          <w:sz w:val="22"/>
          <w:szCs w:val="22"/>
          <w:lang w:val="pt-BR"/>
        </w:rPr>
        <w:t>P</w:t>
      </w:r>
      <w:r>
        <w:rPr>
          <w:rFonts w:hint="default" w:ascii="Arial" w:hAnsi="Arial" w:cs="Arial"/>
          <w:i w:val="0"/>
          <w:iCs w:val="0"/>
          <w:color w:val="auto"/>
          <w:sz w:val="22"/>
          <w:szCs w:val="22"/>
        </w:rPr>
        <w:t xml:space="preserve">orte ou </w:t>
      </w:r>
      <w:r>
        <w:rPr>
          <w:rFonts w:hint="default" w:ascii="Arial" w:hAnsi="Arial" w:cs="Arial"/>
          <w:i w:val="0"/>
          <w:iCs w:val="0"/>
          <w:color w:val="auto"/>
          <w:sz w:val="22"/>
          <w:szCs w:val="22"/>
          <w:lang w:val="pt-BR"/>
        </w:rPr>
        <w:t>S</w:t>
      </w:r>
      <w:r>
        <w:rPr>
          <w:rFonts w:hint="default" w:ascii="Arial" w:hAnsi="Arial" w:cs="Arial"/>
          <w:i w:val="0"/>
          <w:iCs w:val="0"/>
          <w:color w:val="auto"/>
          <w:sz w:val="22"/>
          <w:szCs w:val="22"/>
        </w:rPr>
        <w:t xml:space="preserve">ociedade </w:t>
      </w:r>
      <w:r>
        <w:rPr>
          <w:rFonts w:hint="default" w:ascii="Arial" w:hAnsi="Arial" w:cs="Arial"/>
          <w:i w:val="0"/>
          <w:iCs w:val="0"/>
          <w:color w:val="auto"/>
          <w:sz w:val="22"/>
          <w:szCs w:val="22"/>
          <w:lang w:val="pt-BR"/>
        </w:rPr>
        <w:t>C</w:t>
      </w:r>
      <w:r>
        <w:rPr>
          <w:rFonts w:hint="default" w:ascii="Arial" w:hAnsi="Arial" w:cs="Arial"/>
          <w:i w:val="0"/>
          <w:iCs w:val="0"/>
          <w:color w:val="auto"/>
          <w:sz w:val="22"/>
          <w:szCs w:val="22"/>
        </w:rPr>
        <w:t xml:space="preserve">ooperativa deverá declarar, ainda, em campo próprio do sistema eletrônico, que cumpre os requisitos estabelecidos no </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"https://www.planalto.gov.br/ccivil_03/leis/lcp/lcp123.htm" \l "art3" \h </w:instrText>
      </w:r>
      <w:r>
        <w:rPr>
          <w:rFonts w:hint="default" w:ascii="Arial" w:hAnsi="Arial" w:cs="Arial"/>
          <w:i w:val="0"/>
          <w:iCs w:val="0"/>
          <w:color w:val="auto"/>
          <w:sz w:val="22"/>
          <w:szCs w:val="22"/>
          <w:u w:val="none"/>
        </w:rPr>
        <w:fldChar w:fldCharType="separate"/>
      </w:r>
      <w:r>
        <w:rPr>
          <w:rStyle w:val="15"/>
          <w:rFonts w:hint="default" w:ascii="Arial" w:hAnsi="Arial" w:cs="Arial"/>
          <w:i w:val="0"/>
          <w:iCs w:val="0"/>
          <w:color w:val="auto"/>
          <w:sz w:val="22"/>
          <w:szCs w:val="22"/>
          <w:u w:val="none"/>
        </w:rPr>
        <w:t>artigo 3° da Lei Complementar nº 123</w:t>
      </w:r>
      <w:r>
        <w:rPr>
          <w:rStyle w:val="15"/>
          <w:rFonts w:hint="default" w:ascii="Arial" w:hAnsi="Arial" w:cs="Arial"/>
          <w:i w:val="0"/>
          <w:iCs w:val="0"/>
          <w:color w:val="auto"/>
          <w:sz w:val="22"/>
          <w:szCs w:val="22"/>
          <w:u w:val="none"/>
          <w:lang w:val="pt-BR"/>
        </w:rPr>
        <w:t>/</w:t>
      </w:r>
      <w:r>
        <w:rPr>
          <w:rStyle w:val="15"/>
          <w:rFonts w:hint="default" w:ascii="Arial" w:hAnsi="Arial" w:cs="Arial"/>
          <w:i w:val="0"/>
          <w:iCs w:val="0"/>
          <w:color w:val="auto"/>
          <w:sz w:val="22"/>
          <w:szCs w:val="22"/>
          <w:u w:val="none"/>
        </w:rPr>
        <w:t>2006</w:t>
      </w:r>
      <w:r>
        <w:rPr>
          <w:rStyle w:val="15"/>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u w:val="none"/>
        </w:rPr>
        <w:t xml:space="preserve">, estando apto a usufruir do tratamento favorecido estabelecido em seus </w:t>
      </w:r>
      <w:bookmarkEnd w:id="17"/>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HYPERLINK "https://www.planalto.gov.br/ccivil_03/leis/lcp/lcp123.htm" \l "art42"</w:instrText>
      </w:r>
      <w:r>
        <w:rPr>
          <w:rFonts w:hint="default" w:ascii="Arial" w:hAnsi="Arial" w:cs="Arial"/>
          <w:i w:val="0"/>
          <w:iCs w:val="0"/>
          <w:color w:val="auto"/>
          <w:sz w:val="22"/>
          <w:szCs w:val="22"/>
          <w:u w:val="none"/>
        </w:rPr>
        <w:fldChar w:fldCharType="separate"/>
      </w:r>
      <w:r>
        <w:rPr>
          <w:rStyle w:val="15"/>
          <w:rFonts w:hint="default" w:ascii="Arial" w:hAnsi="Arial" w:cs="Arial"/>
          <w:i w:val="0"/>
          <w:iCs w:val="0"/>
          <w:color w:val="auto"/>
          <w:sz w:val="22"/>
          <w:szCs w:val="22"/>
          <w:u w:val="none"/>
        </w:rPr>
        <w:t>arts. 42 a 49</w:t>
      </w:r>
      <w:r>
        <w:rPr>
          <w:rStyle w:val="15"/>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u w:val="none"/>
        </w:rPr>
        <w:t xml:space="preserve">, observado o disposto nos </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\l "art4§1" \h </w:instrText>
      </w:r>
      <w:r>
        <w:rPr>
          <w:rFonts w:hint="default" w:ascii="Arial" w:hAnsi="Arial" w:cs="Arial"/>
          <w:i w:val="0"/>
          <w:iCs w:val="0"/>
          <w:color w:val="auto"/>
          <w:sz w:val="22"/>
          <w:szCs w:val="22"/>
          <w:u w:val="none"/>
        </w:rPr>
        <w:fldChar w:fldCharType="separate"/>
      </w:r>
      <w:r>
        <w:rPr>
          <w:rStyle w:val="15"/>
          <w:rFonts w:hint="default" w:ascii="Arial" w:hAnsi="Arial" w:cs="Arial"/>
          <w:i w:val="0"/>
          <w:iCs w:val="0"/>
          <w:color w:val="auto"/>
          <w:sz w:val="22"/>
          <w:szCs w:val="22"/>
          <w:u w:val="none"/>
        </w:rPr>
        <w:t xml:space="preserve">§§ 1º ao 3º do art. 4º, da Lei </w:t>
      </w:r>
      <w:r>
        <w:rPr>
          <w:rStyle w:val="15"/>
          <w:rFonts w:hint="default" w:ascii="Arial" w:hAnsi="Arial" w:cs="Arial"/>
          <w:i w:val="0"/>
          <w:iCs w:val="0"/>
          <w:color w:val="auto"/>
          <w:sz w:val="22"/>
          <w:szCs w:val="22"/>
          <w:u w:val="none"/>
          <w:lang w:val="pt-BR"/>
        </w:rPr>
        <w:t xml:space="preserve">Federal </w:t>
      </w:r>
      <w:r>
        <w:rPr>
          <w:rStyle w:val="15"/>
          <w:rFonts w:hint="default" w:ascii="Arial" w:hAnsi="Arial" w:cs="Arial"/>
          <w:i w:val="0"/>
          <w:iCs w:val="0"/>
          <w:color w:val="auto"/>
          <w:sz w:val="22"/>
          <w:szCs w:val="22"/>
          <w:u w:val="none"/>
        </w:rPr>
        <w:t>nº 14.133</w:t>
      </w:r>
      <w:r>
        <w:rPr>
          <w:rStyle w:val="15"/>
          <w:rFonts w:hint="default" w:ascii="Arial" w:hAnsi="Arial" w:cs="Arial"/>
          <w:i w:val="0"/>
          <w:iCs w:val="0"/>
          <w:color w:val="auto"/>
          <w:sz w:val="22"/>
          <w:szCs w:val="22"/>
          <w:u w:val="none"/>
          <w:lang w:val="pt-BR"/>
        </w:rPr>
        <w:t>/</w:t>
      </w:r>
      <w:r>
        <w:rPr>
          <w:rStyle w:val="15"/>
          <w:rFonts w:hint="default" w:ascii="Arial" w:hAnsi="Arial" w:cs="Arial"/>
          <w:i w:val="0"/>
          <w:iCs w:val="0"/>
          <w:color w:val="auto"/>
          <w:sz w:val="22"/>
          <w:szCs w:val="22"/>
          <w:u w:val="none"/>
        </w:rPr>
        <w:t>2021.</w:t>
      </w:r>
      <w:r>
        <w:rPr>
          <w:rStyle w:val="15"/>
          <w:rFonts w:hint="default" w:ascii="Arial" w:hAnsi="Arial" w:cs="Arial"/>
          <w:i w:val="0"/>
          <w:iCs w:val="0"/>
          <w:color w:val="auto"/>
          <w:sz w:val="22"/>
          <w:szCs w:val="22"/>
          <w:u w:val="none"/>
        </w:rPr>
        <w:fldChar w:fldCharType="end"/>
      </w:r>
    </w:p>
    <w:p w14:paraId="10F16FD4">
      <w:pPr>
        <w:pStyle w:val="137"/>
        <w:numPr>
          <w:ilvl w:val="0"/>
          <w:numId w:val="0"/>
        </w:numPr>
        <w:spacing w:line="360" w:lineRule="auto"/>
        <w:ind w:left="0" w:leftChars="0" w:firstLine="481" w:firstLineChars="218"/>
        <w:rPr>
          <w:rFonts w:hint="default" w:ascii="Arial" w:hAnsi="Arial" w:cs="Arial"/>
          <w:i w:val="0"/>
          <w:iCs w:val="0"/>
          <w:color w:val="auto"/>
          <w:sz w:val="22"/>
          <w:szCs w:val="22"/>
        </w:rPr>
      </w:pPr>
      <w:r>
        <w:rPr>
          <w:rFonts w:hint="default" w:ascii="Arial" w:hAnsi="Arial" w:cs="Arial"/>
          <w:b/>
          <w:bCs/>
          <w:i w:val="0"/>
          <w:iCs w:val="0"/>
          <w:color w:val="auto"/>
          <w:sz w:val="22"/>
          <w:szCs w:val="22"/>
          <w:lang w:val="pt-BR"/>
        </w:rPr>
        <w:t xml:space="preserve">5.14.1. </w:t>
      </w:r>
      <w:r>
        <w:rPr>
          <w:rFonts w:hint="default" w:ascii="Arial" w:hAnsi="Arial" w:cs="Arial"/>
          <w:i w:val="0"/>
          <w:iCs w:val="0"/>
          <w:color w:val="auto"/>
          <w:sz w:val="22"/>
          <w:szCs w:val="22"/>
          <w:lang w:val="pt-BR"/>
        </w:rPr>
        <w:t>N</w:t>
      </w:r>
      <w:r>
        <w:rPr>
          <w:rFonts w:hint="default" w:ascii="Arial" w:hAnsi="Arial" w:cs="Arial"/>
          <w:i w:val="0"/>
          <w:iCs w:val="0"/>
          <w:color w:val="auto"/>
          <w:sz w:val="22"/>
          <w:szCs w:val="22"/>
        </w:rPr>
        <w:t xml:space="preserve">o item exclusivo para participação de </w:t>
      </w:r>
      <w:r>
        <w:rPr>
          <w:rFonts w:hint="default" w:ascii="Arial" w:hAnsi="Arial" w:cs="Arial"/>
          <w:i w:val="0"/>
          <w:iCs w:val="0"/>
          <w:color w:val="auto"/>
          <w:sz w:val="22"/>
          <w:szCs w:val="22"/>
          <w:lang w:val="pt-BR"/>
        </w:rPr>
        <w:t>M</w:t>
      </w:r>
      <w:r>
        <w:rPr>
          <w:rFonts w:hint="default" w:ascii="Arial" w:hAnsi="Arial" w:cs="Arial"/>
          <w:i w:val="0"/>
          <w:iCs w:val="0"/>
          <w:color w:val="auto"/>
          <w:sz w:val="22"/>
          <w:szCs w:val="22"/>
        </w:rPr>
        <w:t xml:space="preserve">icroempresas e </w:t>
      </w:r>
      <w:r>
        <w:rPr>
          <w:rFonts w:hint="default" w:ascii="Arial" w:hAnsi="Arial" w:cs="Arial"/>
          <w:i w:val="0"/>
          <w:iCs w:val="0"/>
          <w:color w:val="auto"/>
          <w:sz w:val="22"/>
          <w:szCs w:val="22"/>
          <w:lang w:val="pt-BR"/>
        </w:rPr>
        <w:t>E</w:t>
      </w:r>
      <w:r>
        <w:rPr>
          <w:rFonts w:hint="default" w:ascii="Arial" w:hAnsi="Arial" w:cs="Arial"/>
          <w:i w:val="0"/>
          <w:iCs w:val="0"/>
          <w:color w:val="auto"/>
          <w:sz w:val="22"/>
          <w:szCs w:val="22"/>
        </w:rPr>
        <w:t xml:space="preserve">mpresas de </w:t>
      </w:r>
      <w:r>
        <w:rPr>
          <w:rFonts w:hint="default" w:ascii="Arial" w:hAnsi="Arial" w:cs="Arial"/>
          <w:i w:val="0"/>
          <w:iCs w:val="0"/>
          <w:color w:val="auto"/>
          <w:sz w:val="22"/>
          <w:szCs w:val="22"/>
          <w:lang w:val="pt-BR"/>
        </w:rPr>
        <w:t>P</w:t>
      </w:r>
      <w:r>
        <w:rPr>
          <w:rFonts w:hint="default" w:ascii="Arial" w:hAnsi="Arial" w:cs="Arial"/>
          <w:i w:val="0"/>
          <w:iCs w:val="0"/>
          <w:color w:val="auto"/>
          <w:sz w:val="22"/>
          <w:szCs w:val="22"/>
        </w:rPr>
        <w:t xml:space="preserve">equeno </w:t>
      </w:r>
      <w:r>
        <w:rPr>
          <w:rFonts w:hint="default" w:ascii="Arial" w:hAnsi="Arial" w:cs="Arial"/>
          <w:i w:val="0"/>
          <w:iCs w:val="0"/>
          <w:color w:val="auto"/>
          <w:sz w:val="22"/>
          <w:szCs w:val="22"/>
          <w:lang w:val="pt-BR"/>
        </w:rPr>
        <w:t>P</w:t>
      </w:r>
      <w:r>
        <w:rPr>
          <w:rFonts w:hint="default" w:ascii="Arial" w:hAnsi="Arial" w:cs="Arial"/>
          <w:i w:val="0"/>
          <w:iCs w:val="0"/>
          <w:color w:val="auto"/>
          <w:sz w:val="22"/>
          <w:szCs w:val="22"/>
        </w:rPr>
        <w:t>orte, a assinalação do campo “não” impedirá o prosseguimento no certame, para aquele item;</w:t>
      </w:r>
    </w:p>
    <w:p w14:paraId="7D53E270">
      <w:pPr>
        <w:pStyle w:val="137"/>
        <w:numPr>
          <w:ilvl w:val="0"/>
          <w:numId w:val="0"/>
        </w:numPr>
        <w:spacing w:line="360" w:lineRule="auto"/>
        <w:ind w:left="0" w:leftChars="0" w:firstLine="481" w:firstLineChars="218"/>
        <w:rPr>
          <w:rFonts w:hint="default" w:ascii="Arial" w:hAnsi="Arial" w:cs="Arial"/>
          <w:i w:val="0"/>
          <w:iCs w:val="0"/>
          <w:color w:val="auto"/>
          <w:sz w:val="22"/>
          <w:szCs w:val="22"/>
        </w:rPr>
      </w:pPr>
      <w:r>
        <w:rPr>
          <w:rFonts w:hint="default" w:ascii="Arial" w:hAnsi="Arial" w:cs="Arial"/>
          <w:b/>
          <w:bCs/>
          <w:i w:val="0"/>
          <w:iCs w:val="0"/>
          <w:color w:val="auto"/>
          <w:sz w:val="22"/>
          <w:szCs w:val="22"/>
          <w:lang w:val="pt-BR"/>
        </w:rPr>
        <w:t>5.14.2.</w:t>
      </w:r>
      <w:r>
        <w:rPr>
          <w:rFonts w:hint="default" w:ascii="Arial" w:hAnsi="Arial" w:cs="Arial"/>
          <w:i w:val="0"/>
          <w:iCs w:val="0"/>
          <w:color w:val="auto"/>
          <w:sz w:val="22"/>
          <w:szCs w:val="22"/>
          <w:lang w:val="pt-BR"/>
        </w:rPr>
        <w:t xml:space="preserve"> N</w:t>
      </w:r>
      <w:r>
        <w:rPr>
          <w:rFonts w:hint="default" w:ascii="Arial" w:hAnsi="Arial" w:cs="Arial"/>
          <w:i w:val="0"/>
          <w:iCs w:val="0"/>
          <w:color w:val="auto"/>
          <w:sz w:val="22"/>
          <w:szCs w:val="22"/>
        </w:rPr>
        <w:t xml:space="preserve">os itens em que a participação não for exclusiva para </w:t>
      </w:r>
      <w:r>
        <w:rPr>
          <w:rFonts w:hint="default" w:ascii="Arial" w:hAnsi="Arial" w:cs="Arial"/>
          <w:i w:val="0"/>
          <w:iCs w:val="0"/>
          <w:color w:val="auto"/>
          <w:sz w:val="22"/>
          <w:szCs w:val="22"/>
          <w:lang w:val="pt-BR"/>
        </w:rPr>
        <w:t>M</w:t>
      </w:r>
      <w:r>
        <w:rPr>
          <w:rFonts w:hint="default" w:ascii="Arial" w:hAnsi="Arial" w:cs="Arial"/>
          <w:i w:val="0"/>
          <w:iCs w:val="0"/>
          <w:color w:val="auto"/>
          <w:sz w:val="22"/>
          <w:szCs w:val="22"/>
        </w:rPr>
        <w:t xml:space="preserve">icroempresas e </w:t>
      </w:r>
      <w:r>
        <w:rPr>
          <w:rFonts w:hint="default" w:ascii="Arial" w:hAnsi="Arial" w:cs="Arial"/>
          <w:i w:val="0"/>
          <w:iCs w:val="0"/>
          <w:color w:val="auto"/>
          <w:sz w:val="22"/>
          <w:szCs w:val="22"/>
          <w:lang w:val="pt-BR"/>
        </w:rPr>
        <w:t>E</w:t>
      </w:r>
      <w:r>
        <w:rPr>
          <w:rFonts w:hint="default" w:ascii="Arial" w:hAnsi="Arial" w:cs="Arial"/>
          <w:i w:val="0"/>
          <w:iCs w:val="0"/>
          <w:color w:val="auto"/>
          <w:sz w:val="22"/>
          <w:szCs w:val="22"/>
        </w:rPr>
        <w:t xml:space="preserve">mpresas de </w:t>
      </w:r>
      <w:r>
        <w:rPr>
          <w:rFonts w:hint="default" w:ascii="Arial" w:hAnsi="Arial" w:cs="Arial"/>
          <w:i w:val="0"/>
          <w:iCs w:val="0"/>
          <w:color w:val="auto"/>
          <w:sz w:val="22"/>
          <w:szCs w:val="22"/>
          <w:lang w:val="pt-BR"/>
        </w:rPr>
        <w:t>P</w:t>
      </w:r>
      <w:r>
        <w:rPr>
          <w:rFonts w:hint="default" w:ascii="Arial" w:hAnsi="Arial" w:cs="Arial"/>
          <w:i w:val="0"/>
          <w:iCs w:val="0"/>
          <w:color w:val="auto"/>
          <w:sz w:val="22"/>
          <w:szCs w:val="22"/>
        </w:rPr>
        <w:t xml:space="preserve">equeno </w:t>
      </w:r>
      <w:r>
        <w:rPr>
          <w:rFonts w:hint="default" w:ascii="Arial" w:hAnsi="Arial" w:cs="Arial"/>
          <w:i w:val="0"/>
          <w:iCs w:val="0"/>
          <w:color w:val="auto"/>
          <w:sz w:val="22"/>
          <w:szCs w:val="22"/>
          <w:lang w:val="pt-BR"/>
        </w:rPr>
        <w:t>P</w:t>
      </w:r>
      <w:r>
        <w:rPr>
          <w:rFonts w:hint="default" w:ascii="Arial" w:hAnsi="Arial" w:cs="Arial"/>
          <w:i w:val="0"/>
          <w:iCs w:val="0"/>
          <w:color w:val="auto"/>
          <w:sz w:val="22"/>
          <w:szCs w:val="22"/>
        </w:rPr>
        <w:t>orte, a assinalação do campo “não” apenas produzirá o efeito de o licitante não ter direito ao tratamento favorecido previsto na</w:t>
      </w:r>
      <w:r>
        <w:rPr>
          <w:rFonts w:hint="default" w:ascii="Arial" w:hAnsi="Arial" w:cs="Arial"/>
          <w:i w:val="0"/>
          <w:iCs w:val="0"/>
          <w:color w:val="auto"/>
          <w:sz w:val="22"/>
          <w:szCs w:val="22"/>
          <w:u w:val="none"/>
        </w:rPr>
        <w:t xml:space="preserve"> </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"https://www.planalto.gov.br/ccivil_03/leis/lcp/lcp123.htm" </w:instrText>
      </w:r>
      <w:r>
        <w:rPr>
          <w:rFonts w:hint="default" w:ascii="Arial" w:hAnsi="Arial" w:cs="Arial"/>
          <w:i w:val="0"/>
          <w:iCs w:val="0"/>
          <w:color w:val="auto"/>
          <w:sz w:val="22"/>
          <w:szCs w:val="22"/>
          <w:u w:val="none"/>
        </w:rPr>
        <w:fldChar w:fldCharType="separate"/>
      </w:r>
      <w:r>
        <w:rPr>
          <w:rStyle w:val="15"/>
          <w:rFonts w:hint="default" w:ascii="Arial" w:hAnsi="Arial" w:cs="Arial"/>
          <w:i w:val="0"/>
          <w:iCs w:val="0"/>
          <w:color w:val="auto"/>
          <w:sz w:val="22"/>
          <w:szCs w:val="22"/>
          <w:u w:val="none"/>
        </w:rPr>
        <w:t>Lei Complementar nº 123</w:t>
      </w:r>
      <w:r>
        <w:rPr>
          <w:rStyle w:val="15"/>
          <w:rFonts w:hint="default" w:ascii="Arial" w:hAnsi="Arial" w:cs="Arial"/>
          <w:i w:val="0"/>
          <w:iCs w:val="0"/>
          <w:color w:val="auto"/>
          <w:sz w:val="22"/>
          <w:szCs w:val="22"/>
          <w:u w:val="none"/>
          <w:lang w:val="pt-BR"/>
        </w:rPr>
        <w:t>/</w:t>
      </w:r>
      <w:r>
        <w:rPr>
          <w:rStyle w:val="15"/>
          <w:rFonts w:hint="default" w:ascii="Arial" w:hAnsi="Arial" w:cs="Arial"/>
          <w:i w:val="0"/>
          <w:iCs w:val="0"/>
          <w:color w:val="auto"/>
          <w:sz w:val="22"/>
          <w:szCs w:val="22"/>
          <w:u w:val="none"/>
        </w:rPr>
        <w:t>2006</w:t>
      </w:r>
      <w:r>
        <w:rPr>
          <w:rStyle w:val="15"/>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u w:val="none"/>
        </w:rPr>
        <w:t xml:space="preserve">, mesmo que </w:t>
      </w:r>
      <w:r>
        <w:rPr>
          <w:rFonts w:hint="default" w:ascii="Arial" w:hAnsi="Arial" w:cs="Arial"/>
          <w:i w:val="0"/>
          <w:iCs w:val="0"/>
          <w:color w:val="auto"/>
          <w:sz w:val="22"/>
          <w:szCs w:val="22"/>
          <w:u w:val="none"/>
          <w:lang w:val="pt-BR"/>
        </w:rPr>
        <w:t>M</w:t>
      </w:r>
      <w:r>
        <w:rPr>
          <w:rFonts w:hint="default" w:ascii="Arial" w:hAnsi="Arial" w:cs="Arial"/>
          <w:i w:val="0"/>
          <w:iCs w:val="0"/>
          <w:color w:val="auto"/>
          <w:sz w:val="22"/>
          <w:szCs w:val="22"/>
          <w:u w:val="none"/>
        </w:rPr>
        <w:t xml:space="preserve">icroempresa, </w:t>
      </w:r>
      <w:r>
        <w:rPr>
          <w:rFonts w:hint="default" w:ascii="Arial" w:hAnsi="Arial" w:cs="Arial"/>
          <w:i w:val="0"/>
          <w:iCs w:val="0"/>
          <w:color w:val="auto"/>
          <w:sz w:val="22"/>
          <w:szCs w:val="22"/>
          <w:u w:val="none"/>
          <w:lang w:val="pt-BR"/>
        </w:rPr>
        <w:t>E</w:t>
      </w:r>
      <w:r>
        <w:rPr>
          <w:rFonts w:hint="default" w:ascii="Arial" w:hAnsi="Arial" w:cs="Arial"/>
          <w:i w:val="0"/>
          <w:iCs w:val="0"/>
          <w:color w:val="auto"/>
          <w:sz w:val="22"/>
          <w:szCs w:val="22"/>
          <w:u w:val="none"/>
        </w:rPr>
        <w:t xml:space="preserve">mpresa de </w:t>
      </w:r>
      <w:r>
        <w:rPr>
          <w:rFonts w:hint="default" w:ascii="Arial" w:hAnsi="Arial" w:cs="Arial"/>
          <w:i w:val="0"/>
          <w:iCs w:val="0"/>
          <w:color w:val="auto"/>
          <w:sz w:val="22"/>
          <w:szCs w:val="22"/>
          <w:u w:val="none"/>
          <w:lang w:val="pt-BR"/>
        </w:rPr>
        <w:t>P</w:t>
      </w:r>
      <w:r>
        <w:rPr>
          <w:rFonts w:hint="default" w:ascii="Arial" w:hAnsi="Arial" w:cs="Arial"/>
          <w:i w:val="0"/>
          <w:iCs w:val="0"/>
          <w:color w:val="auto"/>
          <w:sz w:val="22"/>
          <w:szCs w:val="22"/>
          <w:u w:val="none"/>
        </w:rPr>
        <w:t xml:space="preserve">equeno </w:t>
      </w:r>
      <w:r>
        <w:rPr>
          <w:rFonts w:hint="default" w:ascii="Arial" w:hAnsi="Arial" w:cs="Arial"/>
          <w:i w:val="0"/>
          <w:iCs w:val="0"/>
          <w:color w:val="auto"/>
          <w:sz w:val="22"/>
          <w:szCs w:val="22"/>
          <w:u w:val="none"/>
          <w:lang w:val="pt-BR"/>
        </w:rPr>
        <w:t>P</w:t>
      </w:r>
      <w:r>
        <w:rPr>
          <w:rFonts w:hint="default" w:ascii="Arial" w:hAnsi="Arial" w:cs="Arial"/>
          <w:i w:val="0"/>
          <w:iCs w:val="0"/>
          <w:color w:val="auto"/>
          <w:sz w:val="22"/>
          <w:szCs w:val="22"/>
          <w:u w:val="none"/>
        </w:rPr>
        <w:t xml:space="preserve">orte </w:t>
      </w:r>
      <w:r>
        <w:rPr>
          <w:rFonts w:hint="default" w:ascii="Arial" w:hAnsi="Arial" w:cs="Arial"/>
          <w:i w:val="0"/>
          <w:iCs w:val="0"/>
          <w:color w:val="auto"/>
          <w:sz w:val="22"/>
          <w:szCs w:val="22"/>
        </w:rPr>
        <w:t xml:space="preserve">ou </w:t>
      </w:r>
      <w:r>
        <w:rPr>
          <w:rFonts w:hint="default" w:ascii="Arial" w:hAnsi="Arial" w:cs="Arial"/>
          <w:i w:val="0"/>
          <w:iCs w:val="0"/>
          <w:color w:val="auto"/>
          <w:sz w:val="22"/>
          <w:szCs w:val="22"/>
          <w:lang w:val="pt-BR"/>
        </w:rPr>
        <w:t>S</w:t>
      </w:r>
      <w:r>
        <w:rPr>
          <w:rFonts w:hint="default" w:ascii="Arial" w:hAnsi="Arial" w:cs="Arial"/>
          <w:i w:val="0"/>
          <w:iCs w:val="0"/>
          <w:color w:val="auto"/>
          <w:sz w:val="22"/>
          <w:szCs w:val="22"/>
        </w:rPr>
        <w:t xml:space="preserve">ociedade </w:t>
      </w:r>
      <w:r>
        <w:rPr>
          <w:rFonts w:hint="default" w:ascii="Arial" w:hAnsi="Arial" w:cs="Arial"/>
          <w:i w:val="0"/>
          <w:iCs w:val="0"/>
          <w:color w:val="auto"/>
          <w:sz w:val="22"/>
          <w:szCs w:val="22"/>
          <w:lang w:val="pt-BR"/>
        </w:rPr>
        <w:t>C</w:t>
      </w:r>
      <w:r>
        <w:rPr>
          <w:rFonts w:hint="default" w:ascii="Arial" w:hAnsi="Arial" w:cs="Arial"/>
          <w:i w:val="0"/>
          <w:iCs w:val="0"/>
          <w:color w:val="auto"/>
          <w:sz w:val="22"/>
          <w:szCs w:val="22"/>
        </w:rPr>
        <w:t>ooperativa.</w:t>
      </w:r>
    </w:p>
    <w:p w14:paraId="50DA9401">
      <w:pPr>
        <w:pStyle w:val="134"/>
        <w:numPr>
          <w:ilvl w:val="0"/>
          <w:numId w:val="0"/>
        </w:numPr>
        <w:spacing w:line="360" w:lineRule="auto"/>
        <w:ind w:leftChars="0"/>
        <w:rPr>
          <w:rFonts w:hint="default" w:ascii="Arial" w:hAnsi="Arial" w:cs="Arial"/>
          <w:i w:val="0"/>
          <w:iCs w:val="0"/>
          <w:color w:val="auto"/>
          <w:sz w:val="22"/>
          <w:szCs w:val="22"/>
        </w:rPr>
      </w:pPr>
      <w:r>
        <w:rPr>
          <w:rFonts w:hint="default" w:ascii="Arial" w:hAnsi="Arial" w:cs="Arial"/>
          <w:b/>
          <w:bCs/>
          <w:i w:val="0"/>
          <w:iCs w:val="0"/>
          <w:color w:val="auto"/>
          <w:sz w:val="22"/>
          <w:szCs w:val="22"/>
          <w:lang w:val="pt-BR"/>
        </w:rPr>
        <w:t>5.15.</w:t>
      </w:r>
      <w:r>
        <w:rPr>
          <w:rFonts w:hint="default" w:ascii="Arial" w:hAnsi="Arial" w:cs="Arial"/>
          <w:i w:val="0"/>
          <w:iCs w:val="0"/>
          <w:color w:val="auto"/>
          <w:sz w:val="22"/>
          <w:szCs w:val="22"/>
          <w:lang w:val="pt-BR"/>
        </w:rPr>
        <w:t xml:space="preserve"> </w:t>
      </w:r>
      <w:r>
        <w:rPr>
          <w:rFonts w:hint="default" w:ascii="Arial" w:hAnsi="Arial" w:cs="Arial"/>
          <w:i w:val="0"/>
          <w:iCs w:val="0"/>
          <w:color w:val="auto"/>
          <w:sz w:val="22"/>
          <w:szCs w:val="22"/>
        </w:rPr>
        <w:t>A falsidade da</w:t>
      </w:r>
      <w:r>
        <w:rPr>
          <w:rFonts w:hint="default" w:ascii="Arial" w:hAnsi="Arial" w:cs="Arial"/>
          <w:i w:val="0"/>
          <w:iCs w:val="0"/>
          <w:color w:val="auto"/>
          <w:sz w:val="22"/>
          <w:szCs w:val="22"/>
          <w:lang w:val="pt-BR"/>
        </w:rPr>
        <w:t>s</w:t>
      </w:r>
      <w:r>
        <w:rPr>
          <w:rFonts w:hint="default" w:ascii="Arial" w:hAnsi="Arial" w:cs="Arial"/>
          <w:i w:val="0"/>
          <w:iCs w:val="0"/>
          <w:color w:val="auto"/>
          <w:sz w:val="22"/>
          <w:szCs w:val="22"/>
        </w:rPr>
        <w:t xml:space="preserve"> declara</w:t>
      </w:r>
      <w:r>
        <w:rPr>
          <w:rFonts w:hint="default" w:ascii="Arial" w:hAnsi="Arial" w:cs="Arial"/>
          <w:i w:val="0"/>
          <w:iCs w:val="0"/>
          <w:color w:val="auto"/>
          <w:sz w:val="22"/>
          <w:szCs w:val="22"/>
          <w:lang w:val="pt-BR"/>
        </w:rPr>
        <w:t>ções</w:t>
      </w:r>
      <w:r>
        <w:rPr>
          <w:rFonts w:hint="default" w:ascii="Arial" w:hAnsi="Arial" w:cs="Arial"/>
          <w:i w:val="0"/>
          <w:iCs w:val="0"/>
          <w:color w:val="auto"/>
          <w:sz w:val="22"/>
          <w:szCs w:val="22"/>
        </w:rPr>
        <w:t xml:space="preserve"> sujeitará o licitante às sanções previstas na</w:t>
      </w:r>
      <w:r>
        <w:rPr>
          <w:rFonts w:hint="default" w:ascii="Arial" w:hAnsi="Arial" w:cs="Arial"/>
          <w:i w:val="0"/>
          <w:iCs w:val="0"/>
          <w:color w:val="auto"/>
          <w:sz w:val="22"/>
          <w:szCs w:val="22"/>
          <w:u w:val="none"/>
        </w:rPr>
        <w:t xml:space="preserve"> </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w:instrText>
      </w:r>
      <w:r>
        <w:rPr>
          <w:rFonts w:hint="default" w:ascii="Arial" w:hAnsi="Arial" w:cs="Arial"/>
          <w:i w:val="0"/>
          <w:iCs w:val="0"/>
          <w:color w:val="auto"/>
          <w:sz w:val="22"/>
          <w:szCs w:val="22"/>
          <w:u w:val="none"/>
        </w:rPr>
        <w:fldChar w:fldCharType="separate"/>
      </w:r>
      <w:r>
        <w:rPr>
          <w:rStyle w:val="15"/>
          <w:rFonts w:hint="default" w:ascii="Arial" w:hAnsi="Arial" w:cs="Arial"/>
          <w:i w:val="0"/>
          <w:iCs w:val="0"/>
          <w:color w:val="auto"/>
          <w:sz w:val="22"/>
          <w:szCs w:val="22"/>
          <w:u w:val="none"/>
        </w:rPr>
        <w:t xml:space="preserve">Lei </w:t>
      </w:r>
      <w:r>
        <w:rPr>
          <w:rStyle w:val="15"/>
          <w:rFonts w:hint="default" w:ascii="Arial" w:hAnsi="Arial" w:cs="Arial"/>
          <w:i w:val="0"/>
          <w:iCs w:val="0"/>
          <w:color w:val="auto"/>
          <w:sz w:val="22"/>
          <w:szCs w:val="22"/>
          <w:u w:val="none"/>
          <w:lang w:val="pt-BR"/>
        </w:rPr>
        <w:t xml:space="preserve">Federal </w:t>
      </w:r>
      <w:r>
        <w:rPr>
          <w:rStyle w:val="15"/>
          <w:rFonts w:hint="default" w:ascii="Arial" w:hAnsi="Arial" w:cs="Arial"/>
          <w:i w:val="0"/>
          <w:iCs w:val="0"/>
          <w:color w:val="auto"/>
          <w:sz w:val="22"/>
          <w:szCs w:val="22"/>
          <w:u w:val="none"/>
        </w:rPr>
        <w:t>nº 14.133</w:t>
      </w:r>
      <w:r>
        <w:rPr>
          <w:rStyle w:val="15"/>
          <w:rFonts w:hint="default" w:ascii="Arial" w:hAnsi="Arial" w:cs="Arial"/>
          <w:i w:val="0"/>
          <w:iCs w:val="0"/>
          <w:color w:val="auto"/>
          <w:sz w:val="22"/>
          <w:szCs w:val="22"/>
          <w:u w:val="none"/>
          <w:lang w:val="pt-BR"/>
        </w:rPr>
        <w:t>/</w:t>
      </w:r>
      <w:r>
        <w:rPr>
          <w:rStyle w:val="15"/>
          <w:rFonts w:hint="default" w:ascii="Arial" w:hAnsi="Arial" w:cs="Arial"/>
          <w:i w:val="0"/>
          <w:iCs w:val="0"/>
          <w:color w:val="auto"/>
          <w:sz w:val="22"/>
          <w:szCs w:val="22"/>
          <w:u w:val="none"/>
        </w:rPr>
        <w:t>2021</w:t>
      </w:r>
      <w:r>
        <w:rPr>
          <w:rStyle w:val="15"/>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rPr>
        <w:t xml:space="preserve"> e neste Edital.</w:t>
      </w:r>
    </w:p>
    <w:p w14:paraId="6172B101">
      <w:pPr>
        <w:pStyle w:val="134"/>
        <w:numPr>
          <w:ilvl w:val="0"/>
          <w:numId w:val="0"/>
        </w:numPr>
        <w:spacing w:line="360" w:lineRule="auto"/>
        <w:ind w:leftChars="0"/>
        <w:rPr>
          <w:i w:val="0"/>
          <w:iCs w:val="0"/>
          <w:color w:val="auto"/>
          <w:sz w:val="22"/>
          <w:szCs w:val="22"/>
        </w:rPr>
      </w:pPr>
      <w:r>
        <w:rPr>
          <w:rFonts w:hint="default" w:ascii="Arial" w:hAnsi="Arial" w:cs="Arial"/>
          <w:b/>
          <w:bCs/>
          <w:i w:val="0"/>
          <w:iCs w:val="0"/>
          <w:color w:val="auto"/>
          <w:sz w:val="22"/>
          <w:szCs w:val="22"/>
          <w:lang w:val="pt-BR"/>
        </w:rPr>
        <w:t xml:space="preserve">5.16. </w:t>
      </w:r>
      <w:r>
        <w:rPr>
          <w:rFonts w:hint="default" w:ascii="Arial" w:hAnsi="Arial" w:cs="Arial"/>
          <w:i w:val="0"/>
          <w:iCs w:val="0"/>
          <w:color w:val="auto"/>
          <w:sz w:val="22"/>
          <w:szCs w:val="22"/>
        </w:rPr>
        <w:t>Os licitantes poderão retirar ou substituir a proposta ou, na hipótese de a fase de habilitação anteceder as fases de apresentação de propostas e lances e de</w:t>
      </w:r>
      <w:r>
        <w:rPr>
          <w:i w:val="0"/>
          <w:iCs w:val="0"/>
          <w:color w:val="auto"/>
          <w:sz w:val="22"/>
          <w:szCs w:val="22"/>
        </w:rPr>
        <w:t xml:space="preserve"> julgamento, os documentos de habilitação anteriormente inseridos no sistema, até a abertura da sessão pública.</w:t>
      </w:r>
    </w:p>
    <w:p w14:paraId="6AE9F819">
      <w:pPr>
        <w:pStyle w:val="134"/>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5.17. </w:t>
      </w:r>
      <w:r>
        <w:rPr>
          <w:i w:val="0"/>
          <w:iCs w:val="0"/>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4BE66303">
      <w:pPr>
        <w:pStyle w:val="134"/>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5.18. </w:t>
      </w:r>
      <w:r>
        <w:rPr>
          <w:i w:val="0"/>
          <w:iCs w:val="0"/>
          <w:color w:val="auto"/>
          <w:sz w:val="22"/>
          <w:szCs w:val="22"/>
        </w:rPr>
        <w:t>Serão disponibilizados para acesso público os documentos que compõem a proposta dos licitantes convocados para apresentação de propostas, após a fase de envio de lances.</w:t>
      </w:r>
    </w:p>
    <w:p w14:paraId="4B71A967">
      <w:pPr>
        <w:pStyle w:val="134"/>
        <w:numPr>
          <w:ilvl w:val="0"/>
          <w:numId w:val="0"/>
        </w:numPr>
        <w:spacing w:line="360" w:lineRule="auto"/>
        <w:ind w:leftChars="0"/>
        <w:rPr>
          <w:i w:val="0"/>
          <w:iCs w:val="0"/>
          <w:color w:val="auto"/>
          <w:sz w:val="22"/>
          <w:szCs w:val="22"/>
        </w:rPr>
      </w:pPr>
      <w:bookmarkStart w:id="18" w:name="_Ref116992247"/>
      <w:r>
        <w:rPr>
          <w:rFonts w:hint="default"/>
          <w:b/>
          <w:bCs/>
          <w:i w:val="0"/>
          <w:iCs w:val="0"/>
          <w:color w:val="auto"/>
          <w:sz w:val="22"/>
          <w:szCs w:val="22"/>
          <w:lang w:val="pt-BR"/>
        </w:rPr>
        <w:t xml:space="preserve">5.19. </w:t>
      </w:r>
      <w:r>
        <w:rPr>
          <w:i w:val="0"/>
          <w:iCs w:val="0"/>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8"/>
    </w:p>
    <w:p w14:paraId="08503CA1">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5.19.1.</w:t>
      </w:r>
      <w:r>
        <w:rPr>
          <w:rFonts w:hint="default"/>
          <w:i w:val="0"/>
          <w:iCs w:val="0"/>
          <w:color w:val="auto"/>
          <w:sz w:val="22"/>
          <w:szCs w:val="22"/>
          <w:lang w:val="pt-BR"/>
        </w:rPr>
        <w:t xml:space="preserve"> A</w:t>
      </w:r>
      <w:r>
        <w:rPr>
          <w:i w:val="0"/>
          <w:iCs w:val="0"/>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0AE85F6F">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5.19.2.</w:t>
      </w:r>
      <w:r>
        <w:rPr>
          <w:rFonts w:hint="default"/>
          <w:i w:val="0"/>
          <w:iCs w:val="0"/>
          <w:color w:val="auto"/>
          <w:sz w:val="22"/>
          <w:szCs w:val="22"/>
          <w:lang w:val="pt-BR"/>
        </w:rPr>
        <w:t xml:space="preserve"> O</w:t>
      </w:r>
      <w:r>
        <w:rPr>
          <w:i w:val="0"/>
          <w:iCs w:val="0"/>
          <w:color w:val="auto"/>
          <w:sz w:val="22"/>
          <w:szCs w:val="22"/>
        </w:rPr>
        <w:t>s lances serão de envio automático pelo sistema, respeitado o valor final mínimo, caso estabelecido, e o intervalo de que trata o subitem acima.</w:t>
      </w:r>
    </w:p>
    <w:p w14:paraId="23294B33">
      <w:pPr>
        <w:pStyle w:val="134"/>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5.20. </w:t>
      </w:r>
      <w:r>
        <w:rPr>
          <w:i w:val="0"/>
          <w:iCs w:val="0"/>
          <w:color w:val="auto"/>
          <w:sz w:val="22"/>
          <w:szCs w:val="22"/>
        </w:rPr>
        <w:t>O valor final mínimo ou o percentual de desconto final máximo parametrizado no sistema poderá ser alterado pelo fornecedor durante a fase de disputa, sendo vedado:</w:t>
      </w:r>
    </w:p>
    <w:p w14:paraId="53EAFEBB">
      <w:pPr>
        <w:pStyle w:val="137"/>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5.20.1. </w:t>
      </w:r>
      <w:r>
        <w:rPr>
          <w:rFonts w:hint="default"/>
          <w:b w:val="0"/>
          <w:bCs w:val="0"/>
          <w:i w:val="0"/>
          <w:iCs w:val="0"/>
          <w:color w:val="auto"/>
          <w:sz w:val="22"/>
          <w:szCs w:val="22"/>
          <w:lang w:val="pt-BR"/>
        </w:rPr>
        <w:t>V</w:t>
      </w:r>
      <w:r>
        <w:rPr>
          <w:i w:val="0"/>
          <w:iCs w:val="0"/>
          <w:color w:val="auto"/>
          <w:sz w:val="22"/>
          <w:szCs w:val="22"/>
        </w:rPr>
        <w:t>alor superior a lance já registrado pelo fornecedor no sistema, quando adotado o critério de julgamento por menor preço; e</w:t>
      </w:r>
    </w:p>
    <w:p w14:paraId="24B398CC">
      <w:pPr>
        <w:pStyle w:val="137"/>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5.20.2. </w:t>
      </w:r>
      <w:r>
        <w:rPr>
          <w:rFonts w:hint="default"/>
          <w:i w:val="0"/>
          <w:iCs w:val="0"/>
          <w:color w:val="auto"/>
          <w:sz w:val="22"/>
          <w:szCs w:val="22"/>
          <w:lang w:val="pt-BR"/>
        </w:rPr>
        <w:t>P</w:t>
      </w:r>
      <w:r>
        <w:rPr>
          <w:i w:val="0"/>
          <w:iCs w:val="0"/>
          <w:color w:val="auto"/>
          <w:sz w:val="22"/>
          <w:szCs w:val="22"/>
        </w:rPr>
        <w:t>ercentual de desconto inferior a lance já registrado pelo fornecedor no sistema, quando adotado o critério de julgamento por maior desconto.</w:t>
      </w:r>
    </w:p>
    <w:p w14:paraId="4BEB037B">
      <w:pPr>
        <w:pStyle w:val="134"/>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5.21.</w:t>
      </w:r>
      <w:r>
        <w:rPr>
          <w:rFonts w:hint="default"/>
          <w:i w:val="0"/>
          <w:iCs w:val="0"/>
          <w:color w:val="auto"/>
          <w:sz w:val="22"/>
          <w:szCs w:val="22"/>
          <w:lang w:val="pt-BR"/>
        </w:rPr>
        <w:t xml:space="preserve"> </w:t>
      </w:r>
      <w:r>
        <w:rPr>
          <w:i w:val="0"/>
          <w:iCs w:val="0"/>
          <w:color w:val="auto"/>
          <w:sz w:val="22"/>
          <w:szCs w:val="22"/>
        </w:rPr>
        <w:t xml:space="preserve">O valor final mínimo ou o percentual de desconto final máximo parametrizado na forma do item </w:t>
      </w:r>
      <w:r>
        <w:rPr>
          <w:i w:val="0"/>
          <w:iCs w:val="0"/>
          <w:color w:val="auto"/>
          <w:sz w:val="22"/>
          <w:szCs w:val="22"/>
        </w:rPr>
        <w:fldChar w:fldCharType="begin"/>
      </w:r>
      <w:r>
        <w:rPr>
          <w:i w:val="0"/>
          <w:iCs w:val="0"/>
          <w:color w:val="auto"/>
          <w:sz w:val="22"/>
          <w:szCs w:val="22"/>
        </w:rPr>
        <w:instrText xml:space="preserve"> REF _Ref116992247 \r \h  \* MERGEFORMAT </w:instrText>
      </w:r>
      <w:r>
        <w:rPr>
          <w:i w:val="0"/>
          <w:iCs w:val="0"/>
          <w:color w:val="auto"/>
          <w:sz w:val="22"/>
          <w:szCs w:val="22"/>
        </w:rPr>
        <w:fldChar w:fldCharType="separate"/>
      </w:r>
      <w:r>
        <w:rPr>
          <w:rFonts w:hint="default"/>
          <w:i w:val="0"/>
          <w:iCs w:val="0"/>
          <w:color w:val="auto"/>
          <w:sz w:val="22"/>
          <w:szCs w:val="22"/>
          <w:lang w:val="pt-BR"/>
        </w:rPr>
        <w:t>5.19.</w:t>
      </w:r>
      <w:r>
        <w:rPr>
          <w:i w:val="0"/>
          <w:iCs w:val="0"/>
          <w:color w:val="auto"/>
          <w:sz w:val="22"/>
          <w:szCs w:val="22"/>
        </w:rPr>
        <w:fldChar w:fldCharType="end"/>
      </w:r>
      <w:r>
        <w:rPr>
          <w:i w:val="0"/>
          <w:iCs w:val="0"/>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37D932AD">
      <w:pPr>
        <w:pStyle w:val="134"/>
        <w:numPr>
          <w:ilvl w:val="0"/>
          <w:numId w:val="0"/>
        </w:numPr>
        <w:spacing w:line="360" w:lineRule="auto"/>
        <w:ind w:leftChars="0"/>
        <w:rPr>
          <w:rFonts w:eastAsia="Times New Roman"/>
          <w:i w:val="0"/>
          <w:iCs w:val="0"/>
          <w:color w:val="auto"/>
          <w:sz w:val="22"/>
          <w:szCs w:val="22"/>
        </w:rPr>
      </w:pPr>
      <w:r>
        <w:rPr>
          <w:rFonts w:hint="default" w:eastAsia="Times New Roman"/>
          <w:b/>
          <w:bCs/>
          <w:i w:val="0"/>
          <w:iCs w:val="0"/>
          <w:color w:val="auto"/>
          <w:sz w:val="22"/>
          <w:szCs w:val="22"/>
          <w:lang w:val="pt-BR"/>
        </w:rPr>
        <w:t>5.22.</w:t>
      </w:r>
      <w:r>
        <w:rPr>
          <w:rFonts w:hint="default" w:eastAsia="Times New Roman"/>
          <w:i w:val="0"/>
          <w:iCs w:val="0"/>
          <w:color w:val="auto"/>
          <w:sz w:val="22"/>
          <w:szCs w:val="22"/>
          <w:lang w:val="pt-BR"/>
        </w:rPr>
        <w:t xml:space="preserve"> </w:t>
      </w:r>
      <w:r>
        <w:rPr>
          <w:rFonts w:eastAsia="Times New Roman"/>
          <w:i w:val="0"/>
          <w:iCs w:val="0"/>
          <w:color w:val="auto"/>
          <w:sz w:val="22"/>
          <w:szCs w:val="22"/>
        </w:rPr>
        <w:t xml:space="preserve">Caberá ao licitante interessado em participar da licitação </w:t>
      </w:r>
      <w:r>
        <w:rPr>
          <w:i w:val="0"/>
          <w:iCs w:val="0"/>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5D61B4F9">
      <w:pPr>
        <w:pStyle w:val="134"/>
        <w:numPr>
          <w:ilvl w:val="0"/>
          <w:numId w:val="0"/>
        </w:numPr>
        <w:spacing w:line="360" w:lineRule="auto"/>
        <w:ind w:leftChars="0"/>
        <w:rPr>
          <w:i w:val="0"/>
          <w:iCs w:val="0"/>
          <w:color w:val="auto"/>
          <w:sz w:val="22"/>
          <w:szCs w:val="22"/>
        </w:rPr>
      </w:pPr>
      <w:r>
        <w:rPr>
          <w:rFonts w:hint="default" w:eastAsia="Times New Roman"/>
          <w:b/>
          <w:bCs/>
          <w:i w:val="0"/>
          <w:iCs w:val="0"/>
          <w:color w:val="auto"/>
          <w:sz w:val="22"/>
          <w:szCs w:val="22"/>
          <w:lang w:val="pt-BR"/>
        </w:rPr>
        <w:t xml:space="preserve">5.23. </w:t>
      </w:r>
      <w:r>
        <w:rPr>
          <w:rFonts w:eastAsia="Times New Roman"/>
          <w:i w:val="0"/>
          <w:iCs w:val="0"/>
          <w:color w:val="auto"/>
          <w:sz w:val="22"/>
          <w:szCs w:val="22"/>
        </w:rPr>
        <w:t xml:space="preserve">O licitante deverá </w:t>
      </w:r>
      <w:r>
        <w:rPr>
          <w:i w:val="0"/>
          <w:iCs w:val="0"/>
          <w:color w:val="auto"/>
          <w:sz w:val="22"/>
          <w:szCs w:val="22"/>
        </w:rPr>
        <w:t>comunicar imediatamente ao provedor do sistema qualquer acontecimento que possa comprometer o sigilo ou a segurança, para imediato bloqueio de acesso.</w:t>
      </w:r>
    </w:p>
    <w:p w14:paraId="2425805F">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24</w:t>
      </w:r>
      <w:r>
        <w:rPr>
          <w:rFonts w:ascii="Arial" w:hAnsi="Arial" w:cs="Arial"/>
          <w:b/>
          <w:sz w:val="22"/>
          <w:szCs w:val="22"/>
        </w:rPr>
        <w:t>.</w:t>
      </w:r>
      <w:r>
        <w:rPr>
          <w:rFonts w:ascii="Arial" w:hAnsi="Arial" w:cs="Arial"/>
          <w:sz w:val="22"/>
          <w:szCs w:val="22"/>
        </w:rPr>
        <w:t xml:space="preserve"> A Proposta de Preços deverá conter a mesma descrição dos itens</w:t>
      </w:r>
      <w:r>
        <w:rPr>
          <w:rFonts w:hint="default" w:ascii="Arial" w:hAnsi="Arial" w:cs="Arial"/>
          <w:sz w:val="22"/>
          <w:szCs w:val="22"/>
          <w:lang w:val="pt-BR"/>
        </w:rPr>
        <w:t xml:space="preserve"> ou lotes</w:t>
      </w:r>
      <w:r>
        <w:rPr>
          <w:rFonts w:ascii="Arial" w:hAnsi="Arial" w:cs="Arial"/>
          <w:sz w:val="22"/>
          <w:szCs w:val="22"/>
        </w:rPr>
        <w:t xml:space="preserve"> descritos no Termo de Referência, não podendo a proponente modificar, suprimir ou acrescentar a descrição contida no </w:t>
      </w:r>
      <w:r>
        <w:rPr>
          <w:rFonts w:hint="default" w:ascii="Arial" w:hAnsi="Arial" w:cs="Arial"/>
          <w:sz w:val="22"/>
          <w:szCs w:val="22"/>
          <w:lang w:val="pt-BR"/>
        </w:rPr>
        <w:t>E</w:t>
      </w:r>
      <w:r>
        <w:rPr>
          <w:rFonts w:ascii="Arial" w:hAnsi="Arial" w:cs="Arial"/>
          <w:sz w:val="22"/>
          <w:szCs w:val="22"/>
        </w:rPr>
        <w:t xml:space="preserve">dital, sob pena de desclassificação. </w:t>
      </w:r>
    </w:p>
    <w:p w14:paraId="27D4B643">
      <w:pPr>
        <w:pStyle w:val="133"/>
        <w:spacing w:before="240" w:beforeAutospacing="0" w:after="240" w:afterAutospacing="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25</w:t>
      </w:r>
      <w:r>
        <w:rPr>
          <w:rFonts w:ascii="Arial" w:hAnsi="Arial" w:cs="Arial"/>
          <w:b/>
          <w:sz w:val="22"/>
          <w:szCs w:val="22"/>
        </w:rPr>
        <w:t>.</w:t>
      </w:r>
      <w:r>
        <w:rPr>
          <w:rFonts w:ascii="Arial" w:hAnsi="Arial" w:cs="Arial"/>
          <w:sz w:val="22"/>
          <w:szCs w:val="22"/>
        </w:rPr>
        <w:t xml:space="preserve"> Os documentos complementares à proposta e à habilitação, quando necessários à confirmação daqueles exigidos no </w:t>
      </w:r>
      <w:r>
        <w:rPr>
          <w:rFonts w:hint="default" w:ascii="Arial" w:hAnsi="Arial" w:cs="Arial"/>
          <w:sz w:val="22"/>
          <w:szCs w:val="22"/>
          <w:lang w:val="pt-BR"/>
        </w:rPr>
        <w:t>E</w:t>
      </w:r>
      <w:r>
        <w:rPr>
          <w:rFonts w:ascii="Arial" w:hAnsi="Arial" w:cs="Arial"/>
          <w:sz w:val="22"/>
          <w:szCs w:val="22"/>
        </w:rPr>
        <w:t>dital e já apresentados, serão encaminhados pelo licitante melhor classificado após o encerramento do envio de lances, observado o prazo de 2 (duas) horas. </w:t>
      </w:r>
    </w:p>
    <w:p w14:paraId="3A1B1748">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w:t>
      </w:r>
      <w:r>
        <w:rPr>
          <w:rFonts w:ascii="Arial" w:hAnsi="Arial" w:cs="Arial"/>
          <w:sz w:val="22"/>
          <w:szCs w:val="22"/>
        </w:rPr>
        <w:t xml:space="preserve"> O Pregoeiro verificará as propostas apresentadas, desclassificando aquelas que não estejam em conformidade com os requisitos estabelecidos no </w:t>
      </w:r>
      <w:r>
        <w:rPr>
          <w:rFonts w:hint="default" w:ascii="Arial" w:hAnsi="Arial" w:cs="Arial"/>
          <w:sz w:val="22"/>
          <w:szCs w:val="22"/>
          <w:lang w:val="pt-BR"/>
        </w:rPr>
        <w:t>E</w:t>
      </w:r>
      <w:r>
        <w:rPr>
          <w:rFonts w:ascii="Arial" w:hAnsi="Arial" w:cs="Arial"/>
          <w:sz w:val="22"/>
          <w:szCs w:val="22"/>
        </w:rPr>
        <w:t>dital.</w:t>
      </w:r>
    </w:p>
    <w:p w14:paraId="05F75CC7">
      <w:pPr>
        <w:spacing w:before="240" w:after="240" w:line="360" w:lineRule="auto"/>
        <w:ind w:firstLine="567"/>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.1.</w:t>
      </w:r>
      <w:r>
        <w:rPr>
          <w:rFonts w:ascii="Arial" w:hAnsi="Arial" w:cs="Arial"/>
          <w:sz w:val="22"/>
          <w:szCs w:val="22"/>
        </w:rPr>
        <w:t>  A desclassificação de proposta será sempre fundamentada e registrada no sistema, com acompanhamento em tempo real por todos os participantes.</w:t>
      </w:r>
    </w:p>
    <w:p w14:paraId="07D286FE">
      <w:pPr>
        <w:tabs>
          <w:tab w:val="left" w:pos="426"/>
        </w:tabs>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27</w:t>
      </w:r>
      <w:r>
        <w:rPr>
          <w:rFonts w:ascii="Arial" w:hAnsi="Arial" w:cs="Arial"/>
          <w:b/>
          <w:sz w:val="22"/>
          <w:szCs w:val="22"/>
        </w:rPr>
        <w:t>.</w:t>
      </w:r>
      <w:r>
        <w:rPr>
          <w:rFonts w:ascii="Arial" w:hAnsi="Arial" w:cs="Arial"/>
          <w:sz w:val="22"/>
          <w:szCs w:val="22"/>
        </w:rPr>
        <w:t xml:space="preserve"> Após a classificação das propostas para a participação na fase de disputa de preços, o Pregoeiro dará sequência ao processo de </w:t>
      </w:r>
      <w:r>
        <w:rPr>
          <w:rFonts w:hint="default" w:ascii="Arial" w:hAnsi="Arial" w:cs="Arial"/>
          <w:sz w:val="22"/>
          <w:szCs w:val="22"/>
          <w:lang w:val="pt-BR"/>
        </w:rPr>
        <w:t>P</w:t>
      </w:r>
      <w:r>
        <w:rPr>
          <w:rFonts w:ascii="Arial" w:hAnsi="Arial" w:cs="Arial"/>
          <w:sz w:val="22"/>
          <w:szCs w:val="22"/>
        </w:rPr>
        <w:t xml:space="preserve">regão, comunicando aos fornecedores classificados na data e horário definidos no </w:t>
      </w:r>
      <w:r>
        <w:rPr>
          <w:rFonts w:hint="default" w:ascii="Arial" w:hAnsi="Arial" w:cs="Arial"/>
          <w:sz w:val="22"/>
          <w:szCs w:val="22"/>
          <w:lang w:val="pt-BR"/>
        </w:rPr>
        <w:t>E</w:t>
      </w:r>
      <w:r>
        <w:rPr>
          <w:rFonts w:ascii="Arial" w:hAnsi="Arial" w:cs="Arial"/>
          <w:sz w:val="22"/>
          <w:szCs w:val="22"/>
        </w:rPr>
        <w:t xml:space="preserve">dital. </w:t>
      </w:r>
    </w:p>
    <w:p w14:paraId="53F9C8DC">
      <w:pPr>
        <w:pStyle w:val="119"/>
        <w:widowControl w:val="0"/>
        <w:suppressLineNumbers w:val="0"/>
        <w:spacing w:before="240" w:after="240" w:line="360" w:lineRule="auto"/>
      </w:pPr>
      <w:r>
        <w:rPr>
          <w:b/>
        </w:rPr>
        <w:t>5.</w:t>
      </w:r>
      <w:r>
        <w:rPr>
          <w:rFonts w:hint="default"/>
          <w:b/>
          <w:lang w:val="pt-BR"/>
        </w:rPr>
        <w:t>28</w:t>
      </w:r>
      <w:r>
        <w:rPr>
          <w:b/>
        </w:rPr>
        <w:t>.</w:t>
      </w:r>
      <w:r>
        <w:t xml:space="preserve"> O julgamento das propostas será feito pelo menor valor </w:t>
      </w:r>
      <w:r>
        <w:rPr>
          <w:rFonts w:hint="default"/>
          <w:lang w:val="pt-BR"/>
        </w:rPr>
        <w:t xml:space="preserve">ou maior desconto </w:t>
      </w:r>
      <w:r>
        <w:t>de acordo com o especificado no Anexo I.</w:t>
      </w:r>
    </w:p>
    <w:p w14:paraId="02427867">
      <w:pPr>
        <w:pStyle w:val="119"/>
        <w:widowControl w:val="0"/>
        <w:suppressLineNumbers w:val="0"/>
        <w:spacing w:before="240" w:after="240" w:line="360" w:lineRule="auto"/>
        <w:rPr>
          <w:rFonts w:hint="default"/>
          <w:lang w:val="pt-BR"/>
        </w:rPr>
      </w:pPr>
      <w:r>
        <w:rPr>
          <w:b/>
        </w:rPr>
        <w:t>5.2</w:t>
      </w:r>
      <w:r>
        <w:rPr>
          <w:rFonts w:hint="default"/>
          <w:b/>
          <w:lang w:val="pt-BR"/>
        </w:rPr>
        <w:t>9</w:t>
      </w:r>
      <w:r>
        <w:rPr>
          <w:b/>
        </w:rPr>
        <w:t>.</w:t>
      </w:r>
      <w:r>
        <w:t xml:space="preserve"> A proponente deverá manter o valor da proposta registrada por no </w:t>
      </w:r>
      <w:r>
        <w:rPr>
          <w:b w:val="0"/>
          <w:bCs/>
        </w:rPr>
        <w:t>mínimo 60 (sessenta) dias</w:t>
      </w:r>
      <w:r>
        <w:rPr>
          <w:rFonts w:hint="default"/>
          <w:lang w:val="pt-BR"/>
        </w:rPr>
        <w:t>.</w:t>
      </w:r>
    </w:p>
    <w:p w14:paraId="78D2D489">
      <w:pPr>
        <w:pStyle w:val="119"/>
        <w:widowControl w:val="0"/>
        <w:suppressLineNumbers w:val="0"/>
        <w:spacing w:before="240" w:after="240" w:line="360" w:lineRule="auto"/>
        <w:rPr>
          <w:rFonts w:hint="default"/>
          <w:lang w:val="pt-BR"/>
        </w:rPr>
      </w:pPr>
      <w:r>
        <w:rPr>
          <w:rFonts w:hint="default"/>
          <w:b/>
          <w:bCs/>
          <w:lang w:val="pt-BR"/>
        </w:rPr>
        <w:t>5.30.</w:t>
      </w:r>
      <w:r>
        <w:rPr>
          <w:rFonts w:hint="default"/>
          <w:lang w:val="pt-BR"/>
        </w:rPr>
        <w:t xml:space="preserve"> No presente certame não é possível o licitante oferecer proposta de preços em quantitativo inferior ao máximo previsto no Termo de Referência, obrigando-se aos limites lá informados, bem como não poderá apresentar proposta de preços com descrição do item diferente da registrada no Termo de Referência, seja com descrição com menos ou mais informações do que lá estabelecidas.</w:t>
      </w:r>
    </w:p>
    <w:p w14:paraId="0BD4BA44">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Chars="0"/>
        <w:rPr>
          <w:rFonts w:cs="Arial"/>
          <w:b/>
          <w:bCs/>
          <w:iCs/>
          <w:sz w:val="22"/>
          <w:szCs w:val="22"/>
        </w:rPr>
      </w:pPr>
      <w:bookmarkStart w:id="19" w:name="_Toc135469228"/>
      <w:r>
        <w:rPr>
          <w:rFonts w:hint="default" w:cs="Arial"/>
          <w:b/>
          <w:bCs/>
          <w:color w:val="auto"/>
          <w:sz w:val="22"/>
          <w:szCs w:val="22"/>
          <w:u w:val="none"/>
          <w:lang w:val="pt-BR"/>
        </w:rPr>
        <w:t xml:space="preserve">6. </w:t>
      </w:r>
      <w:r>
        <w:rPr>
          <w:rFonts w:hint="default" w:ascii="Arial" w:hAnsi="Arial" w:cs="Arial"/>
          <w:b/>
          <w:bCs/>
          <w:color w:val="auto"/>
          <w:sz w:val="22"/>
          <w:szCs w:val="22"/>
          <w:u w:val="none"/>
        </w:rPr>
        <w:t xml:space="preserve">DA ABERTURA DA SESSÃO, </w:t>
      </w:r>
      <w:r>
        <w:rPr>
          <w:rFonts w:hint="default" w:cs="Arial"/>
          <w:b/>
          <w:bCs/>
          <w:color w:val="auto"/>
          <w:sz w:val="22"/>
          <w:szCs w:val="22"/>
          <w:u w:val="none"/>
          <w:lang w:val="pt-BR"/>
        </w:rPr>
        <w:t xml:space="preserve">DA </w:t>
      </w:r>
      <w:r>
        <w:rPr>
          <w:rFonts w:hint="default" w:ascii="Arial" w:hAnsi="Arial" w:cs="Arial"/>
          <w:b/>
          <w:bCs/>
          <w:color w:val="auto"/>
          <w:sz w:val="22"/>
          <w:szCs w:val="22"/>
          <w:u w:val="none"/>
        </w:rPr>
        <w:t xml:space="preserve">CLASSIFICAÇÃO DAS PROPOSTAS E </w:t>
      </w:r>
      <w:r>
        <w:rPr>
          <w:rFonts w:hint="default" w:cs="Arial"/>
          <w:b/>
          <w:bCs/>
          <w:color w:val="auto"/>
          <w:sz w:val="22"/>
          <w:szCs w:val="22"/>
          <w:u w:val="none"/>
          <w:lang w:val="pt-BR"/>
        </w:rPr>
        <w:t>DA FASE</w:t>
      </w:r>
      <w:r>
        <w:rPr>
          <w:rFonts w:hint="default" w:ascii="Arial" w:hAnsi="Arial" w:cs="Arial"/>
          <w:b/>
          <w:bCs/>
          <w:color w:val="auto"/>
          <w:sz w:val="22"/>
          <w:szCs w:val="22"/>
          <w:u w:val="none"/>
        </w:rPr>
        <w:t xml:space="preserve"> DE LANCES</w:t>
      </w:r>
      <w:bookmarkEnd w:id="19"/>
    </w:p>
    <w:p w14:paraId="724DF724">
      <w:pPr>
        <w:pStyle w:val="134"/>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 </w:t>
      </w:r>
      <w:r>
        <w:rPr>
          <w:rFonts w:hint="default" w:ascii="Arial" w:hAnsi="Arial" w:cs="Arial"/>
          <w:color w:val="auto"/>
          <w:sz w:val="22"/>
          <w:szCs w:val="22"/>
          <w:u w:val="none"/>
        </w:rPr>
        <w:t>A abertura da presente licitação dar-se-á automaticamente em sessão pública, por meio de sistema eletrônico, na data, horário e local indicados neste Edital.</w:t>
      </w:r>
    </w:p>
    <w:p w14:paraId="2A92A33A">
      <w:pPr>
        <w:pStyle w:val="134"/>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6.2. </w:t>
      </w:r>
      <w:r>
        <w:rPr>
          <w:rFonts w:hint="default" w:ascii="Arial" w:hAnsi="Arial" w:cs="Arial"/>
          <w:color w:val="auto"/>
          <w:sz w:val="22"/>
          <w:szCs w:val="22"/>
          <w:u w:val="none"/>
        </w:rPr>
        <w:t>Os licitantes poderão retirar ou substituir a proposta ou os documentos de habilitação, quando for o caso, anteriormente inseridos no sistema, até a abertura da sessão pública.</w:t>
      </w:r>
    </w:p>
    <w:p w14:paraId="45EE5249">
      <w:pPr>
        <w:pStyle w:val="119"/>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3</w:t>
      </w:r>
      <w:r>
        <w:rPr>
          <w:b/>
          <w:snapToGrid w:val="0"/>
          <w:lang w:eastAsia="pt-BR"/>
        </w:rPr>
        <w:t>.</w:t>
      </w:r>
      <w:r>
        <w:rPr>
          <w:snapToGrid w:val="0"/>
          <w:lang w:eastAsia="pt-BR"/>
        </w:rPr>
        <w:t xml:space="preserve"> O Pregoeiro, via sistema eletrônico, dará início à sessão pública, na data e horário previstos neste </w:t>
      </w:r>
      <w:r>
        <w:rPr>
          <w:rFonts w:hint="default"/>
          <w:snapToGrid w:val="0"/>
          <w:lang w:val="en-US" w:eastAsia="pt-BR"/>
        </w:rPr>
        <w:t>E</w:t>
      </w:r>
      <w:r>
        <w:rPr>
          <w:snapToGrid w:val="0"/>
          <w:lang w:eastAsia="pt-BR"/>
        </w:rPr>
        <w:t>dital, com a divulgação da melhor proposta para cada item.</w:t>
      </w:r>
    </w:p>
    <w:p w14:paraId="0EB58A6A">
      <w:pPr>
        <w:widowControl w:val="0"/>
        <w:spacing w:before="240" w:after="24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4</w:t>
      </w:r>
      <w:r>
        <w:rPr>
          <w:rFonts w:ascii="Arial" w:hAnsi="Arial" w:cs="Arial"/>
          <w:b/>
          <w:sz w:val="22"/>
          <w:szCs w:val="22"/>
        </w:rPr>
        <w:t>.</w:t>
      </w:r>
      <w:r>
        <w:rPr>
          <w:rFonts w:ascii="Arial" w:hAnsi="Arial" w:cs="Arial"/>
          <w:sz w:val="22"/>
          <w:szCs w:val="22"/>
        </w:rPr>
        <w:t xml:space="preserve">  O preço de abertura da etapa de lances corresponde ao menor preço ofertado na etapa de propostas.</w:t>
      </w:r>
    </w:p>
    <w:p w14:paraId="6DCD85C8">
      <w:pPr>
        <w:pStyle w:val="119"/>
        <w:widowControl w:val="0"/>
        <w:suppressLineNumbers w:val="0"/>
        <w:spacing w:before="240" w:after="240" w:line="360" w:lineRule="auto"/>
      </w:pPr>
      <w:r>
        <w:rPr>
          <w:rFonts w:hint="default"/>
          <w:b/>
          <w:bCs/>
          <w:lang w:val="pt-BR"/>
        </w:rPr>
        <w:t xml:space="preserve">6.5. </w:t>
      </w:r>
      <w:r>
        <w:t>No caso de nenhum fornecedor apresentar lance na respectiva etapa, valem os valores obtidos na etapa de propostas.</w:t>
      </w:r>
    </w:p>
    <w:p w14:paraId="68527A9C">
      <w:pPr>
        <w:pStyle w:val="134"/>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6.6. </w:t>
      </w:r>
      <w:r>
        <w:rPr>
          <w:rFonts w:hint="default" w:ascii="Arial" w:hAnsi="Arial" w:cs="Arial"/>
          <w:color w:val="auto"/>
          <w:sz w:val="22"/>
          <w:szCs w:val="22"/>
          <w:u w:val="none"/>
        </w:rPr>
        <w:t xml:space="preserve">Iniciada a etapa competitiva, os licitantes deverão encaminhar lances exclusivamente por meio de sistema eletrônico, sendo imediatamente informados do seu recebimento e do valor consignado no registro. </w:t>
      </w:r>
    </w:p>
    <w:p w14:paraId="250040A9">
      <w:pPr>
        <w:pStyle w:val="134"/>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6.7. </w:t>
      </w:r>
      <w:r>
        <w:rPr>
          <w:rFonts w:hint="default" w:ascii="Arial" w:hAnsi="Arial" w:cs="Arial"/>
          <w:color w:val="auto"/>
          <w:sz w:val="22"/>
          <w:szCs w:val="22"/>
          <w:u w:val="none"/>
        </w:rPr>
        <w:t>O lance deverá ser ofertado pelo valor unitário do item</w:t>
      </w:r>
      <w:r>
        <w:rPr>
          <w:rFonts w:hint="default" w:cs="Arial"/>
          <w:color w:val="auto"/>
          <w:sz w:val="22"/>
          <w:szCs w:val="22"/>
          <w:u w:val="none"/>
          <w:lang w:val="pt-BR"/>
        </w:rPr>
        <w:t xml:space="preserve"> ou pelo percentual de desconto, conforme o caso.</w:t>
      </w:r>
    </w:p>
    <w:p w14:paraId="2A1AB904">
      <w:pPr>
        <w:pStyle w:val="134"/>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6.8. </w:t>
      </w:r>
      <w:r>
        <w:rPr>
          <w:rFonts w:hint="default" w:ascii="Arial" w:hAnsi="Arial" w:cs="Arial"/>
          <w:color w:val="auto"/>
          <w:sz w:val="22"/>
          <w:szCs w:val="22"/>
          <w:u w:val="none"/>
        </w:rPr>
        <w:t>Os licitantes poderão oferecer lances sucessivos, observando o horário fixado para abertura da sessão e as regras estabelecidas no Edital.</w:t>
      </w:r>
    </w:p>
    <w:p w14:paraId="1F80B7BA">
      <w:pPr>
        <w:pStyle w:val="134"/>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6.9. </w:t>
      </w:r>
      <w:r>
        <w:rPr>
          <w:rFonts w:hint="default" w:ascii="Arial" w:hAnsi="Arial" w:cs="Arial"/>
          <w:color w:val="auto"/>
          <w:sz w:val="22"/>
          <w:szCs w:val="22"/>
          <w:u w:val="none"/>
        </w:rPr>
        <w:t>O</w:t>
      </w:r>
      <w:r>
        <w:rPr>
          <w:rFonts w:hint="default" w:ascii="Arial" w:hAnsi="Arial" w:cs="Arial"/>
          <w:i w:val="0"/>
          <w:iCs w:val="0"/>
          <w:color w:val="auto"/>
          <w:sz w:val="22"/>
          <w:szCs w:val="22"/>
          <w:u w:val="none"/>
        </w:rPr>
        <w:t xml:space="preserve"> licitante somente poderá oferecer lance de valor inferior ou percentual de desconto superior ao último por ele ofertado e registrado pelo sistema. </w:t>
      </w:r>
    </w:p>
    <w:p w14:paraId="435227B0">
      <w:pPr>
        <w:pStyle w:val="119"/>
        <w:widowControl w:val="0"/>
        <w:suppressLineNumbers w:val="0"/>
        <w:suppressAutoHyphens w:val="0"/>
        <w:spacing w:before="240" w:after="240" w:line="360" w:lineRule="auto"/>
      </w:pPr>
      <w:r>
        <w:rPr>
          <w:rFonts w:hint="default" w:cs="Arial"/>
          <w:b/>
          <w:bCs/>
          <w:sz w:val="22"/>
          <w:szCs w:val="22"/>
          <w:lang w:val="pt-BR"/>
        </w:rPr>
        <w:t>6.10.</w:t>
      </w:r>
      <w:r>
        <w:rPr>
          <w:rFonts w:hint="default" w:cs="Arial"/>
          <w:sz w:val="22"/>
          <w:szCs w:val="22"/>
          <w:lang w:val="pt-BR"/>
        </w:rPr>
        <w:t xml:space="preserve"> </w:t>
      </w:r>
      <w:r>
        <w:t>Se algum proponente fizer um lance que  esteja em desacordo com a licitação (preços e diferenças inexequíveis ou excessivas) poderá tê-lo desclassificado pelo Pregoeiro através do sistema. Neste caso, a disputa será suspensa, sendo emitido um aviso e na sequência o Pregoeiro justificará o motivo da exclusão através de mensagem aos participantes e, em seguida, a disputa será reiniciada pelo Pregoeiro.</w:t>
      </w:r>
    </w:p>
    <w:p w14:paraId="2738AA21">
      <w:pPr>
        <w:pStyle w:val="119"/>
        <w:widowControl w:val="0"/>
        <w:suppressLineNumbers w:val="0"/>
        <w:suppressAutoHyphens w:val="0"/>
        <w:spacing w:before="240" w:after="240" w:line="360" w:lineRule="auto"/>
      </w:pPr>
      <w:r>
        <w:rPr>
          <w:rFonts w:hint="default"/>
          <w:b/>
          <w:bCs/>
          <w:lang w:val="pt-BR"/>
        </w:rPr>
        <w:t>6.11.</w:t>
      </w:r>
      <w:r>
        <w:rPr>
          <w:rFonts w:hint="default"/>
          <w:lang w:val="pt-BR"/>
        </w:rPr>
        <w:t xml:space="preserve"> </w:t>
      </w:r>
      <w:r>
        <w:t xml:space="preserve">Não será retirada a proposta ou desclassificado o lance quando este não for considerado inexequível pelo Pregoeiro durante a sessão de lances, não sendo admitidos pedidos de desclassificação via </w:t>
      </w:r>
      <w:r>
        <w:rPr>
          <w:i/>
        </w:rPr>
        <w:t>e-mail</w:t>
      </w:r>
      <w:r>
        <w:t xml:space="preserve">, telefone ou </w:t>
      </w:r>
      <w:r>
        <w:rPr>
          <w:i/>
        </w:rPr>
        <w:t>chat</w:t>
      </w:r>
      <w:r>
        <w:t>.</w:t>
      </w:r>
    </w:p>
    <w:p w14:paraId="0BE68184">
      <w:pPr>
        <w:pStyle w:val="17"/>
        <w:tabs>
          <w:tab w:val="left" w:pos="426"/>
        </w:tabs>
        <w:spacing w:before="240" w:after="240" w:line="360" w:lineRule="auto"/>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Não serão aceitos dois ou mais lances de mesmo valor, prevalecendo aquele que foi recebido e registrado em primeiro lugar pelo sistema eletrônico.</w:t>
      </w:r>
    </w:p>
    <w:p w14:paraId="56514F6E">
      <w:pPr>
        <w:pStyle w:val="119"/>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13</w:t>
      </w:r>
      <w:r>
        <w:rPr>
          <w:b/>
          <w:snapToGrid w:val="0"/>
          <w:lang w:eastAsia="pt-BR"/>
        </w:rPr>
        <w:t>.</w:t>
      </w:r>
      <w:r>
        <w:rPr>
          <w:snapToGrid w:val="0"/>
          <w:lang w:eastAsia="pt-BR"/>
        </w:rPr>
        <w:t xml:space="preserve"> Durante a sessão pública do Pregão Eletrônico, as proponentes serão informadas em tempo real, do valor do menor lance registrado, vedada a identificação do seu detentor.</w:t>
      </w:r>
    </w:p>
    <w:p w14:paraId="377A4545">
      <w:pPr>
        <w:pStyle w:val="133"/>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w:t>
      </w:r>
      <w:r>
        <w:rPr>
          <w:rFonts w:ascii="Arial" w:hAnsi="Arial" w:cs="Arial"/>
          <w:sz w:val="22"/>
          <w:szCs w:val="22"/>
        </w:rPr>
        <w:t xml:space="preserve"> Será adotado para este </w:t>
      </w:r>
      <w:r>
        <w:rPr>
          <w:rFonts w:hint="default" w:ascii="Arial" w:hAnsi="Arial" w:cs="Arial"/>
          <w:sz w:val="22"/>
          <w:szCs w:val="22"/>
          <w:lang w:val="pt-BR"/>
        </w:rPr>
        <w:t>P</w:t>
      </w:r>
      <w:r>
        <w:rPr>
          <w:rFonts w:ascii="Arial" w:hAnsi="Arial" w:cs="Arial"/>
          <w:sz w:val="22"/>
          <w:szCs w:val="22"/>
        </w:rPr>
        <w:t xml:space="preserve">regão o </w:t>
      </w:r>
      <w:r>
        <w:rPr>
          <w:rFonts w:ascii="Arial" w:hAnsi="Arial" w:cs="Arial"/>
          <w:b w:val="0"/>
          <w:bCs/>
          <w:sz w:val="22"/>
          <w:szCs w:val="22"/>
        </w:rPr>
        <w:t>MODO DE DISPUTA ABERTO</w:t>
      </w:r>
      <w:r>
        <w:rPr>
          <w:rFonts w:ascii="Arial" w:hAnsi="Arial" w:cs="Arial"/>
          <w:sz w:val="22"/>
          <w:szCs w:val="22"/>
        </w:rPr>
        <w:t>, onde os licitantes apresentarão lances públicos e sucessivos, com prorrogações.</w:t>
      </w:r>
    </w:p>
    <w:p w14:paraId="7D7EDF20">
      <w:pPr>
        <w:pStyle w:val="133"/>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.1.</w:t>
      </w:r>
      <w:r>
        <w:rPr>
          <w:rFonts w:ascii="Arial" w:hAnsi="Arial" w:cs="Arial"/>
          <w:sz w:val="22"/>
          <w:szCs w:val="22"/>
        </w:rPr>
        <w:t xml:space="preserve"> No modo de disputa aberto, a etapa de envio de lances na sessão pública durará 10 (dez) minutos e, após isso, será prorrogada automaticamente pelo sistema quando houver lance ofertado nos últimos 2 (dois) minutos do período de duração da sessão pública.</w:t>
      </w:r>
    </w:p>
    <w:p w14:paraId="144046B9">
      <w:pPr>
        <w:pStyle w:val="133"/>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.2.</w:t>
      </w:r>
      <w:r>
        <w:rPr>
          <w:rFonts w:ascii="Arial" w:hAnsi="Arial" w:cs="Arial"/>
          <w:sz w:val="22"/>
          <w:szCs w:val="22"/>
        </w:rPr>
        <w:t xml:space="preserve"> A prorrogação automática da etapa de envio de lances será de 2 (dois) minutos e ocorrerá sucessivamente sempre que houver lances enviados nesse período de prorrogação, inclusive quando se tratar de lances intermediários.</w:t>
      </w:r>
    </w:p>
    <w:p w14:paraId="4F1CF281">
      <w:pPr>
        <w:pStyle w:val="137"/>
        <w:numPr>
          <w:ilvl w:val="0"/>
          <w:numId w:val="0"/>
        </w:numPr>
        <w:spacing w:line="360" w:lineRule="auto"/>
        <w:ind w:left="0" w:leftChars="0" w:firstLine="481" w:firstLineChars="218"/>
        <w:rPr>
          <w:rFonts w:hint="default" w:ascii="Arial" w:hAnsi="Arial" w:cs="Arial"/>
          <w:color w:val="auto"/>
          <w:sz w:val="22"/>
          <w:szCs w:val="22"/>
          <w:u w:val="none"/>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.3.</w:t>
      </w:r>
      <w:r>
        <w:rPr>
          <w:rFonts w:ascii="Arial" w:hAnsi="Arial" w:cs="Arial"/>
          <w:sz w:val="22"/>
          <w:szCs w:val="22"/>
        </w:rPr>
        <w:t xml:space="preserve"> </w:t>
      </w:r>
      <w:r>
        <w:rPr>
          <w:rFonts w:hint="default" w:ascii="Arial" w:hAnsi="Arial" w:cs="Arial"/>
          <w:color w:val="auto"/>
          <w:sz w:val="22"/>
          <w:szCs w:val="22"/>
          <w:u w:val="none"/>
        </w:rPr>
        <w:t>Não havendo novos lances na forma estabelecida nos itens anteriores, a sessão pública encerrar-se-á automaticamente, e o sistema ordenará e divulgará os lances conforme a ordem final de classificação.</w:t>
      </w:r>
    </w:p>
    <w:p w14:paraId="41222491">
      <w:pPr>
        <w:pStyle w:val="133"/>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.4.</w:t>
      </w:r>
      <w:r>
        <w:rPr>
          <w:rFonts w:ascii="Arial" w:hAnsi="Arial" w:cs="Arial"/>
          <w:sz w:val="22"/>
          <w:szCs w:val="22"/>
        </w:rPr>
        <w:t xml:space="preserve"> </w:t>
      </w:r>
      <w:r>
        <w:rPr>
          <w:rFonts w:hint="default" w:ascii="Arial" w:hAnsi="Arial" w:cs="Arial"/>
          <w:color w:val="auto"/>
          <w:sz w:val="22"/>
          <w:szCs w:val="22"/>
          <w:u w:val="none"/>
        </w:rPr>
        <w:t xml:space="preserve">Definida a melhor proposta, se a diferença em relação à proposta classificada em segundo lugar for de pelo menos 5% (cinco por cento), o </w:t>
      </w:r>
      <w:r>
        <w:rPr>
          <w:rFonts w:hint="default" w:ascii="Arial" w:hAnsi="Arial" w:cs="Arial"/>
          <w:color w:val="auto"/>
          <w:sz w:val="22"/>
          <w:szCs w:val="22"/>
          <w:u w:val="none"/>
          <w:lang w:val="pt-BR"/>
        </w:rPr>
        <w:t>P</w:t>
      </w:r>
      <w:r>
        <w:rPr>
          <w:rFonts w:hint="default" w:ascii="Arial" w:hAnsi="Arial" w:cs="Arial"/>
          <w:color w:val="auto"/>
          <w:sz w:val="22"/>
          <w:szCs w:val="22"/>
          <w:u w:val="none"/>
        </w:rPr>
        <w:t xml:space="preserve">regoeiro, auxiliado pela </w:t>
      </w:r>
      <w:r>
        <w:rPr>
          <w:rFonts w:hint="default" w:ascii="Arial" w:hAnsi="Arial" w:cs="Arial"/>
          <w:color w:val="auto"/>
          <w:sz w:val="22"/>
          <w:szCs w:val="22"/>
          <w:u w:val="none"/>
          <w:lang w:val="pt-BR"/>
        </w:rPr>
        <w:t>E</w:t>
      </w:r>
      <w:r>
        <w:rPr>
          <w:rFonts w:hint="default" w:ascii="Arial" w:hAnsi="Arial" w:cs="Arial"/>
          <w:color w:val="auto"/>
          <w:sz w:val="22"/>
          <w:szCs w:val="22"/>
          <w:u w:val="none"/>
        </w:rPr>
        <w:t xml:space="preserve">quipe de </w:t>
      </w:r>
      <w:r>
        <w:rPr>
          <w:rFonts w:hint="default" w:ascii="Arial" w:hAnsi="Arial" w:cs="Arial"/>
          <w:color w:val="auto"/>
          <w:sz w:val="22"/>
          <w:szCs w:val="22"/>
          <w:u w:val="none"/>
          <w:lang w:val="pt-BR"/>
        </w:rPr>
        <w:t>A</w:t>
      </w:r>
      <w:r>
        <w:rPr>
          <w:rFonts w:hint="default" w:ascii="Arial" w:hAnsi="Arial" w:cs="Arial"/>
          <w:color w:val="auto"/>
          <w:sz w:val="22"/>
          <w:szCs w:val="22"/>
          <w:u w:val="none"/>
        </w:rPr>
        <w:t>poio, poderá admitir o reinício da disputa aberta, para a definição das demais colocações</w:t>
      </w:r>
      <w:r>
        <w:rPr>
          <w:rFonts w:ascii="Arial" w:hAnsi="Arial" w:cs="Arial"/>
          <w:sz w:val="22"/>
          <w:szCs w:val="22"/>
        </w:rPr>
        <w:t>.</w:t>
      </w:r>
    </w:p>
    <w:p w14:paraId="4A78C3FC">
      <w:pPr>
        <w:pStyle w:val="137"/>
        <w:numPr>
          <w:ilvl w:val="0"/>
          <w:numId w:val="0"/>
        </w:numPr>
        <w:spacing w:line="360" w:lineRule="auto"/>
        <w:ind w:left="4" w:leftChars="0" w:firstLine="587" w:firstLineChars="266"/>
        <w:rPr>
          <w:rFonts w:hint="default" w:ascii="Arial" w:hAnsi="Arial" w:cs="Arial"/>
          <w:color w:val="auto"/>
          <w:sz w:val="22"/>
          <w:szCs w:val="22"/>
          <w:u w:val="none"/>
        </w:rPr>
      </w:pPr>
      <w:bookmarkStart w:id="20" w:name="_Hlk113697816"/>
      <w:r>
        <w:rPr>
          <w:rFonts w:hint="default" w:cs="Arial"/>
          <w:b/>
          <w:bCs/>
          <w:color w:val="auto"/>
          <w:sz w:val="22"/>
          <w:szCs w:val="22"/>
          <w:u w:val="none"/>
          <w:lang w:val="pt-BR"/>
        </w:rPr>
        <w:t>6.14.5.</w:t>
      </w:r>
      <w:r>
        <w:rPr>
          <w:rFonts w:hint="default" w:cs="Arial"/>
          <w:color w:val="auto"/>
          <w:sz w:val="22"/>
          <w:szCs w:val="22"/>
          <w:u w:val="none"/>
          <w:lang w:val="pt-BR"/>
        </w:rPr>
        <w:t xml:space="preserve"> </w:t>
      </w:r>
      <w:r>
        <w:rPr>
          <w:rFonts w:hint="default" w:ascii="Arial" w:hAnsi="Arial" w:cs="Arial"/>
          <w:color w:val="auto"/>
          <w:sz w:val="22"/>
          <w:szCs w:val="22"/>
          <w:u w:val="none"/>
        </w:rPr>
        <w:t>Após o reinício previsto no item supra, os licitantes serão convocados para apresentar lances intermediários.</w:t>
      </w:r>
      <w:bookmarkEnd w:id="20"/>
      <w:bookmarkStart w:id="21" w:name="_Hlk113631522"/>
    </w:p>
    <w:p w14:paraId="7457A247">
      <w:pPr>
        <w:pStyle w:val="134"/>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6.15.</w:t>
      </w:r>
      <w:r>
        <w:rPr>
          <w:rFonts w:hint="default" w:cs="Arial"/>
          <w:color w:val="auto"/>
          <w:sz w:val="22"/>
          <w:szCs w:val="22"/>
          <w:u w:val="none"/>
          <w:lang w:val="pt-BR"/>
        </w:rPr>
        <w:t xml:space="preserve"> </w:t>
      </w:r>
      <w:r>
        <w:rPr>
          <w:rFonts w:hint="default" w:ascii="Arial" w:hAnsi="Arial" w:cs="Arial"/>
          <w:color w:val="auto"/>
          <w:sz w:val="22"/>
          <w:szCs w:val="22"/>
          <w:u w:val="none"/>
        </w:rPr>
        <w:t>Após o término dos prazos estabelecidos nos subitens anteriores, o sistema ordenará e divulgará os lances segundo a ordem crescente de valores.</w:t>
      </w:r>
    </w:p>
    <w:p w14:paraId="56F6E3FD">
      <w:pPr>
        <w:pStyle w:val="134"/>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6.16. </w:t>
      </w:r>
      <w:r>
        <w:rPr>
          <w:rFonts w:hint="default" w:ascii="Arial" w:hAnsi="Arial" w:cs="Arial"/>
          <w:color w:val="auto"/>
          <w:sz w:val="22"/>
          <w:szCs w:val="22"/>
          <w:u w:val="none"/>
        </w:rPr>
        <w:t xml:space="preserve">Não serão aceitos dois ou mais lances de mesmo valor, prevalecendo aquele que for recebido e registrado em primeiro lugar. </w:t>
      </w:r>
    </w:p>
    <w:p w14:paraId="7D2912EF">
      <w:pPr>
        <w:pStyle w:val="134"/>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6.17.</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Durante o transcurso da sessão pública, os licitantes serão informados, em tempo real, do valor do menor lance registrado, vedada a identificação do licitante. </w:t>
      </w:r>
    </w:p>
    <w:p w14:paraId="3BF38807">
      <w:pPr>
        <w:pStyle w:val="134"/>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No caso de desconexão com o Pregoeiro, no decorrer da etapa competitiva do Pregão, o sistema eletrônico poderá permanecer acessível aos licitantes para a recepção dos lances. </w:t>
      </w:r>
    </w:p>
    <w:p w14:paraId="656E98A7">
      <w:pPr>
        <w:pStyle w:val="134"/>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6.19.</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Quando a desconexão do sistema eletrônico para o </w:t>
      </w:r>
      <w:r>
        <w:rPr>
          <w:rFonts w:hint="default" w:cs="Arial"/>
          <w:color w:val="auto"/>
          <w:sz w:val="22"/>
          <w:szCs w:val="22"/>
          <w:u w:val="none"/>
          <w:lang w:val="pt-BR"/>
        </w:rPr>
        <w:t>P</w:t>
      </w:r>
      <w:r>
        <w:rPr>
          <w:rFonts w:hint="default" w:ascii="Arial" w:hAnsi="Arial" w:cs="Arial"/>
          <w:color w:val="auto"/>
          <w:sz w:val="22"/>
          <w:szCs w:val="22"/>
          <w:u w:val="none"/>
        </w:rPr>
        <w:t>regoeiro persistir por tempo superior a dez minutos, a sessão pública será suspensa e reiniciada somente após decorridas vinte e quatro horas da comunicação do fato pelo Pregoeiro aos participantes, no sítio eletrônico utilizado para divulgação.</w:t>
      </w:r>
    </w:p>
    <w:bookmarkEnd w:id="21"/>
    <w:p w14:paraId="2DD59008">
      <w:pPr>
        <w:pStyle w:val="133"/>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20</w:t>
      </w:r>
      <w:r>
        <w:rPr>
          <w:rFonts w:ascii="Arial" w:hAnsi="Arial" w:cs="Arial"/>
          <w:b/>
          <w:sz w:val="22"/>
          <w:szCs w:val="22"/>
        </w:rPr>
        <w:t xml:space="preserve">. </w:t>
      </w:r>
      <w:r>
        <w:rPr>
          <w:rFonts w:ascii="Arial" w:hAnsi="Arial" w:cs="Arial"/>
          <w:sz w:val="22"/>
          <w:szCs w:val="22"/>
        </w:rPr>
        <w:t xml:space="preserve">O intervalo mínimo de diferença de valores entre os lances será de </w:t>
      </w:r>
      <w:r>
        <w:rPr>
          <w:rFonts w:ascii="Arial" w:hAnsi="Arial" w:cs="Arial"/>
          <w:b w:val="0"/>
          <w:bCs/>
          <w:sz w:val="22"/>
          <w:szCs w:val="22"/>
        </w:rPr>
        <w:t>R$ 0,0</w:t>
      </w:r>
      <w:r>
        <w:rPr>
          <w:rFonts w:hint="default" w:ascii="Arial" w:hAnsi="Arial" w:cs="Arial"/>
          <w:b w:val="0"/>
          <w:bCs/>
          <w:sz w:val="22"/>
          <w:szCs w:val="22"/>
          <w:lang w:val="pt-BR"/>
        </w:rPr>
        <w:t>1</w:t>
      </w:r>
      <w:r>
        <w:rPr>
          <w:rFonts w:ascii="Arial" w:hAnsi="Arial" w:cs="Arial"/>
          <w:b w:val="0"/>
          <w:bCs/>
          <w:sz w:val="22"/>
          <w:szCs w:val="22"/>
        </w:rPr>
        <w:t xml:space="preserve"> (um </w:t>
      </w:r>
      <w:r>
        <w:rPr>
          <w:rFonts w:hint="default" w:ascii="Arial" w:hAnsi="Arial" w:cs="Arial"/>
          <w:b w:val="0"/>
          <w:bCs/>
          <w:sz w:val="22"/>
          <w:szCs w:val="22"/>
          <w:lang w:val="pt-BR"/>
        </w:rPr>
        <w:t>centavo</w:t>
      </w:r>
      <w:r>
        <w:rPr>
          <w:rFonts w:ascii="Arial" w:hAnsi="Arial" w:cs="Arial"/>
          <w:b w:val="0"/>
          <w:bCs/>
          <w:sz w:val="22"/>
          <w:szCs w:val="22"/>
        </w:rPr>
        <w:t xml:space="preserve"> real)</w:t>
      </w:r>
      <w:r>
        <w:rPr>
          <w:rFonts w:ascii="Arial" w:hAnsi="Arial" w:cs="Arial"/>
          <w:sz w:val="22"/>
          <w:szCs w:val="22"/>
        </w:rPr>
        <w:t>, que incidirá tanto em relação aos lances intermediários quanto em relação ao lance que cobrir a melhor oferta.</w:t>
      </w:r>
    </w:p>
    <w:p w14:paraId="494FAA46">
      <w:pPr>
        <w:widowControl w:val="0"/>
        <w:spacing w:before="240" w:after="240" w:line="360" w:lineRule="auto"/>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w:t>
      </w:r>
      <w:r>
        <w:rPr>
          <w:rFonts w:ascii="Arial" w:hAnsi="Arial" w:cs="Arial"/>
          <w:snapToGrid w:val="0"/>
          <w:sz w:val="22"/>
          <w:szCs w:val="22"/>
        </w:rPr>
        <w:t xml:space="preserve"> Após o encerramento da etapa de lances, c</w:t>
      </w:r>
      <w:r>
        <w:rPr>
          <w:rFonts w:ascii="Arial" w:hAnsi="Arial" w:cs="Arial"/>
          <w:sz w:val="22"/>
          <w:szCs w:val="22"/>
        </w:rPr>
        <w:t>omo critério de desempate, será assegurada preferência de contratação para as microempresas e empresas de pequeno porte, entendendo-se por empate aquelas situações em que as propostas apresentadas pelas microempresas e empresas de pequeno porte sejam iguais ou até 5% (cinco por cento) superiores à melhor proposta classificada.</w:t>
      </w:r>
    </w:p>
    <w:p w14:paraId="34FC99FA">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.1.</w:t>
      </w:r>
      <w:r>
        <w:rPr>
          <w:rFonts w:ascii="Arial" w:hAnsi="Arial" w:cs="Arial"/>
          <w:sz w:val="22"/>
          <w:szCs w:val="22"/>
        </w:rPr>
        <w:t xml:space="preserve"> A microempresa ou empresa de pequeno porte mais bem classificada será convocada automaticamente pelo sistema para apresentar nova proposta no prazo máximo de 5 (cinco) minutos após o encerramento dos lances, sob pena de preclusão.</w:t>
      </w:r>
    </w:p>
    <w:p w14:paraId="24E3134A">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.2.</w:t>
      </w:r>
      <w:r>
        <w:rPr>
          <w:rFonts w:ascii="Arial" w:hAnsi="Arial" w:cs="Arial"/>
          <w:sz w:val="22"/>
          <w:szCs w:val="22"/>
        </w:rPr>
        <w:t xml:space="preserve"> A nova proposta de preços mencionada no subitem anterior deverá ser inferior àquela considerada vencedora do certame, situação em que o objeto licitado será adjudicado em favor da detentora desta nova proposta (ME ou EPP).</w:t>
      </w:r>
    </w:p>
    <w:p w14:paraId="2D6D90B8">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.3.</w:t>
      </w:r>
      <w:r>
        <w:rPr>
          <w:rFonts w:ascii="Arial" w:hAnsi="Arial" w:cs="Arial"/>
          <w:sz w:val="22"/>
          <w:szCs w:val="22"/>
        </w:rPr>
        <w:t xml:space="preserve"> Não ocorrendo a contratação da microempresa ou empresa de pequeno porte, na forma do subitem anterior, serão convocadas automaticamente pelo sistema as MEs ou EPPs remanescentes, na ordem classificatória, para o exercício do mesmo direito.</w:t>
      </w:r>
    </w:p>
    <w:p w14:paraId="7FED3AD6">
      <w:pPr>
        <w:widowControl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.4.</w:t>
      </w:r>
      <w:r>
        <w:rPr>
          <w:rFonts w:ascii="Arial" w:hAnsi="Arial" w:cs="Arial"/>
          <w:snapToGrid w:val="0"/>
          <w:sz w:val="22"/>
          <w:szCs w:val="22"/>
        </w:rPr>
        <w:t xml:space="preserve"> </w:t>
      </w:r>
      <w:r>
        <w:rPr>
          <w:rFonts w:ascii="Arial" w:hAnsi="Arial" w:cs="Arial"/>
          <w:sz w:val="22"/>
          <w:szCs w:val="22"/>
        </w:rPr>
        <w:t>No caso de equivalência de valores apresentados pelas microempresas e empresas de pequeno porte será realizado sorteio entre elas para que se identifique aquela que primeiro poderá apresentar a melhor oferta.</w:t>
      </w:r>
    </w:p>
    <w:p w14:paraId="0444B257">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.5.</w:t>
      </w:r>
      <w:r>
        <w:rPr>
          <w:rFonts w:ascii="Arial" w:hAnsi="Arial" w:cs="Arial"/>
          <w:snapToGrid w:val="0"/>
          <w:sz w:val="22"/>
          <w:szCs w:val="22"/>
        </w:rPr>
        <w:t xml:space="preserve"> </w:t>
      </w:r>
      <w:r>
        <w:rPr>
          <w:rFonts w:ascii="Arial" w:hAnsi="Arial" w:cs="Arial"/>
          <w:sz w:val="22"/>
          <w:szCs w:val="22"/>
        </w:rPr>
        <w:t>Na hipótese da não contratação nos termos previstos no subitem 6.2</w:t>
      </w:r>
      <w:r>
        <w:rPr>
          <w:rFonts w:hint="default" w:ascii="Arial" w:hAnsi="Arial" w:cs="Arial"/>
          <w:sz w:val="22"/>
          <w:szCs w:val="22"/>
          <w:lang w:val="pt-BR"/>
        </w:rPr>
        <w:t>1</w:t>
      </w:r>
      <w:r>
        <w:rPr>
          <w:rFonts w:ascii="Arial" w:hAnsi="Arial" w:cs="Arial"/>
          <w:sz w:val="22"/>
          <w:szCs w:val="22"/>
        </w:rPr>
        <w:t>.3</w:t>
      </w:r>
      <w:r>
        <w:rPr>
          <w:rFonts w:hint="default" w:ascii="Arial" w:hAnsi="Arial" w:cs="Arial"/>
          <w:sz w:val="22"/>
          <w:szCs w:val="22"/>
          <w:lang w:val="pt-BR"/>
        </w:rPr>
        <w:t>.</w:t>
      </w:r>
      <w:r>
        <w:rPr>
          <w:rFonts w:ascii="Arial" w:hAnsi="Arial" w:cs="Arial"/>
          <w:sz w:val="22"/>
          <w:szCs w:val="22"/>
        </w:rPr>
        <w:t>, o objeto licitado será adjudicado em favor da proposta originalmente vencedora do certame.</w:t>
      </w:r>
    </w:p>
    <w:p w14:paraId="650E18FC">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.6.</w:t>
      </w:r>
      <w:r>
        <w:rPr>
          <w:rFonts w:ascii="Arial" w:hAnsi="Arial" w:cs="Arial"/>
          <w:sz w:val="22"/>
          <w:szCs w:val="22"/>
        </w:rPr>
        <w:t xml:space="preserve"> O procedimento previsto no item 6.</w:t>
      </w:r>
      <w:r>
        <w:rPr>
          <w:rFonts w:hint="default" w:ascii="Arial" w:hAnsi="Arial" w:cs="Arial"/>
          <w:sz w:val="22"/>
          <w:szCs w:val="22"/>
          <w:lang w:val="pt-BR"/>
        </w:rPr>
        <w:t>21.</w:t>
      </w:r>
      <w:r>
        <w:rPr>
          <w:rFonts w:ascii="Arial" w:hAnsi="Arial" w:cs="Arial"/>
          <w:sz w:val="22"/>
          <w:szCs w:val="22"/>
        </w:rPr>
        <w:t xml:space="preserve"> somente será aplicado quando a melhor oferta inicial não tiver sido apresentada por microempresa ou empresa de pequeno porte. Nesse caso, havendo empate entre duas ou mais propostas, o desempate far-se-á, obrigatoriamente, por sorteio.</w:t>
      </w:r>
    </w:p>
    <w:p w14:paraId="5BC3C488">
      <w:pPr>
        <w:pStyle w:val="137"/>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6.22. </w:t>
      </w:r>
      <w:r>
        <w:rPr>
          <w:rFonts w:hint="default" w:ascii="Arial" w:hAnsi="Arial" w:cs="Arial"/>
          <w:color w:val="auto"/>
          <w:sz w:val="22"/>
          <w:szCs w:val="22"/>
          <w:u w:val="none"/>
        </w:rPr>
        <w:t xml:space="preserve">Havendo eventual empate entre propostas ou lances, o critério de desempate será aquele previsto no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"art60" </w:instrText>
      </w:r>
      <w:r>
        <w:rPr>
          <w:rFonts w:hint="default" w:ascii="Arial" w:hAnsi="Arial" w:cs="Arial"/>
          <w:color w:val="auto"/>
          <w:sz w:val="22"/>
          <w:szCs w:val="22"/>
          <w:u w:val="none"/>
        </w:rPr>
        <w:fldChar w:fldCharType="separate"/>
      </w:r>
      <w:r>
        <w:rPr>
          <w:rStyle w:val="15"/>
          <w:rFonts w:hint="default" w:ascii="Arial" w:hAnsi="Arial" w:eastAsia="Arial" w:cs="Arial"/>
          <w:color w:val="auto"/>
          <w:sz w:val="22"/>
          <w:szCs w:val="22"/>
          <w:u w:val="none"/>
        </w:rPr>
        <w:t>art</w:t>
      </w:r>
      <w:r>
        <w:rPr>
          <w:rStyle w:val="15"/>
          <w:rFonts w:hint="default" w:ascii="Arial" w:hAnsi="Arial" w:cs="Arial"/>
          <w:color w:val="auto"/>
          <w:sz w:val="22"/>
          <w:szCs w:val="22"/>
          <w:u w:val="none"/>
        </w:rPr>
        <w:t>. 60 da Lei</w:t>
      </w:r>
      <w:r>
        <w:rPr>
          <w:rStyle w:val="15"/>
          <w:rFonts w:hint="default" w:cs="Arial"/>
          <w:color w:val="auto"/>
          <w:sz w:val="22"/>
          <w:szCs w:val="22"/>
          <w:u w:val="none"/>
          <w:lang w:val="pt-BR"/>
        </w:rPr>
        <w:t xml:space="preserve"> Federal</w:t>
      </w:r>
      <w:r>
        <w:rPr>
          <w:rStyle w:val="15"/>
          <w:rFonts w:hint="default" w:ascii="Arial" w:hAnsi="Arial" w:cs="Arial"/>
          <w:color w:val="auto"/>
          <w:sz w:val="22"/>
          <w:szCs w:val="22"/>
          <w:u w:val="none"/>
        </w:rPr>
        <w:t xml:space="preserve"> nº 14.133</w:t>
      </w:r>
      <w:r>
        <w:rPr>
          <w:rStyle w:val="15"/>
          <w:rFonts w:hint="default" w:cs="Arial"/>
          <w:color w:val="auto"/>
          <w:sz w:val="22"/>
          <w:szCs w:val="22"/>
          <w:u w:val="none"/>
          <w:lang w:val="pt-BR"/>
        </w:rPr>
        <w:t>/</w:t>
      </w:r>
      <w:r>
        <w:rPr>
          <w:rStyle w:val="15"/>
          <w:rFonts w:hint="default" w:ascii="Arial" w:hAnsi="Arial" w:cs="Arial"/>
          <w:color w:val="auto"/>
          <w:sz w:val="22"/>
          <w:szCs w:val="22"/>
          <w:u w:val="none"/>
        </w:rPr>
        <w:t>2021</w:t>
      </w:r>
      <w:r>
        <w:rPr>
          <w:rStyle w:val="15"/>
          <w:rFonts w:hint="default" w:ascii="Arial" w:hAnsi="Arial" w:cs="Arial"/>
          <w:color w:val="auto"/>
          <w:sz w:val="22"/>
          <w:szCs w:val="22"/>
          <w:u w:val="none"/>
        </w:rPr>
        <w:fldChar w:fldCharType="end"/>
      </w:r>
      <w:r>
        <w:rPr>
          <w:rFonts w:hint="default" w:ascii="Arial" w:hAnsi="Arial" w:cs="Arial"/>
          <w:color w:val="auto"/>
          <w:sz w:val="22"/>
          <w:szCs w:val="22"/>
          <w:u w:val="none"/>
        </w:rPr>
        <w:t>, nesta ordem:</w:t>
      </w:r>
    </w:p>
    <w:p w14:paraId="0FB6A0A3">
      <w:pPr>
        <w:pStyle w:val="142"/>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6.22.1. </w:t>
      </w:r>
      <w:r>
        <w:rPr>
          <w:rFonts w:hint="default" w:cs="Arial"/>
          <w:color w:val="auto"/>
          <w:sz w:val="22"/>
          <w:szCs w:val="22"/>
          <w:u w:val="none"/>
          <w:lang w:val="pt-BR"/>
        </w:rPr>
        <w:t>D</w:t>
      </w:r>
      <w:r>
        <w:rPr>
          <w:rFonts w:hint="default" w:ascii="Arial" w:hAnsi="Arial" w:cs="Arial"/>
          <w:color w:val="auto"/>
          <w:sz w:val="22"/>
          <w:szCs w:val="22"/>
          <w:u w:val="none"/>
        </w:rPr>
        <w:t>isputa final, hipótese em que os licitantes empatados poderão apresentar nova proposta em ato contínuo à classificação;</w:t>
      </w:r>
    </w:p>
    <w:p w14:paraId="2D42E66A">
      <w:pPr>
        <w:pStyle w:val="142"/>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6.22.2.</w:t>
      </w:r>
      <w:r>
        <w:rPr>
          <w:rFonts w:hint="default" w:cs="Arial"/>
          <w:color w:val="auto"/>
          <w:sz w:val="22"/>
          <w:szCs w:val="22"/>
          <w:u w:val="none"/>
          <w:lang w:val="pt-BR"/>
        </w:rPr>
        <w:t xml:space="preserve"> A</w:t>
      </w:r>
      <w:r>
        <w:rPr>
          <w:rFonts w:hint="default" w:ascii="Arial" w:hAnsi="Arial" w:cs="Arial"/>
          <w:color w:val="auto"/>
          <w:sz w:val="22"/>
          <w:szCs w:val="22"/>
          <w:u w:val="none"/>
        </w:rPr>
        <w:t xml:space="preserve">valiação do desempenho contratual prévio dos licitantes, para a qual deverão preferencialmente ser utilizados registros cadastrais para efeito de atesto de cumprimento de obrigações previstos nesta </w:t>
      </w:r>
      <w:r>
        <w:rPr>
          <w:rFonts w:hint="default" w:cs="Arial"/>
          <w:color w:val="auto"/>
          <w:sz w:val="22"/>
          <w:szCs w:val="22"/>
          <w:u w:val="none"/>
          <w:lang w:val="pt-BR"/>
        </w:rPr>
        <w:t>l</w:t>
      </w:r>
      <w:r>
        <w:rPr>
          <w:rFonts w:hint="default" w:ascii="Arial" w:hAnsi="Arial" w:cs="Arial"/>
          <w:color w:val="auto"/>
          <w:sz w:val="22"/>
          <w:szCs w:val="22"/>
          <w:u w:val="none"/>
        </w:rPr>
        <w:t>ei;</w:t>
      </w:r>
    </w:p>
    <w:p w14:paraId="241329CF">
      <w:pPr>
        <w:pStyle w:val="142"/>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6.22.3.</w:t>
      </w:r>
      <w:r>
        <w:rPr>
          <w:rFonts w:hint="default" w:cs="Arial"/>
          <w:color w:val="auto"/>
          <w:sz w:val="22"/>
          <w:szCs w:val="22"/>
          <w:u w:val="none"/>
          <w:lang w:val="pt-BR"/>
        </w:rPr>
        <w:t xml:space="preserve"> D</w:t>
      </w:r>
      <w:r>
        <w:rPr>
          <w:rFonts w:hint="default" w:ascii="Arial" w:hAnsi="Arial" w:cs="Arial"/>
          <w:color w:val="auto"/>
          <w:sz w:val="22"/>
          <w:szCs w:val="22"/>
          <w:u w:val="none"/>
        </w:rPr>
        <w:t>esenvolvimento pelo licitante de ações de equidade entre homens e mulheres no ambiente de trabalho, conforme regulamento;</w:t>
      </w:r>
    </w:p>
    <w:p w14:paraId="672454C5">
      <w:pPr>
        <w:pStyle w:val="142"/>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6.22.4. </w:t>
      </w:r>
      <w:r>
        <w:rPr>
          <w:rFonts w:hint="default" w:cs="Arial"/>
          <w:b w:val="0"/>
          <w:bCs w:val="0"/>
          <w:color w:val="auto"/>
          <w:sz w:val="22"/>
          <w:szCs w:val="22"/>
          <w:u w:val="none"/>
          <w:lang w:val="pt-BR"/>
        </w:rPr>
        <w:t>D</w:t>
      </w:r>
      <w:r>
        <w:rPr>
          <w:rFonts w:hint="default" w:ascii="Arial" w:hAnsi="Arial" w:cs="Arial"/>
          <w:color w:val="auto"/>
          <w:sz w:val="22"/>
          <w:szCs w:val="22"/>
          <w:u w:val="none"/>
        </w:rPr>
        <w:t>esenvolvimento pelo licitante de programa de integridade, conforme orientações dos órgãos de controle.</w:t>
      </w:r>
    </w:p>
    <w:p w14:paraId="67A81BE8">
      <w:pPr>
        <w:pStyle w:val="137"/>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6.23. </w:t>
      </w:r>
      <w:r>
        <w:rPr>
          <w:rFonts w:hint="default" w:ascii="Arial" w:hAnsi="Arial" w:cs="Arial"/>
          <w:color w:val="auto"/>
          <w:sz w:val="22"/>
          <w:szCs w:val="22"/>
          <w:u w:val="none"/>
        </w:rPr>
        <w:t>Persistindo o empate, será assegurada preferência, sucessivamente, aos bens e serviços produzidos ou prestados por:</w:t>
      </w:r>
    </w:p>
    <w:p w14:paraId="159BB7E7">
      <w:pPr>
        <w:pStyle w:val="142"/>
        <w:numPr>
          <w:ilvl w:val="0"/>
          <w:numId w:val="0"/>
        </w:numPr>
        <w:spacing w:line="360" w:lineRule="auto"/>
        <w:ind w:left="7" w:leftChars="0" w:firstLine="561" w:firstLineChars="254"/>
        <w:rPr>
          <w:rFonts w:hint="default" w:ascii="Arial" w:hAnsi="Arial" w:cs="Arial"/>
          <w:color w:val="auto"/>
          <w:sz w:val="22"/>
          <w:szCs w:val="22"/>
          <w:u w:val="none"/>
        </w:rPr>
      </w:pPr>
      <w:bookmarkStart w:id="22" w:name="art60§1i"/>
      <w:bookmarkEnd w:id="22"/>
      <w:r>
        <w:rPr>
          <w:rFonts w:hint="default" w:cs="Arial"/>
          <w:b/>
          <w:bCs/>
          <w:color w:val="auto"/>
          <w:sz w:val="22"/>
          <w:szCs w:val="22"/>
          <w:u w:val="none"/>
          <w:lang w:val="pt-BR"/>
        </w:rPr>
        <w:t xml:space="preserve">6.23.1. </w:t>
      </w:r>
      <w:r>
        <w:rPr>
          <w:rFonts w:hint="default" w:cs="Arial"/>
          <w:color w:val="auto"/>
          <w:sz w:val="22"/>
          <w:szCs w:val="22"/>
          <w:u w:val="none"/>
          <w:lang w:val="pt-BR"/>
        </w:rPr>
        <w:t>E</w:t>
      </w:r>
      <w:r>
        <w:rPr>
          <w:rFonts w:hint="default" w:ascii="Arial" w:hAnsi="Arial" w:cs="Arial"/>
          <w:color w:val="auto"/>
          <w:sz w:val="22"/>
          <w:szCs w:val="22"/>
          <w:u w:val="none"/>
        </w:rPr>
        <w:t xml:space="preserve">mpresas estabelecidas no território do Estado </w:t>
      </w:r>
      <w:r>
        <w:rPr>
          <w:rFonts w:hint="default" w:cs="Arial"/>
          <w:color w:val="auto"/>
          <w:sz w:val="22"/>
          <w:szCs w:val="22"/>
          <w:u w:val="none"/>
          <w:lang w:val="pt-BR"/>
        </w:rPr>
        <w:t>de Mato Grosso</w:t>
      </w:r>
      <w:r>
        <w:rPr>
          <w:rFonts w:hint="default" w:ascii="Arial" w:hAnsi="Arial" w:cs="Arial"/>
          <w:color w:val="auto"/>
          <w:sz w:val="22"/>
          <w:szCs w:val="22"/>
          <w:u w:val="none"/>
        </w:rPr>
        <w:t>;</w:t>
      </w:r>
    </w:p>
    <w:p w14:paraId="080E6A0E">
      <w:pPr>
        <w:pStyle w:val="142"/>
        <w:numPr>
          <w:ilvl w:val="0"/>
          <w:numId w:val="0"/>
        </w:numPr>
        <w:spacing w:line="360" w:lineRule="auto"/>
        <w:ind w:left="7" w:leftChars="0" w:firstLine="561" w:firstLineChars="254"/>
        <w:rPr>
          <w:rFonts w:hint="default" w:ascii="Arial" w:hAnsi="Arial" w:cs="Arial"/>
          <w:color w:val="auto"/>
          <w:sz w:val="22"/>
          <w:szCs w:val="22"/>
          <w:u w:val="none"/>
        </w:rPr>
      </w:pPr>
      <w:bookmarkStart w:id="23" w:name="art60§1ii"/>
      <w:bookmarkEnd w:id="23"/>
      <w:r>
        <w:rPr>
          <w:rFonts w:hint="default" w:cs="Arial"/>
          <w:b/>
          <w:bCs/>
          <w:color w:val="auto"/>
          <w:sz w:val="22"/>
          <w:szCs w:val="22"/>
          <w:u w:val="none"/>
          <w:lang w:val="pt-BR"/>
        </w:rPr>
        <w:t>6.23.2.</w:t>
      </w:r>
      <w:r>
        <w:rPr>
          <w:rFonts w:hint="default" w:cs="Arial"/>
          <w:color w:val="auto"/>
          <w:sz w:val="22"/>
          <w:szCs w:val="22"/>
          <w:u w:val="none"/>
          <w:lang w:val="pt-BR"/>
        </w:rPr>
        <w:t xml:space="preserve"> E</w:t>
      </w:r>
      <w:r>
        <w:rPr>
          <w:rFonts w:hint="default" w:ascii="Arial" w:hAnsi="Arial" w:cs="Arial"/>
          <w:color w:val="auto"/>
          <w:sz w:val="22"/>
          <w:szCs w:val="22"/>
          <w:u w:val="none"/>
        </w:rPr>
        <w:t>mpresas brasileiras;</w:t>
      </w:r>
    </w:p>
    <w:p w14:paraId="6CA1BA8C">
      <w:pPr>
        <w:pStyle w:val="142"/>
        <w:numPr>
          <w:ilvl w:val="0"/>
          <w:numId w:val="0"/>
        </w:numPr>
        <w:spacing w:line="360" w:lineRule="auto"/>
        <w:ind w:left="7" w:leftChars="0" w:firstLine="561" w:firstLineChars="254"/>
        <w:rPr>
          <w:rFonts w:hint="default" w:ascii="Arial" w:hAnsi="Arial" w:cs="Arial"/>
          <w:color w:val="auto"/>
          <w:sz w:val="22"/>
          <w:szCs w:val="22"/>
          <w:u w:val="none"/>
        </w:rPr>
      </w:pPr>
      <w:bookmarkStart w:id="24" w:name="art60§1iii"/>
      <w:bookmarkEnd w:id="24"/>
      <w:r>
        <w:rPr>
          <w:rFonts w:hint="default" w:cs="Arial"/>
          <w:b/>
          <w:bCs/>
          <w:color w:val="auto"/>
          <w:sz w:val="22"/>
          <w:szCs w:val="22"/>
          <w:u w:val="none"/>
          <w:lang w:val="pt-BR"/>
        </w:rPr>
        <w:t>6.23.3.</w:t>
      </w:r>
      <w:r>
        <w:rPr>
          <w:rFonts w:hint="default" w:cs="Arial"/>
          <w:color w:val="auto"/>
          <w:sz w:val="22"/>
          <w:szCs w:val="22"/>
          <w:u w:val="none"/>
          <w:lang w:val="pt-BR"/>
        </w:rPr>
        <w:t xml:space="preserve"> E</w:t>
      </w:r>
      <w:r>
        <w:rPr>
          <w:rFonts w:hint="default" w:ascii="Arial" w:hAnsi="Arial" w:cs="Arial"/>
          <w:color w:val="auto"/>
          <w:sz w:val="22"/>
          <w:szCs w:val="22"/>
          <w:u w:val="none"/>
        </w:rPr>
        <w:t>mpresas que invistam em pesquisa e no desenvolvimento de tecnologia no País;</w:t>
      </w:r>
    </w:p>
    <w:p w14:paraId="5EC3DDA3">
      <w:pPr>
        <w:pStyle w:val="142"/>
        <w:numPr>
          <w:ilvl w:val="0"/>
          <w:numId w:val="0"/>
        </w:numPr>
        <w:spacing w:line="360" w:lineRule="auto"/>
        <w:ind w:left="7" w:leftChars="0" w:firstLine="561" w:firstLineChars="254"/>
        <w:rPr>
          <w:rFonts w:hint="default" w:ascii="Arial" w:hAnsi="Arial" w:cs="Arial"/>
          <w:color w:val="auto"/>
          <w:sz w:val="22"/>
          <w:szCs w:val="22"/>
          <w:u w:val="none"/>
        </w:rPr>
      </w:pPr>
      <w:bookmarkStart w:id="25" w:name="art60§1iv"/>
      <w:bookmarkEnd w:id="25"/>
      <w:r>
        <w:rPr>
          <w:rFonts w:hint="default" w:cs="Arial"/>
          <w:b/>
          <w:bCs/>
          <w:color w:val="auto"/>
          <w:sz w:val="22"/>
          <w:szCs w:val="22"/>
          <w:u w:val="none"/>
          <w:lang w:val="pt-BR"/>
        </w:rPr>
        <w:t xml:space="preserve">6.23.4. </w:t>
      </w:r>
      <w:r>
        <w:rPr>
          <w:rFonts w:hint="default" w:cs="Arial"/>
          <w:color w:val="auto"/>
          <w:sz w:val="22"/>
          <w:szCs w:val="22"/>
          <w:u w:val="none"/>
          <w:lang w:val="pt-BR"/>
        </w:rPr>
        <w:t>E</w:t>
      </w:r>
      <w:r>
        <w:rPr>
          <w:rFonts w:hint="default" w:ascii="Arial" w:hAnsi="Arial" w:cs="Arial"/>
          <w:color w:val="auto"/>
          <w:sz w:val="22"/>
          <w:szCs w:val="22"/>
          <w:u w:val="none"/>
        </w:rPr>
        <w:t>mpresas que comprovem a prática de mitigação, nos termos da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"https://www.planalto.gov.br/ccivil_03/_ato2007-2010/2009/lei/l12187.htm" \l ":~:text=LEI%20N%C2%BA%2012.187%2C%20DE%2029%20DE%20DEZEMBRO%20DE%202009.&amp;text=Institui%20a%20Pol%C3%ADtica%20Nacional%20sobre,PNMC%20e%20d%C3%A1%20outras%20provid%C3%AAncias." </w:instrText>
      </w:r>
      <w:r>
        <w:rPr>
          <w:rFonts w:hint="default" w:ascii="Arial" w:hAnsi="Arial" w:cs="Arial"/>
          <w:color w:val="auto"/>
          <w:sz w:val="22"/>
          <w:szCs w:val="22"/>
          <w:u w:val="none"/>
        </w:rPr>
        <w:fldChar w:fldCharType="separate"/>
      </w:r>
      <w:r>
        <w:rPr>
          <w:rStyle w:val="15"/>
          <w:rFonts w:hint="default" w:ascii="Arial" w:hAnsi="Arial" w:cs="Arial"/>
          <w:color w:val="auto"/>
          <w:sz w:val="22"/>
          <w:szCs w:val="22"/>
          <w:u w:val="none"/>
        </w:rPr>
        <w:t>Lei nº 12.187</w:t>
      </w:r>
      <w:r>
        <w:rPr>
          <w:rStyle w:val="15"/>
          <w:rFonts w:hint="default" w:cs="Arial"/>
          <w:color w:val="auto"/>
          <w:sz w:val="22"/>
          <w:szCs w:val="22"/>
          <w:u w:val="none"/>
          <w:lang w:val="pt-BR"/>
        </w:rPr>
        <w:t>/</w:t>
      </w:r>
      <w:r>
        <w:rPr>
          <w:rStyle w:val="15"/>
          <w:rFonts w:hint="default" w:ascii="Arial" w:hAnsi="Arial" w:cs="Arial"/>
          <w:color w:val="auto"/>
          <w:sz w:val="22"/>
          <w:szCs w:val="22"/>
          <w:u w:val="none"/>
        </w:rPr>
        <w:t>2009</w:t>
      </w:r>
      <w:r>
        <w:rPr>
          <w:rStyle w:val="15"/>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54D76FFA">
      <w:pPr>
        <w:pStyle w:val="134"/>
        <w:numPr>
          <w:ilvl w:val="0"/>
          <w:numId w:val="0"/>
        </w:numPr>
        <w:spacing w:line="360" w:lineRule="auto"/>
        <w:ind w:leftChars="0"/>
        <w:rPr>
          <w:rFonts w:hint="default" w:ascii="Arial" w:hAnsi="Arial" w:cs="Arial"/>
          <w:color w:val="auto"/>
          <w:sz w:val="22"/>
          <w:szCs w:val="22"/>
          <w:u w:val="none"/>
        </w:rPr>
      </w:pPr>
      <w:bookmarkStart w:id="26" w:name="_Hlk114646655"/>
      <w:r>
        <w:rPr>
          <w:rFonts w:hint="default" w:cs="Arial"/>
          <w:b/>
          <w:bCs/>
          <w:color w:val="auto"/>
          <w:sz w:val="22"/>
          <w:szCs w:val="22"/>
          <w:u w:val="none"/>
          <w:lang w:val="pt-BR"/>
        </w:rPr>
        <w:t>6.24.</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Encerrada a etapa de envio de lances da sessão pública, na hipótese da proposta do primeiro colocado permanecer acima do preço máximo ou inferior ao desconto definido para a contratação, o </w:t>
      </w:r>
      <w:r>
        <w:rPr>
          <w:rFonts w:hint="default" w:cs="Arial"/>
          <w:color w:val="auto"/>
          <w:sz w:val="22"/>
          <w:szCs w:val="22"/>
          <w:u w:val="none"/>
          <w:lang w:val="pt-BR"/>
        </w:rPr>
        <w:t>P</w:t>
      </w:r>
      <w:r>
        <w:rPr>
          <w:rFonts w:hint="default" w:ascii="Arial" w:hAnsi="Arial" w:cs="Arial"/>
          <w:color w:val="auto"/>
          <w:sz w:val="22"/>
          <w:szCs w:val="22"/>
          <w:u w:val="none"/>
        </w:rPr>
        <w:t>regoeiro poderá negociar condições mais vantajosas, após definido o resultado do julgamento.</w:t>
      </w:r>
    </w:p>
    <w:p w14:paraId="2EE21BFC">
      <w:pPr>
        <w:pStyle w:val="134"/>
        <w:numPr>
          <w:ilvl w:val="0"/>
          <w:numId w:val="0"/>
        </w:numPr>
        <w:spacing w:line="360" w:lineRule="auto"/>
        <w:ind w:left="0" w:leftChars="0" w:firstLine="481" w:firstLineChars="218"/>
        <w:rPr>
          <w:rFonts w:hint="default" w:ascii="Arial" w:hAnsi="Arial" w:cs="Arial"/>
          <w:color w:val="auto"/>
          <w:sz w:val="22"/>
          <w:szCs w:val="22"/>
          <w:u w:val="none"/>
          <w:lang w:val="pt-BR"/>
        </w:rPr>
      </w:pPr>
      <w:r>
        <w:rPr>
          <w:rFonts w:hint="default" w:cs="Arial"/>
          <w:b/>
          <w:bCs/>
          <w:color w:val="auto"/>
          <w:sz w:val="22"/>
          <w:szCs w:val="22"/>
          <w:u w:val="none"/>
          <w:lang w:val="pt-BR"/>
        </w:rPr>
        <w:t>6.24.1.</w:t>
      </w:r>
      <w:r>
        <w:rPr>
          <w:rFonts w:hint="default" w:cs="Arial"/>
          <w:color w:val="auto"/>
          <w:sz w:val="22"/>
          <w:szCs w:val="22"/>
          <w:u w:val="none"/>
          <w:lang w:val="pt-BR"/>
        </w:rPr>
        <w:t xml:space="preserve"> Tratando-se de licitação em grupo, a contratação posterior de item específico do grupo exigirá prévia pesquisa de mercado e demonstração de sua vantagem para o órgão ou entidade e serão observados os preços unitários máximos obtidos na pesquisa de preços  do presente certame como critério de aceitabilidade.</w:t>
      </w:r>
    </w:p>
    <w:p w14:paraId="555892BA">
      <w:pPr>
        <w:pStyle w:val="137"/>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6.25. </w:t>
      </w:r>
      <w:r>
        <w:rPr>
          <w:rFonts w:hint="default" w:ascii="Arial" w:hAnsi="Arial" w:cs="Arial"/>
          <w:color w:val="auto"/>
          <w:sz w:val="22"/>
          <w:szCs w:val="22"/>
          <w:u w: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BA8FF32">
      <w:pPr>
        <w:pStyle w:val="137"/>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eastAsia="Times New Roman" w:cs="Arial"/>
          <w:b/>
          <w:bCs/>
          <w:color w:val="auto"/>
          <w:sz w:val="22"/>
          <w:szCs w:val="22"/>
          <w:u w:val="none"/>
          <w:lang w:val="pt-BR"/>
        </w:rPr>
        <w:t xml:space="preserve">6.26. </w:t>
      </w:r>
      <w:r>
        <w:rPr>
          <w:rFonts w:hint="default" w:ascii="Arial" w:hAnsi="Arial" w:eastAsia="Times New Roman" w:cs="Arial"/>
          <w:color w:val="auto"/>
          <w:sz w:val="22"/>
          <w:szCs w:val="22"/>
          <w:u w:val="none"/>
        </w:rPr>
        <w:t xml:space="preserve">A </w:t>
      </w:r>
      <w:r>
        <w:rPr>
          <w:rFonts w:hint="default" w:ascii="Arial" w:hAnsi="Arial" w:cs="Arial"/>
          <w:color w:val="auto"/>
          <w:sz w:val="22"/>
          <w:szCs w:val="22"/>
          <w:u w:val="none"/>
        </w:rPr>
        <w:t>negociação será realizada por meio do sistema, podendo ser acompanhada pelos demais licitantes.</w:t>
      </w:r>
    </w:p>
    <w:p w14:paraId="0C5B80BC">
      <w:pPr>
        <w:pStyle w:val="137"/>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 xml:space="preserve">6.27. </w:t>
      </w:r>
      <w:r>
        <w:rPr>
          <w:rFonts w:hint="default" w:ascii="Arial" w:hAnsi="Arial" w:cs="Arial"/>
          <w:color w:val="auto"/>
          <w:sz w:val="22"/>
          <w:szCs w:val="22"/>
          <w:u w:val="none"/>
        </w:rPr>
        <w:t>O resultado da negociação será divulgado a todos os licitantes e anexado aos autos do processo licitatório.</w:t>
      </w:r>
    </w:p>
    <w:p w14:paraId="030C6B3E">
      <w:pPr>
        <w:pStyle w:val="137"/>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6.28.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O </w:t>
      </w:r>
      <w:r>
        <w:rPr>
          <w:rFonts w:hint="default" w:cs="Arial"/>
          <w:color w:val="auto"/>
          <w:sz w:val="22"/>
          <w:szCs w:val="22"/>
          <w:u w:val="none"/>
          <w:lang w:val="pt-BR"/>
        </w:rPr>
        <w:t>P</w:t>
      </w:r>
      <w:r>
        <w:rPr>
          <w:rFonts w:hint="default" w:ascii="Arial" w:hAnsi="Arial" w:cs="Arial"/>
          <w:color w:val="auto"/>
          <w:sz w:val="22"/>
          <w:szCs w:val="22"/>
          <w:u w:val="none"/>
        </w:rPr>
        <w:t>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7" w:name="_Hlk117016948"/>
    </w:p>
    <w:bookmarkEnd w:id="27"/>
    <w:p w14:paraId="1CA70D86">
      <w:pPr>
        <w:pStyle w:val="137"/>
        <w:numPr>
          <w:ilvl w:val="0"/>
          <w:numId w:val="0"/>
        </w:numPr>
        <w:spacing w:line="360" w:lineRule="auto"/>
        <w:ind w:left="4" w:leftChars="0" w:hanging="4" w:firstLineChars="0"/>
        <w:rPr>
          <w:rFonts w:hint="default" w:ascii="Arial" w:hAnsi="Arial" w:cs="Arial"/>
          <w:iCs/>
          <w:color w:val="auto"/>
          <w:sz w:val="22"/>
          <w:szCs w:val="22"/>
          <w:u w:val="none"/>
        </w:rPr>
      </w:pPr>
      <w:r>
        <w:rPr>
          <w:rFonts w:hint="default" w:cs="Arial"/>
          <w:b/>
          <w:bCs/>
          <w:color w:val="auto"/>
          <w:sz w:val="22"/>
          <w:szCs w:val="22"/>
          <w:u w:val="none"/>
          <w:lang w:val="pt-BR"/>
        </w:rPr>
        <w:t xml:space="preserve">6.29. </w:t>
      </w:r>
      <w:r>
        <w:rPr>
          <w:rFonts w:hint="default" w:ascii="Arial" w:hAnsi="Arial" w:cs="Arial"/>
          <w:color w:val="auto"/>
          <w:sz w:val="22"/>
          <w:szCs w:val="22"/>
          <w:u w:val="none"/>
        </w:rPr>
        <w:t xml:space="preserve">É facultado ao </w:t>
      </w:r>
      <w:r>
        <w:rPr>
          <w:rFonts w:hint="default" w:cs="Arial"/>
          <w:color w:val="auto"/>
          <w:sz w:val="22"/>
          <w:szCs w:val="22"/>
          <w:u w:val="none"/>
          <w:lang w:val="pt-BR"/>
        </w:rPr>
        <w:t>P</w:t>
      </w:r>
      <w:r>
        <w:rPr>
          <w:rFonts w:hint="default" w:ascii="Arial" w:hAnsi="Arial" w:cs="Arial"/>
          <w:color w:val="auto"/>
          <w:sz w:val="22"/>
          <w:szCs w:val="22"/>
          <w:u w:val="none"/>
        </w:rPr>
        <w:t>regoeiro prorrogar o prazo estabelecido, a partir de solicitação fundamentada feita no chat pelo licitante, antes de findo o prazo.</w:t>
      </w:r>
    </w:p>
    <w:p w14:paraId="71A241C1">
      <w:pPr>
        <w:pStyle w:val="134"/>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cs="Arial"/>
          <w:b/>
          <w:bCs/>
          <w:color w:val="auto"/>
          <w:sz w:val="22"/>
          <w:szCs w:val="22"/>
          <w:u w:val="none"/>
          <w:lang w:val="pt-BR"/>
        </w:rPr>
        <w:t>6.30.</w:t>
      </w:r>
      <w:r>
        <w:rPr>
          <w:rFonts w:hint="default" w:cs="Arial"/>
          <w:color w:val="auto"/>
          <w:sz w:val="22"/>
          <w:szCs w:val="22"/>
          <w:u w:val="none"/>
          <w:lang w:val="pt-BR"/>
        </w:rPr>
        <w:t xml:space="preserve"> </w:t>
      </w:r>
      <w:r>
        <w:rPr>
          <w:rFonts w:hint="default" w:ascii="Arial" w:hAnsi="Arial" w:cs="Arial"/>
          <w:color w:val="auto"/>
          <w:sz w:val="22"/>
          <w:szCs w:val="22"/>
          <w:u w:val="none"/>
        </w:rPr>
        <w:t>Após a negociação do preço, o Pregoeiro iniciará a fase de aceitação e julgamento da proposta.</w:t>
      </w:r>
      <w:bookmarkEnd w:id="26"/>
    </w:p>
    <w:p w14:paraId="3EDF60DB">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bCs/>
          <w:iCs/>
          <w:sz w:val="22"/>
          <w:szCs w:val="22"/>
        </w:rPr>
      </w:pPr>
      <w:r>
        <w:rPr>
          <w:rFonts w:ascii="Arial" w:hAnsi="Arial" w:cs="Arial"/>
          <w:b/>
          <w:bCs/>
          <w:iCs/>
          <w:sz w:val="22"/>
          <w:szCs w:val="22"/>
        </w:rPr>
        <w:t>7.  DO JULGAMENTO DAS PROPOSTAS</w:t>
      </w:r>
    </w:p>
    <w:p w14:paraId="60B52442">
      <w:pPr>
        <w:tabs>
          <w:tab w:val="left" w:pos="426"/>
        </w:tabs>
        <w:autoSpaceDE w:val="0"/>
        <w:spacing w:before="240" w:after="240" w:line="360" w:lineRule="auto"/>
        <w:jc w:val="both"/>
        <w:rPr>
          <w:rFonts w:ascii="Arial" w:hAnsi="Arial" w:cs="Arial"/>
          <w:b w:val="0"/>
          <w:bCs w:val="0"/>
          <w:sz w:val="22"/>
          <w:szCs w:val="22"/>
        </w:rPr>
      </w:pPr>
      <w:r>
        <w:rPr>
          <w:rFonts w:ascii="Arial" w:hAnsi="Arial" w:cs="Arial"/>
          <w:b/>
          <w:sz w:val="22"/>
          <w:szCs w:val="22"/>
        </w:rPr>
        <w:t>7.1.</w:t>
      </w:r>
      <w:r>
        <w:rPr>
          <w:rFonts w:ascii="Arial" w:hAnsi="Arial" w:cs="Arial"/>
          <w:sz w:val="22"/>
          <w:szCs w:val="22"/>
        </w:rPr>
        <w:tab/>
      </w:r>
      <w:r>
        <w:rPr>
          <w:rFonts w:ascii="Arial" w:hAnsi="Arial" w:cs="Arial"/>
          <w:sz w:val="22"/>
          <w:szCs w:val="22"/>
        </w:rPr>
        <w:t>Encerrada a etapa de lances</w:t>
      </w:r>
      <w:r>
        <w:rPr>
          <w:rFonts w:hint="default" w:ascii="Arial" w:hAnsi="Arial" w:cs="Arial"/>
          <w:sz w:val="22"/>
          <w:szCs w:val="22"/>
          <w:lang w:val="pt-BR"/>
        </w:rPr>
        <w:t xml:space="preserve"> e de negociação, se houver</w:t>
      </w:r>
      <w:r>
        <w:rPr>
          <w:rFonts w:ascii="Arial" w:hAnsi="Arial" w:cs="Arial"/>
          <w:sz w:val="22"/>
          <w:szCs w:val="22"/>
        </w:rPr>
        <w:t>, o Pregoeiro examinará a proposta classificada em primeiro lugar quanto à compatibilidade do preço em relação ao estimado para o objeto, obtido por meio de pesquisa de m</w:t>
      </w:r>
      <w:r>
        <w:rPr>
          <w:rFonts w:ascii="Arial" w:hAnsi="Arial" w:cs="Arial"/>
          <w:b w:val="0"/>
          <w:bCs w:val="0"/>
          <w:sz w:val="22"/>
          <w:szCs w:val="22"/>
        </w:rPr>
        <w:t>ercado.</w:t>
      </w:r>
    </w:p>
    <w:p w14:paraId="44059AD8">
      <w:pPr>
        <w:tabs>
          <w:tab w:val="left" w:pos="426"/>
        </w:tabs>
        <w:autoSpaceDE w:val="0"/>
        <w:spacing w:before="240" w:after="240" w:line="360" w:lineRule="auto"/>
        <w:jc w:val="both"/>
        <w:rPr>
          <w:rFonts w:ascii="Arial" w:hAnsi="Arial" w:cs="Arial"/>
          <w:b w:val="0"/>
          <w:bCs w:val="0"/>
          <w:sz w:val="22"/>
          <w:szCs w:val="22"/>
        </w:rPr>
      </w:pPr>
      <w:r>
        <w:rPr>
          <w:rFonts w:ascii="Arial" w:hAnsi="Arial" w:cs="Arial"/>
          <w:b/>
          <w:bCs/>
          <w:sz w:val="22"/>
          <w:szCs w:val="22"/>
        </w:rPr>
        <w:t>7.2.</w:t>
      </w:r>
      <w:r>
        <w:rPr>
          <w:rFonts w:ascii="Arial" w:hAnsi="Arial" w:cs="Arial"/>
          <w:b w:val="0"/>
          <w:bCs w:val="0"/>
          <w:sz w:val="22"/>
          <w:szCs w:val="22"/>
        </w:rPr>
        <w:tab/>
      </w:r>
      <w:r>
        <w:rPr>
          <w:rFonts w:ascii="Arial" w:hAnsi="Arial" w:cs="Arial"/>
          <w:b w:val="0"/>
          <w:bCs w:val="0"/>
          <w:sz w:val="22"/>
          <w:szCs w:val="22"/>
        </w:rPr>
        <w:t xml:space="preserve"> A classificação das propostas será pelo critério de MENOR PREÇO, representado pelo MENOR PREÇO POR </w:t>
      </w:r>
      <w:r>
        <w:rPr>
          <w:rFonts w:hint="default" w:ascii="Arial" w:hAnsi="Arial" w:cs="Arial"/>
          <w:b w:val="0"/>
          <w:bCs w:val="0"/>
          <w:sz w:val="22"/>
          <w:szCs w:val="22"/>
          <w:lang w:val="pt-BR"/>
        </w:rPr>
        <w:t xml:space="preserve">GRUPO DE </w:t>
      </w:r>
      <w:r>
        <w:rPr>
          <w:rFonts w:ascii="Arial" w:hAnsi="Arial" w:cs="Arial"/>
          <w:b w:val="0"/>
          <w:bCs w:val="0"/>
          <w:sz w:val="22"/>
          <w:szCs w:val="22"/>
        </w:rPr>
        <w:t>ITE</w:t>
      </w:r>
      <w:r>
        <w:rPr>
          <w:rFonts w:hint="default" w:ascii="Arial" w:hAnsi="Arial" w:cs="Arial"/>
          <w:b w:val="0"/>
          <w:bCs w:val="0"/>
          <w:sz w:val="22"/>
          <w:szCs w:val="22"/>
          <w:lang w:val="pt-BR"/>
        </w:rPr>
        <w:t>NS</w:t>
      </w:r>
      <w:r>
        <w:rPr>
          <w:rFonts w:ascii="Arial" w:hAnsi="Arial" w:cs="Arial"/>
          <w:b w:val="0"/>
          <w:bCs w:val="0"/>
          <w:sz w:val="22"/>
          <w:szCs w:val="22"/>
        </w:rPr>
        <w:t>, observado o preço total de referência do item, obtido por meio de pesquisa de mercado.</w:t>
      </w:r>
    </w:p>
    <w:p w14:paraId="1EFF5CD0">
      <w:pPr>
        <w:pStyle w:val="134"/>
        <w:numPr>
          <w:ilvl w:val="0"/>
          <w:numId w:val="0"/>
        </w:numPr>
        <w:spacing w:line="360" w:lineRule="auto"/>
        <w:ind w:leftChars="0"/>
        <w:rPr>
          <w:b/>
          <w:sz w:val="22"/>
          <w:szCs w:val="22"/>
        </w:rPr>
      </w:pPr>
      <w:r>
        <w:rPr>
          <w:rFonts w:hint="default"/>
          <w:b/>
          <w:bCs/>
          <w:sz w:val="22"/>
          <w:szCs w:val="22"/>
          <w:lang w:val="pt-BR"/>
        </w:rPr>
        <w:t xml:space="preserve">7.3. </w:t>
      </w:r>
      <w:r>
        <w:rPr>
          <w:sz w:val="22"/>
          <w:szCs w:val="22"/>
        </w:rPr>
        <w:t xml:space="preserve">Será desclassificada a proposta vencedora que: </w:t>
      </w:r>
    </w:p>
    <w:p w14:paraId="06FEAB3A">
      <w:pPr>
        <w:pStyle w:val="137"/>
        <w:numPr>
          <w:ilvl w:val="0"/>
          <w:numId w:val="0"/>
        </w:numPr>
        <w:spacing w:line="360" w:lineRule="auto"/>
        <w:ind w:left="0" w:leftChars="0" w:firstLine="481" w:firstLineChars="218"/>
        <w:rPr>
          <w:sz w:val="22"/>
          <w:szCs w:val="22"/>
        </w:rPr>
      </w:pPr>
      <w:r>
        <w:rPr>
          <w:rFonts w:hint="default"/>
          <w:b/>
          <w:bCs/>
          <w:sz w:val="22"/>
          <w:szCs w:val="22"/>
          <w:lang w:val="pt-BR"/>
        </w:rPr>
        <w:t xml:space="preserve">7.3.1. </w:t>
      </w:r>
      <w:r>
        <w:rPr>
          <w:rFonts w:hint="default"/>
          <w:b w:val="0"/>
          <w:bCs w:val="0"/>
          <w:sz w:val="22"/>
          <w:szCs w:val="22"/>
          <w:lang w:val="pt-BR"/>
        </w:rPr>
        <w:t>C</w:t>
      </w:r>
      <w:r>
        <w:rPr>
          <w:sz w:val="22"/>
          <w:szCs w:val="22"/>
        </w:rPr>
        <w:t>ontiver vícios insanáveis;</w:t>
      </w:r>
    </w:p>
    <w:p w14:paraId="0480AA55">
      <w:pPr>
        <w:pStyle w:val="137"/>
        <w:numPr>
          <w:ilvl w:val="0"/>
          <w:numId w:val="0"/>
        </w:numPr>
        <w:spacing w:line="360" w:lineRule="auto"/>
        <w:ind w:left="0" w:leftChars="0" w:firstLine="481" w:firstLineChars="218"/>
        <w:rPr>
          <w:sz w:val="22"/>
          <w:szCs w:val="22"/>
        </w:rPr>
      </w:pPr>
      <w:r>
        <w:rPr>
          <w:rFonts w:hint="default"/>
          <w:b/>
          <w:bCs/>
          <w:sz w:val="22"/>
          <w:szCs w:val="22"/>
          <w:lang w:val="pt-BR"/>
        </w:rPr>
        <w:t xml:space="preserve">7.3.2. </w:t>
      </w:r>
      <w:r>
        <w:rPr>
          <w:rFonts w:hint="default"/>
          <w:b w:val="0"/>
          <w:bCs w:val="0"/>
          <w:sz w:val="22"/>
          <w:szCs w:val="22"/>
          <w:lang w:val="pt-BR"/>
        </w:rPr>
        <w:t>N</w:t>
      </w:r>
      <w:r>
        <w:rPr>
          <w:sz w:val="22"/>
          <w:szCs w:val="22"/>
        </w:rPr>
        <w:t>ão obedecer às especificações técnicas contidas no Termo de Referência;</w:t>
      </w:r>
    </w:p>
    <w:p w14:paraId="3C274396">
      <w:pPr>
        <w:pStyle w:val="137"/>
        <w:numPr>
          <w:ilvl w:val="0"/>
          <w:numId w:val="0"/>
        </w:numPr>
        <w:spacing w:line="360" w:lineRule="auto"/>
        <w:ind w:left="0" w:leftChars="0" w:firstLine="481" w:firstLineChars="218"/>
        <w:rPr>
          <w:sz w:val="22"/>
          <w:szCs w:val="22"/>
        </w:rPr>
      </w:pPr>
      <w:r>
        <w:rPr>
          <w:rFonts w:hint="default"/>
          <w:b/>
          <w:bCs/>
          <w:sz w:val="22"/>
          <w:szCs w:val="22"/>
          <w:lang w:val="pt-BR"/>
        </w:rPr>
        <w:t>7.3.3.</w:t>
      </w:r>
      <w:r>
        <w:rPr>
          <w:rFonts w:hint="default"/>
          <w:sz w:val="22"/>
          <w:szCs w:val="22"/>
          <w:lang w:val="pt-BR"/>
        </w:rPr>
        <w:t xml:space="preserve"> A</w:t>
      </w:r>
      <w:r>
        <w:rPr>
          <w:sz w:val="22"/>
          <w:szCs w:val="22"/>
        </w:rPr>
        <w:t>presentar preços inexequíveis ou permanecerem acima do preço máximo definido para a contratação;</w:t>
      </w:r>
    </w:p>
    <w:p w14:paraId="7ACE5C46">
      <w:pPr>
        <w:pStyle w:val="137"/>
        <w:numPr>
          <w:ilvl w:val="0"/>
          <w:numId w:val="0"/>
        </w:numPr>
        <w:spacing w:line="360" w:lineRule="auto"/>
        <w:ind w:left="0" w:leftChars="0" w:firstLine="481" w:firstLineChars="218"/>
        <w:rPr>
          <w:sz w:val="22"/>
          <w:szCs w:val="22"/>
        </w:rPr>
      </w:pPr>
      <w:r>
        <w:rPr>
          <w:rFonts w:hint="default"/>
          <w:b/>
          <w:bCs/>
          <w:sz w:val="22"/>
          <w:szCs w:val="22"/>
          <w:lang w:val="pt-BR"/>
        </w:rPr>
        <w:t xml:space="preserve">7.3.4. </w:t>
      </w:r>
      <w:r>
        <w:rPr>
          <w:rFonts w:hint="default"/>
          <w:sz w:val="22"/>
          <w:szCs w:val="22"/>
          <w:lang w:val="pt-BR"/>
        </w:rPr>
        <w:t>N</w:t>
      </w:r>
      <w:r>
        <w:rPr>
          <w:sz w:val="22"/>
          <w:szCs w:val="22"/>
        </w:rPr>
        <w:t>ão tiverem sua exequibilidade demonstrada, quando exigido pela Administração;</w:t>
      </w:r>
    </w:p>
    <w:p w14:paraId="44AFF58A">
      <w:pPr>
        <w:pStyle w:val="137"/>
        <w:numPr>
          <w:ilvl w:val="0"/>
          <w:numId w:val="0"/>
        </w:numPr>
        <w:spacing w:line="360" w:lineRule="auto"/>
        <w:ind w:left="0" w:leftChars="0" w:firstLine="481" w:firstLineChars="218"/>
        <w:rPr>
          <w:sz w:val="22"/>
          <w:szCs w:val="22"/>
        </w:rPr>
      </w:pPr>
      <w:r>
        <w:rPr>
          <w:rFonts w:hint="default"/>
          <w:b/>
          <w:bCs/>
          <w:sz w:val="22"/>
          <w:szCs w:val="22"/>
          <w:lang w:val="pt-BR"/>
        </w:rPr>
        <w:t xml:space="preserve">7.3.5. </w:t>
      </w:r>
      <w:r>
        <w:rPr>
          <w:rFonts w:hint="default"/>
          <w:sz w:val="22"/>
          <w:szCs w:val="22"/>
          <w:lang w:val="pt-BR"/>
        </w:rPr>
        <w:t>A</w:t>
      </w:r>
      <w:r>
        <w:rPr>
          <w:sz w:val="22"/>
          <w:szCs w:val="22"/>
        </w:rPr>
        <w:t xml:space="preserve">presentar desconformidade com quaisquer outras exigências deste Edital ou seus </w:t>
      </w:r>
      <w:r>
        <w:rPr>
          <w:rFonts w:hint="default"/>
          <w:sz w:val="22"/>
          <w:szCs w:val="22"/>
          <w:lang w:val="pt-BR"/>
        </w:rPr>
        <w:t>A</w:t>
      </w:r>
      <w:r>
        <w:rPr>
          <w:sz w:val="22"/>
          <w:szCs w:val="22"/>
        </w:rPr>
        <w:t>nexos, desde que insanável.</w:t>
      </w:r>
    </w:p>
    <w:p w14:paraId="0B449224">
      <w:pPr>
        <w:pStyle w:val="134"/>
        <w:numPr>
          <w:ilvl w:val="0"/>
          <w:numId w:val="0"/>
        </w:numPr>
        <w:spacing w:line="360" w:lineRule="auto"/>
        <w:ind w:leftChars="0"/>
        <w:rPr>
          <w:b/>
          <w:bCs/>
          <w:sz w:val="22"/>
          <w:szCs w:val="22"/>
        </w:rPr>
      </w:pPr>
      <w:r>
        <w:rPr>
          <w:rFonts w:hint="default"/>
          <w:b/>
          <w:bCs/>
          <w:sz w:val="22"/>
          <w:szCs w:val="22"/>
          <w:lang w:val="pt-BR"/>
        </w:rPr>
        <w:t>7.4.</w:t>
      </w:r>
      <w:r>
        <w:rPr>
          <w:rFonts w:hint="default"/>
          <w:sz w:val="22"/>
          <w:szCs w:val="22"/>
          <w:lang w:val="pt-BR"/>
        </w:rPr>
        <w:t xml:space="preserve"> </w:t>
      </w:r>
      <w:r>
        <w:rPr>
          <w:sz w:val="22"/>
          <w:szCs w:val="22"/>
        </w:rPr>
        <w:t>No caso de bens e serviços em geral, é indício de inexequibilidade das propostas valores inferiores a 50% (cinquenta por cento) do valor orçado pela Administração.</w:t>
      </w:r>
    </w:p>
    <w:p w14:paraId="4944AA0D">
      <w:pPr>
        <w:pStyle w:val="137"/>
        <w:numPr>
          <w:ilvl w:val="0"/>
          <w:numId w:val="0"/>
        </w:numPr>
        <w:spacing w:line="360" w:lineRule="auto"/>
        <w:ind w:left="0" w:leftChars="0" w:firstLine="481" w:firstLineChars="218"/>
        <w:rPr>
          <w:sz w:val="22"/>
          <w:szCs w:val="22"/>
        </w:rPr>
      </w:pPr>
      <w:r>
        <w:rPr>
          <w:rFonts w:hint="default"/>
          <w:b/>
          <w:bCs/>
          <w:sz w:val="22"/>
          <w:szCs w:val="22"/>
          <w:lang w:val="pt-BR"/>
        </w:rPr>
        <w:t xml:space="preserve">7.4.1. </w:t>
      </w:r>
      <w:r>
        <w:rPr>
          <w:sz w:val="22"/>
          <w:szCs w:val="22"/>
        </w:rPr>
        <w:t xml:space="preserve">A inexequibilidade, na hipótese de que trata o </w:t>
      </w:r>
      <w:r>
        <w:rPr>
          <w:b w:val="0"/>
          <w:bCs w:val="0"/>
          <w:i/>
          <w:iCs/>
          <w:sz w:val="22"/>
          <w:szCs w:val="22"/>
        </w:rPr>
        <w:t>caput</w:t>
      </w:r>
      <w:r>
        <w:rPr>
          <w:rFonts w:hint="default"/>
          <w:b w:val="0"/>
          <w:bCs w:val="0"/>
          <w:i/>
          <w:iCs/>
          <w:sz w:val="22"/>
          <w:szCs w:val="22"/>
          <w:lang w:val="pt-BR"/>
        </w:rPr>
        <w:t>,</w:t>
      </w:r>
      <w:r>
        <w:rPr>
          <w:sz w:val="22"/>
          <w:szCs w:val="22"/>
        </w:rPr>
        <w:t xml:space="preserve"> só será considerada após diligência do </w:t>
      </w:r>
      <w:r>
        <w:rPr>
          <w:rFonts w:hint="default"/>
          <w:sz w:val="22"/>
          <w:szCs w:val="22"/>
          <w:lang w:val="pt-BR"/>
        </w:rPr>
        <w:t>P</w:t>
      </w:r>
      <w:r>
        <w:rPr>
          <w:sz w:val="22"/>
          <w:szCs w:val="22"/>
        </w:rPr>
        <w:t>regoeiro, que comprove:</w:t>
      </w:r>
    </w:p>
    <w:p w14:paraId="63FA5085">
      <w:pPr>
        <w:pStyle w:val="142"/>
        <w:numPr>
          <w:ilvl w:val="0"/>
          <w:numId w:val="0"/>
        </w:numPr>
        <w:spacing w:line="360" w:lineRule="auto"/>
        <w:ind w:left="0" w:leftChars="0" w:firstLine="722" w:firstLineChars="327"/>
        <w:rPr>
          <w:sz w:val="22"/>
          <w:szCs w:val="22"/>
        </w:rPr>
      </w:pPr>
      <w:r>
        <w:rPr>
          <w:rFonts w:hint="default"/>
          <w:b/>
          <w:bCs/>
          <w:sz w:val="22"/>
          <w:szCs w:val="22"/>
          <w:lang w:val="pt-BR"/>
        </w:rPr>
        <w:t xml:space="preserve">7.4.1.1. </w:t>
      </w:r>
      <w:r>
        <w:rPr>
          <w:rFonts w:hint="default"/>
          <w:b w:val="0"/>
          <w:bCs w:val="0"/>
          <w:sz w:val="22"/>
          <w:szCs w:val="22"/>
          <w:lang w:val="pt-BR"/>
        </w:rPr>
        <w:t>Q</w:t>
      </w:r>
      <w:r>
        <w:rPr>
          <w:sz w:val="22"/>
          <w:szCs w:val="22"/>
        </w:rPr>
        <w:t>ue o custo do licitante ultrapassa o valor da proposta; e</w:t>
      </w:r>
    </w:p>
    <w:p w14:paraId="03B0675B">
      <w:pPr>
        <w:pStyle w:val="142"/>
        <w:numPr>
          <w:ilvl w:val="0"/>
          <w:numId w:val="0"/>
        </w:numPr>
        <w:spacing w:line="360" w:lineRule="auto"/>
        <w:ind w:left="0" w:leftChars="0" w:firstLine="722" w:firstLineChars="327"/>
        <w:rPr>
          <w:sz w:val="22"/>
          <w:szCs w:val="22"/>
        </w:rPr>
      </w:pPr>
      <w:r>
        <w:rPr>
          <w:rFonts w:hint="default"/>
          <w:b/>
          <w:bCs/>
          <w:sz w:val="22"/>
          <w:szCs w:val="22"/>
          <w:lang w:val="pt-BR"/>
        </w:rPr>
        <w:t>7.4.1.2.</w:t>
      </w:r>
      <w:r>
        <w:rPr>
          <w:rFonts w:hint="default"/>
          <w:sz w:val="22"/>
          <w:szCs w:val="22"/>
          <w:lang w:val="pt-BR"/>
        </w:rPr>
        <w:t xml:space="preserve"> I</w:t>
      </w:r>
      <w:r>
        <w:rPr>
          <w:sz w:val="22"/>
          <w:szCs w:val="22"/>
        </w:rPr>
        <w:t>nexistirem custos de oportunidade capazes de justificar o vulto da oferta.</w:t>
      </w:r>
    </w:p>
    <w:p w14:paraId="0E2A98C3">
      <w:pPr>
        <w:pStyle w:val="134"/>
        <w:numPr>
          <w:ilvl w:val="0"/>
          <w:numId w:val="0"/>
        </w:numPr>
        <w:spacing w:line="360" w:lineRule="auto"/>
        <w:ind w:leftChars="0"/>
        <w:rPr>
          <w:b/>
          <w:bCs/>
          <w:sz w:val="22"/>
          <w:szCs w:val="22"/>
        </w:rPr>
      </w:pPr>
      <w:r>
        <w:rPr>
          <w:rFonts w:hint="default"/>
          <w:b/>
          <w:bCs/>
          <w:sz w:val="22"/>
          <w:szCs w:val="22"/>
          <w:lang w:val="pt-BR"/>
        </w:rPr>
        <w:t xml:space="preserve">7.5. </w:t>
      </w:r>
      <w:r>
        <w:rPr>
          <w:sz w:val="22"/>
          <w:szCs w:val="22"/>
        </w:rPr>
        <w:t>Em contratação de serviços de engenharia, além das disposições acima, a análise de exequibilidade e sobrepreço considerará o seguinte:</w:t>
      </w:r>
    </w:p>
    <w:p w14:paraId="1D7B122C">
      <w:pPr>
        <w:pStyle w:val="137"/>
        <w:numPr>
          <w:ilvl w:val="0"/>
          <w:numId w:val="0"/>
        </w:numPr>
        <w:spacing w:line="360" w:lineRule="auto"/>
        <w:ind w:left="4" w:leftChars="0" w:firstLine="477" w:firstLineChars="216"/>
        <w:rPr>
          <w:b/>
          <w:sz w:val="22"/>
          <w:szCs w:val="22"/>
        </w:rPr>
      </w:pPr>
      <w:r>
        <w:rPr>
          <w:rFonts w:hint="default"/>
          <w:b/>
          <w:bCs/>
          <w:sz w:val="22"/>
          <w:szCs w:val="22"/>
          <w:lang w:val="pt-BR"/>
        </w:rPr>
        <w:t>7.5.1.</w:t>
      </w:r>
      <w:r>
        <w:rPr>
          <w:rFonts w:hint="default"/>
          <w:sz w:val="22"/>
          <w:szCs w:val="22"/>
          <w:lang w:val="pt-BR"/>
        </w:rPr>
        <w:t xml:space="preserve"> </w:t>
      </w:r>
      <w:r>
        <w:rPr>
          <w:sz w:val="22"/>
          <w:szCs w:val="22"/>
        </w:rPr>
        <w:t>Nos regimes de execução por tarefa, empreitada por preço global ou empreitada integral, semi-integrada ou integrada, a caracterização do sobrepreço se dará pela superação do valor global estimado;</w:t>
      </w:r>
    </w:p>
    <w:p w14:paraId="2DB828B1">
      <w:pPr>
        <w:pStyle w:val="137"/>
        <w:numPr>
          <w:ilvl w:val="0"/>
          <w:numId w:val="0"/>
        </w:numPr>
        <w:spacing w:line="360" w:lineRule="auto"/>
        <w:ind w:left="4" w:leftChars="0" w:firstLine="477" w:firstLineChars="216"/>
        <w:rPr>
          <w:b/>
          <w:sz w:val="22"/>
          <w:szCs w:val="22"/>
        </w:rPr>
      </w:pPr>
      <w:r>
        <w:rPr>
          <w:rFonts w:hint="default"/>
          <w:b/>
          <w:bCs/>
          <w:sz w:val="22"/>
          <w:szCs w:val="22"/>
          <w:lang w:val="pt-BR"/>
        </w:rPr>
        <w:t xml:space="preserve">7.5.2. </w:t>
      </w:r>
      <w:r>
        <w:rPr>
          <w:sz w:val="22"/>
          <w:szCs w:val="22"/>
        </w:rPr>
        <w:t xml:space="preserve">No regime de empreitada por preço unitário, a caracterização do sobrepreço se dará pela superação do valor global estimado e </w:t>
      </w:r>
      <w:r>
        <w:rPr>
          <w:i w:val="0"/>
          <w:iCs w:val="0"/>
          <w:color w:val="auto"/>
          <w:sz w:val="22"/>
          <w:szCs w:val="22"/>
        </w:rPr>
        <w:t xml:space="preserve">pela superação de custo unitário tido como relevante, conforme planilha anexa ao </w:t>
      </w:r>
      <w:r>
        <w:rPr>
          <w:rFonts w:hint="default"/>
          <w:i w:val="0"/>
          <w:iCs w:val="0"/>
          <w:color w:val="auto"/>
          <w:sz w:val="22"/>
          <w:szCs w:val="22"/>
          <w:lang w:val="pt-BR"/>
        </w:rPr>
        <w:t>E</w:t>
      </w:r>
      <w:r>
        <w:rPr>
          <w:i w:val="0"/>
          <w:iCs w:val="0"/>
          <w:color w:val="auto"/>
          <w:sz w:val="22"/>
          <w:szCs w:val="22"/>
        </w:rPr>
        <w:t>dital;</w:t>
      </w:r>
    </w:p>
    <w:p w14:paraId="3D401B90">
      <w:pPr>
        <w:pStyle w:val="137"/>
        <w:numPr>
          <w:ilvl w:val="0"/>
          <w:numId w:val="0"/>
        </w:numPr>
        <w:spacing w:line="360" w:lineRule="auto"/>
        <w:ind w:left="4" w:leftChars="0" w:firstLine="477" w:firstLineChars="216"/>
        <w:rPr>
          <w:sz w:val="22"/>
          <w:szCs w:val="22"/>
        </w:rPr>
      </w:pPr>
      <w:r>
        <w:rPr>
          <w:rFonts w:hint="default"/>
          <w:b/>
          <w:bCs/>
          <w:sz w:val="22"/>
          <w:szCs w:val="22"/>
          <w:lang w:val="pt-BR"/>
        </w:rPr>
        <w:t>7.5.3.</w:t>
      </w:r>
      <w:r>
        <w:rPr>
          <w:rFonts w:hint="default"/>
          <w:sz w:val="22"/>
          <w:szCs w:val="22"/>
          <w:lang w:val="pt-BR"/>
        </w:rPr>
        <w:t xml:space="preserve"> </w:t>
      </w:r>
      <w:r>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51EA3312">
      <w:pPr>
        <w:pStyle w:val="137"/>
        <w:numPr>
          <w:ilvl w:val="0"/>
          <w:numId w:val="0"/>
        </w:numPr>
        <w:spacing w:line="360" w:lineRule="auto"/>
        <w:ind w:left="4" w:leftChars="0" w:firstLine="477" w:firstLineChars="216"/>
        <w:rPr>
          <w:sz w:val="22"/>
          <w:szCs w:val="22"/>
        </w:rPr>
      </w:pPr>
      <w:bookmarkStart w:id="28" w:name="_Hlk135304834"/>
      <w:r>
        <w:rPr>
          <w:rFonts w:hint="default"/>
          <w:b/>
          <w:bCs/>
          <w:sz w:val="22"/>
          <w:szCs w:val="22"/>
          <w:lang w:val="pt-BR"/>
        </w:rPr>
        <w:t xml:space="preserve">7.5.4. </w:t>
      </w:r>
      <w:r>
        <w:rPr>
          <w:sz w:val="22"/>
          <w:szCs w:val="22"/>
        </w:rPr>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w:t>
      </w:r>
      <w:r>
        <w:rPr>
          <w:rFonts w:hint="default"/>
          <w:sz w:val="22"/>
          <w:szCs w:val="22"/>
          <w:lang w:val="pt-BR"/>
        </w:rPr>
        <w:t>l</w:t>
      </w:r>
      <w:r>
        <w:rPr>
          <w:sz w:val="22"/>
          <w:szCs w:val="22"/>
        </w:rPr>
        <w:t>ei</w:t>
      </w:r>
      <w:bookmarkEnd w:id="28"/>
      <w:r>
        <w:rPr>
          <w:sz w:val="22"/>
          <w:szCs w:val="22"/>
        </w:rPr>
        <w:t>.</w:t>
      </w:r>
    </w:p>
    <w:p w14:paraId="766E0973">
      <w:pPr>
        <w:pStyle w:val="134"/>
        <w:numPr>
          <w:ilvl w:val="0"/>
          <w:numId w:val="0"/>
        </w:numPr>
        <w:spacing w:line="360" w:lineRule="auto"/>
        <w:ind w:leftChars="0"/>
        <w:rPr>
          <w:sz w:val="22"/>
          <w:szCs w:val="22"/>
        </w:rPr>
      </w:pPr>
      <w:r>
        <w:rPr>
          <w:rFonts w:hint="default"/>
          <w:b/>
          <w:bCs/>
          <w:sz w:val="22"/>
          <w:szCs w:val="22"/>
          <w:lang w:val="pt-BR"/>
        </w:rPr>
        <w:t xml:space="preserve">7.6. </w:t>
      </w:r>
      <w:r>
        <w:rPr>
          <w:sz w:val="22"/>
          <w:szCs w:val="22"/>
        </w:rPr>
        <w:t xml:space="preserve">Se houver indícios de inexequibilidade da </w:t>
      </w:r>
      <w:r>
        <w:rPr>
          <w:rFonts w:hint="default"/>
          <w:sz w:val="22"/>
          <w:szCs w:val="22"/>
          <w:lang w:val="pt-BR"/>
        </w:rPr>
        <w:t>P</w:t>
      </w:r>
      <w:r>
        <w:rPr>
          <w:sz w:val="22"/>
          <w:szCs w:val="22"/>
        </w:rPr>
        <w:t xml:space="preserve">roposta de </w:t>
      </w:r>
      <w:r>
        <w:rPr>
          <w:rFonts w:hint="default"/>
          <w:sz w:val="22"/>
          <w:szCs w:val="22"/>
          <w:lang w:val="pt-BR"/>
        </w:rPr>
        <w:t>P</w:t>
      </w:r>
      <w:r>
        <w:rPr>
          <w:sz w:val="22"/>
          <w:szCs w:val="22"/>
        </w:rPr>
        <w:t>reço, ou em caso da necessidade de esclarecimentos complementares, poderão ser efetuadas diligências, para que a empresa comprove a exequibilidade da proposta.</w:t>
      </w:r>
    </w:p>
    <w:p w14:paraId="0609F60F">
      <w:pPr>
        <w:pStyle w:val="134"/>
        <w:numPr>
          <w:ilvl w:val="0"/>
          <w:numId w:val="0"/>
        </w:numPr>
        <w:spacing w:line="360" w:lineRule="auto"/>
        <w:ind w:leftChars="0"/>
        <w:rPr>
          <w:sz w:val="22"/>
          <w:szCs w:val="22"/>
        </w:rPr>
      </w:pPr>
      <w:r>
        <w:rPr>
          <w:rFonts w:hint="default"/>
          <w:b/>
          <w:bCs/>
          <w:sz w:val="22"/>
          <w:szCs w:val="22"/>
          <w:lang w:val="pt-BR"/>
        </w:rPr>
        <w:t xml:space="preserve">7.7. </w:t>
      </w:r>
      <w:r>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FD52862">
      <w:pPr>
        <w:pStyle w:val="137"/>
        <w:numPr>
          <w:ilvl w:val="0"/>
          <w:numId w:val="0"/>
        </w:numPr>
        <w:spacing w:line="360" w:lineRule="auto"/>
        <w:ind w:left="4" w:leftChars="0" w:firstLine="477" w:firstLineChars="216"/>
        <w:rPr>
          <w:b/>
          <w:bCs/>
          <w:sz w:val="22"/>
          <w:szCs w:val="22"/>
        </w:rPr>
      </w:pPr>
      <w:bookmarkStart w:id="29" w:name="_Hlk126568356"/>
      <w:r>
        <w:rPr>
          <w:rFonts w:hint="default"/>
          <w:b/>
          <w:bCs/>
          <w:sz w:val="22"/>
          <w:szCs w:val="22"/>
          <w:lang w:val="pt-BR"/>
        </w:rPr>
        <w:t xml:space="preserve">7.7.1. </w:t>
      </w:r>
      <w:r>
        <w:rPr>
          <w:sz w:val="22"/>
          <w:szCs w:val="22"/>
        </w:rPr>
        <w:t>Em se tratando de serviços de engenharia, o licitante vencedor será convocado a apresentar à Administração, por meio eletrônico, as planilhas com indicação dos quantitativos e dos custos unitários</w:t>
      </w:r>
      <w:bookmarkEnd w:id="29"/>
      <w:r>
        <w:rPr>
          <w:sz w:val="22"/>
          <w:szCs w:val="22"/>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w:t>
      </w:r>
      <w:r>
        <w:rPr>
          <w:rFonts w:hint="default"/>
          <w:sz w:val="22"/>
          <w:szCs w:val="22"/>
          <w:lang w:val="pt-BR"/>
        </w:rPr>
        <w:t xml:space="preserve"> </w:t>
      </w:r>
      <w:r>
        <w:rPr>
          <w:rFonts w:hint="default" w:cs="Arial"/>
          <w:color w:val="auto"/>
          <w:sz w:val="22"/>
          <w:szCs w:val="22"/>
          <w:lang w:val="pt-BR"/>
        </w:rPr>
        <w:t>d</w:t>
      </w:r>
      <w:r>
        <w:rPr>
          <w:rFonts w:hint="default" w:ascii="Arial" w:hAnsi="Arial" w:cs="Arial"/>
          <w:color w:val="auto"/>
          <w:sz w:val="22"/>
          <w:szCs w:val="22"/>
          <w:lang w:val="pt-BR"/>
        </w:rPr>
        <w:t>o Contrato</w:t>
      </w:r>
      <w:r>
        <w:rPr>
          <w:sz w:val="22"/>
          <w:szCs w:val="22"/>
        </w:rPr>
        <w:t>.</w:t>
      </w:r>
    </w:p>
    <w:p w14:paraId="16E1274A">
      <w:pPr>
        <w:pStyle w:val="134"/>
        <w:numPr>
          <w:ilvl w:val="0"/>
          <w:numId w:val="0"/>
        </w:numPr>
        <w:tabs>
          <w:tab w:val="left" w:pos="1200"/>
        </w:tabs>
        <w:spacing w:line="360" w:lineRule="auto"/>
        <w:ind w:left="0" w:leftChars="0" w:firstLine="481" w:firstLineChars="218"/>
        <w:rPr>
          <w:b/>
          <w:sz w:val="22"/>
          <w:szCs w:val="22"/>
        </w:rPr>
      </w:pPr>
      <w:r>
        <w:rPr>
          <w:rFonts w:hint="default"/>
          <w:b/>
          <w:bCs/>
          <w:sz w:val="22"/>
          <w:szCs w:val="22"/>
          <w:lang w:val="pt-BR"/>
        </w:rPr>
        <w:t xml:space="preserve">7.7.2. </w:t>
      </w:r>
      <w:r>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1391F32E">
      <w:pPr>
        <w:pStyle w:val="137"/>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 xml:space="preserve">7.7.3. </w:t>
      </w:r>
      <w:r>
        <w:rPr>
          <w:sz w:val="22"/>
          <w:szCs w:val="22"/>
        </w:rPr>
        <w:t>O ajuste de que trata este dispositivo se limita a sanar erros ou falhas que não alterem a substância das propostas;</w:t>
      </w:r>
    </w:p>
    <w:p w14:paraId="3BFD5E58">
      <w:pPr>
        <w:pStyle w:val="137"/>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7.7.4.</w:t>
      </w:r>
      <w:r>
        <w:rPr>
          <w:rFonts w:hint="default"/>
          <w:sz w:val="22"/>
          <w:szCs w:val="22"/>
          <w:lang w:val="pt-BR"/>
        </w:rPr>
        <w:t xml:space="preserve"> </w:t>
      </w:r>
      <w:r>
        <w:rPr>
          <w:sz w:val="22"/>
          <w:szCs w:val="22"/>
        </w:rPr>
        <w:t>Considera-se erro no preenchimento da planilha passível de correção a indicação de recolhimento de impostos e contribuições na forma do Simples Nacional, quando não cabível esse regime.</w:t>
      </w:r>
    </w:p>
    <w:p w14:paraId="2D8D60C8">
      <w:pPr>
        <w:tabs>
          <w:tab w:val="left" w:pos="426"/>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ab/>
      </w:r>
      <w:r>
        <w:rPr>
          <w:rFonts w:ascii="Arial" w:hAnsi="Arial" w:cs="Arial"/>
          <w:sz w:val="22"/>
          <w:szCs w:val="22"/>
        </w:rPr>
        <w:t xml:space="preserve">Se a proposta ou o lance de menor preço não for aceitável, se estiver acima do valor de referência ou </w:t>
      </w:r>
      <w:r>
        <w:rPr>
          <w:rFonts w:hint="default" w:ascii="Arial" w:hAnsi="Arial" w:cs="Arial"/>
          <w:sz w:val="22"/>
          <w:szCs w:val="22"/>
          <w:lang w:val="pt-BR"/>
        </w:rPr>
        <w:t>for comprovada sua inexequibilidade</w:t>
      </w:r>
      <w:r>
        <w:rPr>
          <w:rFonts w:ascii="Arial" w:hAnsi="Arial" w:cs="Arial"/>
          <w:sz w:val="22"/>
          <w:szCs w:val="22"/>
        </w:rPr>
        <w:t>, o Pregoeiro examinará a proposta ou o lance subsequente, verificando a sua aceitabilidade</w:t>
      </w:r>
      <w:r>
        <w:rPr>
          <w:rFonts w:hint="default" w:ascii="Arial" w:hAnsi="Arial" w:cs="Arial"/>
          <w:sz w:val="22"/>
          <w:szCs w:val="22"/>
          <w:lang w:val="pt-BR"/>
        </w:rPr>
        <w:t>,</w:t>
      </w:r>
      <w:r>
        <w:rPr>
          <w:rFonts w:ascii="Arial" w:hAnsi="Arial" w:cs="Arial"/>
          <w:sz w:val="22"/>
          <w:szCs w:val="22"/>
        </w:rPr>
        <w:t xml:space="preserve"> na ordem de classificação, e assim sucessivamente, até a apuração de uma proposta ou lance que satisfaça às condições e exigências constantes no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w:t>
      </w:r>
    </w:p>
    <w:p w14:paraId="5C397B13">
      <w:pPr>
        <w:tabs>
          <w:tab w:val="left" w:pos="851"/>
          <w:tab w:val="left" w:pos="1276"/>
          <w:tab w:val="left" w:pos="1418"/>
        </w:tabs>
        <w:autoSpaceDE w:val="0"/>
        <w:spacing w:before="240" w:after="240" w:line="360" w:lineRule="auto"/>
        <w:jc w:val="both"/>
        <w:rPr>
          <w:rFonts w:ascii="Arial" w:hAnsi="Arial" w:cs="Arial"/>
          <w:sz w:val="22"/>
          <w:szCs w:val="22"/>
        </w:rPr>
      </w:pPr>
      <w:r>
        <w:rPr>
          <w:rFonts w:ascii="Arial" w:hAnsi="Arial" w:cs="Arial"/>
          <w:b/>
          <w:sz w:val="22"/>
          <w:szCs w:val="22"/>
        </w:rPr>
        <w:tab/>
      </w: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.1. </w:t>
      </w:r>
      <w:r>
        <w:rPr>
          <w:rFonts w:ascii="Arial" w:hAnsi="Arial" w:cs="Arial"/>
          <w:sz w:val="22"/>
          <w:szCs w:val="22"/>
        </w:rPr>
        <w:t>Ocorrendo a situação referida no item 7.</w:t>
      </w:r>
      <w:r>
        <w:rPr>
          <w:rFonts w:hint="default" w:ascii="Arial" w:hAnsi="Arial" w:cs="Arial"/>
          <w:sz w:val="22"/>
          <w:szCs w:val="22"/>
          <w:lang w:val="pt-BR"/>
        </w:rPr>
        <w:t>8</w:t>
      </w:r>
      <w:r>
        <w:rPr>
          <w:rFonts w:ascii="Arial" w:hAnsi="Arial" w:cs="Arial"/>
          <w:sz w:val="22"/>
          <w:szCs w:val="22"/>
        </w:rPr>
        <w:t xml:space="preserve">., o Pregoeiro </w:t>
      </w:r>
      <w:r>
        <w:rPr>
          <w:rFonts w:hint="default" w:ascii="Arial" w:hAnsi="Arial" w:cs="Arial"/>
          <w:sz w:val="22"/>
          <w:szCs w:val="22"/>
          <w:lang w:val="pt-BR"/>
        </w:rPr>
        <w:t xml:space="preserve">poderá </w:t>
      </w:r>
      <w:r>
        <w:rPr>
          <w:rFonts w:ascii="Arial" w:hAnsi="Arial" w:cs="Arial"/>
          <w:sz w:val="22"/>
          <w:szCs w:val="22"/>
        </w:rPr>
        <w:t>negociar com a licitante subsequente para que seja obtida melhor proposta.</w:t>
      </w:r>
    </w:p>
    <w:p w14:paraId="7E68AE4F">
      <w:pPr>
        <w:tabs>
          <w:tab w:val="left" w:pos="851"/>
          <w:tab w:val="left" w:pos="1276"/>
          <w:tab w:val="left" w:pos="1418"/>
        </w:tabs>
        <w:autoSpaceDE w:val="0"/>
        <w:spacing w:before="240" w:after="240" w:line="360" w:lineRule="auto"/>
        <w:ind w:firstLine="851"/>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.2. </w:t>
      </w:r>
      <w:r>
        <w:rPr>
          <w:rFonts w:ascii="Arial" w:hAnsi="Arial" w:cs="Arial"/>
          <w:sz w:val="22"/>
          <w:szCs w:val="22"/>
        </w:rPr>
        <w:t>Se a negociante se mantiver inerte durante a fase de negociação, dar-se-á a preclusão e a negociação passará para a colocada subseq</w:t>
      </w:r>
      <w:r>
        <w:rPr>
          <w:rFonts w:hint="default" w:ascii="Arial" w:hAnsi="Arial" w:cs="Arial"/>
          <w:sz w:val="22"/>
          <w:szCs w:val="22"/>
          <w:lang w:val="pt-BR"/>
        </w:rPr>
        <w:t>u</w:t>
      </w:r>
      <w:r>
        <w:rPr>
          <w:rFonts w:ascii="Arial" w:hAnsi="Arial" w:cs="Arial"/>
          <w:sz w:val="22"/>
          <w:szCs w:val="22"/>
        </w:rPr>
        <w:t xml:space="preserve">ente. </w:t>
      </w:r>
    </w:p>
    <w:p w14:paraId="2E56BC5D">
      <w:pPr>
        <w:pStyle w:val="133"/>
        <w:tabs>
          <w:tab w:val="left" w:pos="2835"/>
        </w:tabs>
        <w:spacing w:before="240" w:beforeAutospacing="0" w:after="240" w:afterAutospacing="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prazo para envio da proposta de preços readequada com os respectivos valores obtidos na fase de lances </w:t>
      </w:r>
      <w:r>
        <w:rPr>
          <w:rFonts w:hint="default" w:ascii="Arial" w:hAnsi="Arial" w:cs="Arial"/>
          <w:sz w:val="22"/>
          <w:szCs w:val="22"/>
          <w:lang w:val="pt-BR"/>
        </w:rPr>
        <w:t xml:space="preserve">ou de negociação </w:t>
      </w:r>
      <w:r>
        <w:rPr>
          <w:rFonts w:ascii="Arial" w:hAnsi="Arial" w:cs="Arial"/>
          <w:sz w:val="22"/>
          <w:szCs w:val="22"/>
        </w:rPr>
        <w:t>pelo vencedor será de 2 (duas) horas, contados da solicitação do Pregoeiro no sistema, para envio da proposta e, se necessário, dos documentos complementares, adequada ao último lance ofertado após a negociação.</w:t>
      </w:r>
      <w:bookmarkStart w:id="30" w:name="art39"/>
      <w:bookmarkEnd w:id="30"/>
    </w:p>
    <w:p w14:paraId="202B59ED">
      <w:pPr>
        <w:spacing w:before="240" w:after="240" w:line="360" w:lineRule="auto"/>
        <w:jc w:val="both"/>
        <w:rPr>
          <w:rFonts w:ascii="Arial" w:hAnsi="Arial" w:cs="Arial"/>
          <w:b w:val="0"/>
          <w:bCs w:val="0"/>
          <w:i w:val="0"/>
          <w:iCs w:val="0"/>
          <w:sz w:val="22"/>
          <w:szCs w:val="22"/>
        </w:rPr>
      </w:pPr>
      <w:r>
        <w:rPr>
          <w:rFonts w:ascii="Arial" w:hAnsi="Arial" w:cs="Arial"/>
          <w:b/>
          <w:sz w:val="22"/>
          <w:szCs w:val="22"/>
        </w:rPr>
        <w:t>7.</w:t>
      </w:r>
      <w:r>
        <w:rPr>
          <w:rFonts w:hint="default" w:ascii="Arial" w:hAnsi="Arial" w:cs="Arial"/>
          <w:b/>
          <w:sz w:val="22"/>
          <w:szCs w:val="22"/>
          <w:lang w:val="pt-BR"/>
        </w:rPr>
        <w:t>10</w:t>
      </w:r>
      <w:r>
        <w:rPr>
          <w:rFonts w:ascii="Arial" w:hAnsi="Arial" w:cs="Arial"/>
          <w:b/>
          <w:sz w:val="22"/>
          <w:szCs w:val="22"/>
        </w:rPr>
        <w:t>.</w:t>
      </w:r>
      <w:r>
        <w:rPr>
          <w:rFonts w:ascii="Arial" w:hAnsi="Arial" w:cs="Arial"/>
          <w:b w:val="0"/>
          <w:bCs w:val="0"/>
          <w:i w:val="0"/>
          <w:iCs w:val="0"/>
          <w:sz w:val="22"/>
          <w:szCs w:val="22"/>
        </w:rPr>
        <w:t xml:space="preserve"> Não poderá haver desistência dos lances ofertados ou das propostas registradas, sujeitando-se o proponente desistente às penalidades constantes neste </w:t>
      </w:r>
      <w:r>
        <w:rPr>
          <w:rFonts w:hint="default" w:ascii="Arial" w:hAnsi="Arial" w:cs="Arial"/>
          <w:b w:val="0"/>
          <w:bCs w:val="0"/>
          <w:i w:val="0"/>
          <w:iCs w:val="0"/>
          <w:sz w:val="22"/>
          <w:szCs w:val="22"/>
          <w:lang w:val="pt-BR"/>
        </w:rPr>
        <w:t>E</w:t>
      </w:r>
      <w:r>
        <w:rPr>
          <w:rFonts w:ascii="Arial" w:hAnsi="Arial" w:cs="Arial"/>
          <w:b w:val="0"/>
          <w:bCs w:val="0"/>
          <w:i w:val="0"/>
          <w:iCs w:val="0"/>
          <w:sz w:val="22"/>
          <w:szCs w:val="22"/>
        </w:rPr>
        <w:t>dital.</w:t>
      </w:r>
    </w:p>
    <w:p w14:paraId="4E77D4A5">
      <w:pPr>
        <w:tabs>
          <w:tab w:val="left" w:pos="851"/>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11</w:t>
      </w:r>
      <w:r>
        <w:rPr>
          <w:rFonts w:ascii="Arial" w:hAnsi="Arial" w:cs="Arial"/>
          <w:b/>
          <w:sz w:val="22"/>
          <w:szCs w:val="22"/>
        </w:rPr>
        <w:t xml:space="preserve">. </w:t>
      </w:r>
      <w:r>
        <w:rPr>
          <w:rFonts w:ascii="Arial" w:hAnsi="Arial" w:cs="Arial"/>
          <w:sz w:val="22"/>
          <w:szCs w:val="22"/>
        </w:rPr>
        <w:t>No julgamento das propostas</w:t>
      </w:r>
      <w:r>
        <w:rPr>
          <w:rFonts w:hint="default" w:ascii="Arial" w:hAnsi="Arial" w:cs="Arial"/>
          <w:sz w:val="22"/>
          <w:szCs w:val="22"/>
          <w:lang w:val="pt-BR"/>
        </w:rPr>
        <w:t xml:space="preserve"> de preços</w:t>
      </w:r>
      <w:r>
        <w:rPr>
          <w:rFonts w:ascii="Arial" w:hAnsi="Arial" w:cs="Arial"/>
          <w:sz w:val="22"/>
          <w:szCs w:val="22"/>
        </w:rPr>
        <w:t>, o Pregoeiro poderá sanar erros ou falhas que não alterem a substância das propostas, dos documentos e sua validade jurídica, mediante despacho fundamentado, registrado em ata e acessível a todos, atribuindo-lhes validade e eficácia para fins de classificação.</w:t>
      </w:r>
    </w:p>
    <w:p w14:paraId="21B15F06">
      <w:pPr>
        <w:numPr>
          <w:ilvl w:val="0"/>
          <w:numId w:val="8"/>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jc w:val="center"/>
        <w:rPr>
          <w:rFonts w:ascii="Arial" w:hAnsi="Arial" w:cs="Arial"/>
          <w:b/>
          <w:sz w:val="22"/>
          <w:szCs w:val="22"/>
        </w:rPr>
      </w:pPr>
      <w:r>
        <w:rPr>
          <w:rFonts w:ascii="Arial" w:hAnsi="Arial" w:cs="Arial"/>
          <w:b/>
          <w:sz w:val="22"/>
          <w:szCs w:val="22"/>
        </w:rPr>
        <w:t>DA PROPOSTA DE PREÇOS</w:t>
      </w:r>
      <w:r>
        <w:rPr>
          <w:rFonts w:hint="default" w:ascii="Arial" w:hAnsi="Arial" w:cs="Arial"/>
          <w:b/>
          <w:sz w:val="22"/>
          <w:szCs w:val="22"/>
          <w:lang w:val="pt-BR"/>
        </w:rPr>
        <w:t xml:space="preserve"> READEQUADA</w:t>
      </w:r>
    </w:p>
    <w:p w14:paraId="131D45E0">
      <w:pPr>
        <w:spacing w:before="240" w:after="240" w:line="360" w:lineRule="auto"/>
        <w:jc w:val="both"/>
        <w:rPr>
          <w:rFonts w:ascii="Arial" w:hAnsi="Arial" w:cs="Arial"/>
          <w:sz w:val="22"/>
          <w:szCs w:val="22"/>
        </w:rPr>
      </w:pPr>
      <w:r>
        <w:rPr>
          <w:rFonts w:ascii="Arial" w:hAnsi="Arial" w:cs="Arial"/>
          <w:b/>
          <w:sz w:val="22"/>
          <w:szCs w:val="22"/>
        </w:rPr>
        <w:t>8.1.</w:t>
      </w:r>
      <w:r>
        <w:rPr>
          <w:rFonts w:ascii="Arial" w:hAnsi="Arial" w:cs="Arial"/>
          <w:sz w:val="22"/>
          <w:szCs w:val="22"/>
        </w:rPr>
        <w:t xml:space="preserve"> Declarada a empresa vencedora ao final da fase de lances, </w:t>
      </w:r>
      <w:r>
        <w:rPr>
          <w:rFonts w:hint="default" w:ascii="Arial" w:hAnsi="Arial" w:cs="Arial"/>
          <w:sz w:val="22"/>
          <w:szCs w:val="22"/>
          <w:lang w:val="pt-BR"/>
        </w:rPr>
        <w:t>a</w:t>
      </w:r>
      <w:r>
        <w:rPr>
          <w:rFonts w:ascii="Arial" w:hAnsi="Arial" w:cs="Arial"/>
          <w:sz w:val="22"/>
          <w:szCs w:val="22"/>
        </w:rPr>
        <w:t xml:space="preserve"> licitante detentor</w:t>
      </w:r>
      <w:r>
        <w:rPr>
          <w:rFonts w:hint="default" w:ascii="Arial" w:hAnsi="Arial" w:cs="Arial"/>
          <w:sz w:val="22"/>
          <w:szCs w:val="22"/>
          <w:lang w:val="pt-BR"/>
        </w:rPr>
        <w:t>a</w:t>
      </w:r>
      <w:r>
        <w:rPr>
          <w:rFonts w:ascii="Arial" w:hAnsi="Arial" w:cs="Arial"/>
          <w:sz w:val="22"/>
          <w:szCs w:val="22"/>
        </w:rPr>
        <w:t xml:space="preserve"> da melhor oferta deverá encaminhar a </w:t>
      </w:r>
      <w:r>
        <w:rPr>
          <w:rFonts w:hint="default" w:ascii="Arial" w:hAnsi="Arial" w:cs="Arial"/>
          <w:sz w:val="22"/>
          <w:szCs w:val="22"/>
          <w:lang w:val="pt-BR"/>
        </w:rPr>
        <w:t>P</w:t>
      </w:r>
      <w:r>
        <w:rPr>
          <w:rFonts w:ascii="Arial" w:hAnsi="Arial" w:cs="Arial"/>
          <w:sz w:val="22"/>
          <w:szCs w:val="22"/>
        </w:rPr>
        <w:t xml:space="preserve">roposta de </w:t>
      </w:r>
      <w:r>
        <w:rPr>
          <w:rFonts w:hint="default" w:ascii="Arial" w:hAnsi="Arial" w:cs="Arial"/>
          <w:sz w:val="22"/>
          <w:szCs w:val="22"/>
          <w:lang w:val="pt-BR"/>
        </w:rPr>
        <w:t>P</w:t>
      </w:r>
      <w:r>
        <w:rPr>
          <w:rFonts w:ascii="Arial" w:hAnsi="Arial" w:cs="Arial"/>
          <w:sz w:val="22"/>
          <w:szCs w:val="22"/>
        </w:rPr>
        <w:t xml:space="preserve">reços </w:t>
      </w:r>
      <w:r>
        <w:rPr>
          <w:rFonts w:hint="default" w:ascii="Arial" w:hAnsi="Arial" w:cs="Arial"/>
          <w:sz w:val="22"/>
          <w:szCs w:val="22"/>
          <w:lang w:val="pt-BR"/>
        </w:rPr>
        <w:t>re</w:t>
      </w:r>
      <w:r>
        <w:rPr>
          <w:rFonts w:ascii="Arial" w:hAnsi="Arial" w:cs="Arial"/>
          <w:sz w:val="22"/>
          <w:szCs w:val="22"/>
        </w:rPr>
        <w:t>a</w:t>
      </w:r>
      <w:r>
        <w:rPr>
          <w:rFonts w:hint="default" w:ascii="Arial" w:hAnsi="Arial" w:cs="Arial"/>
          <w:sz w:val="22"/>
          <w:szCs w:val="22"/>
          <w:lang w:val="pt-BR"/>
        </w:rPr>
        <w:t>dequad</w:t>
      </w:r>
      <w:r>
        <w:rPr>
          <w:rFonts w:ascii="Arial" w:hAnsi="Arial" w:cs="Arial"/>
          <w:sz w:val="22"/>
          <w:szCs w:val="22"/>
        </w:rPr>
        <w:t xml:space="preserve">a de forma digitalizada no prazo de </w:t>
      </w:r>
      <w:r>
        <w:rPr>
          <w:rFonts w:ascii="Arial" w:hAnsi="Arial" w:cs="Arial"/>
          <w:b w:val="0"/>
          <w:bCs/>
          <w:sz w:val="22"/>
          <w:szCs w:val="22"/>
        </w:rPr>
        <w:t>2 (duas) horas</w:t>
      </w:r>
      <w:r>
        <w:rPr>
          <w:rFonts w:ascii="Arial" w:hAnsi="Arial" w:cs="Arial"/>
          <w:sz w:val="22"/>
          <w:szCs w:val="22"/>
        </w:rPr>
        <w:t>, contados a partir da declaração de vencedor</w:t>
      </w:r>
      <w:r>
        <w:rPr>
          <w:rFonts w:hint="default" w:ascii="Arial" w:hAnsi="Arial" w:cs="Arial"/>
          <w:sz w:val="22"/>
          <w:szCs w:val="22"/>
          <w:lang w:val="pt-BR"/>
        </w:rPr>
        <w:t xml:space="preserve"> e da fase de negociação</w:t>
      </w:r>
      <w:r>
        <w:rPr>
          <w:rFonts w:ascii="Arial" w:hAnsi="Arial" w:cs="Arial"/>
          <w:sz w:val="22"/>
          <w:szCs w:val="22"/>
        </w:rPr>
        <w:t xml:space="preserve">, no campo adequado para tal, disponível 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5"/>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ascii="Arial" w:hAnsi="Arial" w:cs="Arial"/>
          <w:bCs/>
          <w:iCs/>
          <w:snapToGrid w:val="0"/>
          <w:sz w:val="22"/>
          <w:szCs w:val="22"/>
        </w:rPr>
        <w:t>,</w:t>
      </w:r>
      <w:r>
        <w:rPr>
          <w:rFonts w:ascii="Arial" w:hAnsi="Arial" w:cs="Arial"/>
          <w:sz w:val="22"/>
          <w:szCs w:val="22"/>
        </w:rPr>
        <w:t xml:space="preserve"> contendo os</w:t>
      </w:r>
      <w:r>
        <w:rPr>
          <w:rStyle w:val="11"/>
          <w:rFonts w:ascii="Arial" w:hAnsi="Arial" w:cs="Arial"/>
          <w:b w:val="0"/>
          <w:bCs w:val="0"/>
          <w:sz w:val="22"/>
          <w:szCs w:val="22"/>
        </w:rPr>
        <w:t xml:space="preserve"> </w:t>
      </w:r>
      <w:r>
        <w:rPr>
          <w:rFonts w:ascii="Arial" w:hAnsi="Arial" w:cs="Arial"/>
          <w:sz w:val="22"/>
          <w:szCs w:val="22"/>
        </w:rPr>
        <w:t xml:space="preserve">valores (unitários e totais), descrição contendo especificação detalhada, unidade de fornecimento, marca e o valor deverá ser igual ou menor ao lance vencedor. </w:t>
      </w:r>
    </w:p>
    <w:p w14:paraId="523A479F">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 xml:space="preserve">8.1.1. </w:t>
      </w:r>
      <w:r>
        <w:rPr>
          <w:rFonts w:ascii="Arial" w:hAnsi="Arial" w:cs="Arial"/>
          <w:sz w:val="22"/>
          <w:szCs w:val="22"/>
        </w:rPr>
        <w:t xml:space="preserve">Dentro do prazo de 2 (duas) horas poderão ser remetidos, por iniciativa da licitante, tantos quantos forem os documentos complementares ou retificadores afetos a sua Proposta de Preços. </w:t>
      </w:r>
    </w:p>
    <w:p w14:paraId="2831714F">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8.1.2.</w:t>
      </w:r>
      <w:r>
        <w:rPr>
          <w:rFonts w:ascii="Arial" w:hAnsi="Arial" w:cs="Arial"/>
          <w:sz w:val="22"/>
          <w:szCs w:val="22"/>
        </w:rPr>
        <w:t xml:space="preserve"> Em caso de qualquer ocorrência que impeça a inserção da proposta rea</w:t>
      </w:r>
      <w:r>
        <w:rPr>
          <w:rFonts w:hint="default" w:ascii="Arial" w:hAnsi="Arial" w:cs="Arial"/>
          <w:sz w:val="22"/>
          <w:szCs w:val="22"/>
          <w:lang w:val="pt-BR"/>
        </w:rPr>
        <w:t>dequada</w:t>
      </w:r>
      <w:r>
        <w:rPr>
          <w:rFonts w:ascii="Arial" w:hAnsi="Arial" w:cs="Arial"/>
          <w:sz w:val="22"/>
          <w:szCs w:val="22"/>
        </w:rPr>
        <w:t xml:space="preserve"> e/ou de documentos de habilitação, na devida plataforma digital, a empresa vencedora deverá solicitar via chat da plataforma digital o envio dos referidos documentos por e-mail dentro do prazo estabelecido de 2 (duas) horas. </w:t>
      </w:r>
    </w:p>
    <w:p w14:paraId="416DD5D8">
      <w:pPr>
        <w:tabs>
          <w:tab w:val="left" w:pos="850"/>
        </w:tabs>
        <w:spacing w:before="240" w:after="240" w:line="360" w:lineRule="auto"/>
        <w:jc w:val="both"/>
        <w:rPr>
          <w:rFonts w:ascii="Arial" w:hAnsi="Arial" w:cs="Arial"/>
          <w:sz w:val="22"/>
          <w:szCs w:val="22"/>
        </w:rPr>
      </w:pPr>
      <w:r>
        <w:rPr>
          <w:rFonts w:ascii="Arial" w:hAnsi="Arial" w:cs="Arial"/>
          <w:sz w:val="22"/>
          <w:szCs w:val="22"/>
        </w:rPr>
        <w:tab/>
      </w:r>
      <w:r>
        <w:rPr>
          <w:rFonts w:ascii="Arial" w:hAnsi="Arial" w:cs="Arial"/>
          <w:b/>
          <w:sz w:val="22"/>
          <w:szCs w:val="22"/>
        </w:rPr>
        <w:t>8.1.3.</w:t>
      </w:r>
      <w:r>
        <w:rPr>
          <w:rFonts w:ascii="Arial" w:hAnsi="Arial" w:cs="Arial"/>
          <w:sz w:val="22"/>
          <w:szCs w:val="22"/>
        </w:rPr>
        <w:t xml:space="preserve"> A fim de aplicar o princípio da isonomia entre as licitantes, após transcorrido o prazo de 2 (duas) horas, não serão considerados, para fins de análise, sob qualquer alegação, o envio da Proposta de Preço ou de qualquer outro documento complementar ou retificador ou que deveria ter sido remetido juntamente com a proposta, sendo realizado, pelo Pregoeiro, o registro da não aceitação da proposta, e a convocação da próxima licitante.</w:t>
      </w:r>
    </w:p>
    <w:p w14:paraId="1491A7E5">
      <w:pPr>
        <w:spacing w:before="240" w:after="240" w:line="360" w:lineRule="auto"/>
        <w:jc w:val="both"/>
        <w:rPr>
          <w:rFonts w:ascii="Arial" w:hAnsi="Arial" w:cs="Arial"/>
          <w:sz w:val="22"/>
          <w:szCs w:val="22"/>
        </w:rPr>
      </w:pPr>
      <w:r>
        <w:rPr>
          <w:rFonts w:ascii="Arial" w:hAnsi="Arial" w:cs="Arial"/>
          <w:b/>
          <w:bCs/>
          <w:sz w:val="22"/>
          <w:szCs w:val="22"/>
        </w:rPr>
        <w:t>8.2.</w:t>
      </w:r>
      <w:r>
        <w:rPr>
          <w:rFonts w:ascii="Arial" w:hAnsi="Arial" w:cs="Arial"/>
          <w:sz w:val="22"/>
          <w:szCs w:val="22"/>
        </w:rPr>
        <w:t xml:space="preserve"> A Proposta de Preços deverá atender aos seguintes requisitos:</w:t>
      </w:r>
    </w:p>
    <w:p w14:paraId="0821283B">
      <w:pPr>
        <w:widowControl w:val="0"/>
        <w:tabs>
          <w:tab w:val="left" w:pos="1276"/>
        </w:tabs>
        <w:adjustRightInd w:val="0"/>
        <w:spacing w:before="240" w:after="240" w:line="360" w:lineRule="auto"/>
        <w:ind w:firstLine="567"/>
        <w:jc w:val="both"/>
        <w:rPr>
          <w:rFonts w:ascii="Arial" w:hAnsi="Arial" w:cs="Arial"/>
          <w:b w:val="0"/>
          <w:bCs/>
          <w:sz w:val="22"/>
          <w:szCs w:val="22"/>
        </w:rPr>
      </w:pPr>
      <w:r>
        <w:rPr>
          <w:rFonts w:ascii="Arial" w:hAnsi="Arial" w:cs="Arial"/>
          <w:b/>
          <w:sz w:val="22"/>
          <w:szCs w:val="22"/>
        </w:rPr>
        <w:t>8.2.1.</w:t>
      </w:r>
      <w:r>
        <w:rPr>
          <w:rFonts w:ascii="Arial" w:hAnsi="Arial" w:cs="Arial"/>
          <w:sz w:val="22"/>
          <w:szCs w:val="22"/>
        </w:rPr>
        <w:t xml:space="preserve"> A Proposta de Preços deverá ser apresentada em formulário próprio contendo as mesmas informações exigidas no </w:t>
      </w:r>
      <w:r>
        <w:rPr>
          <w:rFonts w:hint="default" w:ascii="Arial" w:hAnsi="Arial" w:cs="Arial"/>
          <w:sz w:val="22"/>
          <w:szCs w:val="22"/>
          <w:lang w:val="pt-BR"/>
        </w:rPr>
        <w:t>T</w:t>
      </w:r>
      <w:r>
        <w:rPr>
          <w:rFonts w:ascii="Arial" w:hAnsi="Arial" w:cs="Arial"/>
          <w:sz w:val="22"/>
          <w:szCs w:val="22"/>
        </w:rPr>
        <w:t xml:space="preserve">ermo de </w:t>
      </w:r>
      <w:r>
        <w:rPr>
          <w:rFonts w:hint="default" w:ascii="Arial" w:hAnsi="Arial" w:cs="Arial"/>
          <w:sz w:val="22"/>
          <w:szCs w:val="22"/>
          <w:lang w:val="pt-BR"/>
        </w:rPr>
        <w:t>R</w:t>
      </w:r>
      <w:r>
        <w:rPr>
          <w:rFonts w:ascii="Arial" w:hAnsi="Arial" w:cs="Arial"/>
          <w:sz w:val="22"/>
          <w:szCs w:val="22"/>
        </w:rPr>
        <w:t xml:space="preserve">eferência, assinado por quem de direito, em 01 (uma) via, no idioma oficial do Brasil, sem rasuras, emendas ou entrelinhas, constando o </w:t>
      </w:r>
      <w:r>
        <w:rPr>
          <w:rFonts w:hint="default" w:ascii="Arial" w:hAnsi="Arial" w:cs="Arial"/>
          <w:sz w:val="22"/>
          <w:szCs w:val="22"/>
          <w:lang w:val="pt-BR"/>
        </w:rPr>
        <w:t>valor unitário ou desconto</w:t>
      </w:r>
      <w:r>
        <w:rPr>
          <w:rFonts w:ascii="Arial" w:hAnsi="Arial" w:cs="Arial"/>
          <w:sz w:val="22"/>
          <w:szCs w:val="22"/>
        </w:rPr>
        <w:t xml:space="preserve"> de cada item</w:t>
      </w:r>
      <w:r>
        <w:rPr>
          <w:rFonts w:hint="default" w:ascii="Arial" w:hAnsi="Arial" w:cs="Arial"/>
          <w:sz w:val="22"/>
          <w:szCs w:val="22"/>
          <w:lang w:val="pt-BR"/>
        </w:rPr>
        <w:t xml:space="preserve"> ou lote ou grupo de itens</w:t>
      </w:r>
      <w:r>
        <w:rPr>
          <w:rFonts w:ascii="Arial" w:hAnsi="Arial" w:cs="Arial"/>
          <w:sz w:val="22"/>
          <w:szCs w:val="22"/>
        </w:rPr>
        <w:t xml:space="preserve">, </w:t>
      </w:r>
      <w:r>
        <w:rPr>
          <w:rFonts w:hint="default" w:ascii="Arial" w:hAnsi="Arial" w:cs="Arial"/>
          <w:sz w:val="22"/>
          <w:szCs w:val="22"/>
          <w:lang w:val="pt-BR"/>
        </w:rPr>
        <w:t xml:space="preserve">valor total do item ou lote ou grupo de itens, valor total da proposta, </w:t>
      </w:r>
      <w:r>
        <w:rPr>
          <w:rFonts w:ascii="Arial" w:hAnsi="Arial" w:cs="Arial"/>
          <w:sz w:val="22"/>
          <w:szCs w:val="22"/>
        </w:rPr>
        <w:t>expresso em reais (R$)</w:t>
      </w:r>
      <w:r>
        <w:rPr>
          <w:rFonts w:hint="default" w:ascii="Arial" w:hAnsi="Arial" w:cs="Arial"/>
          <w:sz w:val="22"/>
          <w:szCs w:val="22"/>
          <w:lang w:val="pt-BR"/>
        </w:rPr>
        <w:t xml:space="preserve"> ou em porcentagem (%), quando aplicável</w:t>
      </w:r>
      <w:r>
        <w:rPr>
          <w:rFonts w:ascii="Arial" w:hAnsi="Arial" w:cs="Arial"/>
          <w:sz w:val="22"/>
          <w:szCs w:val="22"/>
        </w:rPr>
        <w:t>, com 0</w:t>
      </w:r>
      <w:r>
        <w:rPr>
          <w:rFonts w:hint="default" w:ascii="Arial" w:hAnsi="Arial" w:cs="Arial"/>
          <w:sz w:val="22"/>
          <w:szCs w:val="22"/>
          <w:lang w:val="pt-BR"/>
        </w:rPr>
        <w:t>2</w:t>
      </w:r>
      <w:r>
        <w:rPr>
          <w:rFonts w:ascii="Arial" w:hAnsi="Arial" w:cs="Arial"/>
          <w:sz w:val="22"/>
          <w:szCs w:val="22"/>
        </w:rPr>
        <w:t xml:space="preserve"> (</w:t>
      </w:r>
      <w:r>
        <w:rPr>
          <w:rFonts w:hint="default" w:ascii="Arial" w:hAnsi="Arial" w:cs="Arial"/>
          <w:sz w:val="22"/>
          <w:szCs w:val="22"/>
          <w:lang w:val="pt-BR"/>
        </w:rPr>
        <w:t>dois</w:t>
      </w:r>
      <w:r>
        <w:rPr>
          <w:rFonts w:ascii="Arial" w:hAnsi="Arial" w:cs="Arial"/>
          <w:sz w:val="22"/>
          <w:szCs w:val="22"/>
        </w:rPr>
        <w:t>) dígitos após a vírgula, em algarismos arábicos, conforme mencionado acima, marca</w:t>
      </w:r>
      <w:r>
        <w:rPr>
          <w:rFonts w:hint="default" w:ascii="Arial" w:hAnsi="Arial" w:cs="Arial"/>
          <w:sz w:val="22"/>
          <w:szCs w:val="22"/>
          <w:lang w:val="pt-BR"/>
        </w:rPr>
        <w:t xml:space="preserve"> e fabricante </w:t>
      </w:r>
      <w:r>
        <w:rPr>
          <w:rFonts w:ascii="Arial" w:hAnsi="Arial" w:cs="Arial"/>
          <w:sz w:val="22"/>
          <w:szCs w:val="22"/>
        </w:rPr>
        <w:t>do produto</w:t>
      </w:r>
      <w:r>
        <w:rPr>
          <w:rFonts w:hint="default" w:ascii="Arial" w:hAnsi="Arial" w:cs="Arial"/>
          <w:sz w:val="22"/>
          <w:szCs w:val="22"/>
          <w:lang w:val="pt-BR"/>
        </w:rPr>
        <w:t xml:space="preserve"> ou o nome do prestador quando tratar-se de serviço, conforme o caso</w:t>
      </w:r>
      <w:r>
        <w:rPr>
          <w:rFonts w:ascii="Arial" w:hAnsi="Arial" w:cs="Arial"/>
          <w:sz w:val="22"/>
          <w:szCs w:val="22"/>
        </w:rPr>
        <w:t xml:space="preserve">, </w:t>
      </w:r>
      <w:r>
        <w:rPr>
          <w:rFonts w:hint="default" w:ascii="Arial" w:hAnsi="Arial" w:cs="Arial"/>
          <w:sz w:val="22"/>
          <w:szCs w:val="22"/>
          <w:lang w:val="pt-BR"/>
        </w:rPr>
        <w:t xml:space="preserve">sendo </w:t>
      </w:r>
      <w:r>
        <w:rPr>
          <w:rFonts w:ascii="Arial" w:hAnsi="Arial" w:cs="Arial"/>
          <w:sz w:val="22"/>
          <w:szCs w:val="22"/>
        </w:rPr>
        <w:t>assinada na última folha em local específico</w:t>
      </w:r>
      <w:r>
        <w:rPr>
          <w:rFonts w:hint="default" w:ascii="Arial" w:hAnsi="Arial" w:cs="Arial"/>
          <w:sz w:val="22"/>
          <w:szCs w:val="22"/>
          <w:lang w:val="pt-BR"/>
        </w:rPr>
        <w:t xml:space="preserve"> pelo responsável da licitante</w:t>
      </w:r>
      <w:r>
        <w:rPr>
          <w:rFonts w:ascii="Arial" w:hAnsi="Arial" w:cs="Arial"/>
          <w:sz w:val="22"/>
          <w:szCs w:val="22"/>
        </w:rPr>
        <w:t>;</w:t>
      </w:r>
      <w:r>
        <w:rPr>
          <w:rFonts w:ascii="Arial" w:hAnsi="Arial" w:cs="Arial"/>
          <w:b/>
          <w:sz w:val="22"/>
          <w:szCs w:val="22"/>
        </w:rPr>
        <w:t xml:space="preserve"> </w:t>
      </w:r>
      <w:r>
        <w:rPr>
          <w:rFonts w:ascii="Arial" w:hAnsi="Arial" w:cs="Arial"/>
          <w:b w:val="0"/>
          <w:bCs/>
          <w:sz w:val="22"/>
          <w:szCs w:val="22"/>
        </w:rPr>
        <w:t>(Modelo/Anexo II).</w:t>
      </w:r>
    </w:p>
    <w:p w14:paraId="63E1158E">
      <w:pPr>
        <w:widowControl w:val="0"/>
        <w:tabs>
          <w:tab w:val="left" w:pos="1276"/>
        </w:tabs>
        <w:adjustRightInd w:val="0"/>
        <w:spacing w:before="240" w:after="240" w:line="360" w:lineRule="auto"/>
        <w:ind w:firstLine="567"/>
        <w:jc w:val="both"/>
        <w:rPr>
          <w:rFonts w:ascii="Arial" w:hAnsi="Arial" w:cs="Arial"/>
          <w:sz w:val="22"/>
          <w:szCs w:val="22"/>
        </w:rPr>
      </w:pPr>
      <w:r>
        <w:rPr>
          <w:rFonts w:ascii="Arial" w:hAnsi="Arial" w:cs="Arial"/>
          <w:b/>
          <w:sz w:val="22"/>
          <w:szCs w:val="22"/>
        </w:rPr>
        <w:t>8.2.2.</w:t>
      </w:r>
      <w:r>
        <w:rPr>
          <w:rFonts w:ascii="Arial" w:hAnsi="Arial" w:cs="Arial"/>
          <w:sz w:val="22"/>
          <w:szCs w:val="22"/>
        </w:rPr>
        <w:t xml:space="preserve"> </w:t>
      </w:r>
      <w:r>
        <w:rPr>
          <w:rFonts w:hint="default" w:ascii="Arial" w:hAnsi="Arial" w:cs="Arial"/>
          <w:i w:val="0"/>
          <w:iCs w:val="0"/>
          <w:color w:val="auto"/>
          <w:sz w:val="22"/>
          <w:szCs w:val="22"/>
          <w:highlight w:val="none"/>
        </w:rPr>
        <w:t>Todas as especificações do objeto contidas na proposta vinculam o licitante</w:t>
      </w:r>
      <w:r>
        <w:rPr>
          <w:rFonts w:hint="default" w:ascii="Arial" w:hAnsi="Arial" w:cs="Arial"/>
          <w:i w:val="0"/>
          <w:iCs w:val="0"/>
          <w:color w:val="auto"/>
          <w:sz w:val="22"/>
          <w:szCs w:val="22"/>
          <w:highlight w:val="none"/>
          <w:lang w:val="pt-BR"/>
        </w:rPr>
        <w:t>, não sendo possível oferecer proposta em quantitativo inferior ao máximo previsto para contratação, devendo constar nos preços</w:t>
      </w:r>
      <w:r>
        <w:rPr>
          <w:rFonts w:ascii="Arial" w:hAnsi="Arial" w:cs="Arial"/>
          <w:sz w:val="22"/>
          <w:szCs w:val="22"/>
        </w:rPr>
        <w:t xml:space="preserve"> todos os custos necessários para o atendimento do objeto da licitação, bem como todos os impostos, encargos trabalhistas, previdenciários, fiscais, comerciais, taxas, fretes, seguros, deslocamentos de pessoal, garantias e quaisquer outros ônus que incidam ou venham a incidir sobre o objeto licitado e constante da proposta;</w:t>
      </w:r>
    </w:p>
    <w:p w14:paraId="60D1B959">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Em caso de divergência entre os valores unitário e total, serão considerados os primeiros e, entre os expressos em algarismos e por extenso, serão considerados estes últimos;</w:t>
      </w:r>
    </w:p>
    <w:p w14:paraId="00F82BFB">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Quaisquer tributos, despesas e custos, diretos ou indiretos, omitidos da proposta ou incorretamente cotados que não tenham causado a desclassificação da mesma por caracterizar preço inexequível no julgamento das proposta, serão considerados como inclusos nos preços, não sendo considerados pleitos de acréscimos, a esse ou qualquer título, devendo os materiais ser fornecidos sem ônus adicionais;</w:t>
      </w:r>
    </w:p>
    <w:p w14:paraId="5D77F9CF">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O prazo para a </w:t>
      </w:r>
      <w:r>
        <w:rPr>
          <w:rFonts w:hint="default" w:ascii="Arial" w:hAnsi="Arial" w:cs="Arial"/>
          <w:sz w:val="22"/>
          <w:szCs w:val="22"/>
          <w:lang w:val="pt-BR"/>
        </w:rPr>
        <w:t xml:space="preserve">entrega dos produtos ou para a </w:t>
      </w:r>
      <w:r>
        <w:rPr>
          <w:rFonts w:ascii="Arial" w:hAnsi="Arial" w:cs="Arial"/>
          <w:sz w:val="22"/>
          <w:szCs w:val="22"/>
        </w:rPr>
        <w:t>prestação dos serviços deverá ser de acordo com o cronograma estipulado pela Secretaria solicitante;</w:t>
      </w:r>
    </w:p>
    <w:p w14:paraId="28A2ADEC">
      <w:pPr>
        <w:widowControl w:val="0"/>
        <w:numPr>
          <w:ilvl w:val="2"/>
          <w:numId w:val="9"/>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Somente será aceito um preço para cada item;</w:t>
      </w:r>
    </w:p>
    <w:p w14:paraId="670284B9">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Constar prazo de validade das condições propostas não inferior a 60 (sessenta) dias, a contar da data de apresentação da proposta. Não havendo indicação expressa, esse prazo será considerado como tal;</w:t>
      </w:r>
    </w:p>
    <w:p w14:paraId="151D2117">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Indicar a razão social da empresa licitante, número de inscrição no CNPJ do estabelecimento da empresa que efetivamente irá fornecer o objeto da licitação, endereço completo, telefone, endereço eletrônico (e-mail), número da conta corrente bancária e agência respectiva;</w:t>
      </w:r>
    </w:p>
    <w:p w14:paraId="484463F0">
      <w:pPr>
        <w:widowControl w:val="0"/>
        <w:numPr>
          <w:ilvl w:val="2"/>
          <w:numId w:val="9"/>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Número deste </w:t>
      </w:r>
      <w:r>
        <w:rPr>
          <w:rFonts w:hint="default" w:ascii="Arial" w:hAnsi="Arial" w:cs="Arial"/>
          <w:sz w:val="22"/>
          <w:szCs w:val="22"/>
          <w:lang w:val="pt-BR"/>
        </w:rPr>
        <w:t>P</w:t>
      </w:r>
      <w:r>
        <w:rPr>
          <w:rFonts w:ascii="Arial" w:hAnsi="Arial" w:cs="Arial"/>
          <w:sz w:val="22"/>
          <w:szCs w:val="22"/>
        </w:rPr>
        <w:t>regão.</w:t>
      </w:r>
    </w:p>
    <w:p w14:paraId="4950114C">
      <w:pPr>
        <w:pStyle w:val="134"/>
        <w:numPr>
          <w:ilvl w:val="1"/>
          <w:numId w:val="9"/>
        </w:numPr>
        <w:tabs>
          <w:tab w:val="left" w:pos="480"/>
        </w:tabs>
        <w:spacing w:line="360" w:lineRule="auto"/>
        <w:ind w:left="5" w:leftChars="0" w:hanging="5" w:firstLineChars="0"/>
        <w:rPr>
          <w:i w:val="0"/>
          <w:iCs w:val="0"/>
          <w:color w:val="auto"/>
          <w:sz w:val="22"/>
          <w:szCs w:val="22"/>
          <w:highlight w:val="none"/>
        </w:rPr>
      </w:pPr>
      <w:r>
        <w:rPr>
          <w:i w:val="0"/>
          <w:iCs w:val="0"/>
          <w:color w:val="auto"/>
          <w:sz w:val="22"/>
          <w:szCs w:val="22"/>
          <w:highlight w:val="none"/>
        </w:rPr>
        <w:t>Os preços ofertados, tanto na proposta inicial, quanto na etapa de lances, serão de exclusiva responsabilidade do licitante, não lhe assistindo o direito de pleitear qualquer alteração, sob alegação de erro, omissão ou qualquer outro pretexto.</w:t>
      </w:r>
    </w:p>
    <w:p w14:paraId="0BBDED5C">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 Preços será considerada completa, abrangendo todos os custos com a entrega do</w:t>
      </w:r>
      <w:r>
        <w:rPr>
          <w:rFonts w:hint="default" w:ascii="Arial" w:hAnsi="Arial" w:cs="Arial"/>
          <w:sz w:val="22"/>
          <w:szCs w:val="22"/>
          <w:lang w:val="pt-BR"/>
        </w:rPr>
        <w:t xml:space="preserve"> produto ou do</w:t>
      </w:r>
      <w:r>
        <w:rPr>
          <w:rFonts w:ascii="Arial" w:hAnsi="Arial" w:cs="Arial"/>
          <w:sz w:val="22"/>
          <w:szCs w:val="22"/>
        </w:rPr>
        <w:t xml:space="preserve"> serviço licitado, conforme disposto nos itens 8.2.1, 8.2.2 e 8.2.3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1E672E54">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deverá limitar-se ao objeto desta licitação, sendo desconsideradas quaisquer alternativas de preços ou qualquer outra condição não prevista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18D14C24">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Em nenhuma hipótese poderá ser alterada a proposta apresentada, seja quanto ao preço, condições de pagamento, prazos ou outra condição que importe em modificação dos termos originais ofertados.</w:t>
      </w:r>
    </w:p>
    <w:p w14:paraId="31B5B4BD">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Serão desclassificadas as propostas que não atenderem as especificações e exigências do presente </w:t>
      </w:r>
      <w:r>
        <w:rPr>
          <w:rFonts w:hint="default" w:ascii="Arial" w:hAnsi="Arial" w:cs="Arial"/>
          <w:sz w:val="22"/>
          <w:szCs w:val="22"/>
          <w:lang w:val="pt-BR"/>
        </w:rPr>
        <w:t>E</w:t>
      </w:r>
      <w:r>
        <w:rPr>
          <w:rFonts w:ascii="Arial" w:hAnsi="Arial" w:cs="Arial"/>
          <w:sz w:val="22"/>
          <w:szCs w:val="22"/>
        </w:rPr>
        <w:t xml:space="preserve">dital e de seus </w:t>
      </w:r>
      <w:r>
        <w:rPr>
          <w:rFonts w:hint="default" w:ascii="Arial" w:hAnsi="Arial" w:cs="Arial"/>
          <w:sz w:val="22"/>
          <w:szCs w:val="22"/>
          <w:lang w:val="pt-BR"/>
        </w:rPr>
        <w:t>A</w:t>
      </w:r>
      <w:r>
        <w:rPr>
          <w:rFonts w:ascii="Arial" w:hAnsi="Arial" w:cs="Arial"/>
          <w:sz w:val="22"/>
          <w:szCs w:val="22"/>
        </w:rPr>
        <w:t xml:space="preserve">nexos e que apresentem omissões, irregularidades ou defeitos capazes de dificultar o julgamento. </w:t>
      </w:r>
    </w:p>
    <w:p w14:paraId="31DB6F54">
      <w:pPr>
        <w:widowControl w:val="0"/>
        <w:numPr>
          <w:ilvl w:val="1"/>
          <w:numId w:val="9"/>
        </w:numPr>
        <w:tabs>
          <w:tab w:val="left" w:pos="567"/>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Independentemente de declaração expressa, a simples apresentação das propostas implica em submissão a todas as condições estipuladas neste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 sem prejuízo da estrita observância das normas contidas na legislação federal mencionada no preâmbulo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09AFA44F">
      <w:pPr>
        <w:spacing w:before="240" w:after="240" w:line="360" w:lineRule="auto"/>
        <w:jc w:val="both"/>
        <w:rPr>
          <w:rFonts w:ascii="Arial" w:hAnsi="Arial" w:cs="Arial"/>
          <w:sz w:val="22"/>
          <w:szCs w:val="22"/>
        </w:rPr>
      </w:pPr>
      <w:r>
        <w:rPr>
          <w:rFonts w:ascii="Arial" w:hAnsi="Arial" w:cs="Arial"/>
          <w:b/>
          <w:sz w:val="22"/>
          <w:szCs w:val="22"/>
        </w:rPr>
        <w:t>8.</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Pregoeiro considerará como formal</w:t>
      </w:r>
      <w:r>
        <w:rPr>
          <w:rFonts w:hint="default" w:ascii="Arial" w:hAnsi="Arial" w:cs="Arial"/>
          <w:sz w:val="22"/>
          <w:szCs w:val="22"/>
          <w:lang w:val="pt-BR"/>
        </w:rPr>
        <w:t xml:space="preserve"> os</w:t>
      </w:r>
      <w:r>
        <w:rPr>
          <w:rFonts w:ascii="Arial" w:hAnsi="Arial" w:cs="Arial"/>
          <w:sz w:val="22"/>
          <w:szCs w:val="22"/>
        </w:rPr>
        <w:t xml:space="preserve"> erros de somatórios e outros aspectos que beneficiem a Administração Pública e não implique em nulidade do procedimento.</w:t>
      </w:r>
    </w:p>
    <w:p w14:paraId="28D0C12D">
      <w:pPr>
        <w:pStyle w:val="119"/>
        <w:tabs>
          <w:tab w:val="left" w:pos="0"/>
        </w:tabs>
        <w:spacing w:before="240" w:after="240" w:line="360" w:lineRule="auto"/>
        <w:rPr>
          <w:rFonts w:hint="default"/>
          <w:lang w:val="pt-BR"/>
        </w:rPr>
      </w:pPr>
      <w:r>
        <w:rPr>
          <w:b/>
        </w:rPr>
        <w:t>8.1</w:t>
      </w:r>
      <w:r>
        <w:rPr>
          <w:rFonts w:hint="default"/>
          <w:b/>
          <w:lang w:val="pt-BR"/>
        </w:rPr>
        <w:t>0</w:t>
      </w:r>
      <w:r>
        <w:rPr>
          <w:b/>
        </w:rPr>
        <w:t>.</w:t>
      </w:r>
      <w:r>
        <w:t xml:space="preserve"> A proponente deverá manter o valor da proposta registrada por no mínimo 60 (sessenta) dias</w:t>
      </w:r>
      <w:r>
        <w:rPr>
          <w:rFonts w:hint="default"/>
          <w:lang w:val="pt-BR"/>
        </w:rPr>
        <w:t>.</w:t>
      </w:r>
    </w:p>
    <w:p w14:paraId="311E9A9E">
      <w:pPr>
        <w:pStyle w:val="134"/>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8.11. </w:t>
      </w:r>
      <w:r>
        <w:rPr>
          <w:i w:val="0"/>
          <w:iCs w:val="0"/>
          <w:color w:val="auto"/>
          <w:sz w:val="22"/>
          <w:szCs w:val="22"/>
          <w:highlight w:val="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DE020A3">
      <w:pPr>
        <w:pStyle w:val="134"/>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8.12. </w:t>
      </w:r>
      <w:r>
        <w:rPr>
          <w:i w:val="0"/>
          <w:iCs w:val="0"/>
          <w:color w:val="auto"/>
          <w:sz w:val="22"/>
          <w:szCs w:val="22"/>
          <w:highlight w:val="none"/>
        </w:rPr>
        <w:t xml:space="preserve">O descumprimento das regras supramencionadas pela Administração por parte dos contratados pode ensejar a responsabilização pelo </w:t>
      </w:r>
      <w:r>
        <w:rPr>
          <w:rFonts w:hint="default"/>
          <w:i w:val="0"/>
          <w:iCs w:val="0"/>
          <w:color w:val="auto"/>
          <w:sz w:val="22"/>
          <w:szCs w:val="22"/>
          <w:highlight w:val="none"/>
          <w:lang w:val="pt-BR"/>
        </w:rPr>
        <w:t xml:space="preserve">Tribunal de Contas do Estado de Mato Grosso ou pelo </w:t>
      </w:r>
      <w:r>
        <w:rPr>
          <w:i w:val="0"/>
          <w:iCs w:val="0"/>
          <w:color w:val="auto"/>
          <w:sz w:val="22"/>
          <w:szCs w:val="22"/>
          <w:highlight w:val="none"/>
        </w:rPr>
        <w:t>Tribunal de Contas da União e, após o devido processo legal, gerar as seguintes consequências: assinatura de prazo para a adoção das medidas necessárias ao exato cumprimento da lei, nos termos do</w:t>
      </w:r>
      <w:r>
        <w:rPr>
          <w:i w:val="0"/>
          <w:iCs w:val="0"/>
          <w:color w:val="auto"/>
          <w:sz w:val="22"/>
          <w:szCs w:val="22"/>
          <w:highlight w:val="none"/>
          <w:u w:val="none"/>
        </w:rPr>
        <w:t xml:space="preserve">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5"/>
          <w:i w:val="0"/>
          <w:iCs w:val="0"/>
          <w:color w:val="auto"/>
          <w:sz w:val="22"/>
          <w:szCs w:val="22"/>
          <w:highlight w:val="none"/>
          <w:u w:val="none"/>
        </w:rPr>
        <w:t>art. 71, inciso IX, da Constituição</w:t>
      </w:r>
      <w:r>
        <w:rPr>
          <w:rStyle w:val="15"/>
          <w:i w:val="0"/>
          <w:iCs w:val="0"/>
          <w:color w:val="auto"/>
          <w:sz w:val="22"/>
          <w:szCs w:val="22"/>
          <w:highlight w:val="none"/>
          <w:u w:val="none"/>
        </w:rPr>
        <w:fldChar w:fldCharType="end"/>
      </w:r>
      <w:r>
        <w:rPr>
          <w:i w:val="0"/>
          <w:iCs w:val="0"/>
          <w:color w:val="auto"/>
          <w:sz w:val="22"/>
          <w:szCs w:val="22"/>
          <w:highlight w:val="none"/>
        </w:rPr>
        <w:t xml:space="preserve">; ou condenação dos agentes públicos responsáveis e da empresa contratada ao pagamento dos prejuízos ao erário, caso verificada a ocorrência de superfaturamento por sobrepreço na execução </w:t>
      </w:r>
      <w:r>
        <w:rPr>
          <w:rFonts w:ascii="Arial" w:hAnsi="Arial" w:cs="Arial"/>
          <w:color w:val="000000"/>
          <w:sz w:val="22"/>
          <w:szCs w:val="22"/>
        </w:rPr>
        <w:t>d</w:t>
      </w:r>
      <w:r>
        <w:rPr>
          <w:rFonts w:hint="default" w:ascii="Arial" w:hAnsi="Arial" w:cs="Arial"/>
          <w:color w:val="auto"/>
          <w:sz w:val="22"/>
          <w:szCs w:val="22"/>
          <w:lang w:val="pt-BR"/>
        </w:rPr>
        <w:t>o Contrato</w:t>
      </w:r>
      <w:r>
        <w:rPr>
          <w:i w:val="0"/>
          <w:iCs w:val="0"/>
          <w:color w:val="auto"/>
          <w:sz w:val="22"/>
          <w:szCs w:val="22"/>
          <w:highlight w:val="none"/>
        </w:rPr>
        <w:t>.</w:t>
      </w:r>
    </w:p>
    <w:p w14:paraId="5C9037DC">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Chars="0"/>
        <w:rPr>
          <w:rFonts w:cs="Arial"/>
          <w:b/>
          <w:bCs/>
          <w:iCs/>
          <w:sz w:val="22"/>
          <w:szCs w:val="22"/>
        </w:rPr>
      </w:pPr>
      <w:r>
        <w:rPr>
          <w:rFonts w:hint="default" w:cs="Arial"/>
          <w:b/>
          <w:bCs/>
          <w:iCs/>
          <w:color w:val="auto"/>
          <w:sz w:val="22"/>
          <w:szCs w:val="22"/>
          <w:lang w:val="pt-BR"/>
        </w:rPr>
        <w:t xml:space="preserve">9. </w:t>
      </w:r>
      <w:r>
        <w:rPr>
          <w:rFonts w:cs="Arial"/>
          <w:b/>
          <w:bCs/>
          <w:iCs/>
          <w:color w:val="auto"/>
          <w:sz w:val="22"/>
          <w:szCs w:val="22"/>
        </w:rPr>
        <w:t>D</w:t>
      </w:r>
      <w:r>
        <w:rPr>
          <w:rFonts w:hint="default" w:cs="Arial"/>
          <w:b/>
          <w:bCs/>
          <w:iCs/>
          <w:color w:val="auto"/>
          <w:sz w:val="22"/>
          <w:szCs w:val="22"/>
          <w:lang w:val="pt-BR"/>
        </w:rPr>
        <w:t>OS DOCUMENTOS DE</w:t>
      </w:r>
      <w:r>
        <w:rPr>
          <w:rFonts w:cs="Arial"/>
          <w:b/>
          <w:bCs/>
          <w:iCs/>
          <w:color w:val="auto"/>
          <w:sz w:val="22"/>
          <w:szCs w:val="22"/>
        </w:rPr>
        <w:t xml:space="preserve"> HABILITAÇÃO</w:t>
      </w:r>
    </w:p>
    <w:p w14:paraId="2CFBCB83">
      <w:pPr>
        <w:spacing w:before="240" w:after="240" w:line="360" w:lineRule="auto"/>
        <w:jc w:val="both"/>
        <w:rPr>
          <w:rFonts w:ascii="Arial" w:hAnsi="Arial" w:cs="Arial"/>
          <w:sz w:val="22"/>
          <w:szCs w:val="22"/>
        </w:rPr>
      </w:pPr>
      <w:r>
        <w:rPr>
          <w:rFonts w:ascii="Arial" w:hAnsi="Arial" w:cs="Arial"/>
          <w:b/>
          <w:sz w:val="22"/>
          <w:szCs w:val="22"/>
        </w:rPr>
        <w:t>9.1.</w:t>
      </w:r>
      <w:r>
        <w:rPr>
          <w:rFonts w:ascii="Arial" w:hAnsi="Arial" w:cs="Arial"/>
          <w:sz w:val="22"/>
          <w:szCs w:val="22"/>
        </w:rPr>
        <w:t xml:space="preserve"> </w:t>
      </w:r>
      <w:r>
        <w:rPr>
          <w:rFonts w:hint="default" w:ascii="Arial" w:hAnsi="Arial" w:cs="Arial"/>
          <w:sz w:val="22"/>
          <w:szCs w:val="22"/>
          <w:lang w:val="pt-BR"/>
        </w:rPr>
        <w:t xml:space="preserve">Mediante solicitação do Pregoeiro </w:t>
      </w:r>
      <w:r>
        <w:rPr>
          <w:rFonts w:ascii="Arial" w:hAnsi="Arial" w:cs="Arial"/>
          <w:sz w:val="22"/>
          <w:szCs w:val="22"/>
        </w:rPr>
        <w:t xml:space="preserve">a empresa vencedora deverá apresentar </w:t>
      </w:r>
      <w:r>
        <w:rPr>
          <w:rFonts w:hint="default" w:ascii="Arial" w:hAnsi="Arial" w:cs="Arial"/>
          <w:sz w:val="22"/>
          <w:szCs w:val="22"/>
          <w:lang w:val="pt-BR"/>
        </w:rPr>
        <w:t xml:space="preserve">os Documentos de Habilitação, </w:t>
      </w:r>
      <w:r>
        <w:rPr>
          <w:rFonts w:ascii="Arial" w:hAnsi="Arial" w:cs="Arial"/>
          <w:sz w:val="22"/>
          <w:szCs w:val="22"/>
        </w:rPr>
        <w:t xml:space="preserve">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5"/>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hint="default" w:ascii="Arial" w:hAnsi="Arial" w:cs="Arial"/>
          <w:bCs/>
          <w:iCs/>
          <w:snapToGrid w:val="0"/>
          <w:sz w:val="22"/>
          <w:szCs w:val="22"/>
          <w:lang w:val="pt-BR"/>
        </w:rPr>
        <w:t>,</w:t>
      </w:r>
      <w:r>
        <w:rPr>
          <w:rFonts w:ascii="Arial" w:hAnsi="Arial" w:cs="Arial"/>
          <w:sz w:val="22"/>
          <w:szCs w:val="22"/>
        </w:rPr>
        <w:t xml:space="preserve"> </w:t>
      </w:r>
      <w:r>
        <w:rPr>
          <w:rFonts w:hint="default" w:ascii="Arial" w:hAnsi="Arial" w:cs="Arial"/>
          <w:sz w:val="22"/>
          <w:szCs w:val="22"/>
          <w:lang w:val="pt-BR"/>
        </w:rPr>
        <w:t xml:space="preserve">nos termos dispostos </w:t>
      </w:r>
      <w:r>
        <w:rPr>
          <w:rFonts w:hint="default" w:ascii="Arial" w:hAnsi="Arial" w:cs="Arial"/>
          <w:color w:val="auto"/>
          <w:sz w:val="22"/>
          <w:szCs w:val="22"/>
          <w:u w:val="none"/>
        </w:rPr>
        <w:t xml:space="preserve">nos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"art62" </w:instrText>
      </w:r>
      <w:r>
        <w:rPr>
          <w:rFonts w:hint="default" w:ascii="Arial" w:hAnsi="Arial" w:cs="Arial"/>
          <w:color w:val="auto"/>
          <w:sz w:val="22"/>
          <w:szCs w:val="22"/>
          <w:u w:val="none"/>
        </w:rPr>
        <w:fldChar w:fldCharType="separate"/>
      </w:r>
      <w:r>
        <w:rPr>
          <w:rStyle w:val="15"/>
          <w:rFonts w:hint="default" w:ascii="Arial" w:hAnsi="Arial" w:cs="Arial"/>
          <w:color w:val="auto"/>
          <w:sz w:val="22"/>
          <w:szCs w:val="22"/>
          <w:u w:val="none"/>
        </w:rPr>
        <w:t xml:space="preserve">arts. 62 a 70 da Lei </w:t>
      </w:r>
      <w:r>
        <w:rPr>
          <w:rStyle w:val="15"/>
          <w:rFonts w:hint="default" w:ascii="Arial" w:hAnsi="Arial" w:cs="Arial"/>
          <w:color w:val="auto"/>
          <w:sz w:val="22"/>
          <w:szCs w:val="22"/>
          <w:u w:val="none"/>
          <w:lang w:val="pt-BR"/>
        </w:rPr>
        <w:t xml:space="preserve">Federal </w:t>
      </w:r>
      <w:r>
        <w:rPr>
          <w:rStyle w:val="15"/>
          <w:rFonts w:hint="default" w:ascii="Arial" w:hAnsi="Arial" w:cs="Arial"/>
          <w:color w:val="auto"/>
          <w:sz w:val="22"/>
          <w:szCs w:val="22"/>
          <w:u w:val="none"/>
        </w:rPr>
        <w:t>nº 14.133</w:t>
      </w:r>
      <w:r>
        <w:rPr>
          <w:rStyle w:val="15"/>
          <w:rFonts w:hint="default" w:ascii="Arial" w:hAnsi="Arial" w:cs="Arial"/>
          <w:color w:val="auto"/>
          <w:sz w:val="22"/>
          <w:szCs w:val="22"/>
          <w:u w:val="none"/>
          <w:lang w:val="pt-BR"/>
        </w:rPr>
        <w:t>/</w:t>
      </w:r>
      <w:r>
        <w:rPr>
          <w:rStyle w:val="15"/>
          <w:rFonts w:hint="default" w:ascii="Arial" w:hAnsi="Arial" w:cs="Arial"/>
          <w:color w:val="auto"/>
          <w:sz w:val="22"/>
          <w:szCs w:val="22"/>
          <w:u w:val="none"/>
        </w:rPr>
        <w:t>2021</w:t>
      </w:r>
      <w:r>
        <w:rPr>
          <w:rStyle w:val="15"/>
          <w:rFonts w:hint="default" w:ascii="Arial" w:hAnsi="Arial" w:cs="Arial"/>
          <w:color w:val="auto"/>
          <w:sz w:val="22"/>
          <w:szCs w:val="22"/>
          <w:u w:val="none"/>
        </w:rPr>
        <w:fldChar w:fldCharType="end"/>
      </w:r>
      <w:r>
        <w:rPr>
          <w:rStyle w:val="15"/>
          <w:rFonts w:hint="default" w:ascii="Arial" w:hAnsi="Arial" w:cs="Arial"/>
          <w:color w:val="auto"/>
          <w:sz w:val="22"/>
          <w:szCs w:val="22"/>
          <w:u w:val="none"/>
          <w:lang w:val="pt-BR"/>
        </w:rPr>
        <w:t>, conforme documentos listados a partir do item 9.2.</w:t>
      </w:r>
    </w:p>
    <w:p w14:paraId="5960CEB5">
      <w:pPr>
        <w:widowControl w:val="0"/>
        <w:tabs>
          <w:tab w:val="left" w:pos="1985"/>
        </w:tabs>
        <w:spacing w:before="240" w:after="240" w:line="360" w:lineRule="auto"/>
        <w:ind w:firstLine="425"/>
        <w:jc w:val="both"/>
      </w:pPr>
      <w:r>
        <w:rPr>
          <w:rFonts w:ascii="Arial" w:hAnsi="Arial" w:cs="Arial"/>
          <w:b/>
          <w:sz w:val="22"/>
          <w:szCs w:val="22"/>
        </w:rPr>
        <w:t>9.1.1.</w:t>
      </w:r>
      <w:r>
        <w:rPr>
          <w:rFonts w:ascii="Arial" w:hAnsi="Arial" w:cs="Arial"/>
          <w:sz w:val="22"/>
          <w:szCs w:val="22"/>
        </w:rPr>
        <w:t xml:space="preserve"> Não serão aceitos protocolos, documentos em cópia não autenticada</w:t>
      </w:r>
      <w:r>
        <w:rPr>
          <w:rFonts w:hint="default" w:ascii="Arial" w:hAnsi="Arial" w:cs="Arial"/>
          <w:sz w:val="22"/>
          <w:szCs w:val="22"/>
          <w:lang w:val="pt-BR"/>
        </w:rPr>
        <w:t xml:space="preserve"> (aceita-se certificação digital)</w:t>
      </w:r>
      <w:r>
        <w:rPr>
          <w:rFonts w:ascii="Arial" w:hAnsi="Arial" w:cs="Arial"/>
          <w:sz w:val="22"/>
          <w:szCs w:val="22"/>
        </w:rPr>
        <w:t>, nem documentos com prazo de validade vencido.</w:t>
      </w:r>
      <w:r>
        <w:t xml:space="preserve"> </w:t>
      </w:r>
    </w:p>
    <w:p w14:paraId="6CCE575B">
      <w:pPr>
        <w:pStyle w:val="22"/>
        <w:spacing w:before="240" w:after="240" w:line="360" w:lineRule="auto"/>
        <w:ind w:left="0" w:leftChars="0" w:firstLine="481" w:firstLineChars="218"/>
        <w:rPr>
          <w:sz w:val="22"/>
          <w:szCs w:val="22"/>
        </w:rPr>
      </w:pPr>
      <w:r>
        <w:rPr>
          <w:b/>
          <w:sz w:val="22"/>
          <w:szCs w:val="22"/>
        </w:rPr>
        <w:t>9.1.</w:t>
      </w:r>
      <w:r>
        <w:rPr>
          <w:rFonts w:hint="default"/>
          <w:b/>
          <w:sz w:val="22"/>
          <w:szCs w:val="22"/>
          <w:lang w:val="pt-BR"/>
        </w:rPr>
        <w:t>2</w:t>
      </w:r>
      <w:r>
        <w:rPr>
          <w:b/>
          <w:sz w:val="22"/>
          <w:szCs w:val="22"/>
        </w:rPr>
        <w:t>.</w:t>
      </w:r>
      <w:r>
        <w:rPr>
          <w:sz w:val="22"/>
          <w:szCs w:val="22"/>
        </w:rPr>
        <w:t xml:space="preserve"> Todos os documentos exigidos para habilitação deverão estar no prazo de validade. Caso o órgão emissor não declare a validade do documento, esta será de </w:t>
      </w:r>
      <w:r>
        <w:rPr>
          <w:b w:val="0"/>
          <w:bCs/>
          <w:sz w:val="22"/>
          <w:szCs w:val="22"/>
        </w:rPr>
        <w:t>90 (noventa) dias</w:t>
      </w:r>
      <w:r>
        <w:rPr>
          <w:sz w:val="22"/>
          <w:szCs w:val="22"/>
        </w:rPr>
        <w:t xml:space="preserve"> contados a partir da data de emissão.</w:t>
      </w:r>
    </w:p>
    <w:p w14:paraId="1A21F966">
      <w:pPr>
        <w:pStyle w:val="134"/>
        <w:numPr>
          <w:ilvl w:val="0"/>
          <w:numId w:val="0"/>
        </w:numPr>
        <w:spacing w:line="360" w:lineRule="auto"/>
        <w:ind w:left="0" w:leftChars="0" w:firstLine="481" w:firstLineChars="218"/>
        <w:rPr>
          <w:i/>
          <w:sz w:val="22"/>
          <w:szCs w:val="22"/>
        </w:rPr>
      </w:pPr>
      <w:r>
        <w:rPr>
          <w:rFonts w:hint="default"/>
          <w:b/>
          <w:bCs/>
          <w:sz w:val="22"/>
          <w:szCs w:val="22"/>
          <w:lang w:val="pt-BR"/>
        </w:rPr>
        <w:t>9.1.3.</w:t>
      </w:r>
      <w:r>
        <w:rPr>
          <w:rFonts w:hint="default"/>
          <w:sz w:val="22"/>
          <w:szCs w:val="22"/>
          <w:lang w:val="pt-BR"/>
        </w:rPr>
        <w:t xml:space="preserve"> </w:t>
      </w:r>
      <w:r>
        <w:rPr>
          <w:sz w:val="22"/>
          <w:szCs w:val="22"/>
        </w:rPr>
        <w:t xml:space="preserve">Após a entrega dos documentos para habilitação, não será permitida a substituição ou a apresentação de novos documentos, salvo em sede de diligência, para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"http://www.planalto.gov.br/ccivil_03/_ato2019-2022/2021/lei/L14133.htm" \l "art64" \h </w:instrText>
      </w:r>
      <w:r>
        <w:rPr>
          <w:color w:val="auto"/>
          <w:sz w:val="22"/>
          <w:szCs w:val="22"/>
          <w:u w:val="none"/>
        </w:rPr>
        <w:fldChar w:fldCharType="separate"/>
      </w:r>
      <w:r>
        <w:rPr>
          <w:rStyle w:val="15"/>
          <w:color w:val="auto"/>
          <w:sz w:val="22"/>
          <w:szCs w:val="22"/>
          <w:u w:val="none"/>
        </w:rPr>
        <w:t xml:space="preserve">Lei </w:t>
      </w:r>
      <w:r>
        <w:rPr>
          <w:rStyle w:val="15"/>
          <w:rFonts w:hint="default"/>
          <w:color w:val="auto"/>
          <w:sz w:val="22"/>
          <w:szCs w:val="22"/>
          <w:u w:val="none"/>
          <w:lang w:val="pt-BR"/>
        </w:rPr>
        <w:t xml:space="preserve">Federal nº </w:t>
      </w:r>
      <w:r>
        <w:rPr>
          <w:rStyle w:val="15"/>
          <w:color w:val="auto"/>
          <w:sz w:val="22"/>
          <w:szCs w:val="22"/>
          <w:u w:val="none"/>
        </w:rPr>
        <w:t>14.133/2</w:t>
      </w:r>
      <w:r>
        <w:rPr>
          <w:rStyle w:val="15"/>
          <w:rFonts w:hint="default"/>
          <w:color w:val="auto"/>
          <w:sz w:val="22"/>
          <w:szCs w:val="22"/>
          <w:u w:val="none"/>
          <w:lang w:val="pt-BR"/>
        </w:rPr>
        <w:t>02</w:t>
      </w:r>
      <w:r>
        <w:rPr>
          <w:rStyle w:val="15"/>
          <w:color w:val="auto"/>
          <w:sz w:val="22"/>
          <w:szCs w:val="22"/>
          <w:u w:val="none"/>
        </w:rPr>
        <w:t>1, art. 64</w:t>
      </w:r>
      <w:r>
        <w:rPr>
          <w:rStyle w:val="15"/>
          <w:color w:val="auto"/>
          <w:sz w:val="22"/>
          <w:szCs w:val="22"/>
          <w:u w:val="none"/>
        </w:rPr>
        <w:fldChar w:fldCharType="end"/>
      </w:r>
      <w:r>
        <w:rPr>
          <w:color w:val="auto"/>
          <w:sz w:val="22"/>
          <w:szCs w:val="22"/>
          <w:u w:val="none"/>
        </w:rPr>
        <w:t>):</w:t>
      </w:r>
    </w:p>
    <w:p w14:paraId="1CBA77C1">
      <w:pPr>
        <w:pStyle w:val="137"/>
        <w:numPr>
          <w:ilvl w:val="0"/>
          <w:numId w:val="0"/>
        </w:numPr>
        <w:spacing w:line="360" w:lineRule="auto"/>
        <w:ind w:left="0" w:leftChars="0" w:firstLine="722" w:firstLineChars="327"/>
        <w:rPr>
          <w:sz w:val="22"/>
          <w:szCs w:val="22"/>
        </w:rPr>
      </w:pPr>
      <w:r>
        <w:rPr>
          <w:rFonts w:hint="default"/>
          <w:b/>
          <w:bCs/>
          <w:sz w:val="22"/>
          <w:szCs w:val="22"/>
          <w:lang w:val="pt-BR"/>
        </w:rPr>
        <w:t xml:space="preserve">9.1.3.1. </w:t>
      </w:r>
      <w:r>
        <w:rPr>
          <w:rFonts w:hint="default"/>
          <w:sz w:val="22"/>
          <w:szCs w:val="22"/>
          <w:lang w:val="pt-BR"/>
        </w:rPr>
        <w:t>C</w:t>
      </w:r>
      <w:r>
        <w:rPr>
          <w:sz w:val="22"/>
          <w:szCs w:val="22"/>
        </w:rPr>
        <w:t>omplementação de informações acerca dos documentos já apresentados pelos licitantes e desde que necessária para apurar fatos existentes à época da abertura do certame; e</w:t>
      </w:r>
    </w:p>
    <w:p w14:paraId="1446C58F">
      <w:pPr>
        <w:pStyle w:val="137"/>
        <w:numPr>
          <w:ilvl w:val="0"/>
          <w:numId w:val="0"/>
        </w:numPr>
        <w:spacing w:line="360" w:lineRule="auto"/>
        <w:ind w:left="0" w:leftChars="0" w:firstLine="722" w:firstLineChars="327"/>
        <w:rPr>
          <w:rFonts w:hint="default"/>
          <w:sz w:val="22"/>
          <w:szCs w:val="22"/>
          <w:lang w:val="pt-BR"/>
        </w:rPr>
      </w:pPr>
      <w:r>
        <w:rPr>
          <w:rFonts w:hint="default"/>
          <w:b/>
          <w:bCs/>
          <w:sz w:val="22"/>
          <w:szCs w:val="22"/>
          <w:lang w:val="pt-BR"/>
        </w:rPr>
        <w:t xml:space="preserve">9.1.3.2. </w:t>
      </w:r>
      <w:r>
        <w:rPr>
          <w:rFonts w:hint="default"/>
          <w:sz w:val="22"/>
          <w:szCs w:val="22"/>
          <w:lang w:val="pt-BR"/>
        </w:rPr>
        <w:t>A</w:t>
      </w:r>
      <w:r>
        <w:rPr>
          <w:sz w:val="22"/>
          <w:szCs w:val="22"/>
        </w:rPr>
        <w:t>tualização de documentos cuja validade tenha expirado após a data de recebimento das propostas</w:t>
      </w:r>
      <w:r>
        <w:rPr>
          <w:rFonts w:hint="default"/>
          <w:sz w:val="22"/>
          <w:szCs w:val="22"/>
          <w:lang w:val="pt-BR"/>
        </w:rPr>
        <w:t>.</w:t>
      </w:r>
    </w:p>
    <w:p w14:paraId="248FC6DC">
      <w:pPr>
        <w:pStyle w:val="134"/>
        <w:numPr>
          <w:ilvl w:val="0"/>
          <w:numId w:val="0"/>
        </w:numPr>
        <w:spacing w:line="360" w:lineRule="auto"/>
        <w:ind w:left="0" w:leftChars="0" w:firstLine="481" w:firstLineChars="218"/>
        <w:rPr>
          <w:sz w:val="22"/>
          <w:szCs w:val="22"/>
        </w:rPr>
      </w:pPr>
      <w:bookmarkStart w:id="31" w:name="_Ref114670319"/>
      <w:r>
        <w:rPr>
          <w:rFonts w:hint="default"/>
          <w:b/>
          <w:bCs/>
          <w:sz w:val="22"/>
          <w:szCs w:val="22"/>
          <w:lang w:val="pt-BR"/>
        </w:rPr>
        <w:t>9.1.4.</w:t>
      </w:r>
      <w:r>
        <w:rPr>
          <w:rFonts w:hint="default"/>
          <w:sz w:val="22"/>
          <w:szCs w:val="22"/>
          <w:lang w:val="pt-BR"/>
        </w:rPr>
        <w:t xml:space="preserve"> </w:t>
      </w:r>
      <w:r>
        <w:rPr>
          <w:sz w:val="22"/>
          <w:szCs w:val="22"/>
        </w:rPr>
        <w:t xml:space="preserve">Na análise dos documentos de habilitação, </w:t>
      </w:r>
      <w:r>
        <w:rPr>
          <w:rFonts w:hint="default"/>
          <w:sz w:val="22"/>
          <w:szCs w:val="22"/>
          <w:lang w:val="pt-BR"/>
        </w:rPr>
        <w:t>o Pregoeiro</w:t>
      </w:r>
      <w:r>
        <w:rPr>
          <w:sz w:val="22"/>
          <w:szCs w:val="22"/>
        </w:rPr>
        <w:t xml:space="preserve"> poderá sanar erros ou falhas</w:t>
      </w:r>
      <w:r>
        <w:rPr>
          <w:rFonts w:hint="default"/>
          <w:sz w:val="22"/>
          <w:szCs w:val="22"/>
          <w:lang w:val="pt-BR"/>
        </w:rPr>
        <w:t xml:space="preserve"> </w:t>
      </w:r>
      <w:r>
        <w:rPr>
          <w:sz w:val="22"/>
          <w:szCs w:val="22"/>
        </w:rPr>
        <w:t>que não alterem a substância dos documentos e sua validade jurídica, mediante decisão fundamentada, registrada em ata e acessível a todos, atribuindo-lhes eﬁcácia para fins de habilitação e classificação.</w:t>
      </w:r>
      <w:bookmarkEnd w:id="31"/>
    </w:p>
    <w:p w14:paraId="7BE5D2A8">
      <w:pPr>
        <w:pStyle w:val="134"/>
        <w:numPr>
          <w:ilvl w:val="0"/>
          <w:numId w:val="0"/>
        </w:numPr>
        <w:spacing w:line="360" w:lineRule="auto"/>
        <w:ind w:left="0" w:leftChars="0" w:firstLine="481" w:firstLineChars="218"/>
        <w:rPr>
          <w:rFonts w:hint="default"/>
          <w:sz w:val="22"/>
          <w:szCs w:val="22"/>
          <w:lang w:val="pt-BR"/>
        </w:rPr>
      </w:pPr>
      <w:bookmarkStart w:id="32" w:name="_Ref114665528"/>
      <w:r>
        <w:rPr>
          <w:rFonts w:hint="default"/>
          <w:b/>
          <w:bCs/>
          <w:sz w:val="22"/>
          <w:szCs w:val="22"/>
          <w:lang w:val="pt-BR"/>
        </w:rPr>
        <w:t>9.1.5.</w:t>
      </w:r>
      <w:r>
        <w:rPr>
          <w:rFonts w:hint="default"/>
          <w:sz w:val="22"/>
          <w:szCs w:val="22"/>
          <w:lang w:val="pt-BR"/>
        </w:rPr>
        <w:t xml:space="preserve"> </w:t>
      </w:r>
      <w:r>
        <w:rPr>
          <w:sz w:val="22"/>
          <w:szCs w:val="22"/>
        </w:rPr>
        <w:t xml:space="preserve">Na hipótese de o licitante não atender às exigências para habilitação, o </w:t>
      </w:r>
      <w:r>
        <w:rPr>
          <w:rFonts w:hint="default"/>
          <w:sz w:val="22"/>
          <w:szCs w:val="22"/>
          <w:lang w:val="pt-BR"/>
        </w:rPr>
        <w:t>P</w:t>
      </w:r>
      <w:r>
        <w:rPr>
          <w:sz w:val="22"/>
          <w:szCs w:val="22"/>
        </w:rPr>
        <w:t xml:space="preserve">regoeiro examinará a proposta subsequente e assim sucessivamente, na ordem de classificação, até a apuração de uma proposta que atenda ao presente </w:t>
      </w:r>
      <w:r>
        <w:rPr>
          <w:rFonts w:hint="default"/>
          <w:sz w:val="22"/>
          <w:szCs w:val="22"/>
          <w:lang w:val="pt-BR"/>
        </w:rPr>
        <w:t>E</w:t>
      </w:r>
      <w:r>
        <w:rPr>
          <w:sz w:val="22"/>
          <w:szCs w:val="22"/>
        </w:rPr>
        <w:t>dital</w:t>
      </w:r>
      <w:bookmarkEnd w:id="32"/>
      <w:r>
        <w:rPr>
          <w:rFonts w:hint="default"/>
          <w:sz w:val="22"/>
          <w:szCs w:val="22"/>
          <w:lang w:val="pt-BR"/>
        </w:rPr>
        <w:t>.</w:t>
      </w:r>
    </w:p>
    <w:p w14:paraId="1600287D">
      <w:pPr>
        <w:pStyle w:val="134"/>
        <w:numPr>
          <w:ilvl w:val="0"/>
          <w:numId w:val="0"/>
        </w:numPr>
        <w:spacing w:line="360" w:lineRule="auto"/>
        <w:ind w:left="0" w:leftChars="0" w:firstLine="481" w:firstLineChars="218"/>
        <w:rPr>
          <w:sz w:val="22"/>
          <w:szCs w:val="22"/>
        </w:rPr>
      </w:pPr>
      <w:bookmarkStart w:id="33" w:name="_Ref114665515"/>
      <w:r>
        <w:rPr>
          <w:rFonts w:hint="default"/>
          <w:b/>
          <w:bCs/>
          <w:sz w:val="22"/>
          <w:szCs w:val="22"/>
          <w:lang w:val="pt-BR"/>
        </w:rPr>
        <w:t>9.1.6.</w:t>
      </w:r>
      <w:r>
        <w:rPr>
          <w:rFonts w:hint="default"/>
          <w:sz w:val="22"/>
          <w:szCs w:val="22"/>
          <w:lang w:val="pt-BR"/>
        </w:rPr>
        <w:t xml:space="preserve"> </w:t>
      </w:r>
      <w:r>
        <w:rPr>
          <w:sz w:val="22"/>
          <w:szCs w:val="22"/>
        </w:rPr>
        <w:t xml:space="preserve">Somente serão disponibilizados para acesso público os documentos de habilitação do licitante cuja proposta atenda ao </w:t>
      </w:r>
      <w:r>
        <w:rPr>
          <w:rFonts w:hint="default"/>
          <w:sz w:val="22"/>
          <w:szCs w:val="22"/>
          <w:lang w:val="pt-BR"/>
        </w:rPr>
        <w:t>E</w:t>
      </w:r>
      <w:r>
        <w:rPr>
          <w:sz w:val="22"/>
          <w:szCs w:val="22"/>
        </w:rPr>
        <w:t xml:space="preserve">dital de </w:t>
      </w:r>
      <w:r>
        <w:rPr>
          <w:rFonts w:hint="default"/>
          <w:sz w:val="22"/>
          <w:szCs w:val="22"/>
          <w:lang w:val="pt-BR"/>
        </w:rPr>
        <w:t>l</w:t>
      </w:r>
      <w:r>
        <w:rPr>
          <w:sz w:val="22"/>
          <w:szCs w:val="22"/>
        </w:rPr>
        <w:t>icitação, após concluídos os procedimentos de que trata o subitem anterior</w:t>
      </w:r>
      <w:bookmarkEnd w:id="33"/>
      <w:r>
        <w:rPr>
          <w:sz w:val="22"/>
          <w:szCs w:val="22"/>
        </w:rPr>
        <w:t>.</w:t>
      </w:r>
    </w:p>
    <w:p w14:paraId="797BE3A8">
      <w:pPr>
        <w:pStyle w:val="128"/>
        <w:widowControl w:val="0"/>
        <w:spacing w:line="360" w:lineRule="auto"/>
        <w:ind w:left="0" w:leftChars="0" w:firstLine="481" w:firstLineChars="218"/>
        <w:jc w:val="both"/>
        <w:rPr>
          <w:rFonts w:hint="default" w:ascii="Arial" w:hAnsi="Arial" w:cs="Arial"/>
          <w:sz w:val="22"/>
          <w:szCs w:val="22"/>
        </w:rPr>
      </w:pPr>
      <w:r>
        <w:rPr>
          <w:rFonts w:hint="default" w:ascii="Arial" w:hAnsi="Arial" w:cs="Arial"/>
          <w:b/>
          <w:sz w:val="22"/>
          <w:szCs w:val="22"/>
        </w:rPr>
        <w:t>9.1</w:t>
      </w:r>
      <w:r>
        <w:rPr>
          <w:rFonts w:hint="default" w:ascii="Arial" w:hAnsi="Arial" w:cs="Arial"/>
          <w:b/>
          <w:sz w:val="22"/>
          <w:szCs w:val="22"/>
          <w:lang w:val="pt-BR"/>
        </w:rPr>
        <w:t>.7.</w:t>
      </w:r>
      <w:r>
        <w:rPr>
          <w:rFonts w:hint="default" w:ascii="Arial" w:hAnsi="Arial" w:cs="Arial"/>
          <w:sz w:val="22"/>
          <w:szCs w:val="22"/>
        </w:rPr>
        <w:t xml:space="preserve"> 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2696C12F">
      <w:pPr>
        <w:widowControl w:val="0"/>
        <w:tabs>
          <w:tab w:val="left" w:pos="1985"/>
        </w:tabs>
        <w:spacing w:before="240" w:after="240" w:line="360" w:lineRule="auto"/>
        <w:jc w:val="both"/>
        <w:rPr>
          <w:rFonts w:hint="default" w:ascii="Arial" w:hAnsi="Arial" w:cs="Arial"/>
          <w:b/>
          <w:sz w:val="22"/>
          <w:szCs w:val="22"/>
          <w:lang w:val="pt-BR"/>
        </w:rPr>
      </w:pPr>
      <w:r>
        <w:rPr>
          <w:rFonts w:ascii="Arial" w:hAnsi="Arial" w:cs="Arial"/>
          <w:b/>
          <w:sz w:val="22"/>
          <w:szCs w:val="22"/>
        </w:rPr>
        <w:t>9.2. Habilitação jurídica</w:t>
      </w:r>
      <w:r>
        <w:rPr>
          <w:rFonts w:hint="default" w:ascii="Arial" w:hAnsi="Arial" w:cs="Arial"/>
          <w:b/>
          <w:sz w:val="22"/>
          <w:szCs w:val="22"/>
          <w:lang w:val="pt-BR"/>
        </w:rPr>
        <w:t>:</w:t>
      </w:r>
    </w:p>
    <w:p w14:paraId="6D66ECC1">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9.2.1.</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Empresário individual: inscrição no Registro Público de Empresas Mercantis, a cargo da Junta Comercial da respectiva sede; </w:t>
      </w:r>
    </w:p>
    <w:p w14:paraId="17B39F61">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9.2.2.</w:t>
      </w:r>
      <w:r>
        <w:rPr>
          <w:rFonts w:hint="default" w:ascii="Arial" w:hAnsi="Arial" w:eastAsia="Arial" w:cs="Arial"/>
          <w:bCs/>
          <w:sz w:val="22"/>
          <w:szCs w:val="22"/>
        </w:rPr>
        <w:t xml:space="preserve"> Microempreendedor Individual - MEI: Certificado da Condição de Microempreendedor Individual - CCMEI, cuja aceitação ficará condicionada à verificação da autenticidade no sítio </w:t>
      </w:r>
      <w:r>
        <w:rPr>
          <w:rFonts w:hint="default" w:ascii="Arial" w:hAnsi="Arial" w:cs="Arial"/>
          <w:sz w:val="22"/>
          <w:szCs w:val="22"/>
        </w:rPr>
        <w:fldChar w:fldCharType="begin"/>
      </w:r>
      <w:r>
        <w:rPr>
          <w:rFonts w:hint="default" w:ascii="Arial" w:hAnsi="Arial" w:cs="Arial"/>
          <w:sz w:val="22"/>
          <w:szCs w:val="22"/>
        </w:rPr>
        <w:instrText xml:space="preserve"> HYPERLINK "https://www.gov.br/empresas-e-negocios/pt-br/empreendedor" \h </w:instrText>
      </w:r>
      <w:r>
        <w:rPr>
          <w:rFonts w:hint="default" w:ascii="Arial" w:hAnsi="Arial" w:cs="Arial"/>
          <w:sz w:val="22"/>
          <w:szCs w:val="22"/>
        </w:rPr>
        <w:fldChar w:fldCharType="separate"/>
      </w:r>
      <w:r>
        <w:rPr>
          <w:rFonts w:hint="default" w:ascii="Arial" w:hAnsi="Arial" w:eastAsia="Arial" w:cs="Arial"/>
          <w:bCs/>
          <w:sz w:val="22"/>
          <w:szCs w:val="22"/>
        </w:rPr>
        <w:t>https://www.gov.br/empresas-e-negocios/pt-br/empreendedor</w:t>
      </w:r>
      <w:r>
        <w:rPr>
          <w:rFonts w:hint="default" w:ascii="Arial" w:hAnsi="Arial" w:eastAsia="Arial" w:cs="Arial"/>
          <w:bCs/>
          <w:sz w:val="22"/>
          <w:szCs w:val="22"/>
        </w:rPr>
        <w:fldChar w:fldCharType="end"/>
      </w:r>
      <w:r>
        <w:rPr>
          <w:rFonts w:hint="default" w:ascii="Arial" w:hAnsi="Arial" w:eastAsia="Arial" w:cs="Arial"/>
          <w:bCs/>
          <w:sz w:val="22"/>
          <w:szCs w:val="22"/>
        </w:rPr>
        <w:t>;</w:t>
      </w:r>
    </w:p>
    <w:p w14:paraId="5B95DB2E">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9.2.3.</w:t>
      </w:r>
      <w:r>
        <w:rPr>
          <w:rFonts w:hint="default" w:ascii="Arial" w:hAnsi="Arial" w:eastAsia="Arial" w:cs="Arial"/>
          <w:bCs/>
          <w:sz w:val="22"/>
          <w:szCs w:val="22"/>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3555BCA">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9.2.4.</w:t>
      </w:r>
      <w:r>
        <w:rPr>
          <w:rFonts w:hint="default" w:ascii="Arial" w:hAnsi="Arial" w:eastAsia="Arial" w:cs="Arial"/>
          <w:bCs/>
          <w:sz w:val="22"/>
          <w:szCs w:val="22"/>
        </w:rPr>
        <w:t xml:space="preserve">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D60B7D6">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9.2.5.</w:t>
      </w:r>
      <w:r>
        <w:rPr>
          <w:rFonts w:hint="default" w:ascii="Arial" w:hAnsi="Arial" w:eastAsia="Arial" w:cs="Arial"/>
          <w:b/>
          <w:bCs w:val="0"/>
          <w:sz w:val="22"/>
          <w:szCs w:val="22"/>
        </w:rPr>
        <w:t xml:space="preserve"> </w:t>
      </w:r>
      <w:r>
        <w:rPr>
          <w:rFonts w:hint="default" w:ascii="Arial" w:hAnsi="Arial" w:eastAsia="Arial" w:cs="Arial"/>
          <w:bCs/>
          <w:sz w:val="22"/>
          <w:szCs w:val="22"/>
        </w:rPr>
        <w:t>Sociedade simples: inscrição do ato constitutivo no Registro Civil de Pessoas Jurídicas do local de sua sede, acompanhada de documento comprobatório de seus administradores;</w:t>
      </w:r>
    </w:p>
    <w:p w14:paraId="4CC9F6ED">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rPr>
      </w:pPr>
      <w:r>
        <w:rPr>
          <w:rFonts w:hint="default" w:ascii="Arial" w:hAnsi="Arial" w:eastAsia="Arial" w:cs="Arial"/>
          <w:b/>
          <w:bCs w:val="0"/>
          <w:sz w:val="22"/>
          <w:szCs w:val="22"/>
          <w:lang w:val="pt-BR"/>
        </w:rPr>
        <w:t>9.2.6.</w:t>
      </w:r>
      <w:r>
        <w:rPr>
          <w:rFonts w:hint="default" w:ascii="Arial" w:hAnsi="Arial" w:eastAsia="Arial" w:cs="Arial"/>
          <w:b/>
          <w:bCs w:val="0"/>
          <w:sz w:val="22"/>
          <w:szCs w:val="22"/>
        </w:rPr>
        <w:t xml:space="preserve"> </w:t>
      </w:r>
      <w:r>
        <w:rPr>
          <w:rFonts w:hint="default" w:ascii="Arial" w:hAnsi="Arial" w:eastAsia="Arial" w:cs="Arial"/>
          <w:bCs/>
          <w:sz w:val="22"/>
          <w:szCs w:val="22"/>
        </w:rPr>
        <w:t>Filial, sucursal ou agência de sociedade simples ou empresária</w:t>
      </w:r>
      <w:r>
        <w:rPr>
          <w:rFonts w:hint="default" w:ascii="Arial" w:hAnsi="Arial" w:eastAsia="Arial" w:cs="Arial"/>
          <w:bCs/>
          <w:sz w:val="22"/>
          <w:szCs w:val="22"/>
          <w:lang w:val="pt-BR"/>
        </w:rPr>
        <w:t>:</w:t>
      </w:r>
      <w:r>
        <w:rPr>
          <w:rFonts w:hint="default" w:ascii="Arial" w:hAnsi="Arial" w:eastAsia="Arial" w:cs="Arial"/>
          <w:bCs/>
          <w:sz w:val="22"/>
          <w:szCs w:val="22"/>
        </w:rPr>
        <w:t xml:space="preserve"> inscrição do ato constitutivo da</w:t>
      </w:r>
      <w:r>
        <w:rPr>
          <w:rFonts w:hint="default"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14:paraId="42D321A7">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color w:val="000000"/>
          <w:sz w:val="22"/>
          <w:szCs w:val="22"/>
        </w:rPr>
      </w:pPr>
      <w:r>
        <w:rPr>
          <w:rFonts w:hint="default" w:ascii="Arial" w:hAnsi="Arial" w:cs="Arial"/>
          <w:b/>
          <w:sz w:val="22"/>
          <w:szCs w:val="22"/>
          <w:lang w:val="pt-BR"/>
        </w:rPr>
        <w:t>9.2.7.</w:t>
      </w:r>
      <w:r>
        <w:rPr>
          <w:rFonts w:hint="default" w:ascii="Arial" w:hAnsi="Arial" w:cs="Arial"/>
          <w:b/>
          <w:sz w:val="22"/>
          <w:szCs w:val="22"/>
        </w:rPr>
        <w:t xml:space="preserve"> </w:t>
      </w:r>
      <w:r>
        <w:rPr>
          <w:rFonts w:hint="default" w:ascii="Arial" w:hAnsi="Arial" w:eastAsia="Arial" w:cs="Arial"/>
          <w:color w:val="000000"/>
          <w:sz w:val="22"/>
          <w:szCs w:val="22"/>
        </w:rPr>
        <w:t>No caso d</w:t>
      </w:r>
      <w:r>
        <w:rPr>
          <w:rFonts w:hint="default" w:ascii="Arial" w:hAnsi="Arial" w:eastAsia="Arial" w:cs="Arial"/>
          <w:color w:val="000000"/>
          <w:sz w:val="22"/>
          <w:szCs w:val="22"/>
          <w:lang w:val="pt-BR"/>
        </w:rPr>
        <w:t>o item</w:t>
      </w:r>
      <w:r>
        <w:rPr>
          <w:rFonts w:hint="default" w:ascii="Arial" w:hAnsi="Arial" w:eastAsia="Arial" w:cs="Arial"/>
          <w:color w:val="000000"/>
          <w:sz w:val="22"/>
          <w:szCs w:val="22"/>
        </w:rPr>
        <w:t xml:space="preserve"> </w:t>
      </w:r>
      <w:r>
        <w:rPr>
          <w:rFonts w:hint="default" w:ascii="Arial" w:hAnsi="Arial" w:eastAsia="Arial" w:cs="Arial"/>
          <w:color w:val="000000"/>
          <w:sz w:val="22"/>
          <w:szCs w:val="22"/>
          <w:lang w:val="pt-BR"/>
        </w:rPr>
        <w:t>9.2.3.</w:t>
      </w:r>
      <w:r>
        <w:rPr>
          <w:rFonts w:hint="default" w:ascii="Arial" w:hAnsi="Arial" w:eastAsia="Arial" w:cs="Arial"/>
          <w:color w:val="000000"/>
          <w:sz w:val="22"/>
          <w:szCs w:val="22"/>
        </w:rPr>
        <w:t>,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0E638134">
      <w:pPr>
        <w:widowControl w:val="0"/>
        <w:adjustRightInd w:val="0"/>
        <w:spacing w:before="100" w:beforeAutospacing="1" w:after="100" w:afterAutospacing="1" w:line="360" w:lineRule="auto"/>
        <w:ind w:left="0" w:leftChars="0" w:firstLine="480" w:firstLineChars="0"/>
        <w:jc w:val="both"/>
        <w:textAlignment w:val="baseline"/>
        <w:rPr>
          <w:rFonts w:ascii="Arial" w:hAnsi="Arial" w:cs="Arial"/>
          <w:sz w:val="22"/>
          <w:szCs w:val="22"/>
        </w:rPr>
      </w:pPr>
      <w:r>
        <w:rPr>
          <w:rFonts w:ascii="Arial" w:hAnsi="Arial" w:cs="Arial"/>
          <w:b/>
          <w:bCs/>
          <w:sz w:val="22"/>
          <w:szCs w:val="22"/>
        </w:rPr>
        <w:t>9.2.</w:t>
      </w:r>
      <w:r>
        <w:rPr>
          <w:rFonts w:hint="default" w:ascii="Arial" w:hAnsi="Arial" w:cs="Arial"/>
          <w:b/>
          <w:bCs/>
          <w:sz w:val="22"/>
          <w:szCs w:val="22"/>
          <w:lang w:val="pt-BR"/>
        </w:rPr>
        <w:t>8</w:t>
      </w:r>
      <w:r>
        <w:rPr>
          <w:rFonts w:ascii="Arial" w:hAnsi="Arial" w:cs="Arial"/>
          <w:b/>
          <w:bCs/>
          <w:sz w:val="22"/>
          <w:szCs w:val="22"/>
        </w:rPr>
        <w:t xml:space="preserve">. </w:t>
      </w:r>
      <w:r>
        <w:rPr>
          <w:rFonts w:ascii="Arial" w:hAnsi="Arial" w:cs="Arial"/>
          <w:sz w:val="22"/>
          <w:szCs w:val="22"/>
        </w:rPr>
        <w:t>Tratando-se de procurador, apresentar</w:t>
      </w:r>
      <w:r>
        <w:rPr>
          <w:rFonts w:ascii="Arial" w:hAnsi="Arial" w:cs="Arial"/>
          <w:b w:val="0"/>
          <w:bCs w:val="0"/>
          <w:sz w:val="22"/>
          <w:szCs w:val="22"/>
          <w:u w:val="none"/>
        </w:rPr>
        <w:t xml:space="preserve"> procuração por instrumento público ou particular, que comprove os poderes do ma</w:t>
      </w:r>
      <w:r>
        <w:rPr>
          <w:rFonts w:ascii="Arial" w:hAnsi="Arial" w:cs="Arial"/>
          <w:sz w:val="22"/>
          <w:szCs w:val="22"/>
        </w:rPr>
        <w:t>ndante para a outorga, com firma reconhecida, da qual constem poderes específicos para formular lances, negociar preço, interpor recursos, desistir de sua interposição e praticar todos os demais atos pertinentes ao certame.</w:t>
      </w:r>
    </w:p>
    <w:p w14:paraId="4E487A1E">
      <w:pPr>
        <w:widowControl w:val="0"/>
        <w:tabs>
          <w:tab w:val="left" w:pos="1985"/>
        </w:tabs>
        <w:spacing w:before="240" w:after="240" w:line="360" w:lineRule="auto"/>
        <w:jc w:val="both"/>
        <w:rPr>
          <w:rFonts w:hint="default" w:ascii="Arial" w:hAnsi="Arial" w:cs="Arial"/>
          <w:sz w:val="22"/>
          <w:szCs w:val="22"/>
          <w:lang w:val="pt-BR"/>
        </w:rPr>
      </w:pPr>
      <w:r>
        <w:rPr>
          <w:rFonts w:ascii="Arial" w:hAnsi="Arial" w:cs="Arial"/>
          <w:b/>
          <w:sz w:val="22"/>
          <w:szCs w:val="22"/>
        </w:rPr>
        <w:t xml:space="preserve">9.3. </w:t>
      </w:r>
      <w:r>
        <w:rPr>
          <w:rFonts w:ascii="Arial" w:hAnsi="Arial" w:cs="Arial"/>
          <w:sz w:val="22"/>
          <w:szCs w:val="22"/>
        </w:rPr>
        <w:t xml:space="preserve"> </w:t>
      </w:r>
      <w:r>
        <w:rPr>
          <w:rFonts w:ascii="Arial" w:hAnsi="Arial" w:cs="Arial"/>
          <w:b/>
          <w:sz w:val="22"/>
          <w:szCs w:val="22"/>
        </w:rPr>
        <w:t xml:space="preserve">Regularidade </w:t>
      </w:r>
      <w:r>
        <w:rPr>
          <w:rFonts w:hint="default" w:ascii="Arial" w:hAnsi="Arial" w:cs="Arial"/>
          <w:b/>
          <w:sz w:val="22"/>
          <w:szCs w:val="22"/>
          <w:lang w:val="pt-BR"/>
        </w:rPr>
        <w:t>f</w:t>
      </w:r>
      <w:r>
        <w:rPr>
          <w:rFonts w:ascii="Arial" w:hAnsi="Arial" w:cs="Arial"/>
          <w:b/>
          <w:sz w:val="22"/>
          <w:szCs w:val="22"/>
        </w:rPr>
        <w:t>iscal</w:t>
      </w:r>
      <w:r>
        <w:rPr>
          <w:rFonts w:hint="default" w:ascii="Arial" w:hAnsi="Arial" w:cs="Arial"/>
          <w:b/>
          <w:sz w:val="22"/>
          <w:szCs w:val="22"/>
          <w:lang w:val="pt-BR"/>
        </w:rPr>
        <w:t>, social</w:t>
      </w:r>
      <w:r>
        <w:rPr>
          <w:rFonts w:ascii="Arial" w:hAnsi="Arial" w:cs="Arial"/>
          <w:b/>
          <w:sz w:val="22"/>
          <w:szCs w:val="22"/>
        </w:rPr>
        <w:t xml:space="preserve"> e </w:t>
      </w:r>
      <w:r>
        <w:rPr>
          <w:rFonts w:hint="default" w:ascii="Arial" w:hAnsi="Arial" w:cs="Arial"/>
          <w:b/>
          <w:sz w:val="22"/>
          <w:szCs w:val="22"/>
          <w:lang w:val="pt-BR"/>
        </w:rPr>
        <w:t>t</w:t>
      </w:r>
      <w:r>
        <w:rPr>
          <w:rFonts w:ascii="Arial" w:hAnsi="Arial" w:cs="Arial"/>
          <w:b/>
          <w:sz w:val="22"/>
          <w:szCs w:val="22"/>
        </w:rPr>
        <w:t>rabalhista</w:t>
      </w:r>
      <w:r>
        <w:rPr>
          <w:rFonts w:hint="default" w:ascii="Arial" w:hAnsi="Arial" w:cs="Arial"/>
          <w:b/>
          <w:sz w:val="22"/>
          <w:szCs w:val="22"/>
          <w:lang w:val="pt-BR"/>
        </w:rPr>
        <w:t>:</w:t>
      </w:r>
    </w:p>
    <w:p w14:paraId="6262F521">
      <w:pPr>
        <w:widowControl w:val="0"/>
        <w:tabs>
          <w:tab w:val="left" w:pos="1985"/>
        </w:tabs>
        <w:spacing w:before="100" w:beforeAutospacing="1" w:after="100" w:afterAutospacing="1" w:line="360" w:lineRule="auto"/>
        <w:ind w:left="0" w:leftChars="0" w:firstLine="480" w:firstLineChars="0"/>
        <w:jc w:val="both"/>
        <w:rPr>
          <w:rFonts w:ascii="Arial" w:hAnsi="Arial" w:cs="Arial"/>
          <w:sz w:val="22"/>
          <w:szCs w:val="22"/>
        </w:rPr>
      </w:pPr>
      <w:r>
        <w:rPr>
          <w:rFonts w:ascii="Arial" w:hAnsi="Arial" w:cs="Arial"/>
          <w:b/>
          <w:sz w:val="22"/>
          <w:szCs w:val="22"/>
        </w:rPr>
        <w:t>9.3.1.</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Nacional de Pessoas Jurídicas </w:t>
      </w:r>
      <w:r>
        <w:rPr>
          <w:rFonts w:ascii="Arial" w:hAnsi="Arial" w:cs="Arial"/>
          <w:b w:val="0"/>
          <w:bCs/>
          <w:sz w:val="22"/>
          <w:szCs w:val="22"/>
          <w:u w:val="none"/>
        </w:rPr>
        <w:t>(CNPJ);</w:t>
      </w:r>
    </w:p>
    <w:p w14:paraId="5CF6FA34">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9.3.2.</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de contribuintes </w:t>
      </w:r>
      <w:r>
        <w:rPr>
          <w:rFonts w:ascii="Arial" w:hAnsi="Arial" w:cs="Arial"/>
          <w:b w:val="0"/>
          <w:bCs/>
          <w:sz w:val="22"/>
          <w:szCs w:val="22"/>
          <w:u w:val="none"/>
        </w:rPr>
        <w:t>estadual ou municipal</w:t>
      </w:r>
      <w:r>
        <w:rPr>
          <w:rFonts w:ascii="Arial" w:hAnsi="Arial" w:cs="Arial"/>
          <w:sz w:val="22"/>
          <w:szCs w:val="22"/>
        </w:rPr>
        <w:t>, relativo ao domicilio ou sede do licitante, pertinente ao seu ramo de atividade e compatível com o objeto contratual;</w:t>
      </w:r>
    </w:p>
    <w:p w14:paraId="6B395E10">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9.3.3.</w:t>
      </w:r>
      <w:r>
        <w:rPr>
          <w:rFonts w:ascii="Arial" w:hAnsi="Arial" w:cs="Arial"/>
          <w:sz w:val="22"/>
          <w:szCs w:val="22"/>
        </w:rPr>
        <w:t xml:space="preserve"> Regularidade </w:t>
      </w:r>
      <w:r>
        <w:rPr>
          <w:rFonts w:hint="default" w:ascii="Arial" w:hAnsi="Arial" w:cs="Arial"/>
          <w:sz w:val="22"/>
          <w:szCs w:val="22"/>
          <w:lang w:val="pt-BR"/>
        </w:rPr>
        <w:t>perante</w:t>
      </w:r>
      <w:r>
        <w:rPr>
          <w:rFonts w:ascii="Arial" w:hAnsi="Arial" w:cs="Arial"/>
          <w:sz w:val="22"/>
          <w:szCs w:val="22"/>
        </w:rPr>
        <w:t xml:space="preserve"> a</w:t>
      </w:r>
      <w:r>
        <w:rPr>
          <w:rFonts w:ascii="Arial" w:hAnsi="Arial" w:cs="Arial"/>
          <w:b w:val="0"/>
          <w:bCs w:val="0"/>
          <w:sz w:val="22"/>
          <w:szCs w:val="22"/>
        </w:rPr>
        <w:t xml:space="preserve"> </w:t>
      </w:r>
      <w:r>
        <w:rPr>
          <w:rFonts w:ascii="Arial" w:hAnsi="Arial" w:cs="Arial"/>
          <w:b w:val="0"/>
          <w:bCs w:val="0"/>
          <w:sz w:val="22"/>
          <w:szCs w:val="22"/>
          <w:u w:val="none"/>
        </w:rPr>
        <w:t xml:space="preserve">Fazenda Federal (incluindo </w:t>
      </w:r>
      <w:r>
        <w:rPr>
          <w:rFonts w:hint="default" w:ascii="Arial" w:hAnsi="Arial" w:cs="Arial"/>
          <w:b w:val="0"/>
          <w:bCs w:val="0"/>
          <w:sz w:val="22"/>
          <w:szCs w:val="22"/>
          <w:u w:val="none"/>
          <w:lang w:val="pt-BR"/>
        </w:rPr>
        <w:t>Seguridade Social</w:t>
      </w:r>
      <w:r>
        <w:rPr>
          <w:rFonts w:ascii="Arial" w:hAnsi="Arial" w:cs="Arial"/>
          <w:b w:val="0"/>
          <w:bCs w:val="0"/>
          <w:sz w:val="22"/>
          <w:szCs w:val="22"/>
          <w:u w:val="none"/>
        </w:rPr>
        <w:t>), Estadual e Municipal</w:t>
      </w:r>
      <w:r>
        <w:rPr>
          <w:rFonts w:ascii="Arial" w:hAnsi="Arial" w:cs="Arial"/>
          <w:sz w:val="22"/>
          <w:szCs w:val="22"/>
        </w:rPr>
        <w:t xml:space="preserve"> do domicílio ou sede do </w:t>
      </w:r>
      <w:r>
        <w:rPr>
          <w:rFonts w:hint="default" w:ascii="Arial" w:hAnsi="Arial" w:cs="Arial"/>
          <w:sz w:val="22"/>
          <w:szCs w:val="22"/>
          <w:lang w:val="pt-BR"/>
        </w:rPr>
        <w:t>licitante, ou outra equivalente, na forma da lei</w:t>
      </w:r>
      <w:r>
        <w:rPr>
          <w:rFonts w:ascii="Arial" w:hAnsi="Arial" w:cs="Arial"/>
          <w:sz w:val="22"/>
          <w:szCs w:val="22"/>
        </w:rPr>
        <w:t>;</w:t>
      </w:r>
    </w:p>
    <w:p w14:paraId="4F3B86FD">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9.3.4.</w:t>
      </w:r>
      <w:r>
        <w:rPr>
          <w:rFonts w:ascii="Arial" w:hAnsi="Arial" w:cs="Arial"/>
          <w:sz w:val="22"/>
          <w:szCs w:val="22"/>
        </w:rPr>
        <w:t xml:space="preserve"> </w:t>
      </w:r>
      <w:r>
        <w:rPr>
          <w:rFonts w:hint="default" w:ascii="Arial" w:hAnsi="Arial" w:cs="Arial"/>
          <w:sz w:val="22"/>
          <w:szCs w:val="22"/>
          <w:lang w:val="pt-BR"/>
        </w:rPr>
        <w:t>R</w:t>
      </w:r>
      <w:r>
        <w:rPr>
          <w:rFonts w:ascii="Arial" w:hAnsi="Arial" w:cs="Arial"/>
          <w:sz w:val="22"/>
          <w:szCs w:val="22"/>
        </w:rPr>
        <w:t xml:space="preserve">egularidade relativa ao Fundo de Garantia por Tempo de Serviço </w:t>
      </w:r>
      <w:r>
        <w:rPr>
          <w:rFonts w:ascii="Arial" w:hAnsi="Arial" w:cs="Arial"/>
          <w:b w:val="0"/>
          <w:bCs/>
          <w:sz w:val="22"/>
          <w:szCs w:val="22"/>
          <w:u w:val="none"/>
        </w:rPr>
        <w:t xml:space="preserve">(FGTS), </w:t>
      </w:r>
      <w:r>
        <w:rPr>
          <w:rFonts w:hint="default" w:ascii="Arial" w:hAnsi="Arial" w:cs="Arial"/>
          <w:sz w:val="22"/>
          <w:szCs w:val="22"/>
          <w:lang w:val="pt-BR"/>
        </w:rPr>
        <w:t>que demonstre</w:t>
      </w:r>
      <w:r>
        <w:rPr>
          <w:rFonts w:ascii="Arial" w:hAnsi="Arial" w:cs="Arial"/>
          <w:sz w:val="22"/>
          <w:szCs w:val="22"/>
        </w:rPr>
        <w:t xml:space="preserve"> cumprimento dos encargos sociais instituídos por lei;</w:t>
      </w:r>
    </w:p>
    <w:p w14:paraId="08AF23C5">
      <w:pPr>
        <w:spacing w:before="100" w:beforeAutospacing="1" w:after="100" w:afterAutospacing="1" w:line="360" w:lineRule="auto"/>
        <w:ind w:left="0" w:leftChars="0" w:firstLine="480" w:firstLineChars="0"/>
        <w:jc w:val="both"/>
        <w:rPr>
          <w:rFonts w:ascii="Arial" w:hAnsi="Arial" w:cs="Arial"/>
          <w:b w:val="0"/>
          <w:bCs w:val="0"/>
          <w:sz w:val="22"/>
          <w:szCs w:val="22"/>
          <w:u w:val="none"/>
        </w:rPr>
      </w:pPr>
      <w:r>
        <w:rPr>
          <w:rFonts w:ascii="Arial" w:hAnsi="Arial" w:cs="Arial"/>
          <w:b/>
          <w:color w:val="000000"/>
          <w:sz w:val="22"/>
          <w:szCs w:val="22"/>
        </w:rPr>
        <w:t>9.3.5.</w:t>
      </w:r>
      <w:r>
        <w:rPr>
          <w:rFonts w:ascii="Arial" w:hAnsi="Arial" w:cs="Arial"/>
          <w:color w:val="000000"/>
          <w:sz w:val="22"/>
          <w:szCs w:val="22"/>
        </w:rPr>
        <w:t xml:space="preserve"> </w:t>
      </w:r>
      <w:r>
        <w:rPr>
          <w:rFonts w:hint="default" w:ascii="Arial" w:hAnsi="Arial" w:cs="Arial"/>
          <w:color w:val="000000"/>
          <w:sz w:val="22"/>
          <w:szCs w:val="22"/>
          <w:lang w:val="pt-BR"/>
        </w:rPr>
        <w:t xml:space="preserve">Regularidade </w:t>
      </w:r>
      <w:r>
        <w:rPr>
          <w:rFonts w:ascii="Arial" w:hAnsi="Arial" w:cs="Arial"/>
          <w:sz w:val="22"/>
          <w:szCs w:val="22"/>
        </w:rPr>
        <w:t>perante a Justiça do Trabalho, mediante a apresentação de Certidão Negativa de Débitos Trabalhistas</w:t>
      </w:r>
      <w:r>
        <w:rPr>
          <w:rFonts w:ascii="Arial" w:hAnsi="Arial" w:cs="Arial"/>
          <w:b w:val="0"/>
          <w:bCs w:val="0"/>
          <w:sz w:val="22"/>
          <w:szCs w:val="22"/>
          <w:u w:val="none"/>
        </w:rPr>
        <w:t xml:space="preserve"> (CNDT</w:t>
      </w:r>
      <w:r>
        <w:rPr>
          <w:rFonts w:hint="default" w:ascii="Arial" w:hAnsi="Arial" w:cs="Arial"/>
          <w:b w:val="0"/>
          <w:bCs w:val="0"/>
          <w:sz w:val="22"/>
          <w:szCs w:val="22"/>
          <w:u w:val="none"/>
          <w:lang w:val="pt-BR"/>
        </w:rPr>
        <w:t>);</w:t>
      </w:r>
      <w:r>
        <w:rPr>
          <w:rFonts w:ascii="Arial" w:hAnsi="Arial" w:cs="Arial"/>
          <w:b w:val="0"/>
          <w:bCs w:val="0"/>
          <w:sz w:val="22"/>
          <w:szCs w:val="22"/>
          <w:u w:val="none"/>
        </w:rPr>
        <w:t xml:space="preserve"> </w:t>
      </w:r>
    </w:p>
    <w:p w14:paraId="2D64032C">
      <w:pPr>
        <w:numPr>
          <w:ilvl w:val="0"/>
          <w:numId w:val="0"/>
        </w:numPr>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9.3.6.</w:t>
      </w:r>
      <w:r>
        <w:rPr>
          <w:rFonts w:hint="default" w:ascii="Arial" w:hAnsi="Arial" w:cs="Arial"/>
          <w:sz w:val="22"/>
          <w:szCs w:val="22"/>
          <w:lang w:val="pt-BR"/>
        </w:rPr>
        <w:t xml:space="preserve"> Cumprimento do disposto no art. 7º, XXXIII, da Constituição Federal</w:t>
      </w:r>
      <w:r>
        <w:rPr>
          <w:rFonts w:ascii="Arial" w:hAnsi="Arial" w:cs="Arial"/>
          <w:sz w:val="22"/>
          <w:szCs w:val="22"/>
        </w:rPr>
        <w:t xml:space="preserve">, </w:t>
      </w:r>
      <w:r>
        <w:rPr>
          <w:rFonts w:hint="default" w:ascii="Arial" w:hAnsi="Arial" w:cs="Arial"/>
          <w:sz w:val="22"/>
          <w:szCs w:val="22"/>
          <w:lang w:val="pt-BR"/>
        </w:rPr>
        <w:t xml:space="preserve">declarando </w:t>
      </w:r>
      <w:r>
        <w:rPr>
          <w:rFonts w:ascii="Arial" w:hAnsi="Arial" w:cs="Arial"/>
          <w:sz w:val="22"/>
          <w:szCs w:val="22"/>
        </w:rPr>
        <w:t>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 conforme Modelo de </w:t>
      </w:r>
      <w:r>
        <w:rPr>
          <w:rFonts w:ascii="Arial" w:hAnsi="Arial" w:cs="Arial"/>
          <w:sz w:val="22"/>
          <w:szCs w:val="22"/>
          <w:highlight w:val="none"/>
        </w:rPr>
        <w:t>Declaração do Anexo I</w:t>
      </w:r>
      <w:r>
        <w:rPr>
          <w:rFonts w:hint="default" w:ascii="Arial" w:hAnsi="Arial" w:cs="Arial"/>
          <w:sz w:val="22"/>
          <w:szCs w:val="22"/>
          <w:highlight w:val="none"/>
          <w:lang w:val="pt-BR"/>
        </w:rPr>
        <w:t>X</w:t>
      </w:r>
      <w:r>
        <w:rPr>
          <w:rFonts w:ascii="Arial" w:hAnsi="Arial" w:cs="Arial"/>
          <w:sz w:val="22"/>
          <w:szCs w:val="22"/>
          <w:highlight w:val="none"/>
        </w:rPr>
        <w:t>.</w:t>
      </w:r>
    </w:p>
    <w:p w14:paraId="713B3713">
      <w:pPr>
        <w:widowControl w:val="0"/>
        <w:tabs>
          <w:tab w:val="left" w:pos="1985"/>
        </w:tabs>
        <w:spacing w:before="100" w:beforeAutospacing="1" w:after="100" w:afterAutospacing="1" w:line="360" w:lineRule="auto"/>
        <w:jc w:val="both"/>
        <w:rPr>
          <w:rFonts w:hint="default" w:ascii="Arial" w:hAnsi="Arial" w:cs="Arial"/>
          <w:b/>
          <w:sz w:val="22"/>
          <w:szCs w:val="22"/>
          <w:lang w:val="pt-BR"/>
        </w:rPr>
      </w:pPr>
      <w:r>
        <w:rPr>
          <w:rFonts w:ascii="Arial" w:hAnsi="Arial" w:cs="Arial"/>
          <w:b/>
          <w:sz w:val="22"/>
          <w:szCs w:val="22"/>
        </w:rPr>
        <w:t xml:space="preserve">9.4. </w:t>
      </w:r>
      <w:r>
        <w:rPr>
          <w:rFonts w:hint="default" w:ascii="Arial" w:hAnsi="Arial" w:cs="Arial"/>
          <w:sz w:val="22"/>
          <w:szCs w:val="22"/>
        </w:rPr>
        <w:t xml:space="preserve"> </w:t>
      </w:r>
      <w:r>
        <w:rPr>
          <w:rFonts w:hint="default" w:ascii="Arial" w:hAnsi="Arial" w:cs="Arial"/>
          <w:b/>
          <w:sz w:val="22"/>
          <w:szCs w:val="22"/>
        </w:rPr>
        <w:t>Qualificação Econômico-Financeira</w:t>
      </w:r>
      <w:r>
        <w:rPr>
          <w:rFonts w:hint="default" w:ascii="Arial" w:hAnsi="Arial" w:cs="Arial"/>
          <w:b/>
          <w:sz w:val="22"/>
          <w:szCs w:val="22"/>
          <w:lang w:val="pt-BR"/>
        </w:rPr>
        <w:t xml:space="preserve">: </w:t>
      </w:r>
    </w:p>
    <w:p w14:paraId="7EA0B93B">
      <w:pPr>
        <w:pStyle w:val="128"/>
        <w:numPr>
          <w:ilvl w:val="0"/>
          <w:numId w:val="0"/>
        </w:numPr>
        <w:spacing w:before="120" w:after="0" w:line="360" w:lineRule="auto"/>
        <w:ind w:right="46" w:rightChars="0"/>
        <w:jc w:val="both"/>
        <w:rPr>
          <w:rFonts w:hint="default" w:ascii="Arial" w:hAnsi="Arial" w:cs="Arial"/>
          <w:sz w:val="22"/>
          <w:szCs w:val="22"/>
        </w:rPr>
      </w:pPr>
      <w:r>
        <w:rPr>
          <w:rFonts w:hint="default" w:ascii="Arial" w:hAnsi="Arial" w:cs="Arial"/>
          <w:b/>
          <w:bCs/>
          <w:sz w:val="22"/>
          <w:szCs w:val="22"/>
          <w:lang w:val="pt-BR"/>
        </w:rPr>
        <w:t xml:space="preserve">9.4.1 </w:t>
      </w:r>
      <w:r>
        <w:rPr>
          <w:rFonts w:hint="default" w:ascii="Arial" w:hAnsi="Arial" w:eastAsia="SimSun" w:cs="Arial"/>
          <w:b/>
          <w:bCs/>
          <w:sz w:val="22"/>
          <w:szCs w:val="22"/>
          <w:lang w:val="pt-BR"/>
        </w:rPr>
        <w:t>B</w:t>
      </w:r>
      <w:r>
        <w:rPr>
          <w:rFonts w:hint="default" w:ascii="Arial" w:hAnsi="Arial" w:eastAsia="SimSun" w:cs="Arial"/>
          <w:b/>
          <w:bCs/>
          <w:sz w:val="22"/>
          <w:szCs w:val="22"/>
        </w:rPr>
        <w:t>alanço patrimonial,</w:t>
      </w:r>
      <w:r>
        <w:rPr>
          <w:rFonts w:hint="default" w:ascii="Arial" w:hAnsi="Arial" w:eastAsia="SimSun" w:cs="Arial"/>
          <w:sz w:val="22"/>
          <w:szCs w:val="22"/>
        </w:rPr>
        <w:t xml:space="preserve"> demonstração de resultado de exercício e demais demonstrações contábeis dos 2 (dois) últimos exercícios sociais</w:t>
      </w:r>
      <w:r>
        <w:rPr>
          <w:rFonts w:hint="default" w:ascii="Arial" w:hAnsi="Arial" w:eastAsia="SimSun" w:cs="Arial"/>
          <w:sz w:val="22"/>
          <w:szCs w:val="22"/>
          <w:lang w:val="pt-BR"/>
        </w:rPr>
        <w:t>, exigidos na forma da lei</w:t>
      </w:r>
      <w:r>
        <w:rPr>
          <w:rFonts w:hint="default" w:ascii="Arial" w:hAnsi="Arial" w:eastAsia="SimSun" w:cs="Arial"/>
          <w:sz w:val="22"/>
          <w:szCs w:val="22"/>
        </w:rPr>
        <w:t>;</w:t>
      </w:r>
    </w:p>
    <w:p w14:paraId="622CC058">
      <w:pPr>
        <w:pStyle w:val="128"/>
        <w:numPr>
          <w:ilvl w:val="3"/>
          <w:numId w:val="10"/>
        </w:numPr>
        <w:spacing w:before="120" w:after="0" w:line="360" w:lineRule="auto"/>
        <w:ind w:left="840" w:leftChars="0" w:right="46" w:rightChars="0" w:firstLine="0" w:firstLineChars="0"/>
        <w:jc w:val="both"/>
        <w:rPr>
          <w:rFonts w:hint="default" w:ascii="Arial" w:hAnsi="Arial" w:cs="Arial"/>
          <w:sz w:val="22"/>
          <w:szCs w:val="22"/>
        </w:rPr>
      </w:pPr>
      <w:r>
        <w:rPr>
          <w:rFonts w:hint="default" w:ascii="Arial" w:hAnsi="Arial" w:cs="Arial"/>
          <w:sz w:val="22"/>
          <w:szCs w:val="22"/>
        </w:rPr>
        <w:t>O atendimento dos índices econômicos deverá ser atestado mediante declaração assinada por profissional habilitado da área contábil, apresentada pelo fornecedor</w:t>
      </w:r>
      <w:r>
        <w:rPr>
          <w:rFonts w:hint="default" w:ascii="Arial" w:hAnsi="Arial" w:cs="Arial"/>
          <w:sz w:val="22"/>
          <w:szCs w:val="22"/>
          <w:lang w:val="pt-BR"/>
        </w:rPr>
        <w:t xml:space="preserve">, </w:t>
      </w:r>
      <w:r>
        <w:rPr>
          <w:rFonts w:hint="default" w:ascii="Arial" w:hAnsi="Arial" w:cs="Arial"/>
          <w:sz w:val="22"/>
          <w:szCs w:val="22"/>
        </w:rPr>
        <w:t>comprovando: Índices de Liquidez Geral (LG), Solvência Geral (SG) e Liquidez Corrente (LC), maiores ou iguais a um (≥1,0), resultantes da aplicação das seguintes fórmulas:</w:t>
      </w:r>
    </w:p>
    <w:p w14:paraId="6CDD3F61">
      <w:pPr>
        <w:pStyle w:val="128"/>
        <w:numPr>
          <w:ilvl w:val="0"/>
          <w:numId w:val="0"/>
        </w:numPr>
        <w:spacing w:before="120" w:after="0" w:line="240" w:lineRule="auto"/>
        <w:ind w:left="840" w:leftChars="0" w:right="46" w:rightChars="0"/>
        <w:jc w:val="both"/>
        <w:rPr>
          <w:rFonts w:hint="default" w:ascii="Arial" w:hAnsi="Arial" w:cs="Arial"/>
          <w:sz w:val="22"/>
          <w:szCs w:val="22"/>
        </w:rPr>
      </w:pPr>
    </w:p>
    <w:p w14:paraId="7282324A">
      <w:pPr>
        <w:spacing w:before="19" w:line="163" w:lineRule="auto"/>
        <w:ind w:right="0"/>
        <w:jc w:val="left"/>
        <w:rPr>
          <w:rFonts w:ascii="Cambria Math" w:hAnsi="Cambria Math" w:eastAsia="Cambria Math"/>
          <w:w w:val="105"/>
          <w:sz w:val="17"/>
        </w:rPr>
      </w:pPr>
      <w:r>
        <w:rPr>
          <w:rFonts w:hint="default" w:ascii="Arial" w:hAnsi="Arial" w:cs="Arial"/>
          <w:sz w:val="22"/>
          <w:szCs w:val="22"/>
        </w:rPr>
        <mc:AlternateContent>
          <mc:Choice Requires="wps">
            <w:drawing>
              <wp:anchor distT="0" distB="0" distL="114300" distR="114300" simplePos="0" relativeHeight="251659264" behindDoc="1" locked="0" layoutInCell="1" allowOverlap="1">
                <wp:simplePos x="0" y="0"/>
                <wp:positionH relativeFrom="page">
                  <wp:posOffset>2585085</wp:posOffset>
                </wp:positionH>
                <wp:positionV relativeFrom="paragraph">
                  <wp:posOffset>138430</wp:posOffset>
                </wp:positionV>
                <wp:extent cx="2348230" cy="10160"/>
                <wp:effectExtent l="0" t="0" r="0" b="0"/>
                <wp:wrapNone/>
                <wp:docPr id="1" name="Retângulo 1"/>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2F3603B0"/>
                        </w:txbxContent>
                      </wps:txbx>
                      <wps:bodyPr upright="1"/>
                    </wps:wsp>
                  </a:graphicData>
                </a:graphic>
              </wp:anchor>
            </w:drawing>
          </mc:Choice>
          <mc:Fallback>
            <w:pict>
              <v:rect id="_x0000_s1026" o:spid="_x0000_s1026" o:spt="1" style="position:absolute;left:0pt;margin-left:203.55pt;margin-top:10.9pt;height:0.8pt;width:184.9pt;mso-position-horizontal-relative:page;z-index:-251657216;mso-width-relative:page;mso-height-relative:page;" fillcolor="#000000" filled="t" stroked="f" coordsize="21600,21600" o:gfxdata="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A0&#10;LB3x2QAAAAkBAAAPAAAAAAAAAAEAIAAAACIAAABkcnMvZG93bnJldi54bWxQSwECFAAUAAAACACH&#10;TuJAp+c+gLEBAABtAwAADgAAAAAAAAABACAAAAAoAQAAZHJzL2Uyb0RvYy54bWxQSwUGAAAAAAYA&#10;BgBZAQAASwUAAAAA&#10;">
                <v:fill on="t" focussize="0,0"/>
                <v:stroke on="f"/>
                <v:imagedata o:title=""/>
                <o:lock v:ext="edit" aspectratio="f"/>
                <v:textbox>
                  <w:txbxContent>
                    <w:p w14:paraId="2F3603B0"/>
                  </w:txbxContent>
                </v:textbox>
              </v:rect>
            </w:pict>
          </mc:Fallback>
        </mc:AlternateContent>
      </w:r>
      <w:r>
        <w:rPr>
          <w:rFonts w:hint="default" w:ascii="Arial" w:hAnsi="Arial" w:cs="Arial"/>
          <w:w w:val="105"/>
          <w:position w:val="-13"/>
          <w:sz w:val="22"/>
          <w:szCs w:val="22"/>
        </w:rPr>
        <w:t>Liquidez</w:t>
      </w:r>
      <w:r>
        <w:rPr>
          <w:rFonts w:hint="default" w:ascii="Arial" w:hAnsi="Arial" w:cs="Arial"/>
          <w:spacing w:val="-8"/>
          <w:w w:val="105"/>
          <w:position w:val="-13"/>
          <w:sz w:val="22"/>
          <w:szCs w:val="22"/>
        </w:rPr>
        <w:t xml:space="preserve"> </w:t>
      </w:r>
      <w:r>
        <w:rPr>
          <w:rFonts w:hint="default" w:ascii="Arial" w:hAnsi="Arial" w:cs="Arial"/>
          <w:w w:val="105"/>
          <w:position w:val="-13"/>
          <w:sz w:val="22"/>
          <w:szCs w:val="22"/>
        </w:rPr>
        <w:t>Geral</w:t>
      </w:r>
      <w:r>
        <w:rPr>
          <w:rFonts w:hint="default" w:ascii="Arial" w:hAnsi="Arial" w:cs="Arial"/>
          <w:spacing w:val="-5"/>
          <w:w w:val="105"/>
          <w:position w:val="-13"/>
          <w:sz w:val="22"/>
          <w:szCs w:val="22"/>
        </w:rPr>
        <w:t xml:space="preserve"> </w:t>
      </w:r>
      <w:r>
        <w:rPr>
          <w:rFonts w:hint="default" w:ascii="Arial" w:hAnsi="Arial" w:cs="Arial"/>
          <w:w w:val="105"/>
          <w:position w:val="-13"/>
          <w:sz w:val="22"/>
          <w:szCs w:val="22"/>
        </w:rPr>
        <w:t>(LG)</w:t>
      </w:r>
      <w:r>
        <w:rPr>
          <w:rFonts w:hint="default" w:ascii="Arial" w:hAnsi="Arial" w:cs="Arial"/>
          <w:spacing w:val="-5"/>
          <w:w w:val="105"/>
          <w:position w:val="-13"/>
          <w:sz w:val="22"/>
          <w:szCs w:val="22"/>
        </w:rPr>
        <w:t xml:space="preserve"> </w:t>
      </w:r>
      <w:r>
        <w:rPr>
          <w:rFonts w:hint="default" w:ascii="Arial" w:hAnsi="Arial" w:cs="Arial"/>
          <w:w w:val="105"/>
          <w:position w:val="-13"/>
          <w:sz w:val="22"/>
          <w:szCs w:val="22"/>
        </w:rPr>
        <w:t>=</w:t>
      </w:r>
      <w:r>
        <w:rPr>
          <w:rFonts w:hint="default" w:ascii="Arial" w:hAnsi="Arial" w:cs="Arial"/>
          <w:spacing w:val="6"/>
          <w:w w:val="105"/>
          <w:position w:val="-13"/>
          <w:sz w:val="22"/>
          <w:szCs w:val="22"/>
        </w:rPr>
        <w:t xml:space="preserve"> </w:t>
      </w:r>
      <w:r>
        <w:rPr>
          <w:rFonts w:ascii="Cambria Math" w:hAnsi="Cambria Math" w:eastAsia="Cambria Math"/>
          <w:w w:val="105"/>
          <w:sz w:val="17"/>
        </w:rPr>
        <w:t>𝐴𝑡𝑖𝑣𝑜 𝐶𝑖𝑟𝑐𝑢𝑙𝑎𝑛𝑡𝑒</w:t>
      </w:r>
      <w:r>
        <w:rPr>
          <w:rFonts w:ascii="Cambria Math" w:hAnsi="Cambria Math" w:eastAsia="Cambria Math"/>
          <w:spacing w:val="2"/>
          <w:w w:val="105"/>
          <w:sz w:val="17"/>
        </w:rPr>
        <w:t xml:space="preserve"> </w:t>
      </w:r>
      <w:r>
        <w:rPr>
          <w:rFonts w:ascii="Cambria Math" w:hAnsi="Cambria Math" w:eastAsia="Cambria Math"/>
          <w:w w:val="105"/>
          <w:sz w:val="17"/>
        </w:rPr>
        <w:t>+</w:t>
      </w:r>
      <w:r>
        <w:rPr>
          <w:rFonts w:ascii="Cambria Math" w:hAnsi="Cambria Math" w:eastAsia="Cambria Math"/>
          <w:spacing w:val="-1"/>
          <w:w w:val="105"/>
          <w:sz w:val="17"/>
        </w:rPr>
        <w:t xml:space="preserve"> </w:t>
      </w:r>
      <w:r>
        <w:rPr>
          <w:rFonts w:ascii="Cambria Math" w:hAnsi="Cambria Math" w:eastAsia="Cambria Math"/>
          <w:w w:val="105"/>
          <w:sz w:val="17"/>
        </w:rPr>
        <w:t>𝑅𝑒𝑎𝑙𝑖𝑧á𝑣𝑒𝑙 𝑎</w:t>
      </w:r>
      <w:r>
        <w:rPr>
          <w:rFonts w:ascii="Cambria Math" w:hAnsi="Cambria Math" w:eastAsia="Cambria Math"/>
          <w:spacing w:val="1"/>
          <w:w w:val="105"/>
          <w:sz w:val="17"/>
        </w:rPr>
        <w:t xml:space="preserve"> </w:t>
      </w:r>
      <w:r>
        <w:rPr>
          <w:rFonts w:ascii="Cambria Math" w:hAnsi="Cambria Math" w:eastAsia="Cambria Math"/>
          <w:w w:val="105"/>
          <w:sz w:val="17"/>
        </w:rPr>
        <w:t>𝐿𝑜𝑛𝑔𝑜 𝑃𝑟𝑎𝑧𝑜</w:t>
      </w:r>
    </w:p>
    <w:p w14:paraId="056559CD">
      <w:pPr>
        <w:spacing w:before="19" w:line="163" w:lineRule="auto"/>
        <w:ind w:right="0" w:firstLine="712" w:firstLineChars="400"/>
        <w:jc w:val="left"/>
        <w:rPr>
          <w:rFonts w:ascii="Cambria Math" w:hAnsi="Cambria Math" w:eastAsia="Cambria Math"/>
          <w:w w:val="105"/>
          <w:sz w:val="17"/>
        </w:rPr>
      </w:pPr>
    </w:p>
    <w:p w14:paraId="7B8EFE48">
      <w:pPr>
        <w:spacing w:before="0" w:line="170" w:lineRule="exact"/>
        <w:ind w:left="70" w:leftChars="29" w:right="0" w:firstLine="2088" w:firstLineChars="1129"/>
        <w:jc w:val="left"/>
        <w:rPr>
          <w:rFonts w:ascii="Cambria Math" w:hAnsi="Cambria Math" w:eastAsia="Cambria Math"/>
          <w:sz w:val="17"/>
        </w:rPr>
      </w:pPr>
      <w:r>
        <w:rPr>
          <w:rFonts w:ascii="Cambria Math" w:hAnsi="Cambria Math" w:eastAsia="Cambria Math"/>
          <w:spacing w:val="-1"/>
          <w:w w:val="110"/>
          <w:sz w:val="17"/>
        </w:rPr>
        <w:t>𝑃𝑎𝑠𝑠𝑖𝑣𝑜</w:t>
      </w:r>
      <w:r>
        <w:rPr>
          <w:rFonts w:ascii="Cambria Math" w:hAnsi="Cambria Math" w:eastAsia="Cambria Math"/>
          <w:spacing w:val="-8"/>
          <w:w w:val="110"/>
          <w:sz w:val="17"/>
        </w:rPr>
        <w:t xml:space="preserve"> </w:t>
      </w:r>
      <w:r>
        <w:rPr>
          <w:rFonts w:ascii="Cambria Math" w:hAnsi="Cambria Math" w:eastAsia="Cambria Math"/>
          <w:spacing w:val="-1"/>
          <w:w w:val="110"/>
          <w:sz w:val="17"/>
        </w:rPr>
        <w:t>𝐶𝑖𝑟𝑐𝑢𝑙𝑎𝑛𝑡𝑒</w:t>
      </w:r>
      <w:r>
        <w:rPr>
          <w:rFonts w:ascii="Cambria Math" w:hAnsi="Cambria Math" w:eastAsia="Cambria Math"/>
          <w:spacing w:val="-7"/>
          <w:w w:val="110"/>
          <w:sz w:val="17"/>
        </w:rPr>
        <w:t xml:space="preserve"> </w:t>
      </w:r>
      <w:r>
        <w:rPr>
          <w:rFonts w:ascii="Cambria Math" w:hAnsi="Cambria Math" w:eastAsia="Cambria Math"/>
          <w:spacing w:val="-1"/>
          <w:w w:val="110"/>
          <w:sz w:val="17"/>
        </w:rPr>
        <w:t>+</w:t>
      </w:r>
      <w:r>
        <w:rPr>
          <w:rFonts w:ascii="Cambria Math" w:hAnsi="Cambria Math" w:eastAsia="Cambria Math"/>
          <w:spacing w:val="-9"/>
          <w:w w:val="110"/>
          <w:sz w:val="17"/>
        </w:rPr>
        <w:t xml:space="preserve"> </w:t>
      </w:r>
      <w:r>
        <w:rPr>
          <w:rFonts w:ascii="Cambria Math" w:hAnsi="Cambria Math" w:eastAsia="Cambria Math"/>
          <w:spacing w:val="-1"/>
          <w:w w:val="110"/>
          <w:sz w:val="17"/>
        </w:rPr>
        <w:t>𝐸𝑥𝑖𝑔í𝑣𝑒𝑙</w:t>
      </w:r>
      <w:r>
        <w:rPr>
          <w:rFonts w:ascii="Cambria Math" w:hAnsi="Cambria Math" w:eastAsia="Cambria Math"/>
          <w:spacing w:val="-7"/>
          <w:w w:val="110"/>
          <w:sz w:val="17"/>
        </w:rPr>
        <w:t xml:space="preserve"> </w:t>
      </w:r>
      <w:r>
        <w:rPr>
          <w:rFonts w:ascii="Cambria Math" w:hAnsi="Cambria Math" w:eastAsia="Cambria Math"/>
          <w:w w:val="110"/>
          <w:sz w:val="17"/>
        </w:rPr>
        <w:t>𝑎</w:t>
      </w:r>
      <w:r>
        <w:rPr>
          <w:rFonts w:ascii="Cambria Math" w:hAnsi="Cambria Math" w:eastAsia="Cambria Math"/>
          <w:spacing w:val="-9"/>
          <w:w w:val="110"/>
          <w:sz w:val="17"/>
        </w:rPr>
        <w:t xml:space="preserve"> </w:t>
      </w:r>
      <w:r>
        <w:rPr>
          <w:rFonts w:ascii="Cambria Math" w:hAnsi="Cambria Math" w:eastAsia="Cambria Math"/>
          <w:w w:val="110"/>
          <w:sz w:val="17"/>
        </w:rPr>
        <w:t>𝐿𝑜𝑛𝑔𝑜</w:t>
      </w:r>
      <w:r>
        <w:rPr>
          <w:rFonts w:ascii="Cambria Math" w:hAnsi="Cambria Math" w:eastAsia="Cambria Math"/>
          <w:spacing w:val="-6"/>
          <w:w w:val="110"/>
          <w:sz w:val="17"/>
        </w:rPr>
        <w:t xml:space="preserve"> </w:t>
      </w:r>
      <w:r>
        <w:rPr>
          <w:rFonts w:ascii="Cambria Math" w:hAnsi="Cambria Math" w:eastAsia="Cambria Math"/>
          <w:w w:val="110"/>
          <w:sz w:val="17"/>
        </w:rPr>
        <w:t>𝑃𝑟𝑎𝑧𝑜</w:t>
      </w:r>
    </w:p>
    <w:p w14:paraId="6E6F38BC">
      <w:pPr>
        <w:pStyle w:val="128"/>
        <w:numPr>
          <w:ilvl w:val="0"/>
          <w:numId w:val="0"/>
        </w:numPr>
        <w:spacing w:before="120" w:after="0" w:line="240" w:lineRule="auto"/>
        <w:ind w:left="840" w:leftChars="0" w:right="46" w:rightChars="0"/>
        <w:jc w:val="both"/>
      </w:pPr>
    </w:p>
    <w:p w14:paraId="1A98E7BF">
      <w:pPr>
        <w:spacing w:before="19" w:line="163" w:lineRule="auto"/>
        <w:ind w:right="0" w:firstLine="712" w:firstLineChars="400"/>
        <w:jc w:val="left"/>
        <w:rPr>
          <w:rFonts w:ascii="Cambria Math" w:hAnsi="Cambria Math" w:eastAsia="Cambria Math"/>
          <w:w w:val="105"/>
          <w:sz w:val="17"/>
        </w:rPr>
      </w:pPr>
    </w:p>
    <w:p w14:paraId="1BD0A1C4">
      <w:pPr>
        <w:spacing w:before="19" w:line="163" w:lineRule="auto"/>
        <w:ind w:left="0" w:leftChars="0" w:right="0" w:firstLine="660" w:firstLineChars="300"/>
        <w:jc w:val="left"/>
        <w:rPr>
          <w:rFonts w:hint="default" w:ascii="Arial" w:hAnsi="Arial" w:eastAsia="Cambria Math" w:cs="Arial"/>
          <w:sz w:val="22"/>
          <w:szCs w:val="22"/>
        </w:rPr>
      </w:pPr>
    </w:p>
    <w:p w14:paraId="011CB50E">
      <w:pPr>
        <w:pStyle w:val="17"/>
        <w:tabs>
          <w:tab w:val="left" w:pos="4024"/>
        </w:tabs>
        <w:spacing w:line="234" w:lineRule="exact"/>
        <w:jc w:val="left"/>
        <w:rPr>
          <w:rFonts w:ascii="Cambria Math" w:hAnsi="Cambria Math" w:eastAsia="Cambria Math"/>
        </w:rPr>
      </w:pPr>
      <w:r>
        <w:rPr>
          <w:rFonts w:hint="default" w:ascii="Arial" w:hAnsi="Arial" w:cs="Arial"/>
          <w:sz w:val="22"/>
          <w:szCs w:val="22"/>
        </w:rPr>
        <mc:AlternateContent>
          <mc:Choice Requires="wps">
            <w:drawing>
              <wp:anchor distT="0" distB="0" distL="114300" distR="114300" simplePos="0" relativeHeight="251660288" behindDoc="1" locked="0" layoutInCell="1" allowOverlap="1">
                <wp:simplePos x="0" y="0"/>
                <wp:positionH relativeFrom="page">
                  <wp:posOffset>2694940</wp:posOffset>
                </wp:positionH>
                <wp:positionV relativeFrom="paragraph">
                  <wp:posOffset>95885</wp:posOffset>
                </wp:positionV>
                <wp:extent cx="2348230" cy="10160"/>
                <wp:effectExtent l="0" t="0" r="0" b="0"/>
                <wp:wrapNone/>
                <wp:docPr id="3" name="Retângulo 3"/>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418D67A8"/>
                        </w:txbxContent>
                      </wps:txbx>
                      <wps:bodyPr upright="1"/>
                    </wps:wsp>
                  </a:graphicData>
                </a:graphic>
              </wp:anchor>
            </w:drawing>
          </mc:Choice>
          <mc:Fallback>
            <w:pict>
              <v:rect id="_x0000_s1026" o:spid="_x0000_s1026" o:spt="1" style="position:absolute;left:0pt;margin-left:212.2pt;margin-top:7.55pt;height:0.8pt;width:184.9pt;mso-position-horizontal-relative:page;z-index:-251656192;mso-width-relative:page;mso-height-relative:page;" fillcolor="#000000" filled="t" stroked="f" coordsize="21600,21600" o:gfxdata="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AT&#10;T6TL2AAAAAkBAAAPAAAAAAAAAAEAIAAAACIAAABkcnMvZG93bnJldi54bWxQSwECFAAUAAAACACH&#10;TuJAz5CjCrIBAABtAwAADgAAAAAAAAABACAAAAAnAQAAZHJzL2Uyb0RvYy54bWxQSwUGAAAAAAYA&#10;BgBZAQAASwUAAAAA&#10;">
                <v:fill on="t" focussize="0,0"/>
                <v:stroke on="f"/>
                <v:imagedata o:title=""/>
                <o:lock v:ext="edit" aspectratio="f"/>
                <v:textbox>
                  <w:txbxContent>
                    <w:p w14:paraId="418D67A8"/>
                  </w:txbxContent>
                </v:textbox>
              </v:rect>
            </w:pict>
          </mc:Fallback>
        </mc:AlternateContent>
      </w:r>
      <w:r>
        <w:rPr>
          <w:rFonts w:hint="default" w:ascii="Arial" w:hAnsi="Arial" w:cs="Arial"/>
          <w:sz w:val="22"/>
          <w:szCs w:val="22"/>
        </w:rPr>
        <w:t>Solvência</w:t>
      </w:r>
      <w:r>
        <w:rPr>
          <w:rFonts w:hint="default" w:ascii="Arial" w:hAnsi="Arial" w:cs="Arial"/>
          <w:spacing w:val="-2"/>
          <w:sz w:val="22"/>
          <w:szCs w:val="22"/>
        </w:rPr>
        <w:t xml:space="preserve"> </w:t>
      </w:r>
      <w:r>
        <w:rPr>
          <w:rFonts w:hint="default" w:ascii="Arial" w:hAnsi="Arial" w:cs="Arial"/>
          <w:sz w:val="22"/>
          <w:szCs w:val="22"/>
        </w:rPr>
        <w:t>Geral (SG)</w:t>
      </w:r>
      <w:r>
        <w:rPr>
          <w:rFonts w:hint="default" w:ascii="Arial" w:hAnsi="Arial" w:cs="Arial"/>
          <w:spacing w:val="-2"/>
          <w:sz w:val="22"/>
          <w:szCs w:val="22"/>
        </w:rPr>
        <w:t xml:space="preserve"> </w:t>
      </w:r>
      <w:r>
        <w:rPr>
          <w:rFonts w:hint="default" w:ascii="Arial" w:hAnsi="Arial" w:cs="Arial"/>
          <w:sz w:val="22"/>
          <w:szCs w:val="22"/>
        </w:rPr>
        <w:t>=</w:t>
      </w:r>
      <w:r>
        <w:rPr>
          <w:rFonts w:hint="default" w:ascii="Arial" w:hAnsi="Arial" w:cs="Arial"/>
          <w:sz w:val="22"/>
          <w:szCs w:val="22"/>
        </w:rPr>
        <w:tab/>
      </w:r>
      <w:r>
        <w:rPr>
          <w:rFonts w:ascii="Cambria Math" w:hAnsi="Cambria Math" w:eastAsia="Cambria Math"/>
          <w:w w:val="105"/>
          <w:vertAlign w:val="superscript"/>
        </w:rPr>
        <w:t>𝐴𝑡𝑖𝑣𝑜</w:t>
      </w:r>
      <w:r>
        <w:rPr>
          <w:rFonts w:ascii="Cambria Math" w:hAnsi="Cambria Math" w:eastAsia="Cambria Math"/>
          <w:spacing w:val="13"/>
          <w:w w:val="105"/>
          <w:vertAlign w:val="baseline"/>
        </w:rPr>
        <w:t xml:space="preserve"> </w:t>
      </w:r>
      <w:r>
        <w:rPr>
          <w:rFonts w:ascii="Cambria Math" w:hAnsi="Cambria Math" w:eastAsia="Cambria Math"/>
          <w:w w:val="105"/>
          <w:vertAlign w:val="superscript"/>
        </w:rPr>
        <w:t>𝑇𝑜𝑡𝑎𝑙</w:t>
      </w:r>
    </w:p>
    <w:p w14:paraId="0CEB5D7C">
      <w:pPr>
        <w:spacing w:before="0" w:line="152" w:lineRule="exact"/>
        <w:ind w:left="2282" w:right="2302" w:firstLine="0"/>
        <w:jc w:val="center"/>
        <w:rPr>
          <w:rFonts w:ascii="Cambria Math" w:hAnsi="Cambria Math" w:eastAsia="Cambria Math"/>
          <w:sz w:val="17"/>
        </w:rPr>
      </w:pPr>
      <w:r>
        <w:rPr>
          <w:rFonts w:ascii="Cambria Math" w:hAnsi="Cambria Math" w:eastAsia="Cambria Math"/>
          <w:spacing w:val="-1"/>
          <w:w w:val="110"/>
          <w:sz w:val="17"/>
        </w:rPr>
        <w:t>𝑃𝑎𝑠𝑠𝑖𝑣𝑜</w:t>
      </w:r>
      <w:r>
        <w:rPr>
          <w:rFonts w:ascii="Cambria Math" w:hAnsi="Cambria Math" w:eastAsia="Cambria Math"/>
          <w:spacing w:val="-8"/>
          <w:w w:val="110"/>
          <w:sz w:val="17"/>
        </w:rPr>
        <w:t xml:space="preserve"> </w:t>
      </w:r>
      <w:r>
        <w:rPr>
          <w:rFonts w:ascii="Cambria Math" w:hAnsi="Cambria Math" w:eastAsia="Cambria Math"/>
          <w:spacing w:val="-1"/>
          <w:w w:val="110"/>
          <w:sz w:val="17"/>
        </w:rPr>
        <w:t>𝐶𝑖𝑟𝑐𝑢𝑙𝑎𝑛𝑡𝑒</w:t>
      </w:r>
      <w:r>
        <w:rPr>
          <w:rFonts w:ascii="Cambria Math" w:hAnsi="Cambria Math" w:eastAsia="Cambria Math"/>
          <w:spacing w:val="-6"/>
          <w:w w:val="110"/>
          <w:sz w:val="17"/>
        </w:rPr>
        <w:t xml:space="preserve"> </w:t>
      </w:r>
      <w:r>
        <w:rPr>
          <w:rFonts w:ascii="Cambria Math" w:hAnsi="Cambria Math" w:eastAsia="Cambria Math"/>
          <w:w w:val="110"/>
          <w:sz w:val="17"/>
        </w:rPr>
        <w:t>+</w:t>
      </w:r>
      <w:r>
        <w:rPr>
          <w:rFonts w:ascii="Cambria Math" w:hAnsi="Cambria Math" w:eastAsia="Cambria Math"/>
          <w:spacing w:val="-10"/>
          <w:w w:val="110"/>
          <w:sz w:val="17"/>
        </w:rPr>
        <w:t xml:space="preserve"> </w:t>
      </w:r>
      <w:r>
        <w:rPr>
          <w:rFonts w:ascii="Cambria Math" w:hAnsi="Cambria Math" w:eastAsia="Cambria Math"/>
          <w:w w:val="110"/>
          <w:sz w:val="17"/>
        </w:rPr>
        <w:t>𝐸𝑥𝑖𝑔í𝑣𝑒𝑙</w:t>
      </w:r>
      <w:r>
        <w:rPr>
          <w:rFonts w:ascii="Cambria Math" w:hAnsi="Cambria Math" w:eastAsia="Cambria Math"/>
          <w:spacing w:val="-7"/>
          <w:w w:val="110"/>
          <w:sz w:val="17"/>
        </w:rPr>
        <w:t xml:space="preserve"> </w:t>
      </w:r>
      <w:r>
        <w:rPr>
          <w:rFonts w:ascii="Cambria Math" w:hAnsi="Cambria Math" w:eastAsia="Cambria Math"/>
          <w:w w:val="110"/>
          <w:sz w:val="17"/>
        </w:rPr>
        <w:t>𝑎</w:t>
      </w:r>
      <w:r>
        <w:rPr>
          <w:rFonts w:ascii="Cambria Math" w:hAnsi="Cambria Math" w:eastAsia="Cambria Math"/>
          <w:spacing w:val="-6"/>
          <w:w w:val="110"/>
          <w:sz w:val="17"/>
        </w:rPr>
        <w:t xml:space="preserve"> </w:t>
      </w:r>
      <w:r>
        <w:rPr>
          <w:rFonts w:ascii="Cambria Math" w:hAnsi="Cambria Math" w:eastAsia="Cambria Math"/>
          <w:w w:val="110"/>
          <w:sz w:val="17"/>
        </w:rPr>
        <w:t>𝐿𝑜𝑛𝑔𝑜</w:t>
      </w:r>
      <w:r>
        <w:rPr>
          <w:rFonts w:ascii="Cambria Math" w:hAnsi="Cambria Math" w:eastAsia="Cambria Math"/>
          <w:spacing w:val="-8"/>
          <w:w w:val="110"/>
          <w:sz w:val="17"/>
        </w:rPr>
        <w:t xml:space="preserve"> </w:t>
      </w:r>
      <w:r>
        <w:rPr>
          <w:rFonts w:ascii="Cambria Math" w:hAnsi="Cambria Math" w:eastAsia="Cambria Math"/>
          <w:w w:val="110"/>
          <w:sz w:val="17"/>
        </w:rPr>
        <w:t>𝑃𝑟𝑎𝑧𝑜</w:t>
      </w:r>
    </w:p>
    <w:p w14:paraId="2D37E265">
      <w:pPr>
        <w:pStyle w:val="17"/>
        <w:tabs>
          <w:tab w:val="left" w:pos="4024"/>
        </w:tabs>
        <w:spacing w:line="234" w:lineRule="exact"/>
        <w:ind w:left="0" w:leftChars="0" w:firstLine="660" w:firstLineChars="300"/>
        <w:jc w:val="left"/>
        <w:rPr>
          <w:rFonts w:hint="default" w:ascii="Arial" w:hAnsi="Arial" w:eastAsia="Cambria Math" w:cs="Arial"/>
          <w:sz w:val="22"/>
          <w:szCs w:val="22"/>
        </w:rPr>
      </w:pPr>
    </w:p>
    <w:p w14:paraId="02A12B5A">
      <w:pPr>
        <w:pStyle w:val="17"/>
        <w:tabs>
          <w:tab w:val="left" w:pos="4024"/>
        </w:tabs>
        <w:spacing w:line="234" w:lineRule="exact"/>
        <w:ind w:left="0" w:leftChars="0" w:firstLine="660" w:firstLineChars="300"/>
        <w:jc w:val="left"/>
        <w:rPr>
          <w:rFonts w:hint="default" w:ascii="Arial" w:hAnsi="Arial" w:cs="Arial"/>
          <w:sz w:val="22"/>
          <w:szCs w:val="22"/>
        </w:rPr>
      </w:pPr>
    </w:p>
    <w:p w14:paraId="34806F44">
      <w:pPr>
        <w:pStyle w:val="17"/>
        <w:tabs>
          <w:tab w:val="left" w:pos="4024"/>
        </w:tabs>
        <w:spacing w:line="234" w:lineRule="exact"/>
        <w:ind w:left="0" w:leftChars="0" w:firstLine="660" w:firstLineChars="300"/>
        <w:jc w:val="left"/>
        <w:rPr>
          <w:rFonts w:hint="default" w:ascii="Arial" w:hAnsi="Arial" w:cs="Arial"/>
          <w:sz w:val="22"/>
          <w:szCs w:val="22"/>
        </w:rPr>
      </w:pPr>
    </w:p>
    <w:p w14:paraId="2BF87167">
      <w:pPr>
        <w:pStyle w:val="17"/>
        <w:tabs>
          <w:tab w:val="left" w:pos="4024"/>
        </w:tabs>
        <w:spacing w:line="234" w:lineRule="exact"/>
        <w:jc w:val="left"/>
        <w:rPr>
          <w:rFonts w:ascii="Cambria Math" w:hAnsi="Cambria Math" w:eastAsia="Cambria Math"/>
        </w:rPr>
      </w:pPr>
      <w:r>
        <w:rPr>
          <w:rFonts w:hint="default" w:ascii="Arial" w:hAnsi="Arial" w:cs="Arial"/>
          <w:sz w:val="22"/>
          <w:szCs w:val="22"/>
        </w:rPr>
        <mc:AlternateContent>
          <mc:Choice Requires="wps">
            <w:drawing>
              <wp:anchor distT="0" distB="0" distL="114300" distR="114300" simplePos="0" relativeHeight="251661312" behindDoc="1" locked="0" layoutInCell="1" allowOverlap="1">
                <wp:simplePos x="0" y="0"/>
                <wp:positionH relativeFrom="page">
                  <wp:posOffset>2694940</wp:posOffset>
                </wp:positionH>
                <wp:positionV relativeFrom="paragraph">
                  <wp:posOffset>95885</wp:posOffset>
                </wp:positionV>
                <wp:extent cx="2348230" cy="10160"/>
                <wp:effectExtent l="0" t="0" r="0" b="0"/>
                <wp:wrapNone/>
                <wp:docPr id="4" name="Retângulo 4"/>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2EFB3C7C"/>
                        </w:txbxContent>
                      </wps:txbx>
                      <wps:bodyPr upright="1"/>
                    </wps:wsp>
                  </a:graphicData>
                </a:graphic>
              </wp:anchor>
            </w:drawing>
          </mc:Choice>
          <mc:Fallback>
            <w:pict>
              <v:rect id="_x0000_s1026" o:spid="_x0000_s1026" o:spt="1" style="position:absolute;left:0pt;margin-left:212.2pt;margin-top:7.55pt;height:0.8pt;width:184.9pt;mso-position-horizontal-relative:page;z-index:-251655168;mso-width-relative:page;mso-height-relative:page;" fillcolor="#000000" filled="t" stroked="f" coordsize="21600,21600" o:gfxdata="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AT&#10;T6TL2AAAAAkBAAAPAAAAAAAAAAEAIAAAACIAAABkcnMvZG93bnJldi54bWxQSwECFAAUAAAACACH&#10;TuJAgrQ7C7IBAABtAwAADgAAAAAAAAABACAAAAAnAQAAZHJzL2Uyb0RvYy54bWxQSwUGAAAAAAYA&#10;BgBZAQAASwUAAAAA&#10;">
                <v:fill on="t" focussize="0,0"/>
                <v:stroke on="f"/>
                <v:imagedata o:title=""/>
                <o:lock v:ext="edit" aspectratio="f"/>
                <v:textbox>
                  <w:txbxContent>
                    <w:p w14:paraId="2EFB3C7C"/>
                  </w:txbxContent>
                </v:textbox>
              </v:rect>
            </w:pict>
          </mc:Fallback>
        </mc:AlternateContent>
      </w:r>
      <w:r>
        <w:rPr>
          <w:rFonts w:hint="default" w:ascii="Arial" w:hAnsi="Arial" w:cs="Arial"/>
          <w:sz w:val="22"/>
          <w:szCs w:val="22"/>
          <w:lang w:val="pt-BR"/>
        </w:rPr>
        <w:t>Liquidez Corrente</w:t>
      </w:r>
      <w:r>
        <w:rPr>
          <w:rFonts w:hint="default" w:ascii="Arial" w:hAnsi="Arial" w:cs="Arial"/>
          <w:sz w:val="22"/>
          <w:szCs w:val="22"/>
        </w:rPr>
        <w:t xml:space="preserve"> (</w:t>
      </w:r>
      <w:r>
        <w:rPr>
          <w:rFonts w:hint="default" w:ascii="Arial" w:hAnsi="Arial" w:cs="Arial"/>
          <w:sz w:val="22"/>
          <w:szCs w:val="22"/>
          <w:lang w:val="pt-BR"/>
        </w:rPr>
        <w:t>LC</w:t>
      </w:r>
      <w:r>
        <w:rPr>
          <w:rFonts w:hint="default" w:ascii="Arial" w:hAnsi="Arial" w:cs="Arial"/>
          <w:sz w:val="22"/>
          <w:szCs w:val="22"/>
        </w:rPr>
        <w:t>)</w:t>
      </w:r>
      <w:r>
        <w:rPr>
          <w:rFonts w:hint="default" w:ascii="Arial" w:hAnsi="Arial" w:cs="Arial"/>
          <w:spacing w:val="-2"/>
          <w:sz w:val="22"/>
          <w:szCs w:val="22"/>
        </w:rPr>
        <w:t xml:space="preserve"> </w:t>
      </w:r>
      <w:r>
        <w:rPr>
          <w:rFonts w:hint="default" w:ascii="Arial" w:hAnsi="Arial" w:cs="Arial"/>
          <w:sz w:val="22"/>
          <w:szCs w:val="22"/>
        </w:rPr>
        <w:t>=</w:t>
      </w:r>
      <w:r>
        <w:rPr>
          <w:rFonts w:hint="default" w:ascii="Arial" w:hAnsi="Arial" w:cs="Arial"/>
          <w:sz w:val="22"/>
          <w:szCs w:val="22"/>
        </w:rPr>
        <w:tab/>
      </w:r>
      <w:r>
        <w:rPr>
          <w:rFonts w:ascii="Cambria Math" w:hAnsi="Cambria Math" w:eastAsia="Cambria Math"/>
          <w:w w:val="105"/>
          <w:vertAlign w:val="superscript"/>
        </w:rPr>
        <w:t>𝐴𝑡𝑖𝑣𝑜</w:t>
      </w:r>
      <w:r>
        <w:rPr>
          <w:rFonts w:ascii="Cambria Math" w:hAnsi="Cambria Math" w:eastAsia="Cambria Math"/>
          <w:spacing w:val="13"/>
          <w:w w:val="105"/>
          <w:vertAlign w:val="baseline"/>
        </w:rPr>
        <w:t xml:space="preserve"> </w:t>
      </w:r>
      <w:r>
        <w:rPr>
          <w:rFonts w:hint="default" w:ascii="Cambria Math" w:hAnsi="Cambria Math" w:eastAsia="Cambria Math"/>
          <w:i/>
          <w:iCs/>
          <w:w w:val="105"/>
          <w:vertAlign w:val="superscript"/>
          <w:lang w:val="pt-BR"/>
        </w:rPr>
        <w:t>Circulante</w:t>
      </w:r>
    </w:p>
    <w:p w14:paraId="25272572">
      <w:pPr>
        <w:spacing w:before="0" w:line="152" w:lineRule="exact"/>
        <w:ind w:left="2282" w:right="2302" w:firstLine="0"/>
        <w:jc w:val="center"/>
        <w:rPr>
          <w:rFonts w:ascii="Cambria Math" w:hAnsi="Cambria Math" w:eastAsia="Cambria Math"/>
          <w:sz w:val="17"/>
        </w:rPr>
      </w:pPr>
      <w:r>
        <w:rPr>
          <w:rFonts w:ascii="Cambria Math" w:hAnsi="Cambria Math" w:eastAsia="Cambria Math"/>
          <w:spacing w:val="-1"/>
          <w:w w:val="110"/>
          <w:sz w:val="17"/>
        </w:rPr>
        <w:t>𝑃𝑎𝑠𝑠𝑖𝑣𝑜</w:t>
      </w:r>
      <w:r>
        <w:rPr>
          <w:rFonts w:ascii="Cambria Math" w:hAnsi="Cambria Math" w:eastAsia="Cambria Math"/>
          <w:spacing w:val="-8"/>
          <w:w w:val="110"/>
          <w:sz w:val="17"/>
        </w:rPr>
        <w:t xml:space="preserve"> </w:t>
      </w:r>
      <w:r>
        <w:rPr>
          <w:rFonts w:ascii="Cambria Math" w:hAnsi="Cambria Math" w:eastAsia="Cambria Math"/>
          <w:spacing w:val="-1"/>
          <w:w w:val="110"/>
          <w:sz w:val="17"/>
        </w:rPr>
        <w:t>𝐶𝑖𝑟𝑐𝑢𝑙𝑎𝑛𝑡𝑒</w:t>
      </w:r>
    </w:p>
    <w:p w14:paraId="58F77A3E">
      <w:pPr>
        <w:spacing w:before="0" w:line="152" w:lineRule="exact"/>
        <w:ind w:left="2282" w:right="2302" w:firstLine="0"/>
        <w:jc w:val="center"/>
        <w:rPr>
          <w:rFonts w:hint="default" w:ascii="Arial" w:hAnsi="Arial" w:eastAsia="Cambria Math" w:cs="Arial"/>
          <w:spacing w:val="-1"/>
          <w:w w:val="110"/>
          <w:sz w:val="22"/>
          <w:szCs w:val="22"/>
        </w:rPr>
      </w:pPr>
    </w:p>
    <w:p w14:paraId="3CA62E75">
      <w:pPr>
        <w:spacing w:before="0" w:line="152" w:lineRule="exact"/>
        <w:ind w:left="2282" w:right="2302" w:firstLine="0"/>
        <w:jc w:val="center"/>
        <w:rPr>
          <w:rFonts w:hint="default" w:ascii="Arial" w:hAnsi="Arial" w:eastAsia="Cambria Math" w:cs="Arial"/>
          <w:spacing w:val="-1"/>
          <w:w w:val="110"/>
          <w:sz w:val="22"/>
          <w:szCs w:val="22"/>
        </w:rPr>
      </w:pPr>
    </w:p>
    <w:p w14:paraId="04101785">
      <w:pPr>
        <w:spacing w:before="0" w:line="152" w:lineRule="exact"/>
        <w:ind w:left="2282" w:right="2302" w:firstLine="0"/>
        <w:jc w:val="center"/>
        <w:rPr>
          <w:rFonts w:hint="default" w:ascii="Arial" w:hAnsi="Arial" w:eastAsia="Cambria Math" w:cs="Arial"/>
          <w:spacing w:val="-1"/>
          <w:w w:val="110"/>
          <w:sz w:val="22"/>
          <w:szCs w:val="22"/>
        </w:rPr>
      </w:pPr>
    </w:p>
    <w:p w14:paraId="5F77D45A">
      <w:pPr>
        <w:pStyle w:val="128"/>
        <w:numPr>
          <w:ilvl w:val="3"/>
          <w:numId w:val="10"/>
        </w:numPr>
        <w:spacing w:before="120" w:after="0" w:line="360" w:lineRule="auto"/>
        <w:ind w:left="840" w:leftChars="0" w:right="46" w:rightChars="0" w:firstLine="0" w:firstLineChars="0"/>
        <w:jc w:val="both"/>
        <w:rPr>
          <w:rFonts w:hint="default" w:ascii="Arial" w:hAnsi="Arial" w:cs="Arial"/>
          <w:sz w:val="22"/>
          <w:szCs w:val="22"/>
          <w:lang w:val="pt-BR"/>
        </w:rPr>
      </w:pPr>
      <w:r>
        <w:rPr>
          <w:rFonts w:hint="default" w:ascii="Arial" w:hAnsi="Arial" w:eastAsia="SimSun" w:cs="Arial"/>
          <w:sz w:val="22"/>
          <w:szCs w:val="22"/>
        </w:rPr>
        <w:t>Caso a empresa licitante apresente resultado inferior ou igual a 1 (um) em qualquer dos índices de Liquidez Geral (LG),Solvência Geral (SG) e Liquidez Corrente (LC), será exigido para fins de habilitação capital mínimo de 1</w:t>
      </w:r>
      <w:r>
        <w:rPr>
          <w:rFonts w:hint="default" w:ascii="Arial" w:hAnsi="Arial" w:cs="Arial"/>
          <w:sz w:val="22"/>
          <w:szCs w:val="22"/>
          <w:lang w:val="pt-BR"/>
        </w:rPr>
        <w:t>0</w:t>
      </w:r>
      <w:r>
        <w:rPr>
          <w:rFonts w:hint="default" w:ascii="Arial" w:hAnsi="Arial" w:eastAsia="SimSun" w:cs="Arial"/>
          <w:sz w:val="22"/>
          <w:szCs w:val="22"/>
        </w:rPr>
        <w:t>% (</w:t>
      </w:r>
      <w:r>
        <w:rPr>
          <w:rFonts w:hint="default" w:ascii="Arial" w:hAnsi="Arial" w:cs="Arial"/>
          <w:sz w:val="22"/>
          <w:szCs w:val="22"/>
          <w:lang w:val="pt-BR"/>
        </w:rPr>
        <w:t xml:space="preserve">dez </w:t>
      </w:r>
      <w:r>
        <w:rPr>
          <w:rFonts w:hint="default" w:ascii="Arial" w:hAnsi="Arial" w:eastAsia="SimSun" w:cs="Arial"/>
          <w:sz w:val="22"/>
          <w:szCs w:val="22"/>
        </w:rPr>
        <w:t xml:space="preserve">por cento) do valor total estimado </w:t>
      </w:r>
      <w:r>
        <w:rPr>
          <w:rFonts w:hint="default" w:ascii="Arial" w:hAnsi="Arial" w:eastAsia="SimSun" w:cs="Arial"/>
          <w:sz w:val="22"/>
          <w:szCs w:val="22"/>
          <w:lang w:val="pt-BR"/>
        </w:rPr>
        <w:t xml:space="preserve">para o item </w:t>
      </w:r>
      <w:r>
        <w:rPr>
          <w:rFonts w:hint="default" w:ascii="Arial" w:hAnsi="Arial" w:eastAsia="SimSun" w:cs="Arial"/>
          <w:sz w:val="22"/>
          <w:szCs w:val="22"/>
        </w:rPr>
        <w:t>da contratação.</w:t>
      </w:r>
      <w:r>
        <w:rPr>
          <w:rFonts w:ascii="Arial" w:hAnsi="Arial" w:cs="Arial"/>
          <w:color w:val="000000"/>
          <w:sz w:val="22"/>
          <w:szCs w:val="22"/>
        </w:rPr>
        <w:t xml:space="preserve"> </w:t>
      </w:r>
      <w:r>
        <w:rPr>
          <w:rFonts w:ascii="Arial" w:hAnsi="Arial" w:cs="Arial"/>
          <w:sz w:val="22"/>
          <w:szCs w:val="22"/>
        </w:rPr>
        <w:t>(Lei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69,</w:t>
      </w:r>
      <w:r>
        <w:rPr>
          <w:rFonts w:ascii="Arial" w:hAnsi="Arial" w:cs="Arial"/>
          <w:spacing w:val="-4"/>
          <w:sz w:val="22"/>
          <w:szCs w:val="22"/>
        </w:rPr>
        <w:t xml:space="preserve"> </w:t>
      </w:r>
      <w:r>
        <w:rPr>
          <w:rFonts w:ascii="Arial" w:hAnsi="Arial" w:cs="Arial"/>
          <w:sz w:val="22"/>
          <w:szCs w:val="22"/>
        </w:rPr>
        <w:t>§4º)</w:t>
      </w:r>
    </w:p>
    <w:p w14:paraId="49AC232E">
      <w:pPr>
        <w:pStyle w:val="128"/>
        <w:numPr>
          <w:ilvl w:val="3"/>
          <w:numId w:val="10"/>
        </w:numPr>
        <w:spacing w:before="120" w:after="0" w:line="360" w:lineRule="auto"/>
        <w:ind w:left="840" w:leftChars="0" w:right="46" w:rightChars="0" w:firstLine="0" w:firstLineChars="0"/>
        <w:jc w:val="both"/>
        <w:rPr>
          <w:rFonts w:hint="default" w:ascii="Arial" w:hAnsi="Arial" w:cs="Arial"/>
          <w:sz w:val="22"/>
          <w:szCs w:val="22"/>
          <w:lang w:val="pt-BR"/>
        </w:rPr>
      </w:pPr>
      <w:r>
        <w:rPr>
          <w:rFonts w:hint="default" w:ascii="Arial" w:hAnsi="Arial" w:cs="Arial"/>
          <w:sz w:val="22"/>
          <w:szCs w:val="22"/>
        </w:rPr>
        <w:t>As empresas criadas no exercício financeiro da licitação deverão atender a</w:t>
      </w:r>
      <w:r>
        <w:rPr>
          <w:rFonts w:hint="default" w:ascii="Arial" w:hAnsi="Arial" w:cs="Arial"/>
          <w:spacing w:val="1"/>
          <w:sz w:val="22"/>
          <w:szCs w:val="22"/>
        </w:rPr>
        <w:t xml:space="preserve"> </w:t>
      </w:r>
      <w:r>
        <w:rPr>
          <w:rFonts w:hint="default" w:ascii="Arial" w:hAnsi="Arial" w:cs="Arial"/>
          <w:sz w:val="22"/>
          <w:szCs w:val="22"/>
        </w:rPr>
        <w:t>todas</w:t>
      </w:r>
      <w:r>
        <w:rPr>
          <w:rFonts w:hint="default" w:ascii="Arial" w:hAnsi="Arial" w:cs="Arial"/>
          <w:spacing w:val="1"/>
          <w:sz w:val="22"/>
          <w:szCs w:val="22"/>
        </w:rPr>
        <w:t xml:space="preserve"> </w:t>
      </w:r>
      <w:r>
        <w:rPr>
          <w:rFonts w:hint="default" w:ascii="Arial" w:hAnsi="Arial" w:cs="Arial"/>
          <w:sz w:val="22"/>
          <w:szCs w:val="22"/>
        </w:rPr>
        <w:t>as</w:t>
      </w:r>
      <w:r>
        <w:rPr>
          <w:rFonts w:hint="default" w:ascii="Arial" w:hAnsi="Arial" w:cs="Arial"/>
          <w:spacing w:val="1"/>
          <w:sz w:val="22"/>
          <w:szCs w:val="22"/>
        </w:rPr>
        <w:t xml:space="preserve"> </w:t>
      </w:r>
      <w:r>
        <w:rPr>
          <w:rFonts w:hint="default" w:ascii="Arial" w:hAnsi="Arial" w:cs="Arial"/>
          <w:sz w:val="22"/>
          <w:szCs w:val="22"/>
        </w:rPr>
        <w:t>exigências</w:t>
      </w:r>
      <w:r>
        <w:rPr>
          <w:rFonts w:hint="default" w:ascii="Arial" w:hAnsi="Arial" w:cs="Arial"/>
          <w:spacing w:val="1"/>
          <w:sz w:val="22"/>
          <w:szCs w:val="22"/>
        </w:rPr>
        <w:t xml:space="preserve"> </w:t>
      </w:r>
      <w:r>
        <w:rPr>
          <w:rFonts w:hint="default" w:ascii="Arial" w:hAnsi="Arial" w:cs="Arial"/>
          <w:sz w:val="22"/>
          <w:szCs w:val="22"/>
        </w:rPr>
        <w:t>da</w:t>
      </w:r>
      <w:r>
        <w:rPr>
          <w:rFonts w:hint="default" w:ascii="Arial" w:hAnsi="Arial" w:cs="Arial"/>
          <w:spacing w:val="1"/>
          <w:sz w:val="22"/>
          <w:szCs w:val="22"/>
        </w:rPr>
        <w:t xml:space="preserve"> </w:t>
      </w:r>
      <w:r>
        <w:rPr>
          <w:rFonts w:hint="default" w:ascii="Arial" w:hAnsi="Arial" w:cs="Arial"/>
          <w:sz w:val="22"/>
          <w:szCs w:val="22"/>
        </w:rPr>
        <w:t>habilitação</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poderão</w:t>
      </w:r>
      <w:r>
        <w:rPr>
          <w:rFonts w:hint="default" w:ascii="Arial" w:hAnsi="Arial" w:cs="Arial"/>
          <w:spacing w:val="1"/>
          <w:sz w:val="22"/>
          <w:szCs w:val="22"/>
        </w:rPr>
        <w:t xml:space="preserve"> </w:t>
      </w:r>
      <w:r>
        <w:rPr>
          <w:rFonts w:hint="default" w:ascii="Arial" w:hAnsi="Arial" w:cs="Arial"/>
          <w:sz w:val="22"/>
          <w:szCs w:val="22"/>
        </w:rPr>
        <w:t>substituir</w:t>
      </w:r>
      <w:r>
        <w:rPr>
          <w:rFonts w:hint="default" w:ascii="Arial" w:hAnsi="Arial" w:cs="Arial"/>
          <w:spacing w:val="1"/>
          <w:sz w:val="22"/>
          <w:szCs w:val="22"/>
        </w:rPr>
        <w:t xml:space="preserve"> </w:t>
      </w:r>
      <w:r>
        <w:rPr>
          <w:rFonts w:hint="default" w:ascii="Arial" w:hAnsi="Arial" w:cs="Arial"/>
          <w:sz w:val="22"/>
          <w:szCs w:val="22"/>
        </w:rPr>
        <w:t>os</w:t>
      </w:r>
      <w:r>
        <w:rPr>
          <w:rFonts w:hint="default" w:ascii="Arial" w:hAnsi="Arial" w:cs="Arial"/>
          <w:spacing w:val="1"/>
          <w:sz w:val="22"/>
          <w:szCs w:val="22"/>
        </w:rPr>
        <w:t xml:space="preserve"> </w:t>
      </w:r>
      <w:r>
        <w:rPr>
          <w:rFonts w:hint="default" w:ascii="Arial" w:hAnsi="Arial" w:cs="Arial"/>
          <w:sz w:val="22"/>
          <w:szCs w:val="22"/>
        </w:rPr>
        <w:t>demonstrativos</w:t>
      </w:r>
      <w:r>
        <w:rPr>
          <w:rFonts w:hint="default" w:ascii="Arial" w:hAnsi="Arial" w:cs="Arial"/>
          <w:spacing w:val="-64"/>
          <w:sz w:val="22"/>
          <w:szCs w:val="22"/>
        </w:rPr>
        <w:t xml:space="preserve"> </w:t>
      </w:r>
      <w:r>
        <w:rPr>
          <w:rFonts w:hint="default" w:ascii="Arial" w:hAnsi="Arial" w:cs="Arial"/>
          <w:sz w:val="22"/>
          <w:szCs w:val="22"/>
        </w:rPr>
        <w:t>contábeis</w:t>
      </w:r>
      <w:r>
        <w:rPr>
          <w:rFonts w:hint="default" w:ascii="Arial" w:hAnsi="Arial" w:cs="Arial"/>
          <w:spacing w:val="-1"/>
          <w:sz w:val="22"/>
          <w:szCs w:val="22"/>
        </w:rPr>
        <w:t xml:space="preserve"> </w:t>
      </w:r>
      <w:r>
        <w:rPr>
          <w:rFonts w:hint="default" w:ascii="Arial" w:hAnsi="Arial" w:cs="Arial"/>
          <w:sz w:val="22"/>
          <w:szCs w:val="22"/>
        </w:rPr>
        <w:t>pelo</w:t>
      </w:r>
      <w:r>
        <w:rPr>
          <w:rFonts w:hint="default" w:ascii="Arial" w:hAnsi="Arial" w:cs="Arial"/>
          <w:spacing w:val="-3"/>
          <w:sz w:val="22"/>
          <w:szCs w:val="22"/>
        </w:rPr>
        <w:t xml:space="preserve"> </w:t>
      </w:r>
      <w:r>
        <w:rPr>
          <w:rFonts w:hint="default" w:ascii="Arial" w:hAnsi="Arial" w:cs="Arial"/>
          <w:sz w:val="22"/>
          <w:szCs w:val="22"/>
        </w:rPr>
        <w:t>balanço</w:t>
      </w:r>
      <w:r>
        <w:rPr>
          <w:rFonts w:hint="default" w:ascii="Arial" w:hAnsi="Arial" w:cs="Arial"/>
          <w:spacing w:val="-2"/>
          <w:sz w:val="22"/>
          <w:szCs w:val="22"/>
        </w:rPr>
        <w:t xml:space="preserve"> </w:t>
      </w:r>
      <w:r>
        <w:rPr>
          <w:rFonts w:hint="default" w:ascii="Arial" w:hAnsi="Arial" w:cs="Arial"/>
          <w:sz w:val="22"/>
          <w:szCs w:val="22"/>
        </w:rPr>
        <w:t>de</w:t>
      </w:r>
      <w:r>
        <w:rPr>
          <w:rFonts w:hint="default" w:ascii="Arial" w:hAnsi="Arial" w:cs="Arial"/>
          <w:spacing w:val="-3"/>
          <w:sz w:val="22"/>
          <w:szCs w:val="22"/>
        </w:rPr>
        <w:t xml:space="preserve"> </w:t>
      </w:r>
      <w:r>
        <w:rPr>
          <w:rFonts w:hint="default" w:ascii="Arial" w:hAnsi="Arial" w:cs="Arial"/>
          <w:sz w:val="22"/>
          <w:szCs w:val="22"/>
        </w:rPr>
        <w:t>abertura. (Lei</w:t>
      </w:r>
      <w:r>
        <w:rPr>
          <w:rFonts w:hint="default" w:ascii="Arial" w:hAnsi="Arial" w:cs="Arial"/>
          <w:spacing w:val="-1"/>
          <w:sz w:val="22"/>
          <w:szCs w:val="22"/>
        </w:rPr>
        <w:t xml:space="preserve"> </w:t>
      </w:r>
      <w:r>
        <w:rPr>
          <w:rFonts w:hint="default" w:ascii="Arial" w:hAnsi="Arial" w:cs="Arial"/>
          <w:sz w:val="22"/>
          <w:szCs w:val="22"/>
        </w:rPr>
        <w:t>nº</w:t>
      </w:r>
      <w:r>
        <w:rPr>
          <w:rFonts w:hint="default" w:ascii="Arial" w:hAnsi="Arial" w:cs="Arial"/>
          <w:spacing w:val="-2"/>
          <w:sz w:val="22"/>
          <w:szCs w:val="22"/>
        </w:rPr>
        <w:t xml:space="preserve"> </w:t>
      </w:r>
      <w:r>
        <w:rPr>
          <w:rFonts w:hint="default" w:ascii="Arial" w:hAnsi="Arial" w:cs="Arial"/>
          <w:sz w:val="22"/>
          <w:szCs w:val="22"/>
        </w:rPr>
        <w:t>14.133,</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2021,</w:t>
      </w:r>
      <w:r>
        <w:rPr>
          <w:rFonts w:hint="default" w:ascii="Arial" w:hAnsi="Arial" w:cs="Arial"/>
          <w:spacing w:val="-2"/>
          <w:sz w:val="22"/>
          <w:szCs w:val="22"/>
        </w:rPr>
        <w:t xml:space="preserve"> </w:t>
      </w:r>
      <w:r>
        <w:rPr>
          <w:rFonts w:hint="default" w:ascii="Arial" w:hAnsi="Arial" w:cs="Arial"/>
          <w:sz w:val="22"/>
          <w:szCs w:val="22"/>
        </w:rPr>
        <w:t>art.</w:t>
      </w:r>
      <w:r>
        <w:rPr>
          <w:rFonts w:hint="default" w:ascii="Arial" w:hAnsi="Arial" w:cs="Arial"/>
          <w:spacing w:val="-3"/>
          <w:sz w:val="22"/>
          <w:szCs w:val="22"/>
        </w:rPr>
        <w:t xml:space="preserve"> </w:t>
      </w:r>
      <w:r>
        <w:rPr>
          <w:rFonts w:hint="default" w:ascii="Arial" w:hAnsi="Arial" w:cs="Arial"/>
          <w:sz w:val="22"/>
          <w:szCs w:val="22"/>
        </w:rPr>
        <w:t>6</w:t>
      </w:r>
      <w:r>
        <w:rPr>
          <w:rFonts w:hint="default" w:ascii="Arial" w:hAnsi="Arial" w:cs="Arial"/>
          <w:sz w:val="22"/>
          <w:szCs w:val="22"/>
          <w:lang w:val="pt-BR"/>
        </w:rPr>
        <w:t>9</w:t>
      </w:r>
      <w:r>
        <w:rPr>
          <w:rFonts w:hint="default" w:ascii="Arial" w:hAnsi="Arial" w:cs="Arial"/>
          <w:sz w:val="22"/>
          <w:szCs w:val="22"/>
        </w:rPr>
        <w:t>,</w:t>
      </w:r>
      <w:r>
        <w:rPr>
          <w:rFonts w:hint="default" w:ascii="Arial" w:hAnsi="Arial" w:cs="Arial"/>
          <w:spacing w:val="-4"/>
          <w:sz w:val="22"/>
          <w:szCs w:val="22"/>
        </w:rPr>
        <w:t xml:space="preserve"> </w:t>
      </w:r>
      <w:r>
        <w:rPr>
          <w:rFonts w:hint="default" w:ascii="Arial" w:hAnsi="Arial" w:cs="Arial"/>
          <w:sz w:val="22"/>
          <w:szCs w:val="22"/>
        </w:rPr>
        <w:t>§1º).</w:t>
      </w:r>
    </w:p>
    <w:p w14:paraId="54E189CF">
      <w:pPr>
        <w:pStyle w:val="128"/>
        <w:numPr>
          <w:ilvl w:val="3"/>
          <w:numId w:val="10"/>
        </w:numPr>
        <w:spacing w:before="120" w:after="0" w:line="360" w:lineRule="auto"/>
        <w:ind w:left="840" w:leftChars="0" w:right="46" w:rightChars="0" w:firstLine="0" w:firstLineChars="0"/>
        <w:jc w:val="both"/>
        <w:rPr>
          <w:rFonts w:hint="default" w:ascii="Arial" w:hAnsi="Arial" w:cs="Arial"/>
          <w:sz w:val="22"/>
          <w:szCs w:val="22"/>
        </w:rPr>
      </w:pPr>
      <w:r>
        <w:rPr>
          <w:rFonts w:hint="default" w:ascii="Arial" w:hAnsi="Arial" w:cs="Arial"/>
          <w:sz w:val="22"/>
          <w:szCs w:val="22"/>
        </w:rPr>
        <w:t>Os</w:t>
      </w:r>
      <w:r>
        <w:rPr>
          <w:rFonts w:hint="default" w:ascii="Arial" w:hAnsi="Arial" w:cs="Arial"/>
          <w:spacing w:val="-7"/>
          <w:sz w:val="22"/>
          <w:szCs w:val="22"/>
        </w:rPr>
        <w:t xml:space="preserve"> </w:t>
      </w:r>
      <w:r>
        <w:rPr>
          <w:rFonts w:hint="default" w:ascii="Arial" w:hAnsi="Arial" w:cs="Arial"/>
          <w:sz w:val="22"/>
          <w:szCs w:val="22"/>
        </w:rPr>
        <w:t>documentos</w:t>
      </w:r>
      <w:r>
        <w:rPr>
          <w:rFonts w:hint="default" w:ascii="Arial" w:hAnsi="Arial" w:cs="Arial"/>
          <w:spacing w:val="-7"/>
          <w:sz w:val="22"/>
          <w:szCs w:val="22"/>
        </w:rPr>
        <w:t xml:space="preserve"> </w:t>
      </w:r>
      <w:r>
        <w:rPr>
          <w:rFonts w:hint="default" w:ascii="Arial" w:hAnsi="Arial" w:cs="Arial"/>
          <w:sz w:val="22"/>
          <w:szCs w:val="22"/>
        </w:rPr>
        <w:t>referidos</w:t>
      </w:r>
      <w:r>
        <w:rPr>
          <w:rFonts w:hint="default" w:ascii="Arial" w:hAnsi="Arial" w:cs="Arial"/>
          <w:spacing w:val="-7"/>
          <w:sz w:val="22"/>
          <w:szCs w:val="22"/>
        </w:rPr>
        <w:t xml:space="preserve"> </w:t>
      </w:r>
      <w:r>
        <w:rPr>
          <w:rFonts w:hint="default" w:ascii="Arial" w:hAnsi="Arial" w:cs="Arial"/>
          <w:sz w:val="22"/>
          <w:szCs w:val="22"/>
        </w:rPr>
        <w:t>acima</w:t>
      </w:r>
      <w:r>
        <w:rPr>
          <w:rFonts w:hint="default" w:ascii="Arial" w:hAnsi="Arial" w:cs="Arial"/>
          <w:spacing w:val="-6"/>
          <w:sz w:val="22"/>
          <w:szCs w:val="22"/>
        </w:rPr>
        <w:t xml:space="preserve"> </w:t>
      </w:r>
      <w:r>
        <w:rPr>
          <w:rFonts w:hint="default" w:ascii="Arial" w:hAnsi="Arial" w:cs="Arial"/>
          <w:sz w:val="22"/>
          <w:szCs w:val="22"/>
        </w:rPr>
        <w:t>limitar-se-ão</w:t>
      </w:r>
      <w:r>
        <w:rPr>
          <w:rFonts w:hint="default" w:ascii="Arial" w:hAnsi="Arial" w:cs="Arial"/>
          <w:spacing w:val="-7"/>
          <w:sz w:val="22"/>
          <w:szCs w:val="22"/>
        </w:rPr>
        <w:t xml:space="preserve"> </w:t>
      </w:r>
      <w:r>
        <w:rPr>
          <w:rFonts w:hint="default" w:ascii="Arial" w:hAnsi="Arial" w:cs="Arial"/>
          <w:sz w:val="22"/>
          <w:szCs w:val="22"/>
        </w:rPr>
        <w:t>ao</w:t>
      </w:r>
      <w:r>
        <w:rPr>
          <w:rFonts w:hint="default" w:ascii="Arial" w:hAnsi="Arial" w:cs="Arial"/>
          <w:spacing w:val="-6"/>
          <w:sz w:val="22"/>
          <w:szCs w:val="22"/>
        </w:rPr>
        <w:t xml:space="preserve"> </w:t>
      </w:r>
      <w:r>
        <w:rPr>
          <w:rFonts w:hint="default" w:ascii="Arial" w:hAnsi="Arial" w:cs="Arial"/>
          <w:sz w:val="22"/>
          <w:szCs w:val="22"/>
        </w:rPr>
        <w:t>último</w:t>
      </w:r>
      <w:r>
        <w:rPr>
          <w:rFonts w:hint="default" w:ascii="Arial" w:hAnsi="Arial" w:cs="Arial"/>
          <w:spacing w:val="-8"/>
          <w:sz w:val="22"/>
          <w:szCs w:val="22"/>
        </w:rPr>
        <w:t xml:space="preserve"> </w:t>
      </w:r>
      <w:r>
        <w:rPr>
          <w:rFonts w:hint="default" w:ascii="Arial" w:hAnsi="Arial" w:cs="Arial"/>
          <w:sz w:val="22"/>
          <w:szCs w:val="22"/>
        </w:rPr>
        <w:t>exercício</w:t>
      </w:r>
      <w:r>
        <w:rPr>
          <w:rFonts w:hint="default" w:ascii="Arial" w:hAnsi="Arial" w:cs="Arial"/>
          <w:spacing w:val="-11"/>
          <w:sz w:val="22"/>
          <w:szCs w:val="22"/>
        </w:rPr>
        <w:t xml:space="preserve"> </w:t>
      </w:r>
      <w:r>
        <w:rPr>
          <w:rFonts w:hint="default" w:ascii="Arial" w:hAnsi="Arial" w:cs="Arial"/>
          <w:sz w:val="22"/>
          <w:szCs w:val="22"/>
        </w:rPr>
        <w:t>no</w:t>
      </w:r>
      <w:r>
        <w:rPr>
          <w:rFonts w:hint="default" w:ascii="Arial" w:hAnsi="Arial" w:cs="Arial"/>
          <w:spacing w:val="-6"/>
          <w:sz w:val="22"/>
          <w:szCs w:val="22"/>
        </w:rPr>
        <w:t xml:space="preserve"> </w:t>
      </w:r>
      <w:r>
        <w:rPr>
          <w:rFonts w:hint="default" w:ascii="Arial" w:hAnsi="Arial" w:cs="Arial"/>
          <w:sz w:val="22"/>
          <w:szCs w:val="22"/>
        </w:rPr>
        <w:t>caso</w:t>
      </w:r>
      <w:r>
        <w:rPr>
          <w:rFonts w:hint="default" w:ascii="Arial" w:hAnsi="Arial" w:cs="Arial"/>
          <w:spacing w:val="-6"/>
          <w:sz w:val="22"/>
          <w:szCs w:val="22"/>
        </w:rPr>
        <w:t xml:space="preserve"> </w:t>
      </w:r>
      <w:r>
        <w:rPr>
          <w:rFonts w:hint="default" w:ascii="Arial" w:hAnsi="Arial" w:cs="Arial"/>
          <w:sz w:val="22"/>
          <w:szCs w:val="22"/>
        </w:rPr>
        <w:t>de</w:t>
      </w:r>
      <w:r>
        <w:rPr>
          <w:rFonts w:hint="default" w:ascii="Arial" w:hAnsi="Arial" w:cs="Arial"/>
          <w:spacing w:val="-9"/>
          <w:sz w:val="22"/>
          <w:szCs w:val="22"/>
        </w:rPr>
        <w:t xml:space="preserve"> </w:t>
      </w:r>
      <w:r>
        <w:rPr>
          <w:rFonts w:hint="default" w:ascii="Arial" w:hAnsi="Arial" w:cs="Arial"/>
          <w:sz w:val="22"/>
          <w:szCs w:val="22"/>
        </w:rPr>
        <w:t>a</w:t>
      </w:r>
      <w:r>
        <w:rPr>
          <w:rFonts w:hint="default" w:ascii="Arial" w:hAnsi="Arial" w:cs="Arial"/>
          <w:spacing w:val="-64"/>
          <w:sz w:val="22"/>
          <w:szCs w:val="22"/>
        </w:rPr>
        <w:t xml:space="preserve"> </w:t>
      </w:r>
      <w:r>
        <w:rPr>
          <w:rFonts w:hint="default" w:ascii="Arial" w:hAnsi="Arial" w:cs="Arial"/>
          <w:sz w:val="22"/>
          <w:szCs w:val="22"/>
        </w:rPr>
        <w:t>pessoa</w:t>
      </w:r>
      <w:r>
        <w:rPr>
          <w:rFonts w:hint="default" w:ascii="Arial" w:hAnsi="Arial" w:cs="Arial"/>
          <w:spacing w:val="-1"/>
          <w:sz w:val="22"/>
          <w:szCs w:val="22"/>
        </w:rPr>
        <w:t xml:space="preserve"> </w:t>
      </w:r>
      <w:r>
        <w:rPr>
          <w:rFonts w:hint="default" w:ascii="Arial" w:hAnsi="Arial" w:cs="Arial"/>
          <w:sz w:val="22"/>
          <w:szCs w:val="22"/>
        </w:rPr>
        <w:t>jurídica</w:t>
      </w:r>
      <w:r>
        <w:rPr>
          <w:rFonts w:hint="default" w:ascii="Arial" w:hAnsi="Arial" w:cs="Arial"/>
          <w:spacing w:val="-2"/>
          <w:sz w:val="22"/>
          <w:szCs w:val="22"/>
        </w:rPr>
        <w:t xml:space="preserve"> </w:t>
      </w:r>
      <w:r>
        <w:rPr>
          <w:rFonts w:hint="default" w:ascii="Arial" w:hAnsi="Arial" w:cs="Arial"/>
          <w:sz w:val="22"/>
          <w:szCs w:val="22"/>
        </w:rPr>
        <w:t>ter sido</w:t>
      </w:r>
      <w:r>
        <w:rPr>
          <w:rFonts w:hint="default" w:ascii="Arial" w:hAnsi="Arial" w:cs="Arial"/>
          <w:spacing w:val="-1"/>
          <w:sz w:val="22"/>
          <w:szCs w:val="22"/>
        </w:rPr>
        <w:t xml:space="preserve"> </w:t>
      </w:r>
      <w:r>
        <w:rPr>
          <w:rFonts w:hint="default" w:ascii="Arial" w:hAnsi="Arial" w:cs="Arial"/>
          <w:sz w:val="22"/>
          <w:szCs w:val="22"/>
        </w:rPr>
        <w:t>constituída</w:t>
      </w:r>
      <w:r>
        <w:rPr>
          <w:rFonts w:hint="default" w:ascii="Arial" w:hAnsi="Arial" w:cs="Arial"/>
          <w:spacing w:val="-2"/>
          <w:sz w:val="22"/>
          <w:szCs w:val="22"/>
        </w:rPr>
        <w:t xml:space="preserve"> </w:t>
      </w:r>
      <w:r>
        <w:rPr>
          <w:rFonts w:hint="default" w:ascii="Arial" w:hAnsi="Arial" w:cs="Arial"/>
          <w:sz w:val="22"/>
          <w:szCs w:val="22"/>
        </w:rPr>
        <w:t>há</w:t>
      </w:r>
      <w:r>
        <w:rPr>
          <w:rFonts w:hint="default" w:ascii="Arial" w:hAnsi="Arial" w:cs="Arial"/>
          <w:spacing w:val="-2"/>
          <w:sz w:val="22"/>
          <w:szCs w:val="22"/>
        </w:rPr>
        <w:t xml:space="preserve"> </w:t>
      </w:r>
      <w:r>
        <w:rPr>
          <w:rFonts w:hint="default" w:ascii="Arial" w:hAnsi="Arial" w:cs="Arial"/>
          <w:sz w:val="22"/>
          <w:szCs w:val="22"/>
        </w:rPr>
        <w:t>menos</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2 (dois)</w:t>
      </w:r>
      <w:r>
        <w:rPr>
          <w:rFonts w:hint="default" w:ascii="Arial" w:hAnsi="Arial" w:cs="Arial"/>
          <w:spacing w:val="-3"/>
          <w:sz w:val="22"/>
          <w:szCs w:val="22"/>
        </w:rPr>
        <w:t xml:space="preserve"> </w:t>
      </w:r>
      <w:r>
        <w:rPr>
          <w:rFonts w:hint="default" w:ascii="Arial" w:hAnsi="Arial" w:cs="Arial"/>
          <w:sz w:val="22"/>
          <w:szCs w:val="22"/>
        </w:rPr>
        <w:t>anos.</w:t>
      </w:r>
    </w:p>
    <w:p w14:paraId="521B7B83">
      <w:pPr>
        <w:pStyle w:val="128"/>
        <w:numPr>
          <w:ilvl w:val="3"/>
          <w:numId w:val="10"/>
        </w:numPr>
        <w:spacing w:before="120" w:after="0" w:line="360" w:lineRule="auto"/>
        <w:ind w:left="840" w:leftChars="0" w:right="46" w:rightChars="0" w:firstLine="0" w:firstLineChars="0"/>
        <w:jc w:val="both"/>
        <w:rPr>
          <w:rFonts w:hint="default" w:ascii="Arial" w:hAnsi="Arial" w:cs="Arial"/>
          <w:sz w:val="22"/>
          <w:szCs w:val="22"/>
          <w:lang w:val="pt-BR"/>
        </w:rPr>
      </w:pPr>
      <w:r>
        <w:rPr>
          <w:rFonts w:hint="default" w:ascii="Arial" w:hAnsi="Arial" w:cs="Arial"/>
          <w:sz w:val="22"/>
          <w:szCs w:val="22"/>
        </w:rPr>
        <w:t>Os documentos referidos acima deverão ser exigidos com base no limite definido pela Receita Federal do Brasil para transmissão da Escrituração Contábil Digital</w:t>
      </w:r>
      <w:r>
        <w:rPr>
          <w:rFonts w:hint="default" w:ascii="Arial" w:hAnsi="Arial" w:cs="Arial"/>
          <w:sz w:val="22"/>
          <w:szCs w:val="22"/>
          <w:lang w:val="pt-BR"/>
        </w:rPr>
        <w:t xml:space="preserve"> - </w:t>
      </w:r>
      <w:r>
        <w:rPr>
          <w:rFonts w:hint="default" w:ascii="Arial" w:hAnsi="Arial" w:cs="Arial"/>
          <w:sz w:val="22"/>
          <w:szCs w:val="22"/>
        </w:rPr>
        <w:t>ECD ao Sped.</w:t>
      </w:r>
    </w:p>
    <w:p w14:paraId="2295B174">
      <w:pPr>
        <w:widowControl w:val="0"/>
        <w:tabs>
          <w:tab w:val="left" w:pos="1985"/>
        </w:tabs>
        <w:spacing w:before="100" w:beforeAutospacing="1" w:after="100" w:afterAutospacing="1" w:line="360" w:lineRule="auto"/>
        <w:jc w:val="both"/>
        <w:rPr>
          <w:rFonts w:ascii="Arial" w:hAnsi="Arial" w:cs="Arial"/>
          <w:sz w:val="22"/>
          <w:szCs w:val="22"/>
        </w:rPr>
      </w:pPr>
      <w:r>
        <w:rPr>
          <w:rFonts w:ascii="Arial" w:hAnsi="Arial" w:cs="Arial"/>
          <w:b/>
          <w:sz w:val="22"/>
          <w:szCs w:val="22"/>
        </w:rPr>
        <w:t>9.4.</w:t>
      </w:r>
      <w:r>
        <w:rPr>
          <w:rFonts w:hint="default" w:ascii="Arial" w:hAnsi="Arial" w:cs="Arial"/>
          <w:b/>
          <w:sz w:val="22"/>
          <w:szCs w:val="22"/>
          <w:lang w:val="pt-BR"/>
        </w:rPr>
        <w:t>2</w:t>
      </w:r>
      <w:r>
        <w:rPr>
          <w:rFonts w:ascii="Arial" w:hAnsi="Arial" w:cs="Arial"/>
          <w:b/>
          <w:sz w:val="22"/>
          <w:szCs w:val="22"/>
        </w:rPr>
        <w:t>.</w:t>
      </w:r>
      <w:r>
        <w:rPr>
          <w:rFonts w:ascii="Arial" w:hAnsi="Arial" w:cs="Arial"/>
          <w:sz w:val="22"/>
          <w:szCs w:val="22"/>
        </w:rPr>
        <w:t xml:space="preserve"> </w:t>
      </w:r>
      <w:r>
        <w:rPr>
          <w:rFonts w:ascii="Arial" w:hAnsi="Arial" w:cs="Arial"/>
          <w:color w:val="000000"/>
          <w:sz w:val="22"/>
          <w:szCs w:val="22"/>
        </w:rPr>
        <w:t xml:space="preserve">Certidão negativa de </w:t>
      </w:r>
      <w:r>
        <w:rPr>
          <w:rFonts w:hint="default" w:ascii="Arial" w:hAnsi="Arial" w:cs="Arial"/>
          <w:color w:val="000000"/>
          <w:sz w:val="22"/>
          <w:szCs w:val="22"/>
          <w:lang w:val="pt-BR"/>
        </w:rPr>
        <w:t xml:space="preserve">feitos sobre </w:t>
      </w:r>
      <w:r>
        <w:rPr>
          <w:rFonts w:ascii="Arial" w:hAnsi="Arial" w:cs="Arial"/>
          <w:b w:val="0"/>
          <w:bCs/>
          <w:color w:val="000000"/>
          <w:sz w:val="22"/>
          <w:szCs w:val="22"/>
          <w:u w:val="none"/>
        </w:rPr>
        <w:t xml:space="preserve">falência </w:t>
      </w:r>
      <w:r>
        <w:rPr>
          <w:rFonts w:ascii="Arial" w:hAnsi="Arial" w:cs="Arial"/>
          <w:color w:val="000000"/>
          <w:sz w:val="22"/>
          <w:szCs w:val="22"/>
        </w:rPr>
        <w:t>expedida pelo distribuidor da sede d</w:t>
      </w:r>
      <w:r>
        <w:rPr>
          <w:rFonts w:hint="default" w:ascii="Arial" w:hAnsi="Arial" w:cs="Arial"/>
          <w:color w:val="000000"/>
          <w:sz w:val="22"/>
          <w:szCs w:val="22"/>
          <w:lang w:val="pt-BR"/>
        </w:rPr>
        <w:t>o</w:t>
      </w:r>
      <w:r>
        <w:rPr>
          <w:rFonts w:ascii="Arial" w:hAnsi="Arial" w:cs="Arial"/>
          <w:color w:val="000000"/>
          <w:sz w:val="22"/>
          <w:szCs w:val="22"/>
        </w:rPr>
        <w:t xml:space="preserve"> </w:t>
      </w:r>
      <w:r>
        <w:rPr>
          <w:rFonts w:hint="default" w:ascii="Arial" w:hAnsi="Arial" w:cs="Arial"/>
          <w:color w:val="000000"/>
          <w:sz w:val="22"/>
          <w:szCs w:val="22"/>
          <w:lang w:val="pt-BR"/>
        </w:rPr>
        <w:t>licitante</w:t>
      </w:r>
      <w:r>
        <w:rPr>
          <w:rFonts w:ascii="Arial" w:hAnsi="Arial" w:cs="Arial"/>
          <w:color w:val="000000"/>
          <w:sz w:val="22"/>
          <w:szCs w:val="22"/>
        </w:rPr>
        <w:t>.</w:t>
      </w:r>
    </w:p>
    <w:p w14:paraId="5667A43A">
      <w:pPr>
        <w:widowControl w:val="0"/>
        <w:tabs>
          <w:tab w:val="left" w:pos="426"/>
          <w:tab w:val="left" w:pos="567"/>
        </w:tabs>
        <w:adjustRightInd w:val="0"/>
        <w:spacing w:before="240" w:after="240" w:line="360" w:lineRule="auto"/>
        <w:jc w:val="both"/>
        <w:textAlignment w:val="baseline"/>
        <w:rPr>
          <w:rFonts w:hint="default" w:ascii="Arial" w:hAnsi="Arial" w:cs="Arial"/>
          <w:b/>
          <w:sz w:val="22"/>
          <w:szCs w:val="22"/>
          <w:highlight w:val="none"/>
          <w:lang w:val="pt-BR"/>
        </w:rPr>
      </w:pPr>
      <w:r>
        <w:rPr>
          <w:rFonts w:hint="default" w:ascii="Arial" w:hAnsi="Arial" w:cs="Arial"/>
          <w:b/>
          <w:sz w:val="22"/>
          <w:szCs w:val="22"/>
          <w:highlight w:val="none"/>
          <w:lang w:val="pt-BR"/>
        </w:rPr>
        <w:t>9.5. Qualificação Técnica:</w:t>
      </w:r>
    </w:p>
    <w:p w14:paraId="73512C04">
      <w:pPr>
        <w:pStyle w:val="128"/>
        <w:numPr>
          <w:ilvl w:val="0"/>
          <w:numId w:val="0"/>
        </w:numPr>
        <w:spacing w:before="116" w:after="0" w:line="360" w:lineRule="auto"/>
        <w:ind w:right="46" w:rightChars="0"/>
        <w:jc w:val="both"/>
        <w:rPr>
          <w:rFonts w:hint="default" w:ascii="Arial" w:hAnsi="Arial" w:cs="Arial"/>
          <w:sz w:val="22"/>
          <w:szCs w:val="22"/>
        </w:rPr>
      </w:pPr>
      <w:r>
        <w:rPr>
          <w:rFonts w:hint="default" w:ascii="Arial" w:hAnsi="Arial" w:cs="Arial"/>
          <w:b/>
          <w:bCs/>
          <w:sz w:val="22"/>
          <w:szCs w:val="22"/>
          <w:lang w:val="pt-BR"/>
        </w:rPr>
        <w:t>9.5.1</w:t>
      </w:r>
      <w:r>
        <w:rPr>
          <w:rFonts w:hint="default"/>
          <w:b/>
          <w:bCs/>
          <w:sz w:val="24"/>
          <w:lang w:val="pt-BR"/>
        </w:rPr>
        <w:t xml:space="preserve"> </w:t>
      </w:r>
      <w:r>
        <w:rPr>
          <w:rFonts w:hint="default" w:ascii="Arial" w:hAnsi="Arial" w:cs="Arial"/>
          <w:sz w:val="22"/>
          <w:szCs w:val="22"/>
        </w:rPr>
        <w:t>Certidão</w:t>
      </w:r>
      <w:r>
        <w:rPr>
          <w:rFonts w:hint="default" w:ascii="Arial" w:hAnsi="Arial" w:cs="Arial"/>
          <w:spacing w:val="-12"/>
          <w:sz w:val="22"/>
          <w:szCs w:val="22"/>
        </w:rPr>
        <w:t xml:space="preserve"> </w:t>
      </w:r>
      <w:r>
        <w:rPr>
          <w:rFonts w:hint="default" w:ascii="Arial" w:hAnsi="Arial" w:cs="Arial"/>
          <w:sz w:val="22"/>
          <w:szCs w:val="22"/>
        </w:rPr>
        <w:t>de</w:t>
      </w:r>
      <w:r>
        <w:rPr>
          <w:rFonts w:hint="default" w:ascii="Arial" w:hAnsi="Arial" w:cs="Arial"/>
          <w:spacing w:val="-12"/>
          <w:sz w:val="22"/>
          <w:szCs w:val="22"/>
        </w:rPr>
        <w:t xml:space="preserve"> </w:t>
      </w:r>
      <w:r>
        <w:rPr>
          <w:rFonts w:hint="default" w:ascii="Arial" w:hAnsi="Arial" w:cs="Arial"/>
          <w:sz w:val="22"/>
          <w:szCs w:val="22"/>
        </w:rPr>
        <w:t>Registro</w:t>
      </w:r>
      <w:r>
        <w:rPr>
          <w:rFonts w:hint="default" w:ascii="Arial" w:hAnsi="Arial" w:cs="Arial"/>
          <w:spacing w:val="-12"/>
          <w:sz w:val="22"/>
          <w:szCs w:val="22"/>
        </w:rPr>
        <w:t xml:space="preserve"> </w:t>
      </w:r>
      <w:r>
        <w:rPr>
          <w:rFonts w:hint="default" w:ascii="Arial" w:hAnsi="Arial" w:cs="Arial"/>
          <w:sz w:val="22"/>
          <w:szCs w:val="22"/>
        </w:rPr>
        <w:t>de</w:t>
      </w:r>
      <w:r>
        <w:rPr>
          <w:rFonts w:hint="default" w:ascii="Arial" w:hAnsi="Arial" w:cs="Arial"/>
          <w:spacing w:val="-12"/>
          <w:sz w:val="22"/>
          <w:szCs w:val="22"/>
        </w:rPr>
        <w:t xml:space="preserve"> </w:t>
      </w:r>
      <w:r>
        <w:rPr>
          <w:rFonts w:hint="default" w:ascii="Arial" w:hAnsi="Arial" w:cs="Arial"/>
          <w:sz w:val="22"/>
          <w:szCs w:val="22"/>
        </w:rPr>
        <w:t>Pessoa</w:t>
      </w:r>
      <w:r>
        <w:rPr>
          <w:rFonts w:hint="default" w:ascii="Arial" w:hAnsi="Arial" w:cs="Arial"/>
          <w:spacing w:val="-13"/>
          <w:sz w:val="22"/>
          <w:szCs w:val="22"/>
        </w:rPr>
        <w:t xml:space="preserve"> </w:t>
      </w:r>
      <w:r>
        <w:rPr>
          <w:rFonts w:hint="default" w:ascii="Arial" w:hAnsi="Arial" w:cs="Arial"/>
          <w:sz w:val="22"/>
          <w:szCs w:val="22"/>
        </w:rPr>
        <w:t>Jurídica,</w:t>
      </w:r>
      <w:r>
        <w:rPr>
          <w:rFonts w:hint="default" w:ascii="Arial" w:hAnsi="Arial" w:cs="Arial"/>
          <w:spacing w:val="-11"/>
          <w:sz w:val="22"/>
          <w:szCs w:val="22"/>
        </w:rPr>
        <w:t xml:space="preserve"> </w:t>
      </w:r>
      <w:r>
        <w:rPr>
          <w:rFonts w:hint="default" w:ascii="Arial" w:hAnsi="Arial" w:cs="Arial"/>
          <w:sz w:val="22"/>
          <w:szCs w:val="22"/>
        </w:rPr>
        <w:t>no</w:t>
      </w:r>
      <w:r>
        <w:rPr>
          <w:rFonts w:hint="default" w:ascii="Arial" w:hAnsi="Arial" w:cs="Arial"/>
          <w:spacing w:val="-12"/>
          <w:sz w:val="22"/>
          <w:szCs w:val="22"/>
        </w:rPr>
        <w:t xml:space="preserve"> </w:t>
      </w:r>
      <w:r>
        <w:rPr>
          <w:rFonts w:hint="default" w:ascii="Arial" w:hAnsi="Arial" w:cs="Arial"/>
          <w:sz w:val="22"/>
          <w:szCs w:val="22"/>
        </w:rPr>
        <w:t>Conselho</w:t>
      </w:r>
      <w:r>
        <w:rPr>
          <w:rFonts w:hint="default" w:ascii="Arial" w:hAnsi="Arial" w:cs="Arial"/>
          <w:spacing w:val="-11"/>
          <w:sz w:val="22"/>
          <w:szCs w:val="22"/>
        </w:rPr>
        <w:t xml:space="preserve"> </w:t>
      </w:r>
      <w:r>
        <w:rPr>
          <w:rFonts w:hint="default" w:ascii="Arial" w:hAnsi="Arial" w:cs="Arial"/>
          <w:sz w:val="22"/>
          <w:szCs w:val="22"/>
        </w:rPr>
        <w:t>Regional</w:t>
      </w:r>
      <w:r>
        <w:rPr>
          <w:rFonts w:hint="default" w:ascii="Arial" w:hAnsi="Arial" w:cs="Arial"/>
          <w:spacing w:val="-11"/>
          <w:sz w:val="22"/>
          <w:szCs w:val="22"/>
        </w:rPr>
        <w:t xml:space="preserve"> </w:t>
      </w:r>
      <w:r>
        <w:rPr>
          <w:rFonts w:hint="default" w:ascii="Arial" w:hAnsi="Arial" w:cs="Arial"/>
          <w:sz w:val="22"/>
          <w:szCs w:val="22"/>
        </w:rPr>
        <w:t>de</w:t>
      </w:r>
      <w:r>
        <w:rPr>
          <w:rFonts w:hint="default" w:ascii="Arial" w:hAnsi="Arial" w:cs="Arial"/>
          <w:spacing w:val="-13"/>
          <w:sz w:val="22"/>
          <w:szCs w:val="22"/>
        </w:rPr>
        <w:t xml:space="preserve"> </w:t>
      </w:r>
      <w:r>
        <w:rPr>
          <w:rFonts w:hint="default" w:ascii="Arial" w:hAnsi="Arial" w:cs="Arial"/>
          <w:sz w:val="22"/>
          <w:szCs w:val="22"/>
        </w:rPr>
        <w:t>Engenharia</w:t>
      </w:r>
      <w:r>
        <w:rPr>
          <w:rFonts w:hint="default" w:ascii="Arial" w:hAnsi="Arial" w:cs="Arial"/>
          <w:spacing w:val="-57"/>
          <w:sz w:val="22"/>
          <w:szCs w:val="22"/>
        </w:rPr>
        <w:t xml:space="preserve"> </w:t>
      </w:r>
      <w:r>
        <w:rPr>
          <w:rFonts w:hint="default" w:ascii="Arial" w:hAnsi="Arial" w:cs="Arial"/>
          <w:sz w:val="22"/>
          <w:szCs w:val="22"/>
        </w:rPr>
        <w:t xml:space="preserve">e Agronomia (CREA) ou </w:t>
      </w:r>
      <w:r>
        <w:rPr>
          <w:rFonts w:hint="default" w:ascii="Arial" w:hAnsi="Arial" w:cs="Arial"/>
          <w:sz w:val="22"/>
          <w:szCs w:val="22"/>
          <w:lang w:val="pt-BR"/>
        </w:rPr>
        <w:t>no</w:t>
      </w:r>
      <w:r>
        <w:rPr>
          <w:rFonts w:hint="default" w:ascii="Arial" w:hAnsi="Arial" w:cs="Arial"/>
          <w:sz w:val="22"/>
          <w:szCs w:val="22"/>
        </w:rPr>
        <w:t xml:space="preserve"> Conselho Regional de Arquitetura e Urbanismo</w:t>
      </w:r>
      <w:r>
        <w:rPr>
          <w:rFonts w:hint="default" w:ascii="Arial" w:hAnsi="Arial" w:cs="Arial"/>
          <w:spacing w:val="1"/>
          <w:sz w:val="22"/>
          <w:szCs w:val="22"/>
        </w:rPr>
        <w:t xml:space="preserve"> </w:t>
      </w:r>
      <w:r>
        <w:rPr>
          <w:rFonts w:hint="default" w:ascii="Arial" w:hAnsi="Arial" w:cs="Arial"/>
          <w:sz w:val="22"/>
          <w:szCs w:val="22"/>
        </w:rPr>
        <w:t>(CAU), da empresa licitante</w:t>
      </w:r>
      <w:r>
        <w:rPr>
          <w:rFonts w:hint="default" w:ascii="Arial" w:hAnsi="Arial" w:cs="Arial"/>
          <w:sz w:val="22"/>
          <w:szCs w:val="22"/>
          <w:lang w:val="pt-BR"/>
        </w:rPr>
        <w:t xml:space="preserve">, onde constem </w:t>
      </w:r>
      <w:r>
        <w:rPr>
          <w:rFonts w:hint="default" w:ascii="Arial" w:hAnsi="Arial" w:cs="Arial"/>
          <w:sz w:val="22"/>
          <w:szCs w:val="22"/>
        </w:rPr>
        <w:t>seus responsáveis técnicos, da região a que</w:t>
      </w:r>
      <w:r>
        <w:rPr>
          <w:rFonts w:hint="default" w:ascii="Arial" w:hAnsi="Arial" w:cs="Arial"/>
          <w:spacing w:val="1"/>
          <w:sz w:val="22"/>
          <w:szCs w:val="22"/>
        </w:rPr>
        <w:t xml:space="preserve"> </w:t>
      </w:r>
      <w:r>
        <w:rPr>
          <w:rFonts w:hint="default" w:ascii="Arial" w:hAnsi="Arial" w:cs="Arial"/>
          <w:sz w:val="22"/>
          <w:szCs w:val="22"/>
        </w:rPr>
        <w:t>estiverem</w:t>
      </w:r>
      <w:r>
        <w:rPr>
          <w:rFonts w:hint="default" w:ascii="Arial" w:hAnsi="Arial" w:cs="Arial"/>
          <w:spacing w:val="-1"/>
          <w:sz w:val="22"/>
          <w:szCs w:val="22"/>
        </w:rPr>
        <w:t xml:space="preserve"> </w:t>
      </w:r>
      <w:r>
        <w:rPr>
          <w:rFonts w:hint="default" w:ascii="Arial" w:hAnsi="Arial" w:cs="Arial"/>
          <w:sz w:val="22"/>
          <w:szCs w:val="22"/>
        </w:rPr>
        <w:t>vinculados.</w:t>
      </w:r>
    </w:p>
    <w:p w14:paraId="5852249E">
      <w:pPr>
        <w:pStyle w:val="128"/>
        <w:numPr>
          <w:ilvl w:val="0"/>
          <w:numId w:val="0"/>
        </w:numPr>
        <w:spacing w:before="120" w:after="0" w:line="360" w:lineRule="auto"/>
        <w:ind w:leftChars="297" w:right="46" w:rightChars="0"/>
        <w:jc w:val="both"/>
        <w:rPr>
          <w:rFonts w:hint="default" w:ascii="Arial" w:hAnsi="Arial" w:cs="Arial"/>
          <w:sz w:val="22"/>
          <w:szCs w:val="22"/>
        </w:rPr>
      </w:pPr>
      <w:r>
        <w:rPr>
          <w:rFonts w:hint="default" w:ascii="Arial" w:hAnsi="Arial" w:cs="Arial"/>
          <w:b/>
          <w:bCs/>
          <w:sz w:val="22"/>
          <w:szCs w:val="22"/>
          <w:lang w:val="pt-BR"/>
        </w:rPr>
        <w:t>9.5.1.1</w:t>
      </w:r>
      <w:r>
        <w:rPr>
          <w:rFonts w:hint="default" w:ascii="Arial" w:hAnsi="Arial" w:cs="Arial"/>
          <w:sz w:val="22"/>
          <w:szCs w:val="22"/>
          <w:lang w:val="pt-BR"/>
        </w:rPr>
        <w:t xml:space="preserve"> </w:t>
      </w:r>
      <w:r>
        <w:rPr>
          <w:rFonts w:hint="default" w:ascii="Arial" w:hAnsi="Arial" w:cs="Arial"/>
          <w:sz w:val="22"/>
          <w:szCs w:val="22"/>
        </w:rPr>
        <w:t>No caso de a empresa licitante e/ou os responsáveis técnicos não</w:t>
      </w:r>
      <w:r>
        <w:rPr>
          <w:rFonts w:hint="default" w:ascii="Arial" w:hAnsi="Arial" w:cs="Arial"/>
          <w:spacing w:val="1"/>
          <w:sz w:val="22"/>
          <w:szCs w:val="22"/>
        </w:rPr>
        <w:t xml:space="preserve"> </w:t>
      </w:r>
      <w:r>
        <w:rPr>
          <w:rFonts w:hint="default" w:ascii="Arial" w:hAnsi="Arial" w:cs="Arial"/>
          <w:sz w:val="22"/>
          <w:szCs w:val="22"/>
        </w:rPr>
        <w:t xml:space="preserve">serem registrados ou inscritos no CREA ou CAU do </w:t>
      </w:r>
      <w:r>
        <w:rPr>
          <w:rFonts w:hint="default" w:ascii="Arial" w:hAnsi="Arial" w:cs="Arial"/>
          <w:sz w:val="22"/>
          <w:szCs w:val="22"/>
          <w:lang w:val="pt-BR"/>
        </w:rPr>
        <w:t>Mato Grosso</w:t>
      </w:r>
      <w:r>
        <w:rPr>
          <w:rFonts w:hint="default" w:ascii="Arial" w:hAnsi="Arial" w:cs="Arial"/>
          <w:sz w:val="22"/>
          <w:szCs w:val="22"/>
        </w:rPr>
        <w:t>,</w:t>
      </w:r>
      <w:r>
        <w:rPr>
          <w:rFonts w:hint="default" w:ascii="Arial" w:hAnsi="Arial" w:cs="Arial"/>
          <w:spacing w:val="1"/>
          <w:sz w:val="22"/>
          <w:szCs w:val="22"/>
        </w:rPr>
        <w:t xml:space="preserve"> </w:t>
      </w:r>
      <w:r>
        <w:rPr>
          <w:rFonts w:hint="default" w:ascii="Arial" w:hAnsi="Arial" w:cs="Arial"/>
          <w:sz w:val="22"/>
          <w:szCs w:val="22"/>
        </w:rPr>
        <w:t>somente serão exigidos os respectivos vistos no CREA-</w:t>
      </w:r>
      <w:r>
        <w:rPr>
          <w:rFonts w:hint="default" w:ascii="Arial" w:hAnsi="Arial" w:cs="Arial"/>
          <w:sz w:val="22"/>
          <w:szCs w:val="22"/>
          <w:lang w:val="pt-BR"/>
        </w:rPr>
        <w:t>MT</w:t>
      </w:r>
      <w:r>
        <w:rPr>
          <w:rFonts w:hint="default" w:ascii="Arial" w:hAnsi="Arial" w:cs="Arial"/>
          <w:sz w:val="22"/>
          <w:szCs w:val="22"/>
        </w:rPr>
        <w:t xml:space="preserve"> ou CAU-</w:t>
      </w:r>
      <w:r>
        <w:rPr>
          <w:rFonts w:hint="default" w:ascii="Arial" w:hAnsi="Arial" w:cs="Arial"/>
          <w:sz w:val="22"/>
          <w:szCs w:val="22"/>
          <w:lang w:val="pt-BR"/>
        </w:rPr>
        <w:t xml:space="preserve">MT </w:t>
      </w:r>
      <w:r>
        <w:rPr>
          <w:rFonts w:hint="default" w:ascii="Arial" w:hAnsi="Arial" w:cs="Arial"/>
          <w:sz w:val="22"/>
          <w:szCs w:val="22"/>
        </w:rPr>
        <w:t>na</w:t>
      </w:r>
      <w:r>
        <w:rPr>
          <w:rFonts w:hint="default" w:ascii="Arial" w:hAnsi="Arial" w:cs="Arial"/>
          <w:spacing w:val="-2"/>
          <w:sz w:val="22"/>
          <w:szCs w:val="22"/>
        </w:rPr>
        <w:t xml:space="preserve"> </w:t>
      </w:r>
      <w:r>
        <w:rPr>
          <w:rFonts w:hint="default" w:ascii="Arial" w:hAnsi="Arial" w:cs="Arial"/>
          <w:sz w:val="22"/>
          <w:szCs w:val="22"/>
        </w:rPr>
        <w:t>ocasião da</w:t>
      </w:r>
      <w:r>
        <w:rPr>
          <w:rFonts w:hint="default" w:ascii="Arial" w:hAnsi="Arial" w:cs="Arial"/>
          <w:spacing w:val="-1"/>
          <w:sz w:val="22"/>
          <w:szCs w:val="22"/>
        </w:rPr>
        <w:t xml:space="preserve"> </w:t>
      </w:r>
      <w:r>
        <w:rPr>
          <w:rFonts w:hint="default" w:ascii="Arial" w:hAnsi="Arial" w:cs="Arial"/>
          <w:sz w:val="22"/>
          <w:szCs w:val="22"/>
        </w:rPr>
        <w:t>assinatura</w:t>
      </w:r>
      <w:r>
        <w:rPr>
          <w:rFonts w:hint="default" w:ascii="Arial" w:hAnsi="Arial" w:cs="Arial"/>
          <w:spacing w:val="1"/>
          <w:sz w:val="22"/>
          <w:szCs w:val="22"/>
        </w:rPr>
        <w:t xml:space="preserve"> </w:t>
      </w:r>
      <w:r>
        <w:rPr>
          <w:rFonts w:hint="default" w:ascii="Arial" w:hAnsi="Arial" w:cs="Arial"/>
          <w:sz w:val="22"/>
          <w:szCs w:val="22"/>
        </w:rPr>
        <w:t>do Contrato.</w:t>
      </w:r>
    </w:p>
    <w:p w14:paraId="438AB228">
      <w:pPr>
        <w:keepNext w:val="0"/>
        <w:keepLines w:val="0"/>
        <w:pageBreakBefore w:val="0"/>
        <w:widowControl/>
        <w:numPr>
          <w:ilvl w:val="0"/>
          <w:numId w:val="0"/>
        </w:numPr>
        <w:tabs>
          <w:tab w:val="left" w:pos="426"/>
          <w:tab w:val="left" w:pos="1200"/>
        </w:tabs>
        <w:kinsoku/>
        <w:wordWrap/>
        <w:overflowPunct/>
        <w:topLinePunct w:val="0"/>
        <w:autoSpaceDE/>
        <w:autoSpaceDN/>
        <w:bidi w:val="0"/>
        <w:adjustRightInd/>
        <w:snapToGrid/>
        <w:spacing w:before="361" w:beforeLines="100" w:beforeAutospacing="0" w:after="361" w:afterLines="100" w:afterAutospacing="0" w:line="360" w:lineRule="auto"/>
        <w:ind w:right="-11" w:rightChars="0"/>
        <w:jc w:val="both"/>
        <w:textAlignment w:val="auto"/>
        <w:rPr>
          <w:rFonts w:hint="default" w:ascii="Arial" w:hAnsi="Arial" w:cs="Arial"/>
          <w:sz w:val="22"/>
          <w:szCs w:val="22"/>
          <w:lang w:val="pt-BR"/>
        </w:rPr>
      </w:pPr>
      <w:r>
        <w:rPr>
          <w:rFonts w:hint="default" w:ascii="Arial" w:hAnsi="Arial" w:cs="Arial"/>
          <w:b/>
          <w:bCs/>
          <w:sz w:val="22"/>
          <w:szCs w:val="22"/>
          <w:lang w:val="pt-BR"/>
        </w:rPr>
        <w:t>9.5.2</w:t>
      </w:r>
      <w:r>
        <w:rPr>
          <w:rFonts w:hint="default" w:cs="Arial"/>
          <w:lang w:val="pt-BR"/>
        </w:rPr>
        <w:t xml:space="preserve"> </w:t>
      </w:r>
      <w:r>
        <w:rPr>
          <w:rFonts w:hint="default" w:ascii="Arial" w:hAnsi="Arial" w:cs="Arial"/>
          <w:sz w:val="22"/>
          <w:szCs w:val="22"/>
        </w:rPr>
        <w:t>A licitante dever</w:t>
      </w:r>
      <w:r>
        <w:rPr>
          <w:rFonts w:hint="default" w:ascii="Arial" w:hAnsi="Arial" w:cs="Arial"/>
          <w:sz w:val="22"/>
          <w:szCs w:val="22"/>
          <w:lang w:val="pt-BR"/>
        </w:rPr>
        <w:t>á</w:t>
      </w:r>
      <w:r>
        <w:rPr>
          <w:rFonts w:hint="default" w:ascii="Arial" w:hAnsi="Arial" w:cs="Arial"/>
          <w:sz w:val="22"/>
          <w:szCs w:val="22"/>
        </w:rPr>
        <w:t xml:space="preserve"> apresentar, no mínimo,</w:t>
      </w:r>
      <w:r>
        <w:rPr>
          <w:rFonts w:hint="default" w:ascii="Arial" w:hAnsi="Arial" w:cs="Arial"/>
          <w:b/>
          <w:bCs/>
          <w:sz w:val="22"/>
          <w:szCs w:val="22"/>
        </w:rPr>
        <w:t xml:space="preserve"> 01 (um) atestado de capacidade técnica</w:t>
      </w:r>
      <w:r>
        <w:rPr>
          <w:rFonts w:hint="default" w:ascii="Arial" w:hAnsi="Arial" w:cs="Arial"/>
          <w:sz w:val="22"/>
          <w:szCs w:val="22"/>
        </w:rPr>
        <w:t xml:space="preserve">, expedido por pessoa jurídica de direito público ou privado, que comprove aptidão para o desempenho de atividade pertinente e compatível em características </w:t>
      </w:r>
      <w:r>
        <w:rPr>
          <w:rFonts w:hint="default" w:ascii="Arial" w:hAnsi="Arial" w:cs="Arial"/>
          <w:sz w:val="22"/>
          <w:szCs w:val="22"/>
          <w:lang w:val="pt-BR"/>
        </w:rPr>
        <w:t xml:space="preserve">com </w:t>
      </w:r>
      <w:r>
        <w:rPr>
          <w:rFonts w:hint="default" w:ascii="Arial" w:hAnsi="Arial" w:cs="Arial"/>
          <w:sz w:val="22"/>
          <w:szCs w:val="22"/>
        </w:rPr>
        <w:t>a contratação objeto deste pregão</w:t>
      </w:r>
      <w:r>
        <w:rPr>
          <w:rFonts w:hint="default" w:ascii="Arial" w:hAnsi="Arial" w:cs="Arial"/>
          <w:sz w:val="22"/>
          <w:szCs w:val="22"/>
          <w:lang w:val="pt-BR"/>
        </w:rPr>
        <w:t>, contemplando:</w:t>
      </w:r>
    </w:p>
    <w:p w14:paraId="57B0E6BD">
      <w:pPr>
        <w:pStyle w:val="165"/>
        <w:pageBreakBefore w:val="0"/>
        <w:numPr>
          <w:ilvl w:val="0"/>
          <w:numId w:val="11"/>
        </w:numPr>
        <w:tabs>
          <w:tab w:val="clear" w:pos="420"/>
        </w:tabs>
        <w:kinsoku/>
        <w:wordWrap/>
        <w:overflowPunct/>
        <w:topLinePunct w:val="0"/>
        <w:autoSpaceDE/>
        <w:autoSpaceDN/>
        <w:bidi w:val="0"/>
        <w:adjustRightInd/>
        <w:snapToGrid/>
        <w:spacing w:after="0" w:line="360" w:lineRule="auto"/>
        <w:ind w:left="420" w:leftChars="0" w:hanging="420" w:firstLineChars="0"/>
        <w:jc w:val="both"/>
        <w:textAlignment w:val="auto"/>
        <w:rPr>
          <w:rFonts w:hint="default" w:ascii="Arial" w:hAnsi="Arial" w:cs="Arial"/>
          <w:sz w:val="22"/>
          <w:szCs w:val="22"/>
        </w:rPr>
      </w:pPr>
      <w:r>
        <w:rPr>
          <w:rFonts w:hint="default" w:ascii="Arial" w:hAnsi="Arial" w:cs="Arial"/>
          <w:sz w:val="22"/>
          <w:szCs w:val="22"/>
        </w:rPr>
        <w:t>Locação de solução física de Data Center em ambiente outdoor container ou similar de 20 pés ou mais contendo no mínimo os seguintes itens abaixo;</w:t>
      </w:r>
    </w:p>
    <w:p w14:paraId="1F73A47C">
      <w:pPr>
        <w:pStyle w:val="165"/>
        <w:pageBreakBefore w:val="0"/>
        <w:numPr>
          <w:ilvl w:val="0"/>
          <w:numId w:val="11"/>
        </w:numPr>
        <w:tabs>
          <w:tab w:val="clear" w:pos="420"/>
        </w:tabs>
        <w:kinsoku/>
        <w:wordWrap/>
        <w:overflowPunct/>
        <w:topLinePunct w:val="0"/>
        <w:autoSpaceDE/>
        <w:autoSpaceDN/>
        <w:bidi w:val="0"/>
        <w:adjustRightInd/>
        <w:snapToGrid/>
        <w:spacing w:after="0" w:line="360" w:lineRule="auto"/>
        <w:ind w:left="420" w:leftChars="0" w:hanging="420" w:firstLineChars="0"/>
        <w:jc w:val="both"/>
        <w:textAlignment w:val="auto"/>
        <w:rPr>
          <w:rFonts w:hint="default" w:ascii="Arial" w:hAnsi="Arial" w:cs="Arial"/>
          <w:sz w:val="22"/>
          <w:szCs w:val="22"/>
        </w:rPr>
      </w:pPr>
      <w:r>
        <w:rPr>
          <w:rFonts w:hint="default" w:ascii="Arial" w:hAnsi="Arial" w:cs="Arial"/>
          <w:sz w:val="22"/>
          <w:szCs w:val="22"/>
        </w:rPr>
        <w:t>Locação, implantação, manutenção e suporte de sistema de climatização de precisão para ambiente de TI com sistema N+1 redundante e potência mínima de 20 kW</w:t>
      </w:r>
      <w:r>
        <w:rPr>
          <w:rFonts w:hint="default" w:ascii="Arial" w:hAnsi="Arial" w:cs="Arial"/>
          <w:sz w:val="22"/>
          <w:szCs w:val="22"/>
          <w:lang w:val="pt-BR"/>
        </w:rPr>
        <w:t>;</w:t>
      </w:r>
    </w:p>
    <w:p w14:paraId="78B0709D">
      <w:pPr>
        <w:pStyle w:val="165"/>
        <w:pageBreakBefore w:val="0"/>
        <w:numPr>
          <w:ilvl w:val="0"/>
          <w:numId w:val="11"/>
        </w:numPr>
        <w:tabs>
          <w:tab w:val="clear" w:pos="420"/>
        </w:tabs>
        <w:kinsoku/>
        <w:wordWrap/>
        <w:overflowPunct/>
        <w:topLinePunct w:val="0"/>
        <w:autoSpaceDE/>
        <w:autoSpaceDN/>
        <w:bidi w:val="0"/>
        <w:adjustRightInd/>
        <w:snapToGrid/>
        <w:spacing w:after="0" w:line="360" w:lineRule="auto"/>
        <w:ind w:left="420" w:leftChars="0" w:hanging="420" w:firstLineChars="0"/>
        <w:jc w:val="both"/>
        <w:textAlignment w:val="auto"/>
        <w:rPr>
          <w:rFonts w:hint="default" w:ascii="Arial" w:hAnsi="Arial" w:cs="Arial"/>
          <w:sz w:val="22"/>
          <w:szCs w:val="22"/>
        </w:rPr>
      </w:pPr>
      <w:r>
        <w:rPr>
          <w:rFonts w:hint="default" w:ascii="Arial" w:hAnsi="Arial" w:cs="Arial"/>
          <w:sz w:val="22"/>
          <w:szCs w:val="22"/>
        </w:rPr>
        <w:t>Locação, implantação, manutenção e suporte de sistema de energia ininterrupta (UPS/no-break) redundante de no mínimo 20 kW, incluindo banco de baterias</w:t>
      </w:r>
      <w:r>
        <w:rPr>
          <w:rFonts w:hint="default" w:ascii="Arial" w:hAnsi="Arial" w:cs="Arial"/>
          <w:sz w:val="22"/>
          <w:szCs w:val="22"/>
          <w:lang w:val="pt-BR"/>
        </w:rPr>
        <w:t>;</w:t>
      </w:r>
    </w:p>
    <w:p w14:paraId="489274F7">
      <w:pPr>
        <w:pStyle w:val="165"/>
        <w:pageBreakBefore w:val="0"/>
        <w:numPr>
          <w:ilvl w:val="0"/>
          <w:numId w:val="11"/>
        </w:numPr>
        <w:tabs>
          <w:tab w:val="clear" w:pos="420"/>
        </w:tabs>
        <w:kinsoku/>
        <w:wordWrap/>
        <w:overflowPunct/>
        <w:topLinePunct w:val="0"/>
        <w:autoSpaceDE/>
        <w:autoSpaceDN/>
        <w:bidi w:val="0"/>
        <w:adjustRightInd/>
        <w:snapToGrid/>
        <w:spacing w:after="0" w:line="360" w:lineRule="auto"/>
        <w:ind w:left="420" w:leftChars="0" w:hanging="420" w:firstLineChars="0"/>
        <w:jc w:val="both"/>
        <w:textAlignment w:val="auto"/>
        <w:rPr>
          <w:rFonts w:hint="default" w:ascii="Arial" w:hAnsi="Arial" w:cs="Arial"/>
          <w:sz w:val="22"/>
          <w:szCs w:val="22"/>
        </w:rPr>
      </w:pPr>
      <w:r>
        <w:rPr>
          <w:rFonts w:hint="default" w:ascii="Arial" w:hAnsi="Arial" w:cs="Arial"/>
          <w:sz w:val="22"/>
          <w:szCs w:val="22"/>
        </w:rPr>
        <w:t>Locação, implantação, manutenção e suporte de sistema de DCIM, gerenciando sensores de GMG, UPS/no-break e ar-condicionado de precisão</w:t>
      </w:r>
      <w:r>
        <w:rPr>
          <w:rFonts w:hint="default" w:ascii="Arial" w:hAnsi="Arial" w:cs="Arial"/>
          <w:sz w:val="22"/>
          <w:szCs w:val="22"/>
          <w:lang w:val="pt-BR"/>
        </w:rPr>
        <w:t>;</w:t>
      </w:r>
    </w:p>
    <w:p w14:paraId="719C88FC">
      <w:pPr>
        <w:pStyle w:val="165"/>
        <w:pageBreakBefore w:val="0"/>
        <w:numPr>
          <w:ilvl w:val="0"/>
          <w:numId w:val="11"/>
        </w:numPr>
        <w:tabs>
          <w:tab w:val="clear" w:pos="420"/>
        </w:tabs>
        <w:kinsoku/>
        <w:wordWrap/>
        <w:overflowPunct/>
        <w:topLinePunct w:val="0"/>
        <w:autoSpaceDE/>
        <w:autoSpaceDN/>
        <w:bidi w:val="0"/>
        <w:adjustRightInd/>
        <w:snapToGrid/>
        <w:spacing w:after="0" w:line="360" w:lineRule="auto"/>
        <w:ind w:left="420" w:leftChars="0" w:hanging="420" w:firstLineChars="0"/>
        <w:jc w:val="both"/>
        <w:textAlignment w:val="auto"/>
        <w:rPr>
          <w:rFonts w:hint="default" w:ascii="Arial" w:hAnsi="Arial" w:cs="Arial"/>
          <w:sz w:val="22"/>
          <w:szCs w:val="22"/>
        </w:rPr>
      </w:pPr>
      <w:r>
        <w:rPr>
          <w:rFonts w:hint="default" w:ascii="Arial" w:hAnsi="Arial" w:cs="Arial"/>
          <w:sz w:val="22"/>
          <w:szCs w:val="22"/>
        </w:rPr>
        <w:t>Locação e implantação de RPDU de no mínimo 6 unidades</w:t>
      </w:r>
      <w:r>
        <w:rPr>
          <w:rFonts w:hint="default" w:ascii="Arial" w:hAnsi="Arial" w:cs="Arial"/>
          <w:sz w:val="22"/>
          <w:szCs w:val="22"/>
          <w:lang w:val="pt-BR"/>
        </w:rPr>
        <w:t>;</w:t>
      </w:r>
    </w:p>
    <w:p w14:paraId="305578DF">
      <w:pPr>
        <w:pStyle w:val="165"/>
        <w:pageBreakBefore w:val="0"/>
        <w:numPr>
          <w:ilvl w:val="0"/>
          <w:numId w:val="11"/>
        </w:numPr>
        <w:tabs>
          <w:tab w:val="clear" w:pos="420"/>
        </w:tabs>
        <w:kinsoku/>
        <w:wordWrap/>
        <w:overflowPunct/>
        <w:topLinePunct w:val="0"/>
        <w:autoSpaceDE/>
        <w:autoSpaceDN/>
        <w:bidi w:val="0"/>
        <w:adjustRightInd/>
        <w:snapToGrid/>
        <w:spacing w:after="0" w:line="360" w:lineRule="auto"/>
        <w:ind w:left="420" w:leftChars="0" w:hanging="420" w:firstLineChars="0"/>
        <w:jc w:val="both"/>
        <w:textAlignment w:val="auto"/>
        <w:rPr>
          <w:rFonts w:hint="default" w:ascii="Arial" w:hAnsi="Arial" w:cs="Arial"/>
          <w:sz w:val="22"/>
          <w:szCs w:val="22"/>
        </w:rPr>
      </w:pPr>
      <w:r>
        <w:rPr>
          <w:rFonts w:hint="default" w:ascii="Arial" w:hAnsi="Arial" w:cs="Arial"/>
          <w:sz w:val="22"/>
          <w:szCs w:val="22"/>
        </w:rPr>
        <w:t>Locação e implantação de ATS de no mínimo 4 unidades</w:t>
      </w:r>
      <w:r>
        <w:rPr>
          <w:rFonts w:hint="default" w:ascii="Arial" w:hAnsi="Arial" w:cs="Arial"/>
          <w:sz w:val="22"/>
          <w:szCs w:val="22"/>
          <w:lang w:val="pt-BR"/>
        </w:rPr>
        <w:t>;</w:t>
      </w:r>
    </w:p>
    <w:p w14:paraId="79F2E7AE">
      <w:pPr>
        <w:pStyle w:val="165"/>
        <w:pageBreakBefore w:val="0"/>
        <w:numPr>
          <w:ilvl w:val="0"/>
          <w:numId w:val="11"/>
        </w:numPr>
        <w:tabs>
          <w:tab w:val="clear" w:pos="420"/>
        </w:tabs>
        <w:kinsoku/>
        <w:wordWrap/>
        <w:overflowPunct/>
        <w:topLinePunct w:val="0"/>
        <w:autoSpaceDE/>
        <w:autoSpaceDN/>
        <w:bidi w:val="0"/>
        <w:adjustRightInd/>
        <w:snapToGrid/>
        <w:spacing w:after="0" w:line="360" w:lineRule="auto"/>
        <w:ind w:left="420" w:leftChars="0" w:hanging="420" w:firstLineChars="0"/>
        <w:jc w:val="both"/>
        <w:textAlignment w:val="auto"/>
        <w:rPr>
          <w:rFonts w:hint="default" w:ascii="Arial" w:hAnsi="Arial" w:cs="Arial"/>
          <w:sz w:val="22"/>
          <w:szCs w:val="22"/>
        </w:rPr>
      </w:pPr>
      <w:r>
        <w:rPr>
          <w:rFonts w:hint="default" w:ascii="Arial" w:hAnsi="Arial" w:cs="Arial"/>
          <w:sz w:val="22"/>
          <w:szCs w:val="22"/>
        </w:rPr>
        <w:t>Locação e implantação de sistema de vídeo monitoramento com no mínimo 2 câmeras</w:t>
      </w:r>
      <w:r>
        <w:rPr>
          <w:rFonts w:hint="default" w:ascii="Arial" w:hAnsi="Arial" w:cs="Arial"/>
          <w:sz w:val="22"/>
          <w:szCs w:val="22"/>
          <w:lang w:val="pt-BR"/>
        </w:rPr>
        <w:t>;</w:t>
      </w:r>
    </w:p>
    <w:p w14:paraId="58974E8C">
      <w:pPr>
        <w:pStyle w:val="165"/>
        <w:pageBreakBefore w:val="0"/>
        <w:numPr>
          <w:ilvl w:val="0"/>
          <w:numId w:val="11"/>
        </w:numPr>
        <w:tabs>
          <w:tab w:val="clear" w:pos="420"/>
        </w:tabs>
        <w:kinsoku/>
        <w:wordWrap/>
        <w:overflowPunct/>
        <w:topLinePunct w:val="0"/>
        <w:autoSpaceDE/>
        <w:autoSpaceDN/>
        <w:bidi w:val="0"/>
        <w:adjustRightInd/>
        <w:snapToGrid/>
        <w:spacing w:after="0" w:line="360" w:lineRule="auto"/>
        <w:ind w:left="420" w:leftChars="0" w:hanging="420" w:firstLineChars="0"/>
        <w:jc w:val="both"/>
        <w:textAlignment w:val="auto"/>
        <w:rPr>
          <w:rFonts w:hint="default" w:ascii="Arial" w:hAnsi="Arial" w:cs="Arial"/>
          <w:sz w:val="22"/>
          <w:szCs w:val="22"/>
        </w:rPr>
      </w:pPr>
      <w:r>
        <w:rPr>
          <w:rFonts w:hint="default" w:ascii="Arial" w:hAnsi="Arial" w:cs="Arial"/>
          <w:sz w:val="22"/>
          <w:szCs w:val="22"/>
        </w:rPr>
        <w:t>Locação e implantação de sistema de controle ambiental com no mínimo 20 sensores</w:t>
      </w:r>
      <w:r>
        <w:rPr>
          <w:rFonts w:hint="default" w:ascii="Arial" w:hAnsi="Arial" w:cs="Arial"/>
          <w:sz w:val="22"/>
          <w:szCs w:val="22"/>
          <w:lang w:val="pt-BR"/>
        </w:rPr>
        <w:t>;</w:t>
      </w:r>
    </w:p>
    <w:p w14:paraId="61289DCD">
      <w:pPr>
        <w:pStyle w:val="165"/>
        <w:pageBreakBefore w:val="0"/>
        <w:numPr>
          <w:ilvl w:val="0"/>
          <w:numId w:val="11"/>
        </w:numPr>
        <w:tabs>
          <w:tab w:val="clear" w:pos="420"/>
        </w:tabs>
        <w:kinsoku/>
        <w:wordWrap/>
        <w:overflowPunct/>
        <w:topLinePunct w:val="0"/>
        <w:autoSpaceDE/>
        <w:autoSpaceDN/>
        <w:bidi w:val="0"/>
        <w:adjustRightInd/>
        <w:snapToGrid/>
        <w:spacing w:after="0" w:line="360" w:lineRule="auto"/>
        <w:ind w:left="420" w:leftChars="0" w:hanging="420" w:firstLineChars="0"/>
        <w:jc w:val="both"/>
        <w:textAlignment w:val="auto"/>
        <w:rPr>
          <w:rFonts w:hint="default" w:ascii="Arial" w:hAnsi="Arial" w:cs="Arial"/>
          <w:sz w:val="22"/>
          <w:szCs w:val="22"/>
          <w:lang w:val="pt-BR"/>
        </w:rPr>
      </w:pPr>
      <w:r>
        <w:rPr>
          <w:rFonts w:hint="default" w:ascii="Arial" w:hAnsi="Arial" w:cs="Arial"/>
          <w:sz w:val="22"/>
          <w:szCs w:val="22"/>
        </w:rPr>
        <w:t>Locação e implantação de sistema de combate a incêndio com 5 nós</w:t>
      </w:r>
      <w:r>
        <w:rPr>
          <w:rFonts w:hint="default" w:ascii="Arial" w:hAnsi="Arial" w:cs="Arial"/>
          <w:sz w:val="22"/>
          <w:szCs w:val="22"/>
          <w:lang w:val="pt-BR"/>
        </w:rPr>
        <w:t>;</w:t>
      </w:r>
    </w:p>
    <w:p w14:paraId="30469097">
      <w:pPr>
        <w:pStyle w:val="165"/>
        <w:pageBreakBefore w:val="0"/>
        <w:numPr>
          <w:ilvl w:val="0"/>
          <w:numId w:val="11"/>
        </w:numPr>
        <w:tabs>
          <w:tab w:val="clear" w:pos="420"/>
        </w:tabs>
        <w:kinsoku/>
        <w:wordWrap/>
        <w:overflowPunct/>
        <w:topLinePunct w:val="0"/>
        <w:autoSpaceDE/>
        <w:autoSpaceDN/>
        <w:bidi w:val="0"/>
        <w:adjustRightInd/>
        <w:snapToGrid/>
        <w:spacing w:after="0" w:line="360" w:lineRule="auto"/>
        <w:ind w:left="420" w:leftChars="0" w:hanging="420" w:firstLineChars="0"/>
        <w:jc w:val="both"/>
        <w:textAlignment w:val="auto"/>
        <w:rPr>
          <w:rFonts w:hint="default" w:ascii="Arial" w:hAnsi="Arial" w:cs="Arial"/>
          <w:sz w:val="22"/>
          <w:szCs w:val="22"/>
          <w:lang w:val="pt-BR"/>
        </w:rPr>
      </w:pPr>
      <w:r>
        <w:rPr>
          <w:rFonts w:hint="default" w:ascii="Arial" w:hAnsi="Arial" w:cs="Arial"/>
          <w:sz w:val="22"/>
          <w:szCs w:val="22"/>
        </w:rPr>
        <w:t>Elaboração de projeto executivo para implementação de solução de alta disponibilidade</w:t>
      </w:r>
      <w:r>
        <w:rPr>
          <w:rFonts w:hint="default" w:ascii="Arial" w:hAnsi="Arial" w:cs="Arial"/>
          <w:sz w:val="22"/>
          <w:szCs w:val="22"/>
          <w:lang w:val="pt-BR"/>
        </w:rPr>
        <w:t>;</w:t>
      </w:r>
    </w:p>
    <w:p w14:paraId="79D32469">
      <w:pPr>
        <w:pStyle w:val="165"/>
        <w:pageBreakBefore w:val="0"/>
        <w:numPr>
          <w:ilvl w:val="0"/>
          <w:numId w:val="11"/>
        </w:numPr>
        <w:tabs>
          <w:tab w:val="clear" w:pos="420"/>
        </w:tabs>
        <w:kinsoku/>
        <w:wordWrap/>
        <w:overflowPunct/>
        <w:topLinePunct w:val="0"/>
        <w:autoSpaceDE/>
        <w:autoSpaceDN/>
        <w:bidi w:val="0"/>
        <w:adjustRightInd/>
        <w:snapToGrid/>
        <w:spacing w:after="0" w:line="360" w:lineRule="auto"/>
        <w:ind w:left="420" w:leftChars="0" w:hanging="420" w:firstLineChars="0"/>
        <w:jc w:val="both"/>
        <w:textAlignment w:val="auto"/>
        <w:rPr>
          <w:rFonts w:hint="default" w:ascii="Arial" w:hAnsi="Arial" w:cs="Arial"/>
          <w:sz w:val="22"/>
          <w:szCs w:val="22"/>
          <w:lang w:val="pt-BR"/>
        </w:rPr>
      </w:pPr>
      <w:r>
        <w:rPr>
          <w:rFonts w:hint="default" w:ascii="Arial" w:hAnsi="Arial" w:cs="Arial"/>
          <w:sz w:val="22"/>
          <w:szCs w:val="22"/>
          <w:lang w:val="pt-BR"/>
        </w:rPr>
        <w:t>Serviços de movimentação de equipamentos (Moving).</w:t>
      </w:r>
    </w:p>
    <w:p w14:paraId="088D7F1E">
      <w:pPr>
        <w:keepNext w:val="0"/>
        <w:keepLines w:val="0"/>
        <w:pageBreakBefore w:val="0"/>
        <w:widowControl/>
        <w:numPr>
          <w:ilvl w:val="0"/>
          <w:numId w:val="0"/>
        </w:numPr>
        <w:kinsoku/>
        <w:wordWrap/>
        <w:overflowPunct/>
        <w:topLinePunct w:val="0"/>
        <w:autoSpaceDE/>
        <w:autoSpaceDN/>
        <w:bidi w:val="0"/>
        <w:adjustRightInd/>
        <w:snapToGrid/>
        <w:spacing w:before="361" w:beforeLines="100" w:beforeAutospacing="0" w:after="181" w:afterLines="50" w:afterAutospacing="0" w:line="360" w:lineRule="auto"/>
        <w:ind w:left="0" w:leftChars="0" w:right="-11" w:rightChars="0" w:firstLine="722" w:firstLineChars="327"/>
        <w:jc w:val="both"/>
        <w:textAlignment w:val="auto"/>
        <w:rPr>
          <w:rFonts w:hint="default" w:ascii="Arial" w:hAnsi="Arial" w:cs="Arial"/>
          <w:sz w:val="22"/>
          <w:szCs w:val="22"/>
          <w:lang w:val="pt-BR"/>
        </w:rPr>
      </w:pPr>
      <w:r>
        <w:rPr>
          <w:rFonts w:hint="default" w:ascii="Arial" w:hAnsi="Arial" w:cs="Arial"/>
          <w:b/>
          <w:bCs/>
          <w:sz w:val="22"/>
          <w:szCs w:val="22"/>
          <w:lang w:val="pt-BR"/>
        </w:rPr>
        <w:t>9.5.2.1</w:t>
      </w:r>
      <w:r>
        <w:rPr>
          <w:rFonts w:hint="default" w:ascii="Arial" w:hAnsi="Arial" w:cs="Arial"/>
          <w:sz w:val="22"/>
          <w:szCs w:val="22"/>
          <w:lang w:val="pt-BR"/>
        </w:rPr>
        <w:t xml:space="preserve"> Será aceito somatório de atestados para comprovação dos serviços listados acima.</w:t>
      </w:r>
    </w:p>
    <w:p w14:paraId="24339C5C">
      <w:pPr>
        <w:keepNext w:val="0"/>
        <w:keepLines w:val="0"/>
        <w:pageBreakBefore w:val="0"/>
        <w:widowControl/>
        <w:numPr>
          <w:ilvl w:val="0"/>
          <w:numId w:val="0"/>
        </w:numPr>
        <w:kinsoku/>
        <w:wordWrap/>
        <w:overflowPunct/>
        <w:topLinePunct w:val="0"/>
        <w:autoSpaceDE/>
        <w:autoSpaceDN/>
        <w:bidi w:val="0"/>
        <w:adjustRightInd/>
        <w:snapToGrid/>
        <w:spacing w:before="361" w:beforeLines="100" w:beforeAutospacing="0" w:after="181" w:afterLines="50" w:afterAutospacing="0" w:line="360" w:lineRule="auto"/>
        <w:ind w:left="0" w:leftChars="0" w:right="-11" w:rightChars="0" w:firstLine="722" w:firstLineChars="327"/>
        <w:jc w:val="both"/>
        <w:textAlignment w:val="auto"/>
        <w:rPr>
          <w:rFonts w:hint="default" w:ascii="Arial" w:hAnsi="Arial" w:cs="Arial"/>
          <w:sz w:val="22"/>
          <w:szCs w:val="22"/>
          <w:lang w:val="pt-BR"/>
        </w:rPr>
      </w:pPr>
      <w:r>
        <w:rPr>
          <w:rFonts w:hint="default" w:ascii="Arial" w:hAnsi="Arial" w:cs="Arial"/>
          <w:b/>
          <w:bCs/>
          <w:sz w:val="22"/>
          <w:szCs w:val="22"/>
          <w:lang w:val="pt-BR"/>
        </w:rPr>
        <w:t>9.5.2.2</w:t>
      </w:r>
      <w:r>
        <w:rPr>
          <w:rFonts w:hint="default" w:ascii="Arial" w:hAnsi="Arial" w:cs="Arial"/>
          <w:sz w:val="22"/>
          <w:szCs w:val="22"/>
          <w:lang w:val="pt-BR"/>
        </w:rPr>
        <w:t xml:space="preserve"> Todos os atestados devem estar devidamente registrados na entidade de classe correspondente à àrea de atuação da empresa.</w:t>
      </w:r>
    </w:p>
    <w:p w14:paraId="0EECB696">
      <w:pPr>
        <w:keepNext w:val="0"/>
        <w:keepLines w:val="0"/>
        <w:pageBreakBefore w:val="0"/>
        <w:widowControl/>
        <w:numPr>
          <w:ilvl w:val="0"/>
          <w:numId w:val="0"/>
        </w:numPr>
        <w:kinsoku/>
        <w:wordWrap/>
        <w:overflowPunct/>
        <w:topLinePunct w:val="0"/>
        <w:autoSpaceDE/>
        <w:autoSpaceDN/>
        <w:bidi w:val="0"/>
        <w:adjustRightInd/>
        <w:snapToGrid/>
        <w:spacing w:before="181" w:beforeLines="50" w:beforeAutospacing="0" w:after="361" w:afterLines="100" w:afterAutospacing="0" w:line="360" w:lineRule="auto"/>
        <w:ind w:left="17" w:leftChars="7" w:right="-11" w:rightChars="0" w:firstLine="705" w:firstLineChars="319"/>
        <w:jc w:val="both"/>
        <w:textAlignment w:val="auto"/>
        <w:rPr>
          <w:rFonts w:hint="default" w:ascii="Arial" w:hAnsi="Arial" w:cs="Arial"/>
          <w:sz w:val="22"/>
          <w:szCs w:val="22"/>
        </w:rPr>
      </w:pPr>
      <w:r>
        <w:rPr>
          <w:rFonts w:hint="default" w:ascii="Arial" w:hAnsi="Arial" w:cs="Arial"/>
          <w:b/>
          <w:bCs/>
          <w:sz w:val="22"/>
          <w:szCs w:val="22"/>
          <w:lang w:val="pt-BR"/>
        </w:rPr>
        <w:t xml:space="preserve">9.5.2.3 </w:t>
      </w:r>
      <w:r>
        <w:rPr>
          <w:rFonts w:hint="default" w:ascii="Arial" w:hAnsi="Arial" w:cs="Arial"/>
          <w:sz w:val="22"/>
          <w:szCs w:val="22"/>
        </w:rPr>
        <w:t>Os atestados deverão ser fornecidos por pessoas jurídicas de direito público ou privado, os quais necessariamente deverão ser apresentados em papel timbrado da pessoa jurídica ou com carimbo do CNPJ, contendo a identificação do signatário, cargo, nome</w:t>
      </w:r>
      <w:r>
        <w:rPr>
          <w:rFonts w:hint="default" w:ascii="Arial" w:hAnsi="Arial" w:cs="Arial"/>
          <w:sz w:val="22"/>
          <w:szCs w:val="22"/>
          <w:lang w:val="pt-BR"/>
        </w:rPr>
        <w:t xml:space="preserve">, </w:t>
      </w:r>
      <w:r>
        <w:rPr>
          <w:rFonts w:hint="default" w:ascii="Arial" w:hAnsi="Arial" w:cs="Arial"/>
          <w:sz w:val="22"/>
          <w:szCs w:val="22"/>
        </w:rPr>
        <w:t xml:space="preserve">telefones </w:t>
      </w:r>
      <w:r>
        <w:rPr>
          <w:rFonts w:hint="default" w:ascii="Arial" w:hAnsi="Arial" w:cs="Arial"/>
          <w:sz w:val="22"/>
          <w:szCs w:val="22"/>
          <w:lang w:val="pt-BR"/>
        </w:rPr>
        <w:t xml:space="preserve">e e-mail </w:t>
      </w:r>
      <w:r>
        <w:rPr>
          <w:rFonts w:hint="default" w:ascii="Arial" w:hAnsi="Arial" w:cs="Arial"/>
          <w:sz w:val="22"/>
          <w:szCs w:val="22"/>
        </w:rPr>
        <w:t>para contato, tipo de serviço prestado, local da prestação dos serviços, características e caracterização do bom desempenho da licitante.</w:t>
      </w:r>
    </w:p>
    <w:p w14:paraId="6CB70CE1">
      <w:pPr>
        <w:keepNext w:val="0"/>
        <w:keepLines w:val="0"/>
        <w:pageBreakBefore w:val="0"/>
        <w:widowControl/>
        <w:numPr>
          <w:ilvl w:val="0"/>
          <w:numId w:val="0"/>
        </w:numPr>
        <w:kinsoku/>
        <w:wordWrap/>
        <w:overflowPunct/>
        <w:topLinePunct w:val="0"/>
        <w:autoSpaceDE/>
        <w:autoSpaceDN/>
        <w:bidi w:val="0"/>
        <w:adjustRightInd/>
        <w:snapToGrid/>
        <w:spacing w:before="181" w:beforeLines="50" w:beforeAutospacing="0" w:after="361" w:afterLines="100" w:afterAutospacing="0" w:line="360" w:lineRule="auto"/>
        <w:ind w:left="17" w:leftChars="7" w:right="-11" w:rightChars="0" w:firstLine="705" w:firstLineChars="319"/>
        <w:jc w:val="both"/>
        <w:textAlignment w:val="auto"/>
        <w:rPr>
          <w:rFonts w:hint="default" w:ascii="Arial" w:hAnsi="Arial" w:cs="Arial"/>
          <w:sz w:val="22"/>
          <w:szCs w:val="22"/>
        </w:rPr>
      </w:pPr>
      <w:r>
        <w:rPr>
          <w:rFonts w:hint="default" w:ascii="Arial" w:hAnsi="Arial" w:cs="Arial"/>
          <w:b/>
          <w:bCs/>
          <w:sz w:val="22"/>
          <w:szCs w:val="22"/>
          <w:lang w:val="pt-BR"/>
        </w:rPr>
        <w:t>9.5.2.4</w:t>
      </w:r>
      <w:r>
        <w:rPr>
          <w:rFonts w:hint="default" w:ascii="Arial" w:hAnsi="Arial" w:cs="Arial"/>
          <w:sz w:val="22"/>
          <w:szCs w:val="22"/>
          <w:lang w:val="pt-BR"/>
        </w:rPr>
        <w:t xml:space="preserve"> </w:t>
      </w:r>
      <w:r>
        <w:rPr>
          <w:rFonts w:hint="default" w:ascii="Arial" w:hAnsi="Arial" w:cs="Arial"/>
          <w:sz w:val="22"/>
          <w:szCs w:val="22"/>
        </w:rPr>
        <w:t>Atestados emitidos por empresas do mesmo grupo empresarial da licitante não serão aceitos, considerando-se empresas do mesmo grupo as que são controladoras, controladas, ou que possuem um sócio em comum com a licitante.</w:t>
      </w:r>
    </w:p>
    <w:p w14:paraId="785A54A6">
      <w:pPr>
        <w:keepNext w:val="0"/>
        <w:keepLines w:val="0"/>
        <w:pageBreakBefore w:val="0"/>
        <w:widowControl/>
        <w:numPr>
          <w:ilvl w:val="0"/>
          <w:numId w:val="0"/>
        </w:numPr>
        <w:kinsoku/>
        <w:wordWrap/>
        <w:overflowPunct/>
        <w:topLinePunct w:val="0"/>
        <w:autoSpaceDE/>
        <w:autoSpaceDN/>
        <w:bidi w:val="0"/>
        <w:adjustRightInd/>
        <w:snapToGrid/>
        <w:spacing w:before="181" w:beforeLines="50" w:beforeAutospacing="0" w:after="361" w:afterLines="100" w:afterAutospacing="0" w:line="360" w:lineRule="auto"/>
        <w:ind w:left="17" w:leftChars="7" w:right="-11" w:rightChars="0" w:firstLine="705" w:firstLineChars="319"/>
        <w:jc w:val="both"/>
        <w:textAlignment w:val="auto"/>
        <w:rPr>
          <w:rFonts w:hint="default" w:ascii="Arial" w:hAnsi="Arial" w:cs="Arial"/>
          <w:sz w:val="22"/>
          <w:szCs w:val="22"/>
        </w:rPr>
      </w:pPr>
      <w:r>
        <w:rPr>
          <w:rFonts w:hint="default" w:ascii="Arial" w:hAnsi="Arial" w:cs="Arial"/>
          <w:b/>
          <w:bCs/>
          <w:sz w:val="22"/>
          <w:szCs w:val="22"/>
          <w:lang w:val="pt-BR"/>
        </w:rPr>
        <w:t>9.5.2.5</w:t>
      </w:r>
      <w:r>
        <w:rPr>
          <w:rFonts w:hint="default" w:ascii="Arial" w:hAnsi="Arial" w:cs="Arial"/>
          <w:sz w:val="22"/>
          <w:szCs w:val="22"/>
          <w:lang w:val="pt-BR"/>
        </w:rPr>
        <w:t xml:space="preserve"> </w:t>
      </w:r>
      <w:r>
        <w:rPr>
          <w:rFonts w:hint="default" w:ascii="Arial" w:hAnsi="Arial" w:cs="Arial"/>
          <w:sz w:val="22"/>
          <w:szCs w:val="22"/>
        </w:rPr>
        <w:t>Atestados do mesmo grupo empresarial para os mesmos projetos e período serão contabilizados como um único atestado, prevalecendo o de maior volume.</w:t>
      </w:r>
    </w:p>
    <w:p w14:paraId="55CF5166">
      <w:pPr>
        <w:keepNext w:val="0"/>
        <w:keepLines w:val="0"/>
        <w:pageBreakBefore w:val="0"/>
        <w:widowControl/>
        <w:numPr>
          <w:ilvl w:val="0"/>
          <w:numId w:val="0"/>
        </w:numPr>
        <w:kinsoku/>
        <w:wordWrap/>
        <w:overflowPunct/>
        <w:topLinePunct w:val="0"/>
        <w:autoSpaceDE/>
        <w:autoSpaceDN/>
        <w:bidi w:val="0"/>
        <w:adjustRightInd/>
        <w:snapToGrid/>
        <w:spacing w:before="181" w:beforeLines="50" w:beforeAutospacing="0" w:after="361" w:afterLines="100" w:afterAutospacing="0" w:line="360" w:lineRule="auto"/>
        <w:ind w:left="17" w:leftChars="7" w:right="-11" w:rightChars="0" w:firstLine="705" w:firstLineChars="319"/>
        <w:jc w:val="both"/>
        <w:textAlignment w:val="auto"/>
        <w:rPr>
          <w:rFonts w:hint="default" w:ascii="Arial" w:hAnsi="Arial" w:cs="Arial"/>
          <w:sz w:val="22"/>
          <w:szCs w:val="22"/>
        </w:rPr>
      </w:pPr>
      <w:r>
        <w:rPr>
          <w:rFonts w:hint="default" w:ascii="Arial" w:hAnsi="Arial" w:cs="Arial"/>
          <w:b/>
          <w:bCs/>
          <w:sz w:val="22"/>
          <w:szCs w:val="22"/>
          <w:lang w:val="pt-BR"/>
        </w:rPr>
        <w:t>9.5.2.6</w:t>
      </w:r>
      <w:r>
        <w:rPr>
          <w:rFonts w:hint="default" w:ascii="Arial" w:hAnsi="Arial" w:cs="Arial"/>
          <w:sz w:val="22"/>
          <w:szCs w:val="22"/>
          <w:lang w:val="pt-BR"/>
        </w:rPr>
        <w:t xml:space="preserve"> </w:t>
      </w:r>
      <w:r>
        <w:rPr>
          <w:rFonts w:hint="default" w:ascii="Arial" w:hAnsi="Arial" w:cs="Arial"/>
          <w:sz w:val="22"/>
          <w:szCs w:val="22"/>
        </w:rPr>
        <w:t>Os atestados apresentados podem ser verificados pelo Órgão Contratante para autenticidade, e a impossibilidade de verificação tornará o atestado inválido.</w:t>
      </w:r>
    </w:p>
    <w:p w14:paraId="7CDEA65A">
      <w:pPr>
        <w:keepNext w:val="0"/>
        <w:keepLines w:val="0"/>
        <w:pageBreakBefore w:val="0"/>
        <w:widowControl/>
        <w:numPr>
          <w:ilvl w:val="0"/>
          <w:numId w:val="0"/>
        </w:numPr>
        <w:kinsoku/>
        <w:wordWrap/>
        <w:overflowPunct/>
        <w:topLinePunct w:val="0"/>
        <w:autoSpaceDE/>
        <w:autoSpaceDN/>
        <w:bidi w:val="0"/>
        <w:adjustRightInd/>
        <w:snapToGrid/>
        <w:spacing w:before="181" w:beforeLines="50" w:beforeAutospacing="0" w:after="361" w:afterLines="100" w:afterAutospacing="0" w:line="360" w:lineRule="auto"/>
        <w:ind w:left="17" w:leftChars="7" w:right="-11" w:rightChars="0" w:firstLine="705" w:firstLineChars="319"/>
        <w:jc w:val="both"/>
        <w:textAlignment w:val="auto"/>
        <w:rPr>
          <w:rFonts w:hint="default" w:ascii="Arial" w:hAnsi="Arial" w:cs="Arial"/>
          <w:sz w:val="22"/>
          <w:szCs w:val="22"/>
        </w:rPr>
      </w:pPr>
      <w:r>
        <w:rPr>
          <w:rFonts w:hint="default" w:ascii="Arial" w:hAnsi="Arial" w:cs="Arial"/>
          <w:b/>
          <w:bCs/>
          <w:sz w:val="22"/>
          <w:szCs w:val="22"/>
          <w:lang w:val="pt-BR"/>
        </w:rPr>
        <w:t>9.5.2.7</w:t>
      </w:r>
      <w:r>
        <w:rPr>
          <w:rFonts w:hint="default" w:ascii="Arial" w:hAnsi="Arial" w:cs="Arial"/>
          <w:sz w:val="22"/>
          <w:szCs w:val="22"/>
          <w:lang w:val="pt-BR"/>
        </w:rPr>
        <w:t xml:space="preserve"> </w:t>
      </w:r>
      <w:r>
        <w:rPr>
          <w:rFonts w:hint="default" w:ascii="Arial" w:hAnsi="Arial" w:cs="Arial"/>
          <w:sz w:val="22"/>
          <w:szCs w:val="22"/>
        </w:rPr>
        <w:t>Divergências encontradas entre atestados e verificações podem levar à inabilitação no processo licitatório e outras penalidades.</w:t>
      </w:r>
    </w:p>
    <w:p w14:paraId="63FF596B">
      <w:pPr>
        <w:keepNext w:val="0"/>
        <w:keepLines w:val="0"/>
        <w:pageBreakBefore w:val="0"/>
        <w:widowControl/>
        <w:numPr>
          <w:ilvl w:val="0"/>
          <w:numId w:val="0"/>
        </w:numPr>
        <w:kinsoku/>
        <w:wordWrap/>
        <w:overflowPunct/>
        <w:topLinePunct w:val="0"/>
        <w:autoSpaceDE/>
        <w:autoSpaceDN/>
        <w:bidi w:val="0"/>
        <w:adjustRightInd/>
        <w:snapToGrid/>
        <w:spacing w:before="181" w:beforeLines="50" w:beforeAutospacing="0" w:after="361" w:afterLines="100" w:afterAutospacing="0" w:line="360" w:lineRule="auto"/>
        <w:ind w:left="17" w:leftChars="7" w:right="-11" w:rightChars="0" w:firstLine="705" w:firstLineChars="319"/>
        <w:jc w:val="both"/>
        <w:textAlignment w:val="auto"/>
        <w:rPr>
          <w:rFonts w:hint="default" w:ascii="Arial" w:hAnsi="Arial" w:cs="Arial"/>
          <w:sz w:val="22"/>
          <w:szCs w:val="22"/>
          <w:lang w:val="pt-BR"/>
        </w:rPr>
      </w:pPr>
      <w:r>
        <w:rPr>
          <w:rFonts w:hint="default" w:ascii="Arial" w:hAnsi="Arial" w:cs="Arial"/>
          <w:b/>
          <w:bCs/>
          <w:sz w:val="22"/>
          <w:szCs w:val="22"/>
          <w:lang w:val="pt-BR"/>
        </w:rPr>
        <w:t>9.5.2.8</w:t>
      </w:r>
      <w:r>
        <w:rPr>
          <w:rFonts w:hint="default" w:ascii="Arial" w:hAnsi="Arial" w:cs="Arial"/>
          <w:sz w:val="22"/>
          <w:szCs w:val="22"/>
          <w:lang w:val="pt-BR"/>
        </w:rPr>
        <w:t xml:space="preserve"> </w:t>
      </w:r>
      <w:r>
        <w:rPr>
          <w:rFonts w:hint="default" w:ascii="Arial" w:hAnsi="Arial" w:cs="Arial"/>
          <w:sz w:val="22"/>
          <w:szCs w:val="22"/>
        </w:rPr>
        <w:t xml:space="preserve">A </w:t>
      </w:r>
      <w:r>
        <w:rPr>
          <w:rFonts w:hint="default" w:ascii="Arial" w:hAnsi="Arial" w:cs="Arial"/>
          <w:sz w:val="22"/>
          <w:szCs w:val="22"/>
          <w:lang w:val="pt-BR"/>
        </w:rPr>
        <w:t xml:space="preserve">licitante </w:t>
      </w:r>
      <w:r>
        <w:rPr>
          <w:rFonts w:hint="default" w:ascii="Arial" w:hAnsi="Arial" w:cs="Arial"/>
          <w:sz w:val="22"/>
          <w:szCs w:val="22"/>
        </w:rPr>
        <w:t xml:space="preserve">deverá apresentar obrigatoriamente, para comprovação de capacidade técnica-profissional de seus responsáveis técnicos, atestado(s) de capacidade técnica, expedido(s) por pessoa(s) jurídica(s) de direito público ou privado, comprovando que os profissionais realizaram serviços de natureza semelhante ao objeto deste </w:t>
      </w:r>
      <w:r>
        <w:rPr>
          <w:rFonts w:hint="default" w:ascii="Arial" w:hAnsi="Arial" w:cs="Arial"/>
          <w:sz w:val="22"/>
          <w:szCs w:val="22"/>
          <w:lang w:val="pt-BR"/>
        </w:rPr>
        <w:t>certame</w:t>
      </w:r>
      <w:r>
        <w:rPr>
          <w:rFonts w:hint="default" w:ascii="Arial" w:hAnsi="Arial" w:cs="Arial"/>
          <w:sz w:val="22"/>
          <w:szCs w:val="22"/>
        </w:rPr>
        <w:t>, acompanhado(s) da(s) respectiva(s) certidão(ões) de acervo técnico (CAT) dos profissionais que se responsabilizaram pela execução dos serviços, emitidas pelo CREA da região em que foram realizados.</w:t>
      </w:r>
    </w:p>
    <w:p w14:paraId="1EF73E08">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color w:val="auto"/>
          <w:sz w:val="22"/>
          <w:szCs w:val="22"/>
        </w:rPr>
      </w:pPr>
      <w:r>
        <w:rPr>
          <w:rFonts w:hint="default" w:ascii="Arial" w:hAnsi="Arial" w:cs="Arial"/>
          <w:b/>
          <w:bCs/>
          <w:sz w:val="22"/>
          <w:szCs w:val="22"/>
          <w:lang w:val="pt-BR"/>
        </w:rPr>
        <w:t>9.5.3</w:t>
      </w:r>
      <w:r>
        <w:rPr>
          <w:rFonts w:hint="default" w:ascii="Arial" w:hAnsi="Arial" w:cs="Arial"/>
          <w:sz w:val="22"/>
          <w:szCs w:val="22"/>
          <w:lang w:val="pt-BR"/>
        </w:rPr>
        <w:t xml:space="preserve"> </w:t>
      </w:r>
      <w:r>
        <w:rPr>
          <w:rFonts w:hint="default" w:ascii="Arial" w:hAnsi="Arial" w:cs="Arial"/>
          <w:color w:val="auto"/>
          <w:sz w:val="22"/>
          <w:szCs w:val="22"/>
        </w:rPr>
        <w:t xml:space="preserve">As empresas interessadas </w:t>
      </w:r>
      <w:r>
        <w:rPr>
          <w:rFonts w:hint="default" w:ascii="Arial" w:hAnsi="Arial" w:cs="Arial"/>
          <w:color w:val="auto"/>
          <w:sz w:val="22"/>
          <w:szCs w:val="22"/>
          <w:lang w:val="pt-BR"/>
        </w:rPr>
        <w:t>poderão</w:t>
      </w:r>
      <w:r>
        <w:rPr>
          <w:rFonts w:hint="default" w:ascii="Arial" w:hAnsi="Arial" w:cs="Arial"/>
          <w:color w:val="auto"/>
          <w:sz w:val="22"/>
          <w:szCs w:val="22"/>
        </w:rPr>
        <w:t xml:space="preserve"> realizar vistoria nas instalações desta PREFEITURA onde serão instalados os equipamentos e executados os serviços</w:t>
      </w:r>
      <w:r>
        <w:rPr>
          <w:rFonts w:hint="default" w:ascii="Arial" w:hAnsi="Arial" w:cs="Arial"/>
          <w:color w:val="auto"/>
          <w:sz w:val="22"/>
          <w:szCs w:val="22"/>
          <w:lang w:val="pt-BR"/>
        </w:rPr>
        <w:t>. N</w:t>
      </w:r>
      <w:r>
        <w:rPr>
          <w:rFonts w:hint="default" w:ascii="Arial" w:hAnsi="Arial" w:cs="Arial"/>
          <w:color w:val="auto"/>
          <w:sz w:val="22"/>
          <w:szCs w:val="22"/>
        </w:rPr>
        <w:t xml:space="preserve">o caso da opção pela não realização da vistoria, </w:t>
      </w:r>
      <w:r>
        <w:rPr>
          <w:rFonts w:hint="default" w:ascii="Arial" w:hAnsi="Arial" w:cs="Arial"/>
          <w:color w:val="auto"/>
          <w:sz w:val="22"/>
          <w:szCs w:val="22"/>
          <w:lang w:val="pt-BR"/>
        </w:rPr>
        <w:t xml:space="preserve">deverão </w:t>
      </w:r>
      <w:r>
        <w:rPr>
          <w:rFonts w:hint="default" w:ascii="Arial" w:hAnsi="Arial" w:cs="Arial"/>
          <w:color w:val="auto"/>
          <w:sz w:val="22"/>
          <w:szCs w:val="22"/>
        </w:rPr>
        <w:t xml:space="preserve">apresentar declaração abdicando do direito de se cientificar das peculiaridades, dos atuais equipamentos de rede e de segurança, das condições no local, do ambiente, das possíveis dificuldades, do padrão das instalações, configurações e da forma dos equipamentos da PREFEITURA, assumindo total responsabilidade pelo cumprimento das instalações e configurações e garantia do perfeito funcionamento dos subsistemas do Centro de Processamento de Dados da PREFEITURA, conforme ANEXO </w:t>
      </w:r>
      <w:r>
        <w:rPr>
          <w:rFonts w:hint="default" w:ascii="Arial" w:hAnsi="Arial" w:cs="Arial"/>
          <w:color w:val="auto"/>
          <w:sz w:val="22"/>
          <w:szCs w:val="22"/>
          <w:lang w:val="pt-BR"/>
        </w:rPr>
        <w:t>VI</w:t>
      </w:r>
      <w:r>
        <w:rPr>
          <w:rFonts w:hint="default" w:ascii="Arial" w:hAnsi="Arial" w:cs="Arial"/>
          <w:color w:val="auto"/>
          <w:sz w:val="22"/>
          <w:szCs w:val="22"/>
        </w:rPr>
        <w:t xml:space="preserve"> – MODELO DE DECLARA</w:t>
      </w:r>
      <w:r>
        <w:rPr>
          <w:rFonts w:hint="default" w:ascii="Arial" w:hAnsi="Arial" w:cs="Arial"/>
          <w:color w:val="auto"/>
          <w:sz w:val="22"/>
          <w:szCs w:val="22"/>
          <w:lang w:val="pt-BR"/>
        </w:rPr>
        <w:t>ÇÃ</w:t>
      </w:r>
      <w:r>
        <w:rPr>
          <w:rFonts w:hint="default" w:ascii="Arial" w:hAnsi="Arial" w:cs="Arial"/>
          <w:color w:val="auto"/>
          <w:sz w:val="22"/>
          <w:szCs w:val="22"/>
        </w:rPr>
        <w:t>O DE DESISTÊNCIA DE VISTORIA TÉCNICA, o qual deverá ser anexado juntamente com a documentação de habilitação.</w:t>
      </w:r>
    </w:p>
    <w:p w14:paraId="4397A108">
      <w:pPr>
        <w:pStyle w:val="165"/>
        <w:pageBreakBefore w:val="0"/>
        <w:widowControl/>
        <w:numPr>
          <w:ilvl w:val="0"/>
          <w:numId w:val="0"/>
        </w:numPr>
        <w:kinsoku/>
        <w:wordWrap/>
        <w:overflowPunct/>
        <w:topLinePunct w:val="0"/>
        <w:autoSpaceDE/>
        <w:autoSpaceDN/>
        <w:bidi w:val="0"/>
        <w:adjustRightInd/>
        <w:snapToGrid/>
        <w:spacing w:line="360" w:lineRule="auto"/>
        <w:ind w:left="0" w:leftChars="0" w:firstLine="722" w:firstLineChars="327"/>
        <w:jc w:val="both"/>
        <w:textAlignment w:val="auto"/>
        <w:rPr>
          <w:rFonts w:hint="default" w:ascii="Arial" w:hAnsi="Arial" w:cs="Arial"/>
          <w:color w:val="auto"/>
          <w:sz w:val="22"/>
          <w:szCs w:val="22"/>
        </w:rPr>
      </w:pPr>
      <w:r>
        <w:rPr>
          <w:rFonts w:hint="default" w:ascii="Arial" w:hAnsi="Arial" w:cs="Arial"/>
          <w:b/>
          <w:bCs/>
          <w:color w:val="auto"/>
          <w:sz w:val="22"/>
          <w:szCs w:val="22"/>
          <w:lang w:val="pt-BR"/>
        </w:rPr>
        <w:t>9.5.3.1</w:t>
      </w:r>
      <w:r>
        <w:rPr>
          <w:rFonts w:hint="default" w:ascii="Arial" w:hAnsi="Arial" w:cs="Arial"/>
          <w:color w:val="auto"/>
          <w:sz w:val="22"/>
          <w:szCs w:val="22"/>
          <w:lang w:val="pt-BR"/>
        </w:rPr>
        <w:t xml:space="preserve"> </w:t>
      </w:r>
      <w:r>
        <w:rPr>
          <w:rFonts w:hint="default" w:ascii="Arial" w:hAnsi="Arial" w:cs="Arial"/>
          <w:color w:val="auto"/>
          <w:sz w:val="22"/>
          <w:szCs w:val="22"/>
        </w:rPr>
        <w:t xml:space="preserve">A vistoria técnica tem como objetivo que a licitante se cientifique das peculiaridades, dos atuais equipamentos da PREFEITURA, das condições no local, do ambiente, das possíveis dificuldades, do padrão das instalações, configurações dos atuais equipamentos da PREFEITURA, assumindo total responsabilidade pelo cumprimento das instalações e configurações e garantia do perfeito funcionamento dos subsistemas do Centro de Processamento de Dados, conforme ANEXO </w:t>
      </w:r>
      <w:r>
        <w:rPr>
          <w:rFonts w:hint="default" w:ascii="Arial" w:hAnsi="Arial" w:cs="Arial"/>
          <w:color w:val="auto"/>
          <w:sz w:val="22"/>
          <w:szCs w:val="22"/>
          <w:lang w:val="pt-BR"/>
        </w:rPr>
        <w:t>V</w:t>
      </w:r>
      <w:r>
        <w:rPr>
          <w:rFonts w:hint="default" w:ascii="Arial" w:hAnsi="Arial" w:cs="Arial"/>
          <w:color w:val="auto"/>
          <w:sz w:val="22"/>
          <w:szCs w:val="22"/>
        </w:rPr>
        <w:t xml:space="preserve"> – MODELO DE DECLARA</w:t>
      </w:r>
      <w:r>
        <w:rPr>
          <w:rFonts w:hint="default" w:ascii="Arial" w:hAnsi="Arial" w:cs="Arial"/>
          <w:color w:val="auto"/>
          <w:sz w:val="22"/>
          <w:szCs w:val="22"/>
          <w:lang w:val="pt-BR"/>
        </w:rPr>
        <w:t>ÇÃ</w:t>
      </w:r>
      <w:r>
        <w:rPr>
          <w:rFonts w:hint="default" w:ascii="Arial" w:hAnsi="Arial" w:cs="Arial"/>
          <w:color w:val="auto"/>
          <w:sz w:val="22"/>
          <w:szCs w:val="22"/>
        </w:rPr>
        <w:t>O DE VISTORIA TÉCNICA, o qual deverá ser anexado juntamente com a documentação de habilitação;</w:t>
      </w:r>
    </w:p>
    <w:p w14:paraId="4DEDE65E">
      <w:pPr>
        <w:pStyle w:val="165"/>
        <w:pageBreakBefore w:val="0"/>
        <w:widowControl/>
        <w:numPr>
          <w:ilvl w:val="0"/>
          <w:numId w:val="0"/>
        </w:numPr>
        <w:kinsoku/>
        <w:wordWrap/>
        <w:overflowPunct/>
        <w:topLinePunct w:val="0"/>
        <w:autoSpaceDE/>
        <w:autoSpaceDN/>
        <w:bidi w:val="0"/>
        <w:adjustRightInd/>
        <w:snapToGrid/>
        <w:spacing w:line="360" w:lineRule="auto"/>
        <w:ind w:left="0" w:leftChars="0" w:firstLine="722" w:firstLineChars="327"/>
        <w:jc w:val="both"/>
        <w:textAlignment w:val="auto"/>
        <w:rPr>
          <w:rFonts w:hint="default" w:ascii="Arial" w:hAnsi="Arial" w:cs="Arial"/>
          <w:color w:val="auto"/>
          <w:sz w:val="22"/>
          <w:szCs w:val="22"/>
        </w:rPr>
      </w:pPr>
      <w:r>
        <w:rPr>
          <w:rFonts w:hint="default" w:ascii="Arial" w:hAnsi="Arial" w:cs="Arial"/>
          <w:b/>
          <w:bCs/>
          <w:color w:val="auto"/>
          <w:sz w:val="22"/>
          <w:szCs w:val="22"/>
          <w:lang w:val="pt-BR"/>
        </w:rPr>
        <w:t>9.5.3.2.</w:t>
      </w:r>
      <w:r>
        <w:rPr>
          <w:rFonts w:hint="default" w:ascii="Arial" w:hAnsi="Arial" w:cs="Arial"/>
          <w:color w:val="auto"/>
          <w:sz w:val="22"/>
          <w:szCs w:val="22"/>
          <w:lang w:val="pt-BR"/>
        </w:rPr>
        <w:t xml:space="preserve"> </w:t>
      </w:r>
      <w:r>
        <w:rPr>
          <w:rFonts w:hint="default" w:ascii="Arial" w:hAnsi="Arial" w:cs="Arial"/>
          <w:color w:val="auto"/>
          <w:sz w:val="22"/>
          <w:szCs w:val="22"/>
        </w:rPr>
        <w:t>O requisito de vistoria se faz necessário para que os licitantes tenham condições de absorver a maior quantidade de informações necessárias para a elaboração de suas propostas e o devido cumprimento contratual pela vencedora, com o objetivo de garantir maior segurança para a administração pública;</w:t>
      </w:r>
    </w:p>
    <w:p w14:paraId="5FC0BCAD">
      <w:pPr>
        <w:pStyle w:val="165"/>
        <w:pageBreakBefore w:val="0"/>
        <w:widowControl/>
        <w:numPr>
          <w:ilvl w:val="0"/>
          <w:numId w:val="0"/>
        </w:numPr>
        <w:kinsoku/>
        <w:wordWrap/>
        <w:overflowPunct/>
        <w:topLinePunct w:val="0"/>
        <w:autoSpaceDE/>
        <w:autoSpaceDN/>
        <w:bidi w:val="0"/>
        <w:adjustRightInd/>
        <w:snapToGrid/>
        <w:spacing w:line="360" w:lineRule="auto"/>
        <w:ind w:left="0" w:leftChars="0" w:firstLine="722" w:firstLineChars="327"/>
        <w:jc w:val="both"/>
        <w:textAlignment w:val="auto"/>
        <w:rPr>
          <w:rFonts w:hint="default" w:ascii="Arial" w:hAnsi="Arial" w:cs="Arial"/>
          <w:color w:val="auto"/>
          <w:sz w:val="22"/>
          <w:szCs w:val="22"/>
        </w:rPr>
      </w:pPr>
      <w:r>
        <w:rPr>
          <w:rFonts w:hint="default" w:ascii="Arial" w:hAnsi="Arial" w:cs="Arial"/>
          <w:b/>
          <w:bCs/>
          <w:color w:val="auto"/>
          <w:sz w:val="22"/>
          <w:szCs w:val="22"/>
          <w:lang w:val="pt-BR"/>
        </w:rPr>
        <w:t>9.5.3.3</w:t>
      </w:r>
      <w:r>
        <w:rPr>
          <w:rFonts w:hint="default" w:ascii="Arial" w:hAnsi="Arial" w:cs="Arial"/>
          <w:color w:val="auto"/>
          <w:sz w:val="22"/>
          <w:szCs w:val="22"/>
          <w:lang w:val="pt-BR"/>
        </w:rPr>
        <w:t xml:space="preserve"> </w:t>
      </w:r>
      <w:r>
        <w:rPr>
          <w:rFonts w:hint="default" w:ascii="Arial" w:hAnsi="Arial" w:cs="Arial"/>
          <w:color w:val="auto"/>
          <w:sz w:val="22"/>
          <w:szCs w:val="22"/>
        </w:rPr>
        <w:t>A vistoria técnica deverá ser realizada no prazo de até 2 (dois) dias antes da data de abertura da licitação;</w:t>
      </w:r>
    </w:p>
    <w:p w14:paraId="1D3A68FC">
      <w:pPr>
        <w:pStyle w:val="165"/>
        <w:pageBreakBefore w:val="0"/>
        <w:widowControl/>
        <w:numPr>
          <w:ilvl w:val="0"/>
          <w:numId w:val="0"/>
        </w:numPr>
        <w:kinsoku/>
        <w:wordWrap/>
        <w:overflowPunct/>
        <w:topLinePunct w:val="0"/>
        <w:autoSpaceDE/>
        <w:autoSpaceDN/>
        <w:bidi w:val="0"/>
        <w:adjustRightInd/>
        <w:snapToGrid/>
        <w:spacing w:line="360" w:lineRule="auto"/>
        <w:ind w:left="0" w:leftChars="0" w:firstLine="722" w:firstLineChars="327"/>
        <w:jc w:val="both"/>
        <w:textAlignment w:val="auto"/>
        <w:rPr>
          <w:rFonts w:hint="default" w:ascii="Arial" w:hAnsi="Arial" w:cs="Arial"/>
          <w:color w:val="auto"/>
          <w:sz w:val="22"/>
          <w:szCs w:val="22"/>
        </w:rPr>
      </w:pPr>
      <w:r>
        <w:rPr>
          <w:rFonts w:hint="default" w:ascii="Arial" w:hAnsi="Arial" w:cs="Arial"/>
          <w:b/>
          <w:bCs/>
          <w:color w:val="auto"/>
          <w:sz w:val="22"/>
          <w:szCs w:val="22"/>
          <w:lang w:val="pt-BR"/>
        </w:rPr>
        <w:t>9.5.3.4</w:t>
      </w:r>
      <w:r>
        <w:rPr>
          <w:rFonts w:hint="default" w:ascii="Arial" w:hAnsi="Arial" w:cs="Arial"/>
          <w:color w:val="auto"/>
          <w:sz w:val="22"/>
          <w:szCs w:val="22"/>
          <w:lang w:val="pt-BR"/>
        </w:rPr>
        <w:t xml:space="preserve"> </w:t>
      </w:r>
      <w:r>
        <w:rPr>
          <w:rFonts w:hint="default" w:ascii="Arial" w:hAnsi="Arial" w:cs="Arial"/>
          <w:color w:val="auto"/>
          <w:sz w:val="22"/>
          <w:szCs w:val="22"/>
        </w:rPr>
        <w:t xml:space="preserve">O agendamento da vistoria deverá ser previamente efetuado por meio dos telefones (66) 3520-7202, ou pelo e-mail </w:t>
      </w:r>
      <w:r>
        <w:rPr>
          <w:rFonts w:hint="default" w:ascii="Arial" w:hAnsi="Arial" w:cs="Arial"/>
          <w:color w:val="auto"/>
          <w:sz w:val="22"/>
          <w:szCs w:val="22"/>
        </w:rPr>
        <w:fldChar w:fldCharType="begin"/>
      </w:r>
      <w:r>
        <w:rPr>
          <w:rFonts w:hint="default" w:ascii="Arial" w:hAnsi="Arial" w:cs="Arial"/>
          <w:color w:val="auto"/>
          <w:sz w:val="22"/>
          <w:szCs w:val="22"/>
        </w:rPr>
        <w:instrText xml:space="preserve">HYPERLINK "mailto:ti@sinop.mt.gov.br"</w:instrText>
      </w:r>
      <w:r>
        <w:rPr>
          <w:rFonts w:hint="default" w:ascii="Arial" w:hAnsi="Arial" w:cs="Arial"/>
          <w:color w:val="auto"/>
          <w:sz w:val="22"/>
          <w:szCs w:val="22"/>
        </w:rPr>
        <w:fldChar w:fldCharType="separate"/>
      </w:r>
      <w:r>
        <w:rPr>
          <w:rStyle w:val="15"/>
          <w:rFonts w:hint="default" w:ascii="Arial" w:hAnsi="Arial" w:cs="Arial"/>
          <w:color w:val="auto"/>
          <w:sz w:val="22"/>
          <w:szCs w:val="22"/>
        </w:rPr>
        <w:t>ti@sinop.mt.gov.br</w:t>
      </w:r>
      <w:r>
        <w:rPr>
          <w:rStyle w:val="15"/>
          <w:rFonts w:hint="default" w:ascii="Arial" w:hAnsi="Arial" w:cs="Arial"/>
          <w:color w:val="auto"/>
          <w:sz w:val="22"/>
          <w:szCs w:val="22"/>
        </w:rPr>
        <w:fldChar w:fldCharType="end"/>
      </w:r>
      <w:r>
        <w:rPr>
          <w:rFonts w:hint="default" w:ascii="Arial" w:hAnsi="Arial" w:cs="Arial"/>
          <w:color w:val="auto"/>
          <w:sz w:val="22"/>
          <w:szCs w:val="22"/>
        </w:rPr>
        <w:t xml:space="preserve"> mencionando o número do edital, as informações de contato da licitante que efetuará a vistoria;</w:t>
      </w:r>
    </w:p>
    <w:p w14:paraId="348352FE">
      <w:pPr>
        <w:pStyle w:val="165"/>
        <w:pageBreakBefore w:val="0"/>
        <w:widowControl/>
        <w:numPr>
          <w:ilvl w:val="0"/>
          <w:numId w:val="0"/>
        </w:numPr>
        <w:kinsoku/>
        <w:wordWrap/>
        <w:overflowPunct/>
        <w:topLinePunct w:val="0"/>
        <w:autoSpaceDE/>
        <w:autoSpaceDN/>
        <w:bidi w:val="0"/>
        <w:adjustRightInd/>
        <w:snapToGrid/>
        <w:spacing w:line="360" w:lineRule="auto"/>
        <w:ind w:left="0" w:leftChars="0" w:firstLine="722" w:firstLineChars="327"/>
        <w:jc w:val="both"/>
        <w:textAlignment w:val="auto"/>
        <w:rPr>
          <w:rFonts w:hint="default" w:ascii="Arial" w:hAnsi="Arial" w:cs="Arial"/>
          <w:color w:val="auto"/>
          <w:sz w:val="22"/>
          <w:szCs w:val="22"/>
          <w:lang w:val="pt-BR"/>
        </w:rPr>
      </w:pPr>
      <w:r>
        <w:rPr>
          <w:rFonts w:hint="default" w:ascii="Arial" w:hAnsi="Arial" w:cs="Arial"/>
          <w:b/>
          <w:bCs/>
          <w:color w:val="auto"/>
          <w:sz w:val="22"/>
          <w:szCs w:val="22"/>
          <w:lang w:val="pt-BR"/>
        </w:rPr>
        <w:t xml:space="preserve">9.5.3.5 </w:t>
      </w:r>
      <w:r>
        <w:rPr>
          <w:rFonts w:hint="default" w:ascii="Arial" w:hAnsi="Arial" w:cs="Arial"/>
          <w:color w:val="auto"/>
          <w:sz w:val="22"/>
          <w:szCs w:val="22"/>
        </w:rPr>
        <w:t xml:space="preserve">Efetuada a vistoria será lavrado, por representante da PREFEITURA, designado para tanto, o respectivo atestado de vistoria, conforme ANEXO </w:t>
      </w:r>
      <w:r>
        <w:rPr>
          <w:rFonts w:hint="default" w:ascii="Arial" w:hAnsi="Arial" w:cs="Arial"/>
          <w:color w:val="auto"/>
          <w:sz w:val="22"/>
          <w:szCs w:val="22"/>
          <w:lang w:val="pt-BR"/>
        </w:rPr>
        <w:t>V</w:t>
      </w:r>
      <w:r>
        <w:rPr>
          <w:rFonts w:hint="default" w:ascii="Arial" w:hAnsi="Arial" w:cs="Arial"/>
          <w:color w:val="auto"/>
          <w:sz w:val="22"/>
          <w:szCs w:val="22"/>
        </w:rPr>
        <w:t xml:space="preserve"> – MODELO DE DECLARA</w:t>
      </w:r>
      <w:r>
        <w:rPr>
          <w:rFonts w:hint="default" w:ascii="Arial" w:hAnsi="Arial" w:cs="Arial"/>
          <w:color w:val="auto"/>
          <w:sz w:val="22"/>
          <w:szCs w:val="22"/>
          <w:lang w:val="pt-BR"/>
        </w:rPr>
        <w:t>ÇÃ</w:t>
      </w:r>
      <w:r>
        <w:rPr>
          <w:rFonts w:hint="default" w:ascii="Arial" w:hAnsi="Arial" w:cs="Arial"/>
          <w:color w:val="auto"/>
          <w:sz w:val="22"/>
          <w:szCs w:val="22"/>
        </w:rPr>
        <w:t>O DE VISTORIA TÉCNICA, o qual deverá ser preenchido e assinado por responsável do interessado em participar da licitação, que deverá ser anexado juntamente com a documentação de habilitação</w:t>
      </w:r>
      <w:r>
        <w:rPr>
          <w:rFonts w:hint="default" w:ascii="Arial" w:hAnsi="Arial" w:cs="Arial"/>
          <w:color w:val="auto"/>
          <w:sz w:val="22"/>
          <w:szCs w:val="22"/>
          <w:lang w:val="pt-BR"/>
        </w:rPr>
        <w:t>.</w:t>
      </w:r>
    </w:p>
    <w:p w14:paraId="0052C721">
      <w:pPr>
        <w:pStyle w:val="165"/>
        <w:pageBreakBefore w:val="0"/>
        <w:widowControl/>
        <w:numPr>
          <w:ilvl w:val="0"/>
          <w:numId w:val="0"/>
        </w:numPr>
        <w:kinsoku/>
        <w:wordWrap/>
        <w:overflowPunct/>
        <w:topLinePunct w:val="0"/>
        <w:autoSpaceDE/>
        <w:autoSpaceDN/>
        <w:bidi w:val="0"/>
        <w:adjustRightInd/>
        <w:snapToGrid/>
        <w:spacing w:line="360" w:lineRule="auto"/>
        <w:ind w:left="0" w:leftChars="0" w:firstLine="722" w:firstLineChars="327"/>
        <w:jc w:val="both"/>
        <w:textAlignment w:val="auto"/>
        <w:rPr>
          <w:rFonts w:hint="default" w:ascii="Arial" w:hAnsi="Arial" w:cs="Arial"/>
          <w:color w:val="auto"/>
          <w:sz w:val="22"/>
          <w:szCs w:val="22"/>
          <w:lang w:val="pt-BR"/>
        </w:rPr>
      </w:pPr>
      <w:r>
        <w:rPr>
          <w:rFonts w:hint="default" w:ascii="Arial" w:hAnsi="Arial" w:cs="Arial"/>
          <w:b/>
          <w:bCs/>
          <w:color w:val="auto"/>
          <w:sz w:val="22"/>
          <w:szCs w:val="22"/>
          <w:lang w:val="pt-BR"/>
        </w:rPr>
        <w:t>9.5.3.6</w:t>
      </w:r>
      <w:r>
        <w:rPr>
          <w:rFonts w:hint="default" w:ascii="Arial" w:hAnsi="Arial" w:cs="Arial"/>
          <w:color w:val="auto"/>
          <w:sz w:val="22"/>
          <w:szCs w:val="22"/>
          <w:lang w:val="pt-BR"/>
        </w:rPr>
        <w:t xml:space="preserve"> Apresentar declaração de cumprimento das normas da ABNT e, em especial, da NBR 5462 relacionada a Confiabilidade e Mantenabilidade.</w:t>
      </w:r>
    </w:p>
    <w:p w14:paraId="3902C5E9">
      <w:pPr>
        <w:widowControl w:val="0"/>
        <w:tabs>
          <w:tab w:val="left" w:pos="426"/>
          <w:tab w:val="left" w:pos="567"/>
        </w:tabs>
        <w:adjustRightInd w:val="0"/>
        <w:spacing w:before="240" w:after="240" w:line="360" w:lineRule="auto"/>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 Declaraç</w:t>
      </w:r>
      <w:r>
        <w:rPr>
          <w:rFonts w:hint="default" w:ascii="Arial" w:hAnsi="Arial" w:cs="Arial"/>
          <w:b/>
          <w:sz w:val="22"/>
          <w:szCs w:val="22"/>
          <w:highlight w:val="none"/>
          <w:lang w:val="pt-BR"/>
        </w:rPr>
        <w:t>ões</w:t>
      </w:r>
      <w:r>
        <w:rPr>
          <w:rFonts w:ascii="Arial" w:hAnsi="Arial" w:cs="Arial"/>
          <w:b/>
          <w:sz w:val="22"/>
          <w:szCs w:val="22"/>
          <w:highlight w:val="none"/>
        </w:rPr>
        <w:t xml:space="preserve"> </w:t>
      </w:r>
      <w:r>
        <w:rPr>
          <w:rFonts w:hint="default" w:ascii="Arial" w:hAnsi="Arial" w:cs="Arial"/>
          <w:b/>
          <w:sz w:val="22"/>
          <w:szCs w:val="22"/>
          <w:highlight w:val="none"/>
          <w:lang w:val="pt-BR"/>
        </w:rPr>
        <w:t xml:space="preserve">Conjuntas </w:t>
      </w:r>
      <w:r>
        <w:rPr>
          <w:rFonts w:ascii="Arial" w:hAnsi="Arial" w:cs="Arial"/>
          <w:b/>
          <w:sz w:val="22"/>
          <w:szCs w:val="22"/>
          <w:highlight w:val="none"/>
          <w:u w:val="none"/>
        </w:rPr>
        <w:t>(Anexo I</w:t>
      </w:r>
      <w:r>
        <w:rPr>
          <w:rFonts w:hint="default" w:ascii="Arial" w:hAnsi="Arial" w:cs="Arial"/>
          <w:b/>
          <w:sz w:val="22"/>
          <w:szCs w:val="22"/>
          <w:highlight w:val="none"/>
          <w:u w:val="none"/>
          <w:lang w:val="pt-BR"/>
        </w:rPr>
        <w:t>X</w:t>
      </w:r>
      <w:r>
        <w:rPr>
          <w:rFonts w:ascii="Arial" w:hAnsi="Arial" w:cs="Arial"/>
          <w:b/>
          <w:sz w:val="22"/>
          <w:szCs w:val="22"/>
          <w:highlight w:val="none"/>
          <w:u w:val="none"/>
        </w:rPr>
        <w:t>):</w:t>
      </w:r>
    </w:p>
    <w:p w14:paraId="69053286">
      <w:pPr>
        <w:tabs>
          <w:tab w:val="left" w:pos="960"/>
        </w:tabs>
        <w:autoSpaceDE w:val="0"/>
        <w:autoSpaceDN w:val="0"/>
        <w:spacing w:before="240" w:after="240" w:line="360" w:lineRule="auto"/>
        <w:ind w:left="0" w:leftChars="0" w:firstLine="481" w:firstLineChars="218"/>
        <w:jc w:val="both"/>
        <w:rPr>
          <w:rFonts w:hint="default" w:ascii="Arial" w:hAnsi="Arial" w:cs="Arial"/>
          <w:b/>
          <w:sz w:val="22"/>
          <w:szCs w:val="22"/>
          <w:highlight w:val="none"/>
          <w:lang w:val="pt-BR"/>
        </w:rPr>
      </w:pPr>
      <w:r>
        <w:rPr>
          <w:rFonts w:ascii="Arial" w:hAnsi="Arial" w:cs="Arial"/>
          <w:b/>
          <w:bCs/>
          <w:sz w:val="22"/>
          <w:szCs w:val="22"/>
          <w:highlight w:val="none"/>
        </w:rPr>
        <w:t>9.</w:t>
      </w:r>
      <w:r>
        <w:rPr>
          <w:rFonts w:hint="default" w:ascii="Arial" w:hAnsi="Arial" w:cs="Arial"/>
          <w:b/>
          <w:bCs/>
          <w:sz w:val="22"/>
          <w:szCs w:val="22"/>
          <w:highlight w:val="none"/>
          <w:lang w:val="pt-BR"/>
        </w:rPr>
        <w:t>6</w:t>
      </w:r>
      <w:r>
        <w:rPr>
          <w:rFonts w:ascii="Arial" w:hAnsi="Arial" w:cs="Arial"/>
          <w:b/>
          <w:bCs/>
          <w:sz w:val="22"/>
          <w:szCs w:val="22"/>
          <w:highlight w:val="none"/>
        </w:rPr>
        <w:t xml:space="preserve">.1. </w:t>
      </w:r>
      <w:r>
        <w:rPr>
          <w:rFonts w:ascii="Arial" w:hAnsi="Arial" w:cs="Arial"/>
          <w:b/>
          <w:sz w:val="22"/>
          <w:szCs w:val="22"/>
          <w:highlight w:val="none"/>
        </w:rPr>
        <w:t>Declaração de enquadramento como beneficiária da Lei Complementar 123/2006</w:t>
      </w:r>
      <w:r>
        <w:rPr>
          <w:rFonts w:hint="default" w:ascii="Arial" w:hAnsi="Arial" w:cs="Arial"/>
          <w:b/>
          <w:sz w:val="22"/>
          <w:szCs w:val="22"/>
          <w:highlight w:val="none"/>
          <w:lang w:val="pt-BR"/>
        </w:rPr>
        <w:t>:</w:t>
      </w:r>
    </w:p>
    <w:p w14:paraId="486BC06F">
      <w:pPr>
        <w:tabs>
          <w:tab w:val="left" w:pos="960"/>
        </w:tabs>
        <w:autoSpaceDE w:val="0"/>
        <w:autoSpaceDN w:val="0"/>
        <w:spacing w:before="240" w:after="240" w:line="360" w:lineRule="auto"/>
        <w:ind w:left="0" w:leftChars="0" w:firstLine="722" w:firstLineChars="327"/>
        <w:jc w:val="both"/>
        <w:rPr>
          <w:rFonts w:hint="default" w:ascii="Arial" w:hAnsi="Arial" w:cs="Arial"/>
          <w:sz w:val="22"/>
          <w:szCs w:val="22"/>
          <w:highlight w:val="none"/>
          <w:lang w:val="pt-BR"/>
        </w:rPr>
      </w:pPr>
      <w:r>
        <w:rPr>
          <w:rFonts w:hint="default" w:ascii="Arial" w:hAnsi="Arial" w:cs="Arial"/>
          <w:b/>
          <w:bCs w:val="0"/>
          <w:sz w:val="22"/>
          <w:szCs w:val="22"/>
          <w:highlight w:val="none"/>
          <w:lang w:val="pt-BR"/>
        </w:rPr>
        <w:t>9.6.1.1.</w:t>
      </w:r>
      <w:r>
        <w:rPr>
          <w:rFonts w:hint="default" w:ascii="Arial" w:hAnsi="Arial" w:cs="Arial"/>
          <w:bCs/>
          <w:sz w:val="22"/>
          <w:szCs w:val="22"/>
          <w:highlight w:val="none"/>
          <w:lang w:val="pt-BR"/>
        </w:rPr>
        <w:t xml:space="preserve"> </w:t>
      </w:r>
      <w:r>
        <w:rPr>
          <w:rFonts w:ascii="Arial" w:hAnsi="Arial" w:cs="Arial"/>
          <w:bCs/>
          <w:sz w:val="22"/>
          <w:szCs w:val="22"/>
          <w:highlight w:val="none"/>
        </w:rPr>
        <w:t xml:space="preserve">Em se tratando de </w:t>
      </w:r>
      <w:r>
        <w:rPr>
          <w:rFonts w:hint="default" w:ascii="Arial" w:hAnsi="Arial" w:cs="Arial"/>
          <w:bCs/>
          <w:sz w:val="22"/>
          <w:szCs w:val="22"/>
          <w:highlight w:val="none"/>
          <w:lang w:val="pt-BR"/>
        </w:rPr>
        <w:t>M</w:t>
      </w:r>
      <w:r>
        <w:rPr>
          <w:rFonts w:ascii="Arial" w:hAnsi="Arial" w:cs="Arial"/>
          <w:bCs/>
          <w:sz w:val="22"/>
          <w:szCs w:val="22"/>
          <w:highlight w:val="none"/>
        </w:rPr>
        <w:t xml:space="preserve">icroempresa – ME ou </w:t>
      </w:r>
      <w:r>
        <w:rPr>
          <w:rFonts w:hint="default" w:ascii="Arial" w:hAnsi="Arial" w:cs="Arial"/>
          <w:bCs/>
          <w:sz w:val="22"/>
          <w:szCs w:val="22"/>
          <w:highlight w:val="none"/>
          <w:lang w:val="pt-BR"/>
        </w:rPr>
        <w:t>E</w:t>
      </w:r>
      <w:r>
        <w:rPr>
          <w:rFonts w:ascii="Arial" w:hAnsi="Arial" w:cs="Arial"/>
          <w:bCs/>
          <w:sz w:val="22"/>
          <w:szCs w:val="22"/>
          <w:highlight w:val="none"/>
        </w:rPr>
        <w:t xml:space="preserve">mpresa de </w:t>
      </w:r>
      <w:r>
        <w:rPr>
          <w:rFonts w:hint="default" w:ascii="Arial" w:hAnsi="Arial" w:cs="Arial"/>
          <w:bCs/>
          <w:sz w:val="22"/>
          <w:szCs w:val="22"/>
          <w:highlight w:val="none"/>
          <w:lang w:val="pt-BR"/>
        </w:rPr>
        <w:t>P</w:t>
      </w:r>
      <w:r>
        <w:rPr>
          <w:rFonts w:ascii="Arial" w:hAnsi="Arial" w:cs="Arial"/>
          <w:bCs/>
          <w:sz w:val="22"/>
          <w:szCs w:val="22"/>
          <w:highlight w:val="none"/>
        </w:rPr>
        <w:t xml:space="preserve">equeno </w:t>
      </w:r>
      <w:r>
        <w:rPr>
          <w:rFonts w:hint="default" w:ascii="Arial" w:hAnsi="Arial" w:cs="Arial"/>
          <w:bCs/>
          <w:sz w:val="22"/>
          <w:szCs w:val="22"/>
          <w:highlight w:val="none"/>
          <w:lang w:val="pt-BR"/>
        </w:rPr>
        <w:t>P</w:t>
      </w:r>
      <w:r>
        <w:rPr>
          <w:rFonts w:ascii="Arial" w:hAnsi="Arial" w:cs="Arial"/>
          <w:bCs/>
          <w:sz w:val="22"/>
          <w:szCs w:val="22"/>
          <w:highlight w:val="none"/>
        </w:rPr>
        <w:t xml:space="preserve">orte – EPP, </w:t>
      </w:r>
      <w:r>
        <w:rPr>
          <w:rFonts w:ascii="Arial" w:hAnsi="Arial" w:cs="Arial"/>
          <w:sz w:val="22"/>
          <w:szCs w:val="22"/>
          <w:highlight w:val="none"/>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highlight w:val="none"/>
        </w:rPr>
        <w:t>(</w:t>
      </w:r>
      <w:r>
        <w:rPr>
          <w:rFonts w:ascii="Arial" w:hAnsi="Arial" w:cs="Arial"/>
          <w:b/>
          <w:sz w:val="22"/>
          <w:szCs w:val="22"/>
          <w:highlight w:val="none"/>
          <w:u w:val="single"/>
        </w:rPr>
        <w:t>Anexo I</w:t>
      </w:r>
      <w:r>
        <w:rPr>
          <w:rFonts w:hint="default" w:ascii="Arial" w:hAnsi="Arial" w:cs="Arial"/>
          <w:b/>
          <w:sz w:val="22"/>
          <w:szCs w:val="22"/>
          <w:highlight w:val="none"/>
          <w:u w:val="single"/>
          <w:lang w:val="pt-BR"/>
        </w:rPr>
        <w:t>X</w:t>
      </w:r>
      <w:r>
        <w:rPr>
          <w:rFonts w:ascii="Arial" w:hAnsi="Arial" w:cs="Arial"/>
          <w:b/>
          <w:sz w:val="22"/>
          <w:szCs w:val="22"/>
          <w:highlight w:val="none"/>
          <w:u w:val="single"/>
        </w:rPr>
        <w:t xml:space="preserve"> – Declaração de enquadramento como beneficiária da Lei Complementar 123/2006</w:t>
      </w:r>
      <w:r>
        <w:rPr>
          <w:rFonts w:ascii="Arial" w:hAnsi="Arial" w:cs="Arial"/>
          <w:b/>
          <w:sz w:val="22"/>
          <w:szCs w:val="22"/>
          <w:highlight w:val="none"/>
        </w:rPr>
        <w:t>)</w:t>
      </w:r>
      <w:r>
        <w:rPr>
          <w:rFonts w:ascii="Arial" w:hAnsi="Arial" w:cs="Arial"/>
          <w:sz w:val="22"/>
          <w:szCs w:val="22"/>
          <w:highlight w:val="none"/>
        </w:rPr>
        <w:t xml:space="preserve"> </w:t>
      </w:r>
      <w:r>
        <w:rPr>
          <w:rFonts w:ascii="Arial" w:hAnsi="Arial" w:cs="Arial"/>
          <w:sz w:val="22"/>
          <w:szCs w:val="22"/>
          <w:highlight w:val="none"/>
          <w:u w:val="none"/>
        </w:rPr>
        <w:t xml:space="preserve">acompanhada da </w:t>
      </w:r>
      <w:r>
        <w:rPr>
          <w:rFonts w:hint="default" w:ascii="Arial" w:hAnsi="Arial" w:cs="Arial"/>
          <w:b/>
          <w:bCs/>
          <w:sz w:val="22"/>
          <w:szCs w:val="22"/>
          <w:highlight w:val="none"/>
          <w:u w:val="single"/>
          <w:lang w:val="pt-BR"/>
        </w:rPr>
        <w:t>C</w:t>
      </w:r>
      <w:r>
        <w:rPr>
          <w:rFonts w:ascii="Arial" w:hAnsi="Arial" w:cs="Arial"/>
          <w:b/>
          <w:bCs/>
          <w:sz w:val="22"/>
          <w:szCs w:val="22"/>
          <w:highlight w:val="none"/>
          <w:u w:val="single"/>
        </w:rPr>
        <w:t xml:space="preserve">ertidão </w:t>
      </w:r>
      <w:r>
        <w:rPr>
          <w:rFonts w:hint="default" w:ascii="Arial" w:hAnsi="Arial" w:cs="Arial"/>
          <w:b/>
          <w:bCs/>
          <w:sz w:val="22"/>
          <w:szCs w:val="22"/>
          <w:highlight w:val="none"/>
          <w:u w:val="single"/>
          <w:lang w:val="pt-BR"/>
        </w:rPr>
        <w:t>S</w:t>
      </w:r>
      <w:r>
        <w:rPr>
          <w:rFonts w:ascii="Arial" w:hAnsi="Arial" w:cs="Arial"/>
          <w:b/>
          <w:bCs/>
          <w:sz w:val="22"/>
          <w:szCs w:val="22"/>
          <w:highlight w:val="none"/>
          <w:u w:val="single"/>
        </w:rPr>
        <w:t xml:space="preserve">implificada </w:t>
      </w:r>
      <w:r>
        <w:rPr>
          <w:rFonts w:ascii="Arial" w:hAnsi="Arial" w:cs="Arial"/>
          <w:bCs/>
          <w:sz w:val="22"/>
          <w:szCs w:val="22"/>
          <w:highlight w:val="none"/>
          <w:u w:val="none"/>
        </w:rPr>
        <w:t xml:space="preserve">expedida pela Junta Comercial </w:t>
      </w:r>
      <w:r>
        <w:rPr>
          <w:rFonts w:hint="default" w:ascii="Arial" w:hAnsi="Arial" w:cs="Arial"/>
          <w:bCs/>
          <w:sz w:val="22"/>
          <w:szCs w:val="22"/>
          <w:highlight w:val="none"/>
          <w:u w:val="none"/>
          <w:lang w:val="pt-BR"/>
        </w:rPr>
        <w:t>da sede do licitante.</w:t>
      </w:r>
    </w:p>
    <w:p w14:paraId="58C5081A">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sz w:val="22"/>
          <w:szCs w:val="22"/>
          <w:highlight w:val="none"/>
        </w:rPr>
      </w:pPr>
      <w:r>
        <w:rPr>
          <w:rFonts w:hint="default" w:ascii="Arial" w:hAnsi="Arial" w:cs="Arial"/>
          <w:b/>
          <w:bCs/>
          <w:sz w:val="22"/>
          <w:szCs w:val="22"/>
          <w:highlight w:val="none"/>
          <w:lang w:val="pt-BR"/>
        </w:rPr>
        <w:t>9.6.1.2.</w:t>
      </w:r>
      <w:r>
        <w:rPr>
          <w:rFonts w:hint="default" w:ascii="Arial" w:hAnsi="Arial" w:cs="Arial"/>
          <w:sz w:val="22"/>
          <w:szCs w:val="22"/>
          <w:highlight w:val="none"/>
          <w:lang w:val="pt-BR"/>
        </w:rPr>
        <w:t xml:space="preserve"> </w:t>
      </w:r>
      <w:r>
        <w:rPr>
          <w:rFonts w:ascii="Arial" w:hAnsi="Arial" w:cs="Arial"/>
          <w:sz w:val="22"/>
          <w:szCs w:val="22"/>
          <w:highlight w:val="none"/>
        </w:rPr>
        <w:t xml:space="preserve">A certidão </w:t>
      </w:r>
      <w:r>
        <w:rPr>
          <w:rFonts w:ascii="Arial" w:hAnsi="Arial" w:cs="Arial"/>
          <w:bCs/>
          <w:sz w:val="22"/>
          <w:szCs w:val="22"/>
          <w:highlight w:val="none"/>
        </w:rPr>
        <w:t xml:space="preserve">deverá ter sido emitida nos 90 (noventa) </w:t>
      </w:r>
      <w:r>
        <w:rPr>
          <w:rFonts w:ascii="Arial" w:hAnsi="Arial" w:cs="Arial"/>
          <w:sz w:val="22"/>
          <w:szCs w:val="22"/>
          <w:highlight w:val="none"/>
        </w:rPr>
        <w:t xml:space="preserve">dias imediatamente anteriores à data prevista para a realização do certame, </w:t>
      </w:r>
      <w:r>
        <w:rPr>
          <w:rFonts w:ascii="Arial" w:hAnsi="Arial" w:cs="Arial"/>
          <w:bCs/>
          <w:sz w:val="22"/>
          <w:szCs w:val="22"/>
          <w:highlight w:val="none"/>
        </w:rPr>
        <w:t>sob pena de não aceitabilidade</w:t>
      </w:r>
      <w:r>
        <w:rPr>
          <w:rFonts w:ascii="Arial" w:hAnsi="Arial" w:cs="Arial"/>
          <w:sz w:val="22"/>
          <w:szCs w:val="22"/>
          <w:highlight w:val="none"/>
        </w:rPr>
        <w:t>.</w:t>
      </w:r>
    </w:p>
    <w:p w14:paraId="49ACC89A">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bCs/>
          <w:sz w:val="22"/>
          <w:szCs w:val="22"/>
          <w:highlight w:val="none"/>
        </w:rPr>
      </w:pPr>
      <w:r>
        <w:rPr>
          <w:rFonts w:hint="default" w:ascii="Arial" w:hAnsi="Arial" w:cs="Arial"/>
          <w:b/>
          <w:bCs w:val="0"/>
          <w:sz w:val="22"/>
          <w:szCs w:val="22"/>
          <w:highlight w:val="none"/>
          <w:lang w:val="pt-BR"/>
        </w:rPr>
        <w:t>9.6.1.3.</w:t>
      </w:r>
      <w:r>
        <w:rPr>
          <w:rFonts w:ascii="Arial" w:hAnsi="Arial" w:cs="Arial"/>
          <w:b/>
          <w:bCs w:val="0"/>
          <w:sz w:val="22"/>
          <w:szCs w:val="22"/>
          <w:highlight w:val="none"/>
        </w:rPr>
        <w:t xml:space="preserve"> </w:t>
      </w:r>
      <w:r>
        <w:rPr>
          <w:rFonts w:ascii="Arial" w:hAnsi="Arial" w:cs="Arial"/>
          <w:sz w:val="22"/>
          <w:szCs w:val="22"/>
          <w:highlight w:val="none"/>
        </w:rPr>
        <w:t xml:space="preserve">A consulta de optante pelo Simples Nacional não substitui a Certidão da Junta Comercial. </w:t>
      </w:r>
    </w:p>
    <w:p w14:paraId="76D6CD61">
      <w:pPr>
        <w:widowControl w:val="0"/>
        <w:tabs>
          <w:tab w:val="left" w:pos="96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1.</w:t>
      </w:r>
      <w:r>
        <w:rPr>
          <w:rFonts w:ascii="Arial" w:hAnsi="Arial" w:cs="Arial"/>
          <w:b/>
          <w:sz w:val="22"/>
          <w:szCs w:val="22"/>
          <w:highlight w:val="none"/>
        </w:rPr>
        <w:t>4.</w:t>
      </w:r>
      <w:r>
        <w:rPr>
          <w:rFonts w:ascii="Arial" w:hAnsi="Arial" w:cs="Arial"/>
          <w:sz w:val="22"/>
          <w:szCs w:val="22"/>
          <w:highlight w:val="none"/>
        </w:rPr>
        <w:t xml:space="preserve"> Em se tratando de </w:t>
      </w:r>
      <w:r>
        <w:rPr>
          <w:rFonts w:hint="default" w:ascii="Arial" w:hAnsi="Arial" w:cs="Arial"/>
          <w:sz w:val="22"/>
          <w:szCs w:val="22"/>
          <w:highlight w:val="none"/>
          <w:lang w:val="pt-BR"/>
        </w:rPr>
        <w:t>M</w:t>
      </w:r>
      <w:r>
        <w:rPr>
          <w:rFonts w:ascii="Arial" w:hAnsi="Arial" w:cs="Arial"/>
          <w:sz w:val="22"/>
          <w:szCs w:val="22"/>
          <w:highlight w:val="none"/>
        </w:rPr>
        <w:t xml:space="preserve">icroempresas e </w:t>
      </w:r>
      <w:r>
        <w:rPr>
          <w:rFonts w:hint="default" w:ascii="Arial" w:hAnsi="Arial" w:cs="Arial"/>
          <w:sz w:val="22"/>
          <w:szCs w:val="22"/>
          <w:highlight w:val="none"/>
          <w:lang w:val="pt-BR"/>
        </w:rPr>
        <w:t>E</w:t>
      </w:r>
      <w:r>
        <w:rPr>
          <w:rFonts w:ascii="Arial" w:hAnsi="Arial" w:cs="Arial"/>
          <w:sz w:val="22"/>
          <w:szCs w:val="22"/>
          <w:highlight w:val="none"/>
        </w:rPr>
        <w:t xml:space="preserve">mpresas de </w:t>
      </w:r>
      <w:r>
        <w:rPr>
          <w:rFonts w:hint="default" w:ascii="Arial" w:hAnsi="Arial" w:cs="Arial"/>
          <w:sz w:val="22"/>
          <w:szCs w:val="22"/>
          <w:highlight w:val="none"/>
          <w:lang w:val="pt-BR"/>
        </w:rPr>
        <w:t>P</w:t>
      </w:r>
      <w:r>
        <w:rPr>
          <w:rFonts w:ascii="Arial" w:hAnsi="Arial" w:cs="Arial"/>
          <w:sz w:val="22"/>
          <w:szCs w:val="22"/>
          <w:highlight w:val="none"/>
        </w:rPr>
        <w:t xml:space="preserve">equeno </w:t>
      </w:r>
      <w:r>
        <w:rPr>
          <w:rFonts w:hint="default" w:ascii="Arial" w:hAnsi="Arial" w:cs="Arial"/>
          <w:sz w:val="22"/>
          <w:szCs w:val="22"/>
          <w:highlight w:val="none"/>
          <w:lang w:val="pt-BR"/>
        </w:rPr>
        <w:t>P</w:t>
      </w:r>
      <w:r>
        <w:rPr>
          <w:rFonts w:ascii="Arial" w:hAnsi="Arial" w:cs="Arial"/>
          <w:sz w:val="22"/>
          <w:szCs w:val="22"/>
          <w:highlight w:val="none"/>
        </w:rPr>
        <w:t>orte, estas deverão apresentar toda a documentação exigida para efeito de comprovação da regularidade fiscal, mesmo que esta apresente alguma restrição.</w:t>
      </w:r>
    </w:p>
    <w:p w14:paraId="64227E7D">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9.6.1.5.</w:t>
      </w:r>
      <w:r>
        <w:rPr>
          <w:rFonts w:hint="default" w:ascii="Arial" w:hAnsi="Arial" w:cs="Arial"/>
          <w:sz w:val="22"/>
          <w:szCs w:val="22"/>
          <w:highlight w:val="none"/>
          <w:lang w:val="pt-BR"/>
        </w:rPr>
        <w:t xml:space="preserve"> </w:t>
      </w:r>
      <w:r>
        <w:rPr>
          <w:rFonts w:ascii="Arial" w:hAnsi="Arial" w:cs="Arial"/>
          <w:sz w:val="22"/>
          <w:szCs w:val="22"/>
          <w:highlight w:val="none"/>
        </w:rPr>
        <w:t>Havendo alguma restrição na comprovação da regularidade fiscal, será assegurado o prazo de 05 (cinco) dias</w:t>
      </w:r>
      <w:r>
        <w:rPr>
          <w:rFonts w:hint="default" w:ascii="Arial" w:hAnsi="Arial" w:cs="Arial"/>
          <w:sz w:val="22"/>
          <w:szCs w:val="22"/>
          <w:highlight w:val="none"/>
          <w:lang w:val="pt-BR"/>
        </w:rPr>
        <w:t xml:space="preserve"> úteis</w:t>
      </w:r>
      <w:r>
        <w:rPr>
          <w:rFonts w:ascii="Arial" w:hAnsi="Arial" w:cs="Arial"/>
          <w:sz w:val="22"/>
          <w:szCs w:val="22"/>
          <w:highlight w:val="none"/>
        </w:rPr>
        <w:t>, prorrogáveis por igual período, cujo termo inicial corresponderá ao momento em que o proponente (ME ou EPP) for declarado o vencedor do certame, para a regularização da documentação, pagamento ou parcelamento do débito, e emissão de eventuais certidões negativas ou positivas com efeito de negativa.</w:t>
      </w:r>
    </w:p>
    <w:p w14:paraId="009D4089">
      <w:pPr>
        <w:widowControl w:val="0"/>
        <w:numPr>
          <w:ilvl w:val="0"/>
          <w:numId w:val="0"/>
        </w:numPr>
        <w:tabs>
          <w:tab w:val="left" w:pos="567"/>
          <w:tab w:val="left" w:pos="960"/>
          <w:tab w:val="left" w:pos="120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 xml:space="preserve">9.6.1.6. </w:t>
      </w:r>
      <w:r>
        <w:rPr>
          <w:rFonts w:ascii="Arial" w:hAnsi="Arial" w:cs="Arial"/>
          <w:sz w:val="22"/>
          <w:szCs w:val="22"/>
          <w:highlight w:val="none"/>
        </w:rPr>
        <w:t xml:space="preserve">A não regularização da documentação no prazo previsto no subitem anterior implicará decadência do direito à contratação, sendo facultado à Administração convocar os licitantes remanescentes, na ordem de classificação, para a assinatura da </w:t>
      </w:r>
      <w:r>
        <w:rPr>
          <w:rFonts w:hint="default" w:ascii="Arial" w:hAnsi="Arial" w:cs="Arial"/>
          <w:sz w:val="22"/>
          <w:szCs w:val="22"/>
          <w:highlight w:val="none"/>
          <w:lang w:val="pt-BR"/>
        </w:rPr>
        <w:t>a</w:t>
      </w:r>
      <w:r>
        <w:rPr>
          <w:rFonts w:ascii="Arial" w:hAnsi="Arial" w:cs="Arial"/>
          <w:sz w:val="22"/>
          <w:szCs w:val="22"/>
          <w:highlight w:val="none"/>
        </w:rPr>
        <w:t>ta, ou revogar a licitação;</w:t>
      </w:r>
    </w:p>
    <w:p w14:paraId="26637611">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color w:val="000000"/>
          <w:sz w:val="22"/>
          <w:szCs w:val="22"/>
          <w:highlight w:val="none"/>
          <w:lang w:val="pt-BR"/>
        </w:rPr>
        <w:t>9.6.1.7.</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Em atenção ao art.</w:t>
      </w:r>
      <w:r>
        <w:rPr>
          <w:rFonts w:ascii="Arial" w:hAnsi="Arial" w:cs="Arial"/>
          <w:color w:val="000000"/>
          <w:spacing w:val="38"/>
          <w:sz w:val="22"/>
          <w:szCs w:val="22"/>
          <w:highlight w:val="none"/>
        </w:rPr>
        <w:t xml:space="preserve"> </w:t>
      </w:r>
      <w:r>
        <w:rPr>
          <w:rFonts w:ascii="Arial" w:hAnsi="Arial" w:cs="Arial"/>
          <w:color w:val="000000"/>
          <w:sz w:val="22"/>
          <w:szCs w:val="22"/>
          <w:highlight w:val="none"/>
        </w:rPr>
        <w:t xml:space="preserve">42 da Lei </w:t>
      </w:r>
      <w:r>
        <w:rPr>
          <w:rFonts w:hint="default" w:ascii="Arial" w:hAnsi="Arial" w:cs="Arial"/>
          <w:color w:val="000000"/>
          <w:sz w:val="22"/>
          <w:szCs w:val="22"/>
          <w:highlight w:val="none"/>
          <w:lang w:val="pt-BR"/>
        </w:rPr>
        <w:t xml:space="preserve">Complementar nº </w:t>
      </w:r>
      <w:r>
        <w:rPr>
          <w:rFonts w:ascii="Arial" w:hAnsi="Arial" w:cs="Arial"/>
          <w:color w:val="000000"/>
          <w:sz w:val="22"/>
          <w:szCs w:val="22"/>
          <w:highlight w:val="none"/>
        </w:rPr>
        <w:t>123/2006, nas</w:t>
      </w:r>
      <w:r>
        <w:rPr>
          <w:rFonts w:ascii="Arial" w:hAnsi="Arial" w:cs="Arial"/>
          <w:color w:val="000000"/>
          <w:spacing w:val="39"/>
          <w:sz w:val="22"/>
          <w:szCs w:val="22"/>
          <w:highlight w:val="none"/>
        </w:rPr>
        <w:t xml:space="preserve"> </w:t>
      </w:r>
      <w:r>
        <w:rPr>
          <w:rFonts w:ascii="Arial" w:hAnsi="Arial" w:cs="Arial"/>
          <w:color w:val="000000"/>
          <w:sz w:val="22"/>
          <w:szCs w:val="22"/>
          <w:highlight w:val="none"/>
        </w:rPr>
        <w:t>licitaç</w:t>
      </w:r>
      <w:r>
        <w:rPr>
          <w:rFonts w:ascii="Arial" w:hAnsi="Arial" w:cs="Arial"/>
          <w:color w:val="000000"/>
          <w:spacing w:val="2"/>
          <w:sz w:val="22"/>
          <w:szCs w:val="22"/>
          <w:highlight w:val="none"/>
        </w:rPr>
        <w:t>õ</w:t>
      </w:r>
      <w:r>
        <w:rPr>
          <w:rFonts w:ascii="Arial" w:hAnsi="Arial" w:cs="Arial"/>
          <w:color w:val="000000"/>
          <w:sz w:val="22"/>
          <w:szCs w:val="22"/>
          <w:highlight w:val="none"/>
        </w:rPr>
        <w:t>es</w:t>
      </w:r>
      <w:r>
        <w:rPr>
          <w:rFonts w:ascii="Arial" w:hAnsi="Arial" w:cs="Arial"/>
          <w:color w:val="000000"/>
          <w:spacing w:val="33"/>
          <w:sz w:val="22"/>
          <w:szCs w:val="22"/>
          <w:highlight w:val="none"/>
        </w:rPr>
        <w:t xml:space="preserve"> </w:t>
      </w:r>
      <w:r>
        <w:rPr>
          <w:rFonts w:ascii="Arial" w:hAnsi="Arial" w:cs="Arial"/>
          <w:color w:val="000000"/>
          <w:sz w:val="22"/>
          <w:szCs w:val="22"/>
          <w:highlight w:val="none"/>
        </w:rPr>
        <w:t>públicas</w:t>
      </w:r>
      <w:r>
        <w:rPr>
          <w:rFonts w:ascii="Arial" w:hAnsi="Arial" w:cs="Arial"/>
          <w:color w:val="000000"/>
          <w:spacing w:val="34"/>
          <w:sz w:val="22"/>
          <w:szCs w:val="22"/>
          <w:highlight w:val="none"/>
        </w:rPr>
        <w:t xml:space="preserve"> </w:t>
      </w:r>
      <w:r>
        <w:rPr>
          <w:rFonts w:ascii="Arial" w:hAnsi="Arial" w:cs="Arial"/>
          <w:color w:val="000000"/>
          <w:sz w:val="22"/>
          <w:szCs w:val="22"/>
          <w:highlight w:val="none"/>
        </w:rPr>
        <w:t>a</w:t>
      </w:r>
      <w:r>
        <w:rPr>
          <w:rFonts w:ascii="Arial" w:hAnsi="Arial" w:cs="Arial"/>
          <w:color w:val="000000"/>
          <w:spacing w:val="42"/>
          <w:sz w:val="22"/>
          <w:szCs w:val="22"/>
          <w:highlight w:val="none"/>
        </w:rPr>
        <w:t xml:space="preserve"> </w:t>
      </w:r>
      <w:r>
        <w:rPr>
          <w:rFonts w:ascii="Arial" w:hAnsi="Arial" w:cs="Arial"/>
          <w:color w:val="000000"/>
          <w:sz w:val="22"/>
          <w:szCs w:val="22"/>
          <w:highlight w:val="none"/>
        </w:rPr>
        <w:t>c</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z w:val="22"/>
          <w:szCs w:val="22"/>
          <w:highlight w:val="none"/>
        </w:rPr>
        <w:t>pr</w:t>
      </w:r>
      <w:r>
        <w:rPr>
          <w:rFonts w:ascii="Arial" w:hAnsi="Arial" w:cs="Arial"/>
          <w:color w:val="000000"/>
          <w:spacing w:val="2"/>
          <w:sz w:val="22"/>
          <w:szCs w:val="22"/>
          <w:highlight w:val="none"/>
        </w:rPr>
        <w:t>o</w:t>
      </w:r>
      <w:r>
        <w:rPr>
          <w:rFonts w:ascii="Arial" w:hAnsi="Arial" w:cs="Arial"/>
          <w:color w:val="000000"/>
          <w:sz w:val="22"/>
          <w:szCs w:val="22"/>
          <w:highlight w:val="none"/>
        </w:rPr>
        <w:t>vação</w:t>
      </w:r>
      <w:r>
        <w:rPr>
          <w:rFonts w:ascii="Arial" w:hAnsi="Arial" w:cs="Arial"/>
          <w:color w:val="000000"/>
          <w:spacing w:val="29"/>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41"/>
          <w:sz w:val="22"/>
          <w:szCs w:val="22"/>
          <w:highlight w:val="none"/>
        </w:rPr>
        <w:t xml:space="preserve"> </w:t>
      </w:r>
      <w:r>
        <w:rPr>
          <w:rFonts w:ascii="Arial" w:hAnsi="Arial" w:cs="Arial"/>
          <w:color w:val="000000"/>
          <w:sz w:val="22"/>
          <w:szCs w:val="22"/>
          <w:highlight w:val="none"/>
        </w:rPr>
        <w:t xml:space="preserve">regularidade </w:t>
      </w:r>
      <w:r>
        <w:rPr>
          <w:rFonts w:ascii="Arial" w:hAnsi="Arial" w:cs="Arial"/>
          <w:color w:val="000000"/>
          <w:spacing w:val="2"/>
          <w:sz w:val="22"/>
          <w:szCs w:val="22"/>
          <w:highlight w:val="none"/>
        </w:rPr>
        <w:t>f</w:t>
      </w:r>
      <w:r>
        <w:rPr>
          <w:rFonts w:ascii="Arial" w:hAnsi="Arial" w:cs="Arial"/>
          <w:color w:val="000000"/>
          <w:sz w:val="22"/>
          <w:szCs w:val="22"/>
          <w:highlight w:val="none"/>
        </w:rPr>
        <w:t>iscal</w:t>
      </w:r>
      <w:r>
        <w:rPr>
          <w:rFonts w:ascii="Arial" w:hAnsi="Arial" w:cs="Arial"/>
          <w:color w:val="000000"/>
          <w:spacing w:val="54"/>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59"/>
          <w:sz w:val="22"/>
          <w:szCs w:val="22"/>
          <w:highlight w:val="none"/>
        </w:rPr>
        <w:t xml:space="preserve"> </w:t>
      </w:r>
      <w:r>
        <w:rPr>
          <w:rFonts w:ascii="Arial" w:hAnsi="Arial" w:cs="Arial"/>
          <w:color w:val="000000"/>
          <w:sz w:val="22"/>
          <w:szCs w:val="22"/>
          <w:highlight w:val="none"/>
        </w:rPr>
        <w:t>trabalh</w:t>
      </w:r>
      <w:r>
        <w:rPr>
          <w:rFonts w:ascii="Arial" w:hAnsi="Arial" w:cs="Arial"/>
          <w:color w:val="000000"/>
          <w:spacing w:val="2"/>
          <w:sz w:val="22"/>
          <w:szCs w:val="22"/>
          <w:highlight w:val="none"/>
        </w:rPr>
        <w:t>i</w:t>
      </w:r>
      <w:r>
        <w:rPr>
          <w:rFonts w:ascii="Arial" w:hAnsi="Arial" w:cs="Arial"/>
          <w:color w:val="000000"/>
          <w:sz w:val="22"/>
          <w:szCs w:val="22"/>
          <w:highlight w:val="none"/>
        </w:rPr>
        <w:t>sta</w:t>
      </w:r>
      <w:r>
        <w:rPr>
          <w:rFonts w:ascii="Arial" w:hAnsi="Arial" w:cs="Arial"/>
          <w:color w:val="000000"/>
          <w:spacing w:val="49"/>
          <w:sz w:val="22"/>
          <w:szCs w:val="22"/>
          <w:highlight w:val="none"/>
        </w:rPr>
        <w:t xml:space="preserve"> </w:t>
      </w:r>
      <w:r>
        <w:rPr>
          <w:rFonts w:ascii="Arial" w:hAnsi="Arial" w:cs="Arial"/>
          <w:color w:val="000000"/>
          <w:spacing w:val="2"/>
          <w:sz w:val="22"/>
          <w:szCs w:val="22"/>
          <w:highlight w:val="none"/>
        </w:rPr>
        <w:t>da</w:t>
      </w:r>
      <w:r>
        <w:rPr>
          <w:rFonts w:ascii="Arial" w:hAnsi="Arial" w:cs="Arial"/>
          <w:color w:val="000000"/>
          <w:sz w:val="22"/>
          <w:szCs w:val="22"/>
          <w:highlight w:val="none"/>
        </w:rPr>
        <w:t>s</w:t>
      </w:r>
      <w:r>
        <w:rPr>
          <w:rFonts w:ascii="Arial" w:hAnsi="Arial" w:cs="Arial"/>
          <w:color w:val="000000"/>
          <w:spacing w:val="59"/>
          <w:sz w:val="22"/>
          <w:szCs w:val="22"/>
          <w:highlight w:val="none"/>
        </w:rPr>
        <w:t xml:space="preserve"> </w:t>
      </w:r>
      <w:r>
        <w:rPr>
          <w:rFonts w:ascii="Arial" w:hAnsi="Arial" w:cs="Arial"/>
          <w:color w:val="000000"/>
          <w:spacing w:val="-2"/>
          <w:sz w:val="22"/>
          <w:szCs w:val="22"/>
          <w:highlight w:val="none"/>
        </w:rPr>
        <w:t>m</w:t>
      </w:r>
      <w:r>
        <w:rPr>
          <w:rFonts w:ascii="Arial" w:hAnsi="Arial" w:cs="Arial"/>
          <w:color w:val="000000"/>
          <w:sz w:val="22"/>
          <w:szCs w:val="22"/>
          <w:highlight w:val="none"/>
        </w:rPr>
        <w:t>icro</w:t>
      </w:r>
      <w:r>
        <w:rPr>
          <w:rFonts w:ascii="Arial" w:hAnsi="Arial" w:cs="Arial"/>
          <w:color w:val="000000"/>
          <w:spacing w:val="2"/>
          <w:sz w:val="22"/>
          <w:szCs w:val="22"/>
          <w:highlight w:val="none"/>
        </w:rPr>
        <w:t>e</w:t>
      </w:r>
      <w:r>
        <w:rPr>
          <w:rFonts w:ascii="Arial" w:hAnsi="Arial" w:cs="Arial"/>
          <w:color w:val="000000"/>
          <w:sz w:val="22"/>
          <w:szCs w:val="22"/>
          <w:highlight w:val="none"/>
        </w:rPr>
        <w:t>mpresas</w:t>
      </w:r>
      <w:r>
        <w:rPr>
          <w:rFonts w:ascii="Arial" w:hAnsi="Arial" w:cs="Arial"/>
          <w:color w:val="000000"/>
          <w:spacing w:val="46"/>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d</w:t>
      </w:r>
      <w:r>
        <w:rPr>
          <w:rFonts w:ascii="Arial" w:hAnsi="Arial" w:cs="Arial"/>
          <w:color w:val="000000"/>
          <w:spacing w:val="2"/>
          <w:sz w:val="22"/>
          <w:szCs w:val="22"/>
          <w:highlight w:val="none"/>
        </w:rPr>
        <w:t>a</w:t>
      </w:r>
      <w:r>
        <w:rPr>
          <w:rFonts w:ascii="Arial" w:hAnsi="Arial" w:cs="Arial"/>
          <w:color w:val="000000"/>
          <w:sz w:val="22"/>
          <w:szCs w:val="22"/>
          <w:highlight w:val="none"/>
        </w:rPr>
        <w:t>s</w:t>
      </w:r>
      <w:r>
        <w:rPr>
          <w:rFonts w:ascii="Arial" w:hAnsi="Arial" w:cs="Arial"/>
          <w:color w:val="000000"/>
          <w:spacing w:val="56"/>
          <w:sz w:val="22"/>
          <w:szCs w:val="22"/>
          <w:highlight w:val="none"/>
        </w:rPr>
        <w:t xml:space="preserve"> </w:t>
      </w:r>
      <w:r>
        <w:rPr>
          <w:rFonts w:ascii="Arial" w:hAnsi="Arial" w:cs="Arial"/>
          <w:color w:val="000000"/>
          <w:spacing w:val="2"/>
          <w:sz w:val="22"/>
          <w:szCs w:val="22"/>
          <w:highlight w:val="none"/>
        </w:rPr>
        <w:t>e</w:t>
      </w:r>
      <w:r>
        <w:rPr>
          <w:rFonts w:ascii="Arial" w:hAnsi="Arial" w:cs="Arial"/>
          <w:color w:val="000000"/>
          <w:spacing w:val="-2"/>
          <w:sz w:val="22"/>
          <w:szCs w:val="22"/>
          <w:highlight w:val="none"/>
        </w:rPr>
        <w:t>m</w:t>
      </w:r>
      <w:r>
        <w:rPr>
          <w:rFonts w:ascii="Arial" w:hAnsi="Arial" w:cs="Arial"/>
          <w:color w:val="000000"/>
          <w:sz w:val="22"/>
          <w:szCs w:val="22"/>
          <w:highlight w:val="none"/>
        </w:rPr>
        <w:t>pre</w:t>
      </w:r>
      <w:r>
        <w:rPr>
          <w:rFonts w:ascii="Arial" w:hAnsi="Arial" w:cs="Arial"/>
          <w:color w:val="000000"/>
          <w:spacing w:val="2"/>
          <w:sz w:val="22"/>
          <w:szCs w:val="22"/>
          <w:highlight w:val="none"/>
        </w:rPr>
        <w:t>s</w:t>
      </w:r>
      <w:r>
        <w:rPr>
          <w:rFonts w:ascii="Arial" w:hAnsi="Arial" w:cs="Arial"/>
          <w:color w:val="000000"/>
          <w:sz w:val="22"/>
          <w:szCs w:val="22"/>
          <w:highlight w:val="none"/>
        </w:rPr>
        <w:t>as</w:t>
      </w:r>
      <w:r>
        <w:rPr>
          <w:rFonts w:ascii="Arial" w:hAnsi="Arial" w:cs="Arial"/>
          <w:color w:val="000000"/>
          <w:spacing w:val="50"/>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peq</w:t>
      </w:r>
      <w:r>
        <w:rPr>
          <w:rFonts w:ascii="Arial" w:hAnsi="Arial" w:cs="Arial"/>
          <w:color w:val="000000"/>
          <w:spacing w:val="2"/>
          <w:sz w:val="22"/>
          <w:szCs w:val="22"/>
          <w:highlight w:val="none"/>
        </w:rPr>
        <w:t>u</w:t>
      </w:r>
      <w:r>
        <w:rPr>
          <w:rFonts w:ascii="Arial" w:hAnsi="Arial" w:cs="Arial"/>
          <w:color w:val="000000"/>
          <w:sz w:val="22"/>
          <w:szCs w:val="22"/>
          <w:highlight w:val="none"/>
        </w:rPr>
        <w:t>e</w:t>
      </w:r>
      <w:r>
        <w:rPr>
          <w:rFonts w:ascii="Arial" w:hAnsi="Arial" w:cs="Arial"/>
          <w:color w:val="000000"/>
          <w:spacing w:val="2"/>
          <w:sz w:val="22"/>
          <w:szCs w:val="22"/>
          <w:highlight w:val="none"/>
        </w:rPr>
        <w:t>n</w:t>
      </w:r>
      <w:r>
        <w:rPr>
          <w:rFonts w:ascii="Arial" w:hAnsi="Arial" w:cs="Arial"/>
          <w:color w:val="000000"/>
          <w:sz w:val="22"/>
          <w:szCs w:val="22"/>
          <w:highlight w:val="none"/>
        </w:rPr>
        <w:t>o porte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s</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pacing w:val="2"/>
          <w:sz w:val="22"/>
          <w:szCs w:val="22"/>
          <w:highlight w:val="none"/>
        </w:rPr>
        <w:t>e</w:t>
      </w:r>
      <w:r>
        <w:rPr>
          <w:rFonts w:ascii="Arial" w:hAnsi="Arial" w:cs="Arial"/>
          <w:color w:val="000000"/>
          <w:sz w:val="22"/>
          <w:szCs w:val="22"/>
          <w:highlight w:val="none"/>
        </w:rPr>
        <w:t>nte</w:t>
      </w:r>
      <w:r>
        <w:rPr>
          <w:rFonts w:ascii="Arial" w:hAnsi="Arial" w:cs="Arial"/>
          <w:color w:val="000000"/>
          <w:spacing w:val="55"/>
          <w:sz w:val="22"/>
          <w:szCs w:val="22"/>
          <w:highlight w:val="none"/>
        </w:rPr>
        <w:t xml:space="preserve"> </w:t>
      </w:r>
      <w:r>
        <w:rPr>
          <w:rFonts w:ascii="Arial" w:hAnsi="Arial" w:cs="Arial"/>
          <w:color w:val="000000"/>
          <w:sz w:val="22"/>
          <w:szCs w:val="22"/>
          <w:highlight w:val="none"/>
        </w:rPr>
        <w:t>será</w:t>
      </w:r>
      <w:r>
        <w:rPr>
          <w:rFonts w:ascii="Arial" w:hAnsi="Arial" w:cs="Arial"/>
          <w:color w:val="000000"/>
          <w:spacing w:val="63"/>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x</w:t>
      </w:r>
      <w:r>
        <w:rPr>
          <w:rFonts w:ascii="Arial" w:hAnsi="Arial" w:cs="Arial"/>
          <w:color w:val="000000"/>
          <w:sz w:val="22"/>
          <w:szCs w:val="22"/>
          <w:highlight w:val="none"/>
        </w:rPr>
        <w:t>igida</w:t>
      </w:r>
      <w:r>
        <w:rPr>
          <w:rFonts w:ascii="Arial" w:hAnsi="Arial" w:cs="Arial"/>
          <w:color w:val="000000"/>
          <w:spacing w:val="56"/>
          <w:sz w:val="22"/>
          <w:szCs w:val="22"/>
          <w:highlight w:val="none"/>
        </w:rPr>
        <w:t xml:space="preserve"> </w:t>
      </w:r>
      <w:r>
        <w:rPr>
          <w:rFonts w:ascii="Arial" w:hAnsi="Arial" w:cs="Arial"/>
          <w:color w:val="000000"/>
          <w:sz w:val="22"/>
          <w:szCs w:val="22"/>
          <w:highlight w:val="none"/>
        </w:rPr>
        <w:t>para</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f</w:t>
      </w:r>
      <w:r>
        <w:rPr>
          <w:rFonts w:ascii="Arial" w:hAnsi="Arial" w:cs="Arial"/>
          <w:color w:val="000000"/>
          <w:sz w:val="22"/>
          <w:szCs w:val="22"/>
          <w:highlight w:val="none"/>
        </w:rPr>
        <w:t>eito</w:t>
      </w:r>
      <w:r>
        <w:rPr>
          <w:rFonts w:ascii="Arial" w:hAnsi="Arial" w:cs="Arial"/>
          <w:color w:val="000000"/>
          <w:spacing w:val="58"/>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5"/>
          <w:sz w:val="22"/>
          <w:szCs w:val="22"/>
          <w:highlight w:val="none"/>
        </w:rPr>
        <w:t xml:space="preserve"> </w:t>
      </w:r>
      <w:r>
        <w:rPr>
          <w:rFonts w:ascii="Arial" w:hAnsi="Arial" w:cs="Arial"/>
          <w:color w:val="000000"/>
          <w:spacing w:val="2"/>
          <w:sz w:val="22"/>
          <w:szCs w:val="22"/>
          <w:highlight w:val="none"/>
        </w:rPr>
        <w:t>a</w:t>
      </w:r>
      <w:r>
        <w:rPr>
          <w:rFonts w:ascii="Arial" w:hAnsi="Arial" w:cs="Arial"/>
          <w:color w:val="000000"/>
          <w:sz w:val="22"/>
          <w:szCs w:val="22"/>
          <w:highlight w:val="none"/>
        </w:rPr>
        <w:t>ssinatura</w:t>
      </w:r>
      <w:r>
        <w:rPr>
          <w:rFonts w:ascii="Arial" w:hAnsi="Arial" w:cs="Arial"/>
          <w:color w:val="000000"/>
          <w:spacing w:val="55"/>
          <w:sz w:val="22"/>
          <w:szCs w:val="22"/>
          <w:highlight w:val="none"/>
        </w:rPr>
        <w:t xml:space="preserve"> </w:t>
      </w:r>
      <w:r>
        <w:rPr>
          <w:rFonts w:ascii="Arial" w:hAnsi="Arial" w:cs="Arial"/>
          <w:color w:val="000000"/>
          <w:spacing w:val="2"/>
          <w:sz w:val="22"/>
          <w:szCs w:val="22"/>
          <w:highlight w:val="none"/>
        </w:rPr>
        <w:t>d</w:t>
      </w:r>
      <w:r>
        <w:rPr>
          <w:rFonts w:ascii="Arial" w:hAnsi="Arial" w:cs="Arial"/>
          <w:color w:val="000000"/>
          <w:sz w:val="22"/>
          <w:szCs w:val="22"/>
          <w:highlight w:val="none"/>
        </w:rPr>
        <w:t>o</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Con</w:t>
      </w:r>
      <w:r>
        <w:rPr>
          <w:rFonts w:ascii="Arial" w:hAnsi="Arial" w:cs="Arial"/>
          <w:color w:val="000000"/>
          <w:spacing w:val="5"/>
          <w:sz w:val="22"/>
          <w:szCs w:val="22"/>
          <w:highlight w:val="none"/>
        </w:rPr>
        <w:t>t</w:t>
      </w:r>
      <w:r>
        <w:rPr>
          <w:rFonts w:ascii="Arial" w:hAnsi="Arial" w:cs="Arial"/>
          <w:color w:val="000000"/>
          <w:sz w:val="22"/>
          <w:szCs w:val="22"/>
          <w:highlight w:val="none"/>
        </w:rPr>
        <w:t>r</w:t>
      </w:r>
      <w:r>
        <w:rPr>
          <w:rFonts w:ascii="Arial" w:hAnsi="Arial" w:cs="Arial"/>
          <w:color w:val="000000"/>
          <w:spacing w:val="2"/>
          <w:sz w:val="22"/>
          <w:szCs w:val="22"/>
          <w:highlight w:val="none"/>
        </w:rPr>
        <w:t>a</w:t>
      </w:r>
      <w:r>
        <w:rPr>
          <w:rFonts w:ascii="Arial" w:hAnsi="Arial" w:cs="Arial"/>
          <w:color w:val="000000"/>
          <w:sz w:val="22"/>
          <w:szCs w:val="22"/>
          <w:highlight w:val="none"/>
        </w:rPr>
        <w:t>to</w:t>
      </w:r>
      <w:r>
        <w:rPr>
          <w:rFonts w:ascii="Arial" w:hAnsi="Arial" w:cs="Arial"/>
          <w:color w:val="000000"/>
          <w:spacing w:val="2"/>
          <w:sz w:val="22"/>
          <w:szCs w:val="22"/>
          <w:highlight w:val="none"/>
        </w:rPr>
        <w:t>.</w:t>
      </w:r>
    </w:p>
    <w:p w14:paraId="599B208E">
      <w:pPr>
        <w:widowControl w:val="0"/>
        <w:adjustRightInd w:val="0"/>
        <w:spacing w:before="240" w:after="240" w:line="360" w:lineRule="auto"/>
        <w:ind w:left="0" w:leftChars="0" w:right="-11" w:firstLine="481" w:firstLineChars="218"/>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 Declaração </w:t>
      </w:r>
      <w:r>
        <w:rPr>
          <w:rFonts w:hint="default" w:ascii="Arial" w:hAnsi="Arial" w:cs="Arial"/>
          <w:b/>
          <w:sz w:val="22"/>
          <w:szCs w:val="22"/>
          <w:highlight w:val="none"/>
          <w:lang w:val="pt-BR"/>
        </w:rPr>
        <w:t xml:space="preserve">de conhecimento do edital e </w:t>
      </w:r>
      <w:r>
        <w:rPr>
          <w:rFonts w:ascii="Arial" w:hAnsi="Arial" w:cs="Arial"/>
          <w:b/>
          <w:sz w:val="22"/>
          <w:szCs w:val="22"/>
          <w:highlight w:val="none"/>
        </w:rPr>
        <w:t>d</w:t>
      </w:r>
      <w:r>
        <w:rPr>
          <w:rFonts w:hint="default" w:ascii="Arial" w:hAnsi="Arial" w:cs="Arial"/>
          <w:b/>
          <w:sz w:val="22"/>
          <w:szCs w:val="22"/>
          <w:highlight w:val="none"/>
          <w:lang w:val="pt-BR"/>
        </w:rPr>
        <w:t>os requisitos de</w:t>
      </w:r>
      <w:r>
        <w:rPr>
          <w:rFonts w:ascii="Arial" w:hAnsi="Arial" w:cs="Arial"/>
          <w:b/>
          <w:sz w:val="22"/>
          <w:szCs w:val="22"/>
          <w:highlight w:val="none"/>
        </w:rPr>
        <w:t xml:space="preserve"> habilitação:</w:t>
      </w:r>
    </w:p>
    <w:p w14:paraId="2CB83454">
      <w:pPr>
        <w:widowControl w:val="0"/>
        <w:adjustRightInd w:val="0"/>
        <w:spacing w:before="240" w:after="240" w:line="360" w:lineRule="auto"/>
        <w:ind w:left="0" w:leftChars="0" w:right="-11" w:firstLine="722" w:firstLineChars="327"/>
        <w:jc w:val="both"/>
        <w:textAlignment w:val="baseline"/>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1. </w:t>
      </w:r>
      <w:r>
        <w:rPr>
          <w:rFonts w:ascii="Arial" w:hAnsi="Arial" w:cs="Arial"/>
          <w:sz w:val="22"/>
          <w:szCs w:val="22"/>
          <w:highlight w:val="none"/>
        </w:rPr>
        <w:t xml:space="preserve">A licitante deverá apresentar declaração de que </w:t>
      </w:r>
      <w:r>
        <w:rPr>
          <w:rFonts w:hint="default" w:ascii="Arial" w:hAnsi="Arial" w:cs="Arial"/>
          <w:sz w:val="22"/>
          <w:szCs w:val="22"/>
          <w:highlight w:val="none"/>
          <w:lang w:val="pt-BR"/>
        </w:rPr>
        <w:t>possui</w:t>
      </w:r>
      <w:r>
        <w:rPr>
          <w:rFonts w:ascii="Arial" w:hAnsi="Arial" w:cs="Arial"/>
          <w:sz w:val="22"/>
          <w:szCs w:val="22"/>
        </w:rPr>
        <w:t xml:space="preserve">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ascii="Arial" w:hAnsi="Arial" w:cs="Arial"/>
          <w:sz w:val="22"/>
          <w:szCs w:val="22"/>
          <w:highlight w:val="none"/>
        </w:rPr>
        <w:t>, conforme modelo no Anexo I</w:t>
      </w:r>
      <w:r>
        <w:rPr>
          <w:rFonts w:hint="default" w:ascii="Arial" w:hAnsi="Arial" w:cs="Arial"/>
          <w:sz w:val="22"/>
          <w:szCs w:val="22"/>
          <w:highlight w:val="none"/>
          <w:lang w:val="pt-BR"/>
        </w:rPr>
        <w:t>X</w:t>
      </w:r>
      <w:r>
        <w:rPr>
          <w:rFonts w:ascii="Arial" w:hAnsi="Arial" w:cs="Arial"/>
          <w:sz w:val="22"/>
          <w:szCs w:val="22"/>
          <w:highlight w:val="none"/>
        </w:rPr>
        <w:t>.</w:t>
      </w:r>
    </w:p>
    <w:p w14:paraId="6D3D351A">
      <w:pPr>
        <w:tabs>
          <w:tab w:val="left" w:pos="426"/>
        </w:tabs>
        <w:spacing w:before="240" w:after="240" w:line="360" w:lineRule="auto"/>
        <w:ind w:left="0" w:leftChars="0" w:firstLine="481" w:firstLineChars="218"/>
        <w:jc w:val="both"/>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6.3</w:t>
      </w:r>
      <w:r>
        <w:rPr>
          <w:rFonts w:ascii="Arial" w:hAnsi="Arial" w:cs="Arial"/>
          <w:b/>
          <w:sz w:val="22"/>
          <w:szCs w:val="22"/>
          <w:highlight w:val="none"/>
        </w:rPr>
        <w:t>. Declaração de inexistência de fatos impeditivos</w:t>
      </w:r>
      <w:r>
        <w:rPr>
          <w:rFonts w:ascii="Arial" w:hAnsi="Arial" w:cs="Arial"/>
          <w:b/>
          <w:sz w:val="22"/>
          <w:szCs w:val="22"/>
          <w:highlight w:val="none"/>
          <w:u w:val="none"/>
        </w:rPr>
        <w:t>:</w:t>
      </w:r>
    </w:p>
    <w:p w14:paraId="4C9950A0">
      <w:pPr>
        <w:spacing w:before="240" w:after="240"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3.</w:t>
      </w:r>
      <w:r>
        <w:rPr>
          <w:rFonts w:ascii="Arial" w:hAnsi="Arial" w:cs="Arial"/>
          <w:b/>
          <w:sz w:val="22"/>
          <w:szCs w:val="22"/>
          <w:highlight w:val="none"/>
        </w:rPr>
        <w:t>1.</w:t>
      </w:r>
      <w:r>
        <w:rPr>
          <w:rFonts w:ascii="Arial" w:hAnsi="Arial" w:cs="Arial"/>
          <w:sz w:val="22"/>
          <w:szCs w:val="22"/>
          <w:highlight w:val="none"/>
        </w:rPr>
        <w:t xml:space="preserve"> A licitante deverá apresentar declaração de inexistência de fatos supervenientes e/ou impeditivos para sua habilitação no processo licitatório e que não consta nos cadastros oficiais de impedimentos, conforme Modelo de Declaração do Anexo </w:t>
      </w:r>
      <w:r>
        <w:rPr>
          <w:rFonts w:hint="default" w:ascii="Arial" w:hAnsi="Arial" w:cs="Arial"/>
          <w:sz w:val="22"/>
          <w:szCs w:val="22"/>
          <w:highlight w:val="none"/>
          <w:lang w:val="pt-BR"/>
        </w:rPr>
        <w:t>IX</w:t>
      </w:r>
      <w:r>
        <w:rPr>
          <w:rFonts w:ascii="Arial" w:hAnsi="Arial" w:cs="Arial"/>
          <w:sz w:val="22"/>
          <w:szCs w:val="22"/>
          <w:highlight w:val="none"/>
        </w:rPr>
        <w:t>.</w:t>
      </w:r>
    </w:p>
    <w:p w14:paraId="167A66CB">
      <w:pPr>
        <w:autoSpaceDE w:val="0"/>
        <w:autoSpaceDN w:val="0"/>
        <w:spacing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6.3</w:t>
      </w:r>
      <w:r>
        <w:rPr>
          <w:rFonts w:ascii="Arial" w:hAnsi="Arial" w:cs="Arial"/>
          <w:b/>
          <w:sz w:val="22"/>
          <w:szCs w:val="22"/>
          <w:highlight w:val="none"/>
        </w:rPr>
        <w:t>.2.</w:t>
      </w:r>
      <w:r>
        <w:rPr>
          <w:rFonts w:ascii="Arial" w:hAnsi="Arial" w:cs="Arial"/>
          <w:sz w:val="22"/>
          <w:szCs w:val="22"/>
          <w:highlight w:val="none"/>
        </w:rPr>
        <w:t xml:space="preserve"> Juntamente com esta declaração deverá ser apresentada a </w:t>
      </w:r>
      <w:r>
        <w:rPr>
          <w:rFonts w:ascii="Arial" w:hAnsi="Arial" w:cs="Arial"/>
          <w:bCs/>
          <w:sz w:val="22"/>
          <w:szCs w:val="22"/>
          <w:highlight w:val="none"/>
        </w:rPr>
        <w:t xml:space="preserve">certidão de Consulta Consolidada de Pessoa Jurídica, disponível através do site </w:t>
      </w:r>
      <w:r>
        <w:rPr>
          <w:rFonts w:ascii="Arial" w:hAnsi="Arial" w:cs="Arial"/>
          <w:bCs/>
          <w:sz w:val="22"/>
          <w:szCs w:val="22"/>
          <w:highlight w:val="none"/>
          <w:u w:val="single"/>
        </w:rPr>
        <w:fldChar w:fldCharType="begin"/>
      </w:r>
      <w:r>
        <w:rPr>
          <w:rFonts w:ascii="Arial" w:hAnsi="Arial" w:cs="Arial"/>
          <w:bCs/>
          <w:sz w:val="22"/>
          <w:szCs w:val="22"/>
          <w:highlight w:val="none"/>
          <w:u w:val="single"/>
        </w:rPr>
        <w:instrText xml:space="preserve"> HYPERLINK "https://certidoes-apf.apps.tcu.gov.br/" </w:instrText>
      </w:r>
      <w:r>
        <w:rPr>
          <w:rFonts w:ascii="Arial" w:hAnsi="Arial" w:cs="Arial"/>
          <w:bCs/>
          <w:sz w:val="22"/>
          <w:szCs w:val="22"/>
          <w:highlight w:val="none"/>
          <w:u w:val="single"/>
        </w:rPr>
        <w:fldChar w:fldCharType="separate"/>
      </w:r>
      <w:r>
        <w:rPr>
          <w:rStyle w:val="15"/>
          <w:rFonts w:ascii="Arial" w:hAnsi="Arial" w:cs="Arial"/>
          <w:bCs/>
          <w:sz w:val="22"/>
          <w:szCs w:val="22"/>
          <w:highlight w:val="none"/>
        </w:rPr>
        <w:t>https://certidoes-apf.apps.tcu.gov.br/</w:t>
      </w:r>
      <w:r>
        <w:rPr>
          <w:rFonts w:ascii="Arial" w:hAnsi="Arial" w:cs="Arial"/>
          <w:bCs/>
          <w:sz w:val="22"/>
          <w:szCs w:val="22"/>
          <w:highlight w:val="none"/>
          <w:u w:val="single"/>
        </w:rPr>
        <w:fldChar w:fldCharType="end"/>
      </w:r>
      <w:r>
        <w:rPr>
          <w:rFonts w:ascii="Arial" w:hAnsi="Arial" w:cs="Arial"/>
          <w:bCs/>
          <w:sz w:val="22"/>
          <w:szCs w:val="22"/>
          <w:highlight w:val="none"/>
        </w:rPr>
        <w:t xml:space="preserve">, </w:t>
      </w:r>
      <w:r>
        <w:rPr>
          <w:rFonts w:ascii="Arial" w:hAnsi="Arial" w:cs="Arial"/>
          <w:sz w:val="22"/>
          <w:szCs w:val="22"/>
          <w:highlight w:val="none"/>
        </w:rPr>
        <w:t>expedida em até</w:t>
      </w:r>
      <w:r>
        <w:rPr>
          <w:rFonts w:ascii="Arial" w:hAnsi="Arial" w:cs="Arial"/>
          <w:bCs/>
          <w:sz w:val="22"/>
          <w:szCs w:val="22"/>
          <w:highlight w:val="none"/>
        </w:rPr>
        <w:t xml:space="preserve"> 90 (noventa) </w:t>
      </w:r>
      <w:r>
        <w:rPr>
          <w:rFonts w:ascii="Arial" w:hAnsi="Arial" w:cs="Arial"/>
          <w:sz w:val="22"/>
          <w:szCs w:val="22"/>
          <w:highlight w:val="none"/>
        </w:rPr>
        <w:t>dias imediatamente anteriores à data prevista para abertura do certame.</w:t>
      </w:r>
    </w:p>
    <w:p w14:paraId="765E1500">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9.6.4. </w:t>
      </w:r>
      <w:r>
        <w:rPr>
          <w:rFonts w:ascii="Arial" w:hAnsi="Arial" w:cs="Arial"/>
          <w:b/>
          <w:sz w:val="22"/>
          <w:szCs w:val="22"/>
          <w:highlight w:val="none"/>
        </w:rPr>
        <w:t xml:space="preserve">Declaração de </w:t>
      </w:r>
      <w:r>
        <w:rPr>
          <w:rFonts w:hint="default" w:ascii="Arial" w:hAnsi="Arial" w:cs="Arial"/>
          <w:b/>
          <w:sz w:val="22"/>
          <w:szCs w:val="22"/>
          <w:highlight w:val="none"/>
          <w:lang w:val="pt-BR"/>
        </w:rPr>
        <w:t>reserva de cargos e de trabalho não degradante</w:t>
      </w:r>
      <w:r>
        <w:rPr>
          <w:rFonts w:ascii="Arial" w:hAnsi="Arial" w:cs="Arial"/>
          <w:b/>
          <w:sz w:val="22"/>
          <w:szCs w:val="22"/>
          <w:highlight w:val="none"/>
        </w:rPr>
        <w:t>:</w:t>
      </w:r>
    </w:p>
    <w:p w14:paraId="5CCAAF6E">
      <w:pPr>
        <w:numPr>
          <w:ilvl w:val="0"/>
          <w:numId w:val="0"/>
        </w:numPr>
        <w:tabs>
          <w:tab w:val="left" w:pos="1200"/>
        </w:tabs>
        <w:autoSpaceDE w:val="0"/>
        <w:autoSpaceDN w:val="0"/>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sz w:val="22"/>
          <w:szCs w:val="22"/>
          <w:highlight w:val="none"/>
          <w:lang w:val="pt-BR"/>
        </w:rPr>
        <w:t>9.6.4.1.</w:t>
      </w:r>
      <w:r>
        <w:rPr>
          <w:rFonts w:hint="default" w:ascii="Arial" w:hAnsi="Arial" w:cs="Arial"/>
          <w:sz w:val="22"/>
          <w:szCs w:val="22"/>
          <w:highlight w:val="none"/>
          <w:lang w:val="pt-BR"/>
        </w:rPr>
        <w:t xml:space="preserve"> </w:t>
      </w:r>
      <w:r>
        <w:rPr>
          <w:rFonts w:ascii="Arial" w:hAnsi="Arial" w:cs="Arial"/>
          <w:sz w:val="22"/>
          <w:szCs w:val="22"/>
          <w:highlight w:val="none"/>
        </w:rPr>
        <w:t>A licitante deverá apresentar</w:t>
      </w:r>
      <w:r>
        <w:rPr>
          <w:rFonts w:hint="default" w:ascii="Arial" w:hAnsi="Arial" w:cs="Arial"/>
          <w:sz w:val="22"/>
          <w:szCs w:val="22"/>
          <w:highlight w:val="none"/>
          <w:lang w:val="pt-BR"/>
        </w:rPr>
        <w:t xml:space="preserve"> </w:t>
      </w:r>
      <w:r>
        <w:rPr>
          <w:rFonts w:ascii="Arial" w:hAnsi="Arial" w:cs="Arial"/>
          <w:sz w:val="22"/>
          <w:szCs w:val="22"/>
          <w:highlight w:val="none"/>
        </w:rPr>
        <w:t>declara</w:t>
      </w:r>
      <w:r>
        <w:rPr>
          <w:rFonts w:hint="default" w:ascii="Arial" w:hAnsi="Arial" w:cs="Arial"/>
          <w:sz w:val="22"/>
          <w:szCs w:val="22"/>
          <w:highlight w:val="none"/>
          <w:lang w:val="pt-BR"/>
        </w:rPr>
        <w:t>ção</w:t>
      </w:r>
      <w:r>
        <w:rPr>
          <w:rFonts w:ascii="Arial" w:hAnsi="Arial" w:cs="Arial"/>
          <w:sz w:val="22"/>
          <w:szCs w:val="22"/>
          <w:highlight w:val="none"/>
        </w:rPr>
        <w:t xml:space="preserve"> </w:t>
      </w:r>
      <w:r>
        <w:rPr>
          <w:rFonts w:hint="default" w:ascii="Arial" w:hAnsi="Arial" w:cs="Arial"/>
          <w:sz w:val="22"/>
          <w:szCs w:val="22"/>
          <w:highlight w:val="none"/>
          <w:lang w:val="pt-BR"/>
        </w:rPr>
        <w:t>de</w:t>
      </w:r>
      <w:r>
        <w:rPr>
          <w:rFonts w:ascii="Arial" w:hAnsi="Arial" w:cs="Arial"/>
          <w:sz w:val="22"/>
          <w:szCs w:val="22"/>
          <w:highlight w:val="none"/>
        </w:rPr>
        <w:t xml:space="preserve">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5"/>
          <w:rFonts w:hint="default" w:ascii="Arial" w:hAnsi="Arial" w:cs="Arial"/>
          <w:color w:val="auto"/>
          <w:sz w:val="22"/>
          <w:szCs w:val="22"/>
          <w:highlight w:val="none"/>
          <w:u w:val="none"/>
        </w:rPr>
        <w:t>incisos III e IV do art. 1º e no inciso III do art. 5º da Constituição Federal</w:t>
      </w:r>
      <w:r>
        <w:rPr>
          <w:rStyle w:val="15"/>
          <w:rFonts w:hint="default" w:ascii="Arial" w:hAnsi="Arial" w:cs="Arial"/>
          <w:color w:val="auto"/>
          <w:sz w:val="22"/>
          <w:szCs w:val="22"/>
          <w:highlight w:val="none"/>
          <w:u w:val="none"/>
        </w:rPr>
        <w:fldChar w:fldCharType="end"/>
      </w:r>
      <w:r>
        <w:rPr>
          <w:rStyle w:val="15"/>
          <w:rFonts w:hint="default" w:ascii="Arial" w:hAnsi="Arial" w:cs="Arial"/>
          <w:color w:val="auto"/>
          <w:sz w:val="22"/>
          <w:szCs w:val="22"/>
          <w:highlight w:val="none"/>
          <w:u w:val="none"/>
          <w:lang w:val="pt-BR"/>
        </w:rPr>
        <w:t>.</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IX</w:t>
      </w:r>
      <w:r>
        <w:rPr>
          <w:rFonts w:ascii="Arial" w:hAnsi="Arial" w:cs="Arial"/>
          <w:sz w:val="22"/>
          <w:szCs w:val="22"/>
          <w:highlight w:val="none"/>
        </w:rPr>
        <w:t>.</w:t>
      </w:r>
    </w:p>
    <w:p w14:paraId="2048C474">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9.6.5. </w:t>
      </w:r>
      <w:r>
        <w:rPr>
          <w:rFonts w:ascii="Arial" w:hAnsi="Arial" w:cs="Arial"/>
          <w:b/>
          <w:sz w:val="22"/>
          <w:szCs w:val="22"/>
          <w:highlight w:val="none"/>
        </w:rPr>
        <w:t>Declaração de não parentesco:</w:t>
      </w:r>
    </w:p>
    <w:p w14:paraId="0CDE7087">
      <w:pPr>
        <w:numPr>
          <w:ilvl w:val="0"/>
          <w:numId w:val="0"/>
        </w:numPr>
        <w:tabs>
          <w:tab w:val="left" w:pos="1200"/>
          <w:tab w:val="left" w:pos="8576"/>
          <w:tab w:val="left" w:pos="10419"/>
        </w:tabs>
        <w:spacing w:before="240" w:after="240" w:line="360" w:lineRule="auto"/>
        <w:ind w:left="3" w:leftChars="0" w:firstLine="718" w:firstLineChars="325"/>
        <w:jc w:val="both"/>
        <w:rPr>
          <w:rFonts w:ascii="Arial" w:hAnsi="Arial" w:cs="Arial"/>
          <w:sz w:val="22"/>
          <w:szCs w:val="22"/>
          <w:highlight w:val="none"/>
        </w:rPr>
      </w:pPr>
      <w:r>
        <w:rPr>
          <w:rFonts w:hint="default" w:ascii="Arial" w:hAnsi="Arial" w:cs="Arial"/>
          <w:b/>
          <w:bCs/>
          <w:sz w:val="22"/>
          <w:szCs w:val="22"/>
          <w:highlight w:val="none"/>
          <w:lang w:val="pt-BR"/>
        </w:rPr>
        <w:t>9.6.5.1.</w:t>
      </w:r>
      <w:r>
        <w:rPr>
          <w:rFonts w:hint="default" w:ascii="Arial" w:hAnsi="Arial" w:cs="Arial"/>
          <w:sz w:val="22"/>
          <w:szCs w:val="22"/>
          <w:highlight w:val="none"/>
          <w:lang w:val="pt-BR"/>
        </w:rPr>
        <w:t xml:space="preserve"> </w:t>
      </w:r>
      <w:r>
        <w:rPr>
          <w:rFonts w:hint="default" w:ascii="Arial" w:hAnsi="Arial" w:cs="Arial"/>
          <w:b/>
          <w:bCs/>
          <w:sz w:val="22"/>
          <w:szCs w:val="22"/>
          <w:highlight w:val="none"/>
          <w:lang w:val="pt-BR"/>
        </w:rPr>
        <w:t>9.6.5.1.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de que não </w:t>
      </w:r>
      <w:r>
        <w:rPr>
          <w:rFonts w:hint="default" w:ascii="Arial" w:hAnsi="Arial" w:cs="Arial"/>
          <w:sz w:val="22"/>
          <w:szCs w:val="22"/>
          <w:highlight w:val="none"/>
        </w:rPr>
        <w:t>mant</w:t>
      </w:r>
      <w:r>
        <w:rPr>
          <w:rFonts w:hint="default" w:ascii="Arial" w:hAnsi="Arial" w:cs="Arial"/>
          <w:sz w:val="22"/>
          <w:szCs w:val="22"/>
          <w:highlight w:val="none"/>
          <w:lang w:val="pt-BR"/>
        </w:rPr>
        <w:t>ém</w:t>
      </w:r>
      <w:r>
        <w:rPr>
          <w:rFonts w:hint="default" w:ascii="Arial" w:hAnsi="Arial" w:cs="Arial"/>
          <w:sz w:val="22"/>
          <w:szCs w:val="22"/>
          <w:highlight w:val="none"/>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rPr>
        <w:t>, ou que deles seja cônjuge, companheiro ou parente em linha reta, colateral ou por afinidade, até o terceiro grau</w:t>
      </w:r>
      <w:r>
        <w:rPr>
          <w:rFonts w:hint="default" w:ascii="Arial" w:hAnsi="Arial" w:cs="Arial"/>
          <w:sz w:val="22"/>
          <w:szCs w:val="22"/>
          <w:highlight w:val="none"/>
          <w:lang w:val="pt-BR"/>
        </w:rPr>
        <w:t xml:space="preserve"> </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IX</w:t>
      </w:r>
      <w:r>
        <w:rPr>
          <w:rFonts w:ascii="Arial" w:hAnsi="Arial" w:cs="Arial"/>
          <w:sz w:val="22"/>
          <w:szCs w:val="22"/>
          <w:highlight w:val="none"/>
        </w:rPr>
        <w:t>.</w:t>
      </w:r>
    </w:p>
    <w:p w14:paraId="766CDAC6">
      <w:pPr>
        <w:numPr>
          <w:ilvl w:val="0"/>
          <w:numId w:val="0"/>
        </w:numPr>
        <w:tabs>
          <w:tab w:val="left" w:pos="426"/>
          <w:tab w:val="left" w:pos="567"/>
        </w:tabs>
        <w:spacing w:before="240" w:after="240" w:line="360" w:lineRule="auto"/>
        <w:ind w:left="0" w:leftChars="0" w:firstLine="481" w:firstLineChars="218"/>
        <w:jc w:val="both"/>
        <w:rPr>
          <w:rFonts w:ascii="Arial" w:hAnsi="Arial" w:cs="Arial"/>
          <w:b/>
          <w:bCs w:val="0"/>
          <w:sz w:val="22"/>
          <w:szCs w:val="22"/>
          <w:highlight w:val="none"/>
        </w:rPr>
      </w:pPr>
      <w:r>
        <w:rPr>
          <w:rFonts w:hint="default" w:ascii="Arial" w:hAnsi="Arial" w:cs="Arial"/>
          <w:b/>
          <w:bCs w:val="0"/>
          <w:sz w:val="22"/>
          <w:szCs w:val="22"/>
          <w:highlight w:val="none"/>
          <w:lang w:val="pt-BR"/>
        </w:rPr>
        <w:t xml:space="preserve">9.6.6. </w:t>
      </w:r>
      <w:r>
        <w:rPr>
          <w:rFonts w:ascii="Arial" w:hAnsi="Arial" w:cs="Arial"/>
          <w:b/>
          <w:bCs w:val="0"/>
          <w:sz w:val="22"/>
          <w:szCs w:val="22"/>
          <w:highlight w:val="none"/>
        </w:rPr>
        <w:t>Declaração de que não emprega menor de idade:</w:t>
      </w:r>
    </w:p>
    <w:p w14:paraId="2F011372">
      <w:pPr>
        <w:numPr>
          <w:ilvl w:val="0"/>
          <w:numId w:val="0"/>
        </w:numPr>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val="0"/>
          <w:sz w:val="22"/>
          <w:szCs w:val="22"/>
          <w:highlight w:val="none"/>
          <w:lang w:val="pt-BR"/>
        </w:rPr>
        <w:t>9.6.6.1.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 que não emprega menor de 18 (dezoito) anos em trabalho noturno, perigoso ou insalubre e não emprega menor de 16 (dezesseis) anos</w:t>
      </w:r>
      <w:r>
        <w:rPr>
          <w:rFonts w:hint="default" w:ascii="Arial" w:hAnsi="Arial" w:cs="Arial"/>
          <w:sz w:val="22"/>
          <w:szCs w:val="22"/>
          <w:highlight w:val="none"/>
          <w:lang w:val="pt-BR"/>
        </w:rPr>
        <w:t xml:space="preserve"> em qualquer trabalho, salvo na condição de aprendiz, a partir dos 14 (quatorze) anos</w:t>
      </w:r>
      <w:r>
        <w:rPr>
          <w:rFonts w:ascii="Arial" w:hAnsi="Arial" w:cs="Arial"/>
          <w:sz w:val="22"/>
          <w:szCs w:val="22"/>
          <w:highlight w:val="none"/>
        </w:rPr>
        <w:t xml:space="preserve">, </w:t>
      </w:r>
      <w:r>
        <w:rPr>
          <w:rFonts w:hint="default" w:ascii="Arial" w:hAnsi="Arial" w:cs="Arial"/>
          <w:sz w:val="22"/>
          <w:szCs w:val="22"/>
          <w:highlight w:val="none"/>
          <w:lang w:val="pt-BR"/>
        </w:rPr>
        <w:t xml:space="preserve">em cumprimento ao disposto no art. 7º, XXXIII, da Constituição Federal, </w:t>
      </w:r>
      <w:r>
        <w:rPr>
          <w:rFonts w:hint="default" w:ascii="Arial" w:hAnsi="Arial" w:cs="Arial"/>
          <w:sz w:val="22"/>
          <w:szCs w:val="22"/>
          <w:lang w:val="pt-BR"/>
        </w:rPr>
        <w:t>bem como</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r>
        <w:rPr>
          <w:rFonts w:hint="default" w:ascii="Arial" w:hAnsi="Arial" w:cs="Arial"/>
          <w:sz w:val="22"/>
          <w:szCs w:val="22"/>
          <w:lang w:val="pt-BR"/>
        </w:rPr>
        <w:t xml:space="preserve"> </w:t>
      </w:r>
      <w:r>
        <w:rPr>
          <w:rFonts w:ascii="Arial" w:hAnsi="Arial" w:cs="Arial"/>
          <w:sz w:val="22"/>
          <w:szCs w:val="22"/>
          <w:highlight w:val="none"/>
        </w:rPr>
        <w:t>conforme Modelo de Declaração do Anexo I</w:t>
      </w:r>
      <w:r>
        <w:rPr>
          <w:rFonts w:hint="default" w:ascii="Arial" w:hAnsi="Arial" w:cs="Arial"/>
          <w:sz w:val="22"/>
          <w:szCs w:val="22"/>
          <w:highlight w:val="none"/>
          <w:lang w:val="pt-BR"/>
        </w:rPr>
        <w:t>X</w:t>
      </w:r>
      <w:r>
        <w:rPr>
          <w:rFonts w:ascii="Arial" w:hAnsi="Arial" w:cs="Arial"/>
          <w:sz w:val="22"/>
          <w:szCs w:val="22"/>
          <w:highlight w:val="none"/>
        </w:rPr>
        <w:t>.</w:t>
      </w:r>
    </w:p>
    <w:p w14:paraId="276D4168">
      <w:pPr>
        <w:numPr>
          <w:ilvl w:val="0"/>
          <w:numId w:val="0"/>
        </w:numPr>
        <w:spacing w:before="240" w:after="240" w:line="360" w:lineRule="auto"/>
        <w:ind w:leftChars="0"/>
        <w:jc w:val="both"/>
        <w:rPr>
          <w:rFonts w:hint="default" w:ascii="Arial" w:hAnsi="Arial" w:cs="Arial"/>
          <w:b/>
          <w:bCs/>
          <w:sz w:val="22"/>
          <w:szCs w:val="22"/>
          <w:lang w:val="pt-BR"/>
        </w:rPr>
      </w:pPr>
      <w:r>
        <w:rPr>
          <w:rFonts w:hint="default" w:ascii="Arial" w:hAnsi="Arial" w:cs="Arial"/>
          <w:b/>
          <w:bCs/>
          <w:sz w:val="22"/>
          <w:szCs w:val="22"/>
          <w:lang w:val="pt-BR"/>
        </w:rPr>
        <w:t>9.7. Observações:</w:t>
      </w:r>
    </w:p>
    <w:p w14:paraId="154A2E70">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9.7.1. </w:t>
      </w:r>
      <w:r>
        <w:rPr>
          <w:rFonts w:ascii="Arial" w:hAnsi="Arial" w:cs="Arial"/>
          <w:sz w:val="22"/>
          <w:szCs w:val="22"/>
        </w:rPr>
        <w:t>O objeto constante do ato constitutivo da empresa deve ser compatível com o objeto licitado.</w:t>
      </w:r>
    </w:p>
    <w:p w14:paraId="123C5CBA">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9.7.2.</w:t>
      </w:r>
      <w:r>
        <w:rPr>
          <w:rFonts w:hint="default" w:ascii="Arial" w:hAnsi="Arial" w:cs="Arial"/>
          <w:sz w:val="22"/>
          <w:szCs w:val="22"/>
          <w:lang w:val="pt-BR"/>
        </w:rPr>
        <w:t xml:space="preserve"> </w:t>
      </w:r>
      <w:r>
        <w:rPr>
          <w:rFonts w:ascii="Arial" w:hAnsi="Arial" w:cs="Arial"/>
          <w:sz w:val="22"/>
          <w:szCs w:val="22"/>
        </w:rPr>
        <w:t>Não serão aceitas certidões positivas de débito, exceto quando constar da própria certidão ressalva que autorize a sua aceitação.</w:t>
      </w:r>
    </w:p>
    <w:p w14:paraId="0ACA46B8">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9.7.3.</w:t>
      </w:r>
      <w:r>
        <w:rPr>
          <w:rFonts w:hint="default" w:ascii="Arial" w:hAnsi="Arial" w:cs="Arial"/>
          <w:sz w:val="22"/>
          <w:szCs w:val="22"/>
          <w:lang w:val="pt-BR"/>
        </w:rPr>
        <w:t xml:space="preserve"> </w:t>
      </w:r>
      <w:r>
        <w:rPr>
          <w:rFonts w:ascii="Arial" w:hAnsi="Arial" w:cs="Arial"/>
          <w:sz w:val="22"/>
          <w:szCs w:val="22"/>
        </w:rPr>
        <w:t>A documentação exigida no item 9 deverá ser compatível com as respectivas inscrições nas esferas federal, estadual e municipal.</w:t>
      </w:r>
    </w:p>
    <w:p w14:paraId="67F00570">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9.7.4.</w:t>
      </w:r>
      <w:r>
        <w:rPr>
          <w:rFonts w:hint="default" w:ascii="Arial" w:hAnsi="Arial" w:cs="Arial"/>
          <w:sz w:val="22"/>
          <w:szCs w:val="22"/>
          <w:lang w:val="pt-BR"/>
        </w:rPr>
        <w:t xml:space="preserve"> </w:t>
      </w:r>
      <w:r>
        <w:rPr>
          <w:rFonts w:ascii="Arial" w:hAnsi="Arial" w:cs="Arial"/>
          <w:sz w:val="22"/>
          <w:szCs w:val="22"/>
        </w:rPr>
        <w:t xml:space="preserve">A aceitação dos documentos obtidos via </w:t>
      </w:r>
      <w:r>
        <w:rPr>
          <w:rFonts w:ascii="Arial" w:hAnsi="Arial" w:cs="Arial"/>
          <w:i/>
          <w:sz w:val="22"/>
          <w:szCs w:val="22"/>
        </w:rPr>
        <w:t>Internet</w:t>
      </w:r>
      <w:r>
        <w:rPr>
          <w:rFonts w:ascii="Arial" w:hAnsi="Arial" w:cs="Arial"/>
          <w:sz w:val="22"/>
          <w:szCs w:val="22"/>
        </w:rPr>
        <w:t xml:space="preserve"> ficará condicionada à confirmação de sua validade, também por esse meio, se dúvida houver quanto à sua autenticidade, pelo Pregoeiro.</w:t>
      </w:r>
    </w:p>
    <w:p w14:paraId="2386F1F7">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9.7.5.</w:t>
      </w:r>
      <w:r>
        <w:rPr>
          <w:rFonts w:hint="default" w:ascii="Arial" w:hAnsi="Arial" w:cs="Arial"/>
          <w:sz w:val="22"/>
          <w:szCs w:val="22"/>
          <w:lang w:val="pt-BR"/>
        </w:rPr>
        <w:t xml:space="preserve"> </w:t>
      </w:r>
      <w:r>
        <w:rPr>
          <w:rFonts w:ascii="Arial" w:hAnsi="Arial" w:cs="Arial"/>
          <w:sz w:val="22"/>
          <w:szCs w:val="22"/>
        </w:rPr>
        <w:t xml:space="preserve">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90 (noventa) dias</w:t>
      </w:r>
      <w:r>
        <w:rPr>
          <w:rFonts w:ascii="Arial" w:hAnsi="Arial" w:cs="Arial"/>
          <w:b/>
          <w:bCs/>
          <w:sz w:val="22"/>
          <w:szCs w:val="22"/>
        </w:rPr>
        <w:t xml:space="preserve"> </w:t>
      </w:r>
      <w:r>
        <w:rPr>
          <w:rFonts w:ascii="Arial" w:hAnsi="Arial" w:cs="Arial"/>
          <w:sz w:val="22"/>
          <w:szCs w:val="22"/>
        </w:rPr>
        <w:t>entre a data de sua expedição e a da abertura do certame.</w:t>
      </w:r>
    </w:p>
    <w:p w14:paraId="0ECC813E">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b/>
          <w:sz w:val="22"/>
          <w:szCs w:val="22"/>
        </w:rPr>
      </w:pPr>
      <w:r>
        <w:rPr>
          <w:rFonts w:hint="default" w:ascii="Arial" w:hAnsi="Arial" w:cs="Arial"/>
          <w:b/>
          <w:bCs/>
          <w:sz w:val="22"/>
          <w:szCs w:val="22"/>
          <w:lang w:val="pt-BR"/>
        </w:rPr>
        <w:t>9.7.6.</w:t>
      </w:r>
      <w:r>
        <w:rPr>
          <w:rFonts w:hint="default" w:ascii="Arial" w:hAnsi="Arial" w:cs="Arial"/>
          <w:sz w:val="22"/>
          <w:szCs w:val="22"/>
          <w:lang w:val="pt-BR"/>
        </w:rPr>
        <w:t xml:space="preserve"> </w:t>
      </w:r>
      <w:r>
        <w:rPr>
          <w:rFonts w:ascii="Arial" w:hAnsi="Arial" w:cs="Arial"/>
          <w:sz w:val="22"/>
          <w:szCs w:val="22"/>
        </w:rPr>
        <w:t>Os documentos poderão ser apresentados no original, por qualquer processo de cópia reprográfica autenticada por tabelião por força de lei ou a publicação em órgão da imprensa na forma da lei.</w:t>
      </w:r>
    </w:p>
    <w:p w14:paraId="3B4644E4">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9.7.7. </w:t>
      </w:r>
      <w:r>
        <w:rPr>
          <w:rFonts w:ascii="Arial" w:hAnsi="Arial" w:cs="Arial"/>
          <w:sz w:val="22"/>
          <w:szCs w:val="22"/>
        </w:rPr>
        <w:t>As autenticações serão aceitas quando feitas em cartório</w:t>
      </w:r>
      <w:r>
        <w:rPr>
          <w:rFonts w:hint="default" w:ascii="Arial" w:hAnsi="Arial" w:cs="Arial"/>
          <w:sz w:val="22"/>
          <w:szCs w:val="22"/>
          <w:lang w:val="pt-BR"/>
        </w:rPr>
        <w:t xml:space="preserve"> ou através de certificação digital</w:t>
      </w:r>
      <w:r>
        <w:rPr>
          <w:rFonts w:ascii="Arial" w:hAnsi="Arial" w:cs="Arial"/>
          <w:sz w:val="22"/>
          <w:szCs w:val="22"/>
        </w:rPr>
        <w:t>.</w:t>
      </w:r>
    </w:p>
    <w:p w14:paraId="1B05B681">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9.7.8. </w:t>
      </w:r>
      <w:r>
        <w:rPr>
          <w:rFonts w:ascii="Arial" w:hAnsi="Arial" w:cs="Arial"/>
          <w:sz w:val="22"/>
          <w:szCs w:val="22"/>
        </w:rPr>
        <w:t>Na hipótese da apresentação de documentos originais, estes serão anexados ao processo licitatório.</w:t>
      </w:r>
    </w:p>
    <w:p w14:paraId="3752D0EE">
      <w:pPr>
        <w:widowControl w:val="0"/>
        <w:numPr>
          <w:ilvl w:val="0"/>
          <w:numId w:val="0"/>
        </w:numPr>
        <w:tabs>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9.7.9.</w:t>
      </w:r>
      <w:r>
        <w:rPr>
          <w:rFonts w:hint="default" w:ascii="Arial" w:hAnsi="Arial" w:cs="Arial"/>
          <w:sz w:val="22"/>
          <w:szCs w:val="22"/>
          <w:lang w:val="pt-BR"/>
        </w:rPr>
        <w:t xml:space="preserve"> </w:t>
      </w:r>
      <w:r>
        <w:rPr>
          <w:rFonts w:ascii="Arial" w:hAnsi="Arial" w:cs="Arial"/>
          <w:sz w:val="22"/>
          <w:szCs w:val="22"/>
        </w:rPr>
        <w:t>Os documentos exigidos para habilitação, consoante o estabelecido no item 9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não poderão, em hipótese alguma, ser substituídos por protocolos que configurem o seu requerimento, ou apresentados por meio de fitas, discos magnéticos e filmes.</w:t>
      </w:r>
    </w:p>
    <w:p w14:paraId="340EC7FD">
      <w:pPr>
        <w:pStyle w:val="17"/>
        <w:widowControl w:val="0"/>
        <w:numPr>
          <w:ilvl w:val="0"/>
          <w:numId w:val="0"/>
        </w:numPr>
        <w:tabs>
          <w:tab w:val="left" w:pos="-2127"/>
          <w:tab w:val="left" w:pos="993"/>
          <w:tab w:val="left" w:pos="1200"/>
        </w:tabs>
        <w:adjustRightInd w:val="0"/>
        <w:spacing w:before="240" w:after="240" w:line="360" w:lineRule="auto"/>
        <w:ind w:left="0" w:leftChars="0" w:firstLine="481" w:firstLineChars="218"/>
        <w:textAlignment w:val="baseline"/>
        <w:rPr>
          <w:rFonts w:ascii="Arial" w:hAnsi="Arial" w:cs="Arial"/>
          <w:sz w:val="22"/>
          <w:szCs w:val="22"/>
        </w:rPr>
      </w:pPr>
      <w:r>
        <w:rPr>
          <w:rFonts w:hint="default" w:ascii="Arial" w:hAnsi="Arial" w:cs="Arial"/>
          <w:b/>
          <w:bCs/>
          <w:sz w:val="22"/>
          <w:szCs w:val="22"/>
          <w:lang w:val="pt-BR"/>
        </w:rPr>
        <w:t>9.7.10.</w:t>
      </w:r>
      <w:r>
        <w:rPr>
          <w:rFonts w:hint="default" w:ascii="Arial" w:hAnsi="Arial" w:cs="Arial"/>
          <w:sz w:val="22"/>
          <w:szCs w:val="22"/>
          <w:lang w:val="pt-BR"/>
        </w:rPr>
        <w:t xml:space="preserve"> </w:t>
      </w:r>
      <w:r>
        <w:rPr>
          <w:rFonts w:ascii="Arial" w:hAnsi="Arial" w:cs="Arial"/>
          <w:sz w:val="22"/>
          <w:szCs w:val="22"/>
        </w:rPr>
        <w:t xml:space="preserve">A ausência de documento ou a apresentação dos documentos de habilitação em desacordo com o previsto no item </w:t>
      </w:r>
      <w:r>
        <w:rPr>
          <w:rFonts w:hint="default" w:ascii="Arial" w:hAnsi="Arial" w:cs="Arial"/>
          <w:sz w:val="22"/>
          <w:szCs w:val="22"/>
          <w:lang w:val="pt-BR"/>
        </w:rPr>
        <w:t>9</w:t>
      </w:r>
      <w:r>
        <w:rPr>
          <w:rFonts w:ascii="Arial" w:hAnsi="Arial" w:cs="Arial"/>
          <w:sz w:val="22"/>
          <w:szCs w:val="22"/>
        </w:rPr>
        <w:t xml:space="preserve"> inabilitará</w:t>
      </w:r>
      <w:r>
        <w:rPr>
          <w:rFonts w:ascii="Arial" w:hAnsi="Arial" w:cs="Arial"/>
          <w:b/>
          <w:sz w:val="22"/>
          <w:szCs w:val="22"/>
        </w:rPr>
        <w:t xml:space="preserve"> </w:t>
      </w:r>
      <w:r>
        <w:rPr>
          <w:rFonts w:ascii="Arial" w:hAnsi="Arial" w:cs="Arial"/>
          <w:sz w:val="22"/>
          <w:szCs w:val="22"/>
        </w:rPr>
        <w:t xml:space="preserve">o licitante e o Pregoeiro examinará a oferta subsequente, verificando a sua aceitabilidade e procedendo a verificação das condições de habilitação do licitante, na ordem de classificação e, assim, sucessivamente, até a apuração de uma proposta ou lance que atenda ao </w:t>
      </w:r>
      <w:r>
        <w:rPr>
          <w:rFonts w:hint="default" w:ascii="Arial" w:hAnsi="Arial" w:cs="Arial"/>
          <w:sz w:val="22"/>
          <w:szCs w:val="22"/>
          <w:lang w:val="pt-BR"/>
        </w:rPr>
        <w:t>E</w:t>
      </w:r>
      <w:r>
        <w:rPr>
          <w:rFonts w:ascii="Arial" w:hAnsi="Arial" w:cs="Arial"/>
          <w:sz w:val="22"/>
          <w:szCs w:val="22"/>
        </w:rPr>
        <w:t>dital, sendo o respectivo licitante declarado vencedor e a ele adjudicado o objeto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589B556B">
      <w:pPr>
        <w:pStyle w:val="28"/>
        <w:widowControl w:val="0"/>
        <w:numPr>
          <w:ilvl w:val="0"/>
          <w:numId w:val="0"/>
        </w:numPr>
        <w:tabs>
          <w:tab w:val="left" w:pos="1200"/>
        </w:tabs>
        <w:adjustRightInd w:val="0"/>
        <w:spacing w:before="240" w:after="240" w:line="360" w:lineRule="auto"/>
        <w:ind w:left="0" w:leftChars="0" w:firstLine="481" w:firstLineChars="218"/>
        <w:textAlignment w:val="baseline"/>
        <w:rPr>
          <w:rFonts w:ascii="Arial" w:hAnsi="Arial" w:cs="Arial"/>
          <w:szCs w:val="22"/>
        </w:rPr>
      </w:pPr>
      <w:r>
        <w:rPr>
          <w:rFonts w:hint="default" w:ascii="Arial" w:hAnsi="Arial" w:cs="Arial"/>
          <w:b/>
          <w:bCs/>
          <w:szCs w:val="22"/>
          <w:lang w:val="pt-BR"/>
        </w:rPr>
        <w:t xml:space="preserve">9.7.11. </w:t>
      </w:r>
      <w:r>
        <w:rPr>
          <w:rFonts w:ascii="Arial" w:hAnsi="Arial" w:cs="Arial"/>
          <w:szCs w:val="22"/>
        </w:rPr>
        <w:t>Uma vez incluído no processo licitatório, nenhum documento será devolvido, salvo se original a ser substituído por cópia reprográfica autenticada.</w:t>
      </w:r>
    </w:p>
    <w:p w14:paraId="75FA43EF">
      <w:pPr>
        <w:widowControl w:val="0"/>
        <w:numPr>
          <w:ilvl w:val="0"/>
          <w:numId w:val="0"/>
        </w:numPr>
        <w:tabs>
          <w:tab w:val="left" w:pos="0"/>
          <w:tab w:val="left" w:pos="426"/>
          <w:tab w:val="left" w:pos="1200"/>
        </w:tabs>
        <w:autoSpaceDE w:val="0"/>
        <w:autoSpaceDN w:val="0"/>
        <w:adjustRightInd w:val="0"/>
        <w:spacing w:before="240" w:after="240" w:line="360" w:lineRule="auto"/>
        <w:ind w:left="0" w:leftChars="0" w:firstLine="481" w:firstLineChars="218"/>
        <w:jc w:val="both"/>
        <w:rPr>
          <w:rFonts w:ascii="Arial" w:hAnsi="Arial" w:cs="Arial"/>
        </w:rPr>
      </w:pPr>
      <w:r>
        <w:rPr>
          <w:rFonts w:hint="default" w:ascii="Arial" w:hAnsi="Arial" w:cs="Arial"/>
          <w:b/>
          <w:bCs/>
          <w:sz w:val="22"/>
          <w:szCs w:val="22"/>
          <w:lang w:val="pt-BR"/>
        </w:rPr>
        <w:t>9.7.12.</w:t>
      </w:r>
      <w:r>
        <w:rPr>
          <w:rFonts w:hint="default" w:ascii="Arial" w:hAnsi="Arial" w:cs="Arial"/>
          <w:sz w:val="22"/>
          <w:szCs w:val="22"/>
          <w:lang w:val="pt-BR"/>
        </w:rPr>
        <w:t xml:space="preserve"> </w:t>
      </w:r>
      <w:r>
        <w:rPr>
          <w:rFonts w:ascii="Arial" w:hAnsi="Arial" w:cs="Arial"/>
          <w:sz w:val="22"/>
          <w:szCs w:val="22"/>
        </w:rPr>
        <w:t>A licitante que declarar que cumpre os requisitos de habilitação e não os cumprir será inabilitada e sujeita às penalidades legais.</w:t>
      </w:r>
    </w:p>
    <w:p w14:paraId="5073F3FF">
      <w:pPr>
        <w:pStyle w:val="119"/>
        <w:widowControl w:val="0"/>
        <w:numPr>
          <w:ilvl w:val="0"/>
          <w:numId w:val="0"/>
        </w:numPr>
        <w:suppressLineNumbers w:val="0"/>
        <w:tabs>
          <w:tab w:val="left" w:pos="0"/>
          <w:tab w:val="left" w:pos="426"/>
          <w:tab w:val="left" w:pos="1200"/>
        </w:tabs>
        <w:spacing w:before="240" w:after="240" w:line="360" w:lineRule="auto"/>
        <w:ind w:left="0" w:leftChars="0" w:firstLine="481" w:firstLineChars="218"/>
      </w:pPr>
      <w:r>
        <w:rPr>
          <w:rFonts w:hint="default"/>
          <w:b/>
          <w:bCs/>
          <w:lang w:val="pt-BR"/>
        </w:rPr>
        <w:t xml:space="preserve">9.7.13. </w:t>
      </w:r>
      <w:r>
        <w:t xml:space="preserve">Se a vencedora não encaminhar a proposta de preços ou os documentos de habilitação dentro do prazo estabelecido no </w:t>
      </w:r>
      <w:r>
        <w:rPr>
          <w:rFonts w:hint="default"/>
          <w:lang w:val="pt-BR"/>
        </w:rPr>
        <w:t>E</w:t>
      </w:r>
      <w:r>
        <w:t xml:space="preserve">dital será penalizada de acordo com as sanções dispostas no art. </w:t>
      </w:r>
      <w:r>
        <w:rPr>
          <w:rFonts w:hint="default"/>
          <w:lang w:val="pt-BR"/>
        </w:rPr>
        <w:t>156</w:t>
      </w:r>
      <w:r>
        <w:t xml:space="preserve"> da Lei </w:t>
      </w:r>
      <w:r>
        <w:rPr>
          <w:rFonts w:hint="default"/>
          <w:lang w:val="pt-BR"/>
        </w:rPr>
        <w:t>Federal nº 14.133/2021</w:t>
      </w:r>
      <w:r>
        <w:t>.</w:t>
      </w:r>
    </w:p>
    <w:p w14:paraId="4E413AA5">
      <w:pPr>
        <w:pStyle w:val="4"/>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ascii="Arial" w:hAnsi="Arial" w:cs="Arial"/>
          <w:b/>
          <w:bCs/>
          <w:i w:val="0"/>
          <w:snapToGrid w:val="0"/>
          <w:color w:val="auto"/>
          <w:sz w:val="22"/>
          <w:szCs w:val="22"/>
          <w:u w:val="none"/>
        </w:rPr>
      </w:pPr>
      <w:r>
        <w:rPr>
          <w:rFonts w:hint="default" w:ascii="Arial" w:hAnsi="Arial" w:cs="Arial"/>
          <w:b/>
          <w:bCs/>
          <w:i w:val="0"/>
          <w:snapToGrid w:val="0"/>
          <w:color w:val="auto"/>
          <w:sz w:val="22"/>
          <w:szCs w:val="22"/>
          <w:u w:val="none"/>
          <w:lang w:val="pt-BR"/>
        </w:rPr>
        <w:t xml:space="preserve">10. DOS </w:t>
      </w:r>
      <w:r>
        <w:rPr>
          <w:rFonts w:ascii="Arial" w:hAnsi="Arial" w:cs="Arial"/>
          <w:b/>
          <w:bCs/>
          <w:i w:val="0"/>
          <w:snapToGrid w:val="0"/>
          <w:color w:val="auto"/>
          <w:sz w:val="22"/>
          <w:szCs w:val="22"/>
          <w:u w:val="none"/>
        </w:rPr>
        <w:t>RECURSOS ADMINISTRATIVOS</w:t>
      </w:r>
    </w:p>
    <w:p w14:paraId="66EBB28E">
      <w:pPr>
        <w:pStyle w:val="134"/>
        <w:numPr>
          <w:ilvl w:val="0"/>
          <w:numId w:val="0"/>
        </w:numPr>
        <w:spacing w:line="360" w:lineRule="auto"/>
        <w:rPr>
          <w:rFonts w:hint="default" w:ascii="Arial" w:hAnsi="Arial" w:cs="Arial"/>
          <w:sz w:val="22"/>
          <w:szCs w:val="22"/>
        </w:rPr>
      </w:pPr>
      <w:r>
        <w:rPr>
          <w:rFonts w:hint="default"/>
          <w:b/>
          <w:bCs/>
          <w:sz w:val="22"/>
          <w:szCs w:val="22"/>
          <w:lang w:val="pt-BR"/>
        </w:rPr>
        <w:t>10.1.</w:t>
      </w:r>
      <w:r>
        <w:rPr>
          <w:rFonts w:hint="default" w:ascii="Arial" w:hAnsi="Arial" w:cs="Arial"/>
          <w:sz w:val="22"/>
          <w:szCs w:val="22"/>
          <w:lang w:val="pt-BR"/>
        </w:rPr>
        <w:t xml:space="preserve"> </w:t>
      </w:r>
      <w:r>
        <w:rPr>
          <w:rFonts w:hint="default" w:ascii="Arial" w:hAnsi="Arial" w:cs="Arial"/>
          <w:sz w:val="22"/>
          <w:szCs w:val="22"/>
        </w:rPr>
        <w:t xml:space="preserve">A interposição de recurso referente ao julgamento das propostas, à habilitação ou inabilitação de licitantes, à anulação ou revogação da licitação, observará o disposto no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\l "art165" </w:instrText>
      </w:r>
      <w:r>
        <w:rPr>
          <w:rFonts w:hint="default" w:ascii="Arial" w:hAnsi="Arial" w:cs="Arial"/>
          <w:sz w:val="22"/>
          <w:szCs w:val="22"/>
        </w:rPr>
        <w:fldChar w:fldCharType="separate"/>
      </w:r>
      <w:r>
        <w:rPr>
          <w:rStyle w:val="15"/>
          <w:rFonts w:hint="default" w:ascii="Arial" w:hAnsi="Arial" w:cs="Arial"/>
          <w:color w:val="000000"/>
          <w:sz w:val="22"/>
          <w:szCs w:val="22"/>
          <w:u w:val="none"/>
        </w:rPr>
        <w:t>art. 165 da Lei nº 14.133</w:t>
      </w:r>
      <w:r>
        <w:rPr>
          <w:rStyle w:val="15"/>
          <w:rFonts w:hint="default" w:ascii="Arial" w:hAnsi="Arial" w:cs="Arial"/>
          <w:color w:val="000000"/>
          <w:sz w:val="22"/>
          <w:szCs w:val="22"/>
          <w:u w:val="none"/>
          <w:lang w:val="pt-BR"/>
        </w:rPr>
        <w:t>/</w:t>
      </w:r>
      <w:r>
        <w:rPr>
          <w:rStyle w:val="15"/>
          <w:rFonts w:hint="default" w:ascii="Arial" w:hAnsi="Arial" w:cs="Arial"/>
          <w:color w:val="000000"/>
          <w:sz w:val="22"/>
          <w:szCs w:val="22"/>
          <w:u w:val="none"/>
        </w:rPr>
        <w:t>2021</w:t>
      </w:r>
      <w:r>
        <w:rPr>
          <w:rStyle w:val="15"/>
          <w:rFonts w:hint="default" w:ascii="Arial" w:hAnsi="Arial" w:cs="Arial"/>
          <w:color w:val="000000"/>
          <w:sz w:val="22"/>
          <w:szCs w:val="22"/>
          <w:u w:val="none"/>
        </w:rPr>
        <w:fldChar w:fldCharType="end"/>
      </w:r>
      <w:r>
        <w:rPr>
          <w:rFonts w:hint="default" w:ascii="Arial" w:hAnsi="Arial" w:cs="Arial"/>
          <w:sz w:val="22"/>
          <w:szCs w:val="22"/>
        </w:rPr>
        <w:t>.</w:t>
      </w:r>
    </w:p>
    <w:p w14:paraId="73A68287">
      <w:pPr>
        <w:pStyle w:val="134"/>
        <w:numPr>
          <w:ilvl w:val="0"/>
          <w:numId w:val="0"/>
        </w:numPr>
        <w:spacing w:line="360" w:lineRule="auto"/>
        <w:ind w:leftChars="0"/>
        <w:rPr>
          <w:rFonts w:hint="default" w:ascii="Arial" w:hAnsi="Arial" w:cs="Arial"/>
          <w:sz w:val="22"/>
          <w:szCs w:val="22"/>
        </w:rPr>
      </w:pPr>
      <w:r>
        <w:rPr>
          <w:rFonts w:hint="default" w:ascii="Arial" w:hAnsi="Arial" w:cs="Arial"/>
          <w:b/>
          <w:bCs/>
          <w:sz w:val="22"/>
          <w:szCs w:val="22"/>
          <w:lang w:val="pt-BR"/>
        </w:rPr>
        <w:t xml:space="preserve">10.2. </w:t>
      </w:r>
      <w:r>
        <w:rPr>
          <w:rFonts w:hint="default" w:ascii="Arial" w:hAnsi="Arial" w:cs="Arial"/>
          <w:sz w:val="22"/>
          <w:szCs w:val="22"/>
        </w:rPr>
        <w:t>O prazo recursal é de 3 (três) dias úteis, contados da data de intimação ou de lavratura da ata.</w:t>
      </w:r>
    </w:p>
    <w:p w14:paraId="7FF576DE">
      <w:pPr>
        <w:pStyle w:val="134"/>
        <w:numPr>
          <w:ilvl w:val="0"/>
          <w:numId w:val="0"/>
        </w:numPr>
        <w:spacing w:line="360" w:lineRule="auto"/>
        <w:ind w:leftChars="0"/>
        <w:rPr>
          <w:rFonts w:hint="default" w:ascii="Arial" w:hAnsi="Arial" w:cs="Arial"/>
          <w:sz w:val="22"/>
          <w:szCs w:val="22"/>
        </w:rPr>
      </w:pPr>
      <w:r>
        <w:rPr>
          <w:rFonts w:hint="default" w:ascii="Arial" w:hAnsi="Arial" w:cs="Arial"/>
          <w:b/>
          <w:bCs/>
          <w:sz w:val="22"/>
          <w:szCs w:val="22"/>
          <w:lang w:val="pt-BR"/>
        </w:rPr>
        <w:t>10.3.</w:t>
      </w:r>
      <w:r>
        <w:rPr>
          <w:rFonts w:hint="default" w:ascii="Arial" w:hAnsi="Arial" w:cs="Arial"/>
          <w:sz w:val="22"/>
          <w:szCs w:val="22"/>
          <w:lang w:val="pt-BR"/>
        </w:rPr>
        <w:t xml:space="preserve"> </w:t>
      </w:r>
      <w:r>
        <w:rPr>
          <w:rFonts w:hint="default" w:ascii="Arial" w:hAnsi="Arial" w:cs="Arial"/>
          <w:sz w:val="22"/>
          <w:szCs w:val="22"/>
        </w:rPr>
        <w:t xml:space="preserve">Quando o recurso apresentado </w:t>
      </w:r>
      <w:r>
        <w:rPr>
          <w:rFonts w:hint="default" w:ascii="Arial" w:hAnsi="Arial" w:cs="Arial"/>
          <w:sz w:val="22"/>
          <w:szCs w:val="22"/>
          <w:lang w:val="pt-BR"/>
        </w:rPr>
        <w:t>for em relação</w:t>
      </w:r>
      <w:r>
        <w:rPr>
          <w:rFonts w:hint="default" w:ascii="Arial" w:hAnsi="Arial" w:cs="Arial"/>
          <w:sz w:val="22"/>
          <w:szCs w:val="22"/>
        </w:rPr>
        <w:t xml:space="preserve"> </w:t>
      </w:r>
      <w:r>
        <w:rPr>
          <w:rFonts w:hint="default" w:ascii="Arial" w:hAnsi="Arial" w:cs="Arial"/>
          <w:sz w:val="22"/>
          <w:szCs w:val="22"/>
          <w:lang w:val="pt-BR"/>
        </w:rPr>
        <w:t>a</w:t>
      </w:r>
      <w:r>
        <w:rPr>
          <w:rFonts w:hint="default" w:ascii="Arial" w:hAnsi="Arial" w:cs="Arial"/>
          <w:sz w:val="22"/>
          <w:szCs w:val="22"/>
        </w:rPr>
        <w:t xml:space="preserve">o julgamento das propostas ou </w:t>
      </w:r>
      <w:r>
        <w:rPr>
          <w:rFonts w:hint="default" w:ascii="Arial" w:hAnsi="Arial" w:cs="Arial"/>
          <w:sz w:val="22"/>
          <w:szCs w:val="22"/>
          <w:lang w:val="pt-BR"/>
        </w:rPr>
        <w:t>a</w:t>
      </w:r>
      <w:r>
        <w:rPr>
          <w:rFonts w:hint="default" w:ascii="Arial" w:hAnsi="Arial" w:cs="Arial"/>
          <w:sz w:val="22"/>
          <w:szCs w:val="22"/>
        </w:rPr>
        <w:t>o ato de habilitação ou inabilitação do licitante:</w:t>
      </w:r>
    </w:p>
    <w:p w14:paraId="3AE3D871">
      <w:pPr>
        <w:pStyle w:val="137"/>
        <w:numPr>
          <w:ilvl w:val="0"/>
          <w:numId w:val="0"/>
        </w:numPr>
        <w:spacing w:line="360" w:lineRule="auto"/>
        <w:ind w:left="0" w:leftChars="0" w:firstLine="481" w:firstLineChars="218"/>
        <w:rPr>
          <w:rFonts w:hint="default" w:ascii="Arial" w:hAnsi="Arial" w:cs="Arial"/>
          <w:sz w:val="22"/>
          <w:szCs w:val="22"/>
          <w:highlight w:val="none"/>
        </w:rPr>
      </w:pPr>
      <w:r>
        <w:rPr>
          <w:rFonts w:hint="default" w:ascii="Arial" w:hAnsi="Arial" w:cs="Arial"/>
          <w:b/>
          <w:bCs/>
          <w:sz w:val="22"/>
          <w:szCs w:val="22"/>
          <w:highlight w:val="none"/>
          <w:lang w:val="pt-BR"/>
        </w:rPr>
        <w:t xml:space="preserve">10.3.1. </w:t>
      </w:r>
      <w:r>
        <w:rPr>
          <w:rFonts w:hint="default" w:ascii="Arial" w:hAnsi="Arial" w:cs="Arial"/>
          <w:sz w:val="22"/>
          <w:szCs w:val="22"/>
          <w:highlight w:val="none"/>
          <w:lang w:val="pt-BR"/>
        </w:rPr>
        <w:t>A</w:t>
      </w:r>
      <w:r>
        <w:rPr>
          <w:rFonts w:hint="default" w:ascii="Arial" w:hAnsi="Arial" w:cs="Arial"/>
          <w:sz w:val="22"/>
          <w:szCs w:val="22"/>
          <w:highlight w:val="none"/>
        </w:rPr>
        <w:t xml:space="preserve"> intenção de recorrer deverá ser manifestada imediatamente, sob pena de preclusão;</w:t>
      </w:r>
    </w:p>
    <w:p w14:paraId="2D0DDE19">
      <w:pPr>
        <w:pStyle w:val="137"/>
        <w:numPr>
          <w:ilvl w:val="0"/>
          <w:numId w:val="0"/>
        </w:numPr>
        <w:spacing w:line="360" w:lineRule="auto"/>
        <w:ind w:left="0" w:leftChars="0" w:firstLine="481" w:firstLineChars="218"/>
        <w:rPr>
          <w:rFonts w:hint="default" w:ascii="Arial" w:hAnsi="Arial" w:cs="Arial"/>
          <w:sz w:val="22"/>
          <w:szCs w:val="22"/>
          <w:highlight w:val="none"/>
        </w:rPr>
      </w:pPr>
      <w:bookmarkStart w:id="34" w:name="_Hlk135318381"/>
      <w:bookmarkStart w:id="35" w:name="_Hlk135315794"/>
      <w:r>
        <w:rPr>
          <w:rFonts w:hint="default" w:ascii="Arial" w:hAnsi="Arial" w:cs="Arial"/>
          <w:b/>
          <w:bCs/>
          <w:sz w:val="22"/>
          <w:szCs w:val="22"/>
          <w:highlight w:val="none"/>
          <w:lang w:val="pt-BR"/>
        </w:rPr>
        <w:t xml:space="preserve">10.3.2. </w:t>
      </w:r>
      <w:r>
        <w:rPr>
          <w:rFonts w:hint="default" w:ascii="Arial" w:hAnsi="Arial" w:cs="Arial"/>
          <w:sz w:val="22"/>
          <w:szCs w:val="22"/>
          <w:highlight w:val="none"/>
          <w:lang w:val="pt-BR"/>
        </w:rPr>
        <w:t>O</w:t>
      </w:r>
      <w:r>
        <w:rPr>
          <w:rFonts w:hint="default" w:ascii="Arial" w:hAnsi="Arial" w:cs="Arial"/>
          <w:sz w:val="22"/>
          <w:szCs w:val="22"/>
          <w:highlight w:val="none"/>
        </w:rPr>
        <w:t xml:space="preserve"> prazo para a manifestação da intenção de recorrer </w:t>
      </w:r>
      <w:r>
        <w:rPr>
          <w:rFonts w:hint="default" w:ascii="Arial" w:hAnsi="Arial" w:cs="Arial"/>
          <w:sz w:val="22"/>
          <w:szCs w:val="22"/>
          <w:highlight w:val="none"/>
          <w:lang w:val="pt-BR"/>
        </w:rPr>
        <w:t xml:space="preserve">será de 1 (uma) hora, conforme </w:t>
      </w:r>
      <w:r>
        <w:rPr>
          <w:rFonts w:hint="default" w:ascii="Arial" w:hAnsi="Arial" w:cs="Arial"/>
          <w:sz w:val="22"/>
          <w:szCs w:val="22"/>
          <w:highlight w:val="none"/>
        </w:rPr>
        <w:t>art. 2</w:t>
      </w:r>
      <w:r>
        <w:rPr>
          <w:rFonts w:hint="default" w:ascii="Arial" w:hAnsi="Arial" w:cs="Arial"/>
          <w:sz w:val="22"/>
          <w:szCs w:val="22"/>
          <w:highlight w:val="none"/>
          <w:lang w:val="pt-BR"/>
        </w:rPr>
        <w:t xml:space="preserve">37, I, </w:t>
      </w:r>
      <w:r>
        <w:rPr>
          <w:rFonts w:hint="default" w:ascii="Arial" w:hAnsi="Arial" w:cs="Arial"/>
          <w:sz w:val="22"/>
          <w:szCs w:val="22"/>
          <w:highlight w:val="none"/>
        </w:rPr>
        <w:t xml:space="preserve">do Decreto Municipal n° </w:t>
      </w:r>
      <w:r>
        <w:rPr>
          <w:rFonts w:hint="default" w:ascii="Arial" w:hAnsi="Arial" w:cs="Arial"/>
          <w:sz w:val="22"/>
          <w:szCs w:val="22"/>
          <w:highlight w:val="none"/>
          <w:lang w:val="pt-BR"/>
        </w:rPr>
        <w:t>359/2023</w:t>
      </w:r>
      <w:r>
        <w:rPr>
          <w:rFonts w:hint="default" w:ascii="Arial" w:hAnsi="Arial" w:cs="Arial"/>
          <w:sz w:val="22"/>
          <w:szCs w:val="22"/>
          <w:highlight w:val="none"/>
        </w:rPr>
        <w:t>.</w:t>
      </w:r>
      <w:bookmarkEnd w:id="34"/>
    </w:p>
    <w:bookmarkEnd w:id="35"/>
    <w:p w14:paraId="56D111BD">
      <w:pPr>
        <w:pStyle w:val="137"/>
        <w:numPr>
          <w:ilvl w:val="0"/>
          <w:numId w:val="0"/>
        </w:numPr>
        <w:spacing w:line="360" w:lineRule="auto"/>
        <w:ind w:left="0" w:leftChars="0" w:firstLine="481" w:firstLineChars="218"/>
        <w:rPr>
          <w:rFonts w:hint="default" w:ascii="Arial" w:hAnsi="Arial" w:cs="Arial"/>
          <w:sz w:val="22"/>
          <w:szCs w:val="22"/>
          <w:highlight w:val="none"/>
        </w:rPr>
      </w:pPr>
      <w:r>
        <w:rPr>
          <w:rFonts w:hint="default" w:ascii="Arial" w:hAnsi="Arial" w:cs="Arial"/>
          <w:b/>
          <w:bCs/>
          <w:sz w:val="22"/>
          <w:szCs w:val="22"/>
          <w:highlight w:val="none"/>
          <w:lang w:val="pt-BR"/>
        </w:rPr>
        <w:t>10.3.3.</w:t>
      </w:r>
      <w:r>
        <w:rPr>
          <w:rFonts w:hint="default" w:ascii="Arial" w:hAnsi="Arial" w:cs="Arial"/>
          <w:sz w:val="22"/>
          <w:szCs w:val="22"/>
          <w:highlight w:val="none"/>
          <w:lang w:val="pt-BR"/>
        </w:rPr>
        <w:t xml:space="preserve"> O</w:t>
      </w:r>
      <w:r>
        <w:rPr>
          <w:rFonts w:hint="default" w:ascii="Arial" w:hAnsi="Arial" w:cs="Arial"/>
          <w:sz w:val="22"/>
          <w:szCs w:val="22"/>
          <w:highlight w:val="none"/>
        </w:rPr>
        <w:t xml:space="preserve"> prazo para apresentação das razões recursais será iniciado na data de intimação ou de lavratura da ata de habilitação ou inabilitação;</w:t>
      </w:r>
    </w:p>
    <w:p w14:paraId="5B3A8968">
      <w:pPr>
        <w:pStyle w:val="137"/>
        <w:numPr>
          <w:ilvl w:val="0"/>
          <w:numId w:val="0"/>
        </w:numPr>
        <w:spacing w:line="360" w:lineRule="auto"/>
        <w:ind w:left="0" w:leftChars="0" w:firstLine="481" w:firstLineChars="218"/>
        <w:rPr>
          <w:rFonts w:hint="default" w:ascii="Arial" w:hAnsi="Arial" w:cs="Arial"/>
          <w:sz w:val="22"/>
          <w:szCs w:val="22"/>
          <w:highlight w:val="none"/>
        </w:rPr>
      </w:pPr>
      <w:r>
        <w:rPr>
          <w:rFonts w:hint="default" w:ascii="Arial" w:hAnsi="Arial" w:cs="Arial"/>
          <w:b/>
          <w:bCs/>
          <w:sz w:val="22"/>
          <w:szCs w:val="22"/>
          <w:highlight w:val="none"/>
          <w:lang w:val="pt-BR"/>
        </w:rPr>
        <w:t>10.3.4.</w:t>
      </w:r>
      <w:r>
        <w:rPr>
          <w:rFonts w:hint="default" w:ascii="Arial" w:hAnsi="Arial" w:cs="Arial"/>
          <w:sz w:val="22"/>
          <w:szCs w:val="22"/>
          <w:highlight w:val="none"/>
          <w:lang w:val="pt-BR"/>
        </w:rPr>
        <w:t xml:space="preserve"> N</w:t>
      </w:r>
      <w:r>
        <w:rPr>
          <w:rFonts w:hint="default" w:ascii="Arial" w:hAnsi="Arial" w:cs="Arial"/>
          <w:sz w:val="22"/>
          <w:szCs w:val="22"/>
          <w:highlight w:val="none"/>
        </w:rPr>
        <w:t>a hipótese de adoção da inversão de fases prevista no </w:t>
      </w:r>
      <w:r>
        <w:rPr>
          <w:rFonts w:hint="default" w:ascii="Arial" w:hAnsi="Arial" w:cs="Arial"/>
          <w:sz w:val="22"/>
          <w:szCs w:val="22"/>
          <w:highlight w:val="none"/>
        </w:rPr>
        <w:fldChar w:fldCharType="begin"/>
      </w:r>
      <w:r>
        <w:rPr>
          <w:rFonts w:hint="default" w:ascii="Arial" w:hAnsi="Arial" w:cs="Arial"/>
          <w:sz w:val="22"/>
          <w:szCs w:val="22"/>
          <w:highlight w:val="none"/>
        </w:rPr>
        <w:instrText xml:space="preserve"> HYPERLINK "http://www.planalto.gov.br/ccivil_03/_ato2019-2022/2021/lei/L14133.htm" \l "art17§1" </w:instrText>
      </w:r>
      <w:r>
        <w:rPr>
          <w:rFonts w:hint="default" w:ascii="Arial" w:hAnsi="Arial" w:cs="Arial"/>
          <w:sz w:val="22"/>
          <w:szCs w:val="22"/>
          <w:highlight w:val="none"/>
        </w:rPr>
        <w:fldChar w:fldCharType="separate"/>
      </w:r>
      <w:r>
        <w:rPr>
          <w:rStyle w:val="15"/>
          <w:rFonts w:hint="default" w:ascii="Arial" w:hAnsi="Arial" w:cs="Arial"/>
          <w:color w:val="000000"/>
          <w:sz w:val="22"/>
          <w:szCs w:val="22"/>
          <w:highlight w:val="none"/>
          <w:u w:val="none"/>
        </w:rPr>
        <w:t xml:space="preserve">§ 1º do art. 17 da Lei </w:t>
      </w:r>
      <w:r>
        <w:rPr>
          <w:rStyle w:val="15"/>
          <w:rFonts w:hint="default" w:ascii="Arial" w:hAnsi="Arial" w:cs="Arial"/>
          <w:color w:val="000000"/>
          <w:sz w:val="22"/>
          <w:szCs w:val="22"/>
          <w:highlight w:val="none"/>
          <w:u w:val="none"/>
          <w:lang w:val="pt-BR"/>
        </w:rPr>
        <w:t xml:space="preserve">Federal </w:t>
      </w:r>
      <w:r>
        <w:rPr>
          <w:rStyle w:val="15"/>
          <w:rFonts w:hint="default" w:ascii="Arial" w:hAnsi="Arial" w:cs="Arial"/>
          <w:color w:val="000000"/>
          <w:sz w:val="22"/>
          <w:szCs w:val="22"/>
          <w:highlight w:val="none"/>
          <w:u w:val="none"/>
        </w:rPr>
        <w:t>nº 14.133</w:t>
      </w:r>
      <w:r>
        <w:rPr>
          <w:rStyle w:val="15"/>
          <w:rFonts w:hint="default" w:ascii="Arial" w:hAnsi="Arial" w:cs="Arial"/>
          <w:color w:val="000000"/>
          <w:sz w:val="22"/>
          <w:szCs w:val="22"/>
          <w:highlight w:val="none"/>
          <w:u w:val="none"/>
          <w:lang w:val="pt-BR"/>
        </w:rPr>
        <w:t>/</w:t>
      </w:r>
      <w:r>
        <w:rPr>
          <w:rStyle w:val="15"/>
          <w:rFonts w:hint="default" w:ascii="Arial" w:hAnsi="Arial" w:cs="Arial"/>
          <w:color w:val="000000"/>
          <w:sz w:val="22"/>
          <w:szCs w:val="22"/>
          <w:highlight w:val="none"/>
          <w:u w:val="none"/>
        </w:rPr>
        <w:t>2021</w:t>
      </w:r>
      <w:r>
        <w:rPr>
          <w:rStyle w:val="15"/>
          <w:rFonts w:hint="default" w:ascii="Arial" w:hAnsi="Arial" w:cs="Arial"/>
          <w:color w:val="000000"/>
          <w:sz w:val="22"/>
          <w:szCs w:val="22"/>
          <w:highlight w:val="none"/>
          <w:u w:val="none"/>
        </w:rPr>
        <w:fldChar w:fldCharType="end"/>
      </w:r>
      <w:r>
        <w:rPr>
          <w:rFonts w:hint="default" w:ascii="Arial" w:hAnsi="Arial" w:cs="Arial"/>
          <w:sz w:val="22"/>
          <w:szCs w:val="22"/>
          <w:highlight w:val="none"/>
        </w:rPr>
        <w:t>, o prazo para apresentação das razões recursais será iniciado na data de intimação da ata de julgamento.</w:t>
      </w:r>
    </w:p>
    <w:p w14:paraId="207A7E66">
      <w:pPr>
        <w:pStyle w:val="134"/>
        <w:numPr>
          <w:ilvl w:val="0"/>
          <w:numId w:val="0"/>
        </w:numPr>
        <w:spacing w:line="360" w:lineRule="auto"/>
        <w:ind w:leftChars="0"/>
        <w:rPr>
          <w:rFonts w:hint="default" w:ascii="Arial" w:hAnsi="Arial" w:cs="Arial"/>
          <w:sz w:val="22"/>
          <w:szCs w:val="22"/>
        </w:rPr>
      </w:pPr>
      <w:r>
        <w:rPr>
          <w:rFonts w:hint="default" w:ascii="Arial" w:hAnsi="Arial" w:cs="Arial"/>
          <w:b/>
          <w:bCs/>
          <w:sz w:val="22"/>
          <w:szCs w:val="22"/>
          <w:lang w:val="pt-BR"/>
        </w:rPr>
        <w:t>10.4.</w:t>
      </w:r>
      <w:r>
        <w:rPr>
          <w:rFonts w:hint="default" w:ascii="Arial" w:hAnsi="Arial" w:cs="Arial"/>
          <w:sz w:val="22"/>
          <w:szCs w:val="22"/>
          <w:lang w:val="pt-BR"/>
        </w:rPr>
        <w:t xml:space="preserve"> </w:t>
      </w:r>
      <w:r>
        <w:rPr>
          <w:rFonts w:hint="default" w:ascii="Arial" w:hAnsi="Arial" w:cs="Arial"/>
          <w:sz w:val="22"/>
          <w:szCs w:val="22"/>
        </w:rPr>
        <w:t>Os recursos deverão ser encaminhados em campo próprio do sistema.</w:t>
      </w:r>
    </w:p>
    <w:p w14:paraId="44A3235B">
      <w:pPr>
        <w:pStyle w:val="134"/>
        <w:numPr>
          <w:ilvl w:val="0"/>
          <w:numId w:val="0"/>
        </w:numPr>
        <w:spacing w:line="360" w:lineRule="auto"/>
        <w:ind w:leftChars="0"/>
        <w:rPr>
          <w:rFonts w:hint="default" w:ascii="Arial" w:hAnsi="Arial" w:cs="Arial"/>
          <w:sz w:val="22"/>
          <w:szCs w:val="22"/>
        </w:rPr>
      </w:pPr>
      <w:r>
        <w:rPr>
          <w:rFonts w:hint="default" w:ascii="Arial" w:hAnsi="Arial" w:cs="Arial"/>
          <w:b/>
          <w:bCs/>
          <w:sz w:val="22"/>
          <w:szCs w:val="22"/>
          <w:lang w:val="pt-BR"/>
        </w:rPr>
        <w:t>10.5.</w:t>
      </w:r>
      <w:r>
        <w:rPr>
          <w:rFonts w:hint="default" w:ascii="Arial" w:hAnsi="Arial" w:cs="Arial"/>
          <w:sz w:val="22"/>
          <w:szCs w:val="22"/>
          <w:lang w:val="pt-BR"/>
        </w:rPr>
        <w:t xml:space="preserve"> </w:t>
      </w:r>
      <w:r>
        <w:rPr>
          <w:rFonts w:hint="default" w:ascii="Arial" w:hAnsi="Arial" w:cs="Arial"/>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9F794A5">
      <w:pPr>
        <w:pStyle w:val="134"/>
        <w:numPr>
          <w:ilvl w:val="0"/>
          <w:numId w:val="0"/>
        </w:numPr>
        <w:spacing w:line="360" w:lineRule="auto"/>
        <w:ind w:leftChars="0"/>
        <w:rPr>
          <w:rFonts w:hint="default" w:ascii="Arial" w:hAnsi="Arial" w:cs="Arial"/>
          <w:sz w:val="22"/>
          <w:szCs w:val="22"/>
        </w:rPr>
      </w:pPr>
      <w:r>
        <w:rPr>
          <w:rFonts w:hint="default" w:ascii="Arial" w:hAnsi="Arial" w:cs="Arial"/>
          <w:b/>
          <w:bCs/>
          <w:sz w:val="22"/>
          <w:szCs w:val="22"/>
          <w:lang w:val="pt-BR"/>
        </w:rPr>
        <w:t>10.6.</w:t>
      </w:r>
      <w:r>
        <w:rPr>
          <w:rFonts w:hint="default" w:ascii="Arial" w:hAnsi="Arial" w:cs="Arial"/>
          <w:sz w:val="22"/>
          <w:szCs w:val="22"/>
          <w:lang w:val="pt-BR"/>
        </w:rPr>
        <w:t xml:space="preserve"> </w:t>
      </w:r>
      <w:r>
        <w:rPr>
          <w:rFonts w:hint="default" w:ascii="Arial" w:hAnsi="Arial" w:cs="Arial"/>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BE043BC">
      <w:pPr>
        <w:pStyle w:val="134"/>
        <w:numPr>
          <w:ilvl w:val="0"/>
          <w:numId w:val="0"/>
        </w:numPr>
        <w:spacing w:line="360" w:lineRule="auto"/>
        <w:ind w:leftChars="0"/>
        <w:rPr>
          <w:sz w:val="22"/>
          <w:szCs w:val="22"/>
        </w:rPr>
      </w:pPr>
      <w:r>
        <w:rPr>
          <w:rFonts w:hint="default" w:ascii="Arial" w:hAnsi="Arial" w:cs="Arial"/>
          <w:b/>
          <w:bCs/>
          <w:sz w:val="22"/>
          <w:szCs w:val="22"/>
          <w:lang w:val="pt-BR"/>
        </w:rPr>
        <w:t xml:space="preserve">10.7. </w:t>
      </w:r>
      <w:r>
        <w:rPr>
          <w:rFonts w:hint="default" w:ascii="Arial" w:hAnsi="Arial" w:cs="Arial"/>
          <w:sz w:val="22"/>
          <w:szCs w:val="22"/>
        </w:rPr>
        <w:t xml:space="preserve">Os recursos interpostos fora do prazo não serão conhecidos. </w:t>
      </w:r>
    </w:p>
    <w:p w14:paraId="132FD812">
      <w:pPr>
        <w:pStyle w:val="21"/>
        <w:keepNext w:val="0"/>
        <w:keepLines w:val="0"/>
        <w:widowControl/>
        <w:suppressLineNumbers w:val="0"/>
        <w:spacing w:before="225" w:beforeAutospacing="0" w:after="225" w:afterAutospacing="0" w:line="360" w:lineRule="auto"/>
        <w:ind w:left="0" w:leftChars="0" w:right="0" w:firstLine="0" w:firstLineChars="0"/>
        <w:jc w:val="both"/>
        <w:rPr>
          <w:rFonts w:hint="default" w:ascii="Arial" w:hAnsi="Arial" w:cs="Arial"/>
          <w:sz w:val="22"/>
          <w:szCs w:val="22"/>
        </w:rPr>
      </w:pPr>
      <w:r>
        <w:rPr>
          <w:rFonts w:hint="default" w:ascii="Arial" w:hAnsi="Arial" w:cs="Arial"/>
          <w:b/>
          <w:bCs/>
          <w:sz w:val="22"/>
          <w:szCs w:val="22"/>
          <w:lang w:val="pt-BR"/>
        </w:rPr>
        <w:t xml:space="preserve">10.8. </w:t>
      </w:r>
      <w:r>
        <w:rPr>
          <w:rFonts w:hint="default" w:ascii="Arial" w:hAnsi="Arial" w:cs="Arial"/>
          <w:sz w:val="22"/>
          <w:szCs w:val="22"/>
          <w:lang w:val="pt-BR"/>
        </w:rPr>
        <w:t xml:space="preserve">Caberá </w:t>
      </w:r>
      <w:r>
        <w:rPr>
          <w:rFonts w:hint="default" w:ascii="Arial" w:hAnsi="Arial" w:cs="Arial"/>
          <w:sz w:val="22"/>
          <w:szCs w:val="22"/>
        </w:rPr>
        <w:t>pedido de reconsideração, no prazo de 3 (três) dias úteis, contado</w:t>
      </w:r>
      <w:r>
        <w:rPr>
          <w:rFonts w:hint="default" w:ascii="Arial" w:hAnsi="Arial" w:cs="Arial"/>
          <w:sz w:val="22"/>
          <w:szCs w:val="22"/>
          <w:lang w:val="pt-BR"/>
        </w:rPr>
        <w:t>s</w:t>
      </w:r>
      <w:r>
        <w:rPr>
          <w:rFonts w:hint="default" w:ascii="Arial" w:hAnsi="Arial" w:cs="Arial"/>
          <w:sz w:val="22"/>
          <w:szCs w:val="22"/>
        </w:rPr>
        <w:t xml:space="preserve"> da data de intimação, relativamente a ato do qual não caiba recurso hierárquico.</w:t>
      </w:r>
    </w:p>
    <w:p w14:paraId="2F8B327F">
      <w:pPr>
        <w:pStyle w:val="134"/>
        <w:numPr>
          <w:ilvl w:val="1"/>
          <w:numId w:val="0"/>
        </w:numPr>
        <w:spacing w:line="360" w:lineRule="auto"/>
        <w:ind w:leftChars="0"/>
        <w:rPr>
          <w:rFonts w:hint="default" w:ascii="Arial" w:hAnsi="Arial" w:cs="Arial"/>
          <w:sz w:val="22"/>
          <w:szCs w:val="22"/>
        </w:rPr>
      </w:pPr>
      <w:r>
        <w:rPr>
          <w:rFonts w:hint="default"/>
          <w:b/>
          <w:bCs/>
          <w:sz w:val="22"/>
          <w:szCs w:val="22"/>
          <w:lang w:val="pt-BR"/>
        </w:rPr>
        <w:t xml:space="preserve">10.9. </w:t>
      </w:r>
      <w:r>
        <w:rPr>
          <w:rFonts w:hint="default" w:ascii="Arial" w:hAnsi="Arial" w:cs="Arial"/>
          <w:sz w:val="22"/>
          <w:szCs w:val="22"/>
        </w:rPr>
        <w:t>O pedido de reconsideração</w:t>
      </w:r>
      <w:r>
        <w:rPr>
          <w:rFonts w:hint="default" w:ascii="Arial" w:hAnsi="Arial" w:cs="Arial"/>
          <w:sz w:val="22"/>
          <w:szCs w:val="22"/>
          <w:lang w:val="pt-BR"/>
        </w:rPr>
        <w:t xml:space="preserve"> </w:t>
      </w:r>
      <w:r>
        <w:rPr>
          <w:rFonts w:hint="default" w:ascii="Arial" w:hAnsi="Arial" w:cs="Arial"/>
          <w:sz w:val="22"/>
          <w:szCs w:val="22"/>
        </w:rPr>
        <w:t>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w:t>
      </w:r>
      <w:r>
        <w:rPr>
          <w:rFonts w:hint="default" w:ascii="Arial" w:hAnsi="Arial" w:cs="Arial"/>
          <w:sz w:val="22"/>
          <w:szCs w:val="22"/>
          <w:lang w:val="pt-BR"/>
        </w:rPr>
        <w:t>s</w:t>
      </w:r>
      <w:r>
        <w:rPr>
          <w:rFonts w:hint="default" w:ascii="Arial" w:hAnsi="Arial" w:cs="Arial"/>
          <w:sz w:val="22"/>
          <w:szCs w:val="22"/>
        </w:rPr>
        <w:t xml:space="preserve"> do recebimento dos autos.</w:t>
      </w:r>
    </w:p>
    <w:p w14:paraId="5DB42701">
      <w:pPr>
        <w:pStyle w:val="134"/>
        <w:numPr>
          <w:ilvl w:val="0"/>
          <w:numId w:val="0"/>
        </w:numPr>
        <w:spacing w:line="360" w:lineRule="auto"/>
        <w:ind w:leftChars="0"/>
        <w:rPr>
          <w:rFonts w:hint="default" w:ascii="Arial" w:hAnsi="Arial" w:cs="Arial"/>
          <w:sz w:val="22"/>
          <w:szCs w:val="22"/>
        </w:rPr>
      </w:pPr>
      <w:r>
        <w:rPr>
          <w:rFonts w:hint="default" w:ascii="Arial" w:hAnsi="Arial" w:cs="Arial"/>
          <w:b/>
          <w:bCs/>
          <w:sz w:val="22"/>
          <w:szCs w:val="22"/>
          <w:lang w:val="pt-BR"/>
        </w:rPr>
        <w:t xml:space="preserve">10.10. </w:t>
      </w:r>
      <w:r>
        <w:rPr>
          <w:rFonts w:hint="default" w:ascii="Arial" w:hAnsi="Arial" w:cs="Arial"/>
          <w:sz w:val="22"/>
          <w:szCs w:val="22"/>
        </w:rPr>
        <w:t xml:space="preserve">O recurso e o pedido de reconsideração terão efeito suspensivo do ato ou da decisão recorrida até que sobrevenha decisão final da autoridade competente. </w:t>
      </w:r>
    </w:p>
    <w:p w14:paraId="70A7EAAC">
      <w:pPr>
        <w:pStyle w:val="134"/>
        <w:numPr>
          <w:ilvl w:val="0"/>
          <w:numId w:val="0"/>
        </w:numPr>
        <w:spacing w:line="360" w:lineRule="auto"/>
        <w:ind w:leftChars="0"/>
        <w:rPr>
          <w:rFonts w:hint="default" w:ascii="Arial" w:hAnsi="Arial" w:cs="Arial"/>
          <w:sz w:val="22"/>
          <w:szCs w:val="22"/>
        </w:rPr>
      </w:pPr>
      <w:r>
        <w:rPr>
          <w:rFonts w:hint="default" w:ascii="Arial" w:hAnsi="Arial" w:cs="Arial"/>
          <w:b/>
          <w:bCs/>
          <w:sz w:val="22"/>
          <w:szCs w:val="22"/>
          <w:lang w:val="pt-BR"/>
        </w:rPr>
        <w:t>10.11.</w:t>
      </w:r>
      <w:r>
        <w:rPr>
          <w:rFonts w:hint="default" w:ascii="Arial" w:hAnsi="Arial" w:cs="Arial"/>
          <w:sz w:val="22"/>
          <w:szCs w:val="22"/>
          <w:lang w:val="pt-BR"/>
        </w:rPr>
        <w:t xml:space="preserve"> </w:t>
      </w:r>
      <w:r>
        <w:rPr>
          <w:rFonts w:hint="default" w:ascii="Arial" w:hAnsi="Arial" w:cs="Arial"/>
          <w:sz w:val="22"/>
          <w:szCs w:val="22"/>
        </w:rPr>
        <w:t xml:space="preserve">O acolhimento do recurso invalida tão somente os atos insuscetíveis de aproveitamento. </w:t>
      </w:r>
    </w:p>
    <w:p w14:paraId="20E65DC4">
      <w:pPr>
        <w:pStyle w:val="134"/>
        <w:numPr>
          <w:ilvl w:val="0"/>
          <w:numId w:val="0"/>
        </w:numPr>
        <w:spacing w:line="360" w:lineRule="auto"/>
        <w:ind w:leftChars="0"/>
        <w:rPr>
          <w:rFonts w:hint="default" w:ascii="Arial" w:hAnsi="Arial" w:cs="Arial"/>
          <w:sz w:val="22"/>
          <w:szCs w:val="22"/>
        </w:rPr>
      </w:pPr>
      <w:r>
        <w:rPr>
          <w:rFonts w:hint="default" w:ascii="Arial" w:hAnsi="Arial" w:cs="Arial"/>
          <w:b/>
          <w:bCs/>
          <w:sz w:val="22"/>
          <w:szCs w:val="22"/>
          <w:lang w:val="pt-BR"/>
        </w:rPr>
        <w:t xml:space="preserve">10.12. </w:t>
      </w:r>
      <w:r>
        <w:rPr>
          <w:rFonts w:hint="default" w:ascii="Arial" w:hAnsi="Arial" w:cs="Arial"/>
          <w:sz w:val="22"/>
          <w:szCs w:val="22"/>
        </w:rPr>
        <w:t xml:space="preserve">Os autos do processo permanecerão com vista franqueada aos interessados no sítio eletrônico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15"/>
          <w:rFonts w:hint="default" w:ascii="Arial" w:hAnsi="Arial" w:cs="Arial"/>
          <w:sz w:val="22"/>
          <w:szCs w:val="22"/>
        </w:rPr>
        <w:t>www.portaldecompraspublicas.com.br</w:t>
      </w:r>
      <w:r>
        <w:rPr>
          <w:rFonts w:hint="default" w:ascii="Arial" w:hAnsi="Arial" w:cs="Arial"/>
          <w:sz w:val="22"/>
          <w:szCs w:val="22"/>
        </w:rPr>
        <w:fldChar w:fldCharType="end"/>
      </w:r>
      <w:r>
        <w:rPr>
          <w:rFonts w:hint="default" w:ascii="Arial" w:hAnsi="Arial" w:cs="Arial"/>
          <w:sz w:val="22"/>
          <w:szCs w:val="22"/>
        </w:rPr>
        <w:t xml:space="preserve">. </w:t>
      </w:r>
    </w:p>
    <w:p w14:paraId="5FDBF542">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11. </w:t>
      </w:r>
      <w:r>
        <w:rPr>
          <w:rFonts w:cs="Arial"/>
          <w:b/>
          <w:bCs/>
          <w:iCs/>
          <w:color w:val="auto"/>
          <w:sz w:val="22"/>
          <w:szCs w:val="22"/>
        </w:rPr>
        <w:t>DA ADJUDICAÇÃO</w:t>
      </w:r>
      <w:r>
        <w:rPr>
          <w:rFonts w:hint="default" w:cs="Arial"/>
          <w:b/>
          <w:bCs/>
          <w:iCs/>
          <w:color w:val="auto"/>
          <w:sz w:val="22"/>
          <w:szCs w:val="22"/>
          <w:lang w:val="pt-BR"/>
        </w:rPr>
        <w:t xml:space="preserve"> E</w:t>
      </w:r>
      <w:r>
        <w:rPr>
          <w:rFonts w:cs="Arial"/>
          <w:b/>
          <w:bCs/>
          <w:iCs/>
          <w:color w:val="auto"/>
          <w:sz w:val="22"/>
          <w:szCs w:val="22"/>
        </w:rPr>
        <w:t xml:space="preserve"> </w:t>
      </w:r>
      <w:r>
        <w:rPr>
          <w:rFonts w:hint="default" w:cs="Arial"/>
          <w:b/>
          <w:bCs/>
          <w:iCs/>
          <w:color w:val="auto"/>
          <w:sz w:val="22"/>
          <w:szCs w:val="22"/>
          <w:lang w:val="pt-BR"/>
        </w:rPr>
        <w:t xml:space="preserve">DA </w:t>
      </w:r>
      <w:r>
        <w:rPr>
          <w:rFonts w:cs="Arial"/>
          <w:b/>
          <w:bCs/>
          <w:iCs/>
          <w:color w:val="auto"/>
          <w:sz w:val="22"/>
          <w:szCs w:val="22"/>
        </w:rPr>
        <w:t xml:space="preserve">HOMOLOGAÇÃO </w:t>
      </w:r>
    </w:p>
    <w:p w14:paraId="69720E2B">
      <w:pPr>
        <w:pStyle w:val="21"/>
        <w:keepNext w:val="0"/>
        <w:keepLines w:val="0"/>
        <w:widowControl/>
        <w:suppressLineNumbers w:val="0"/>
        <w:spacing w:before="225" w:beforeAutospacing="0" w:after="225" w:afterAutospacing="0" w:line="360" w:lineRule="auto"/>
        <w:ind w:left="0" w:leftChars="0" w:right="-48" w:rightChars="-20" w:firstLine="0" w:firstLineChars="0"/>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1</w:t>
      </w:r>
      <w:r>
        <w:rPr>
          <w:rFonts w:ascii="Arial" w:hAnsi="Arial" w:cs="Arial"/>
          <w:b/>
          <w:sz w:val="22"/>
          <w:szCs w:val="22"/>
        </w:rPr>
        <w:t>.1.</w:t>
      </w:r>
      <w:r>
        <w:rPr>
          <w:rFonts w:ascii="Arial" w:hAnsi="Arial" w:cs="Arial"/>
          <w:sz w:val="22"/>
          <w:szCs w:val="22"/>
        </w:rPr>
        <w:t xml:space="preserve"> </w:t>
      </w:r>
      <w:r>
        <w:rPr>
          <w:rFonts w:hint="default" w:ascii="Arial" w:hAnsi="Arial" w:cs="Arial"/>
          <w:sz w:val="22"/>
          <w:szCs w:val="22"/>
          <w:lang w:val="pt-BR"/>
        </w:rPr>
        <w:t>Conforme preconiza o a</w:t>
      </w:r>
      <w:r>
        <w:rPr>
          <w:rFonts w:hint="default" w:ascii="Arial" w:hAnsi="Arial" w:cs="Arial"/>
          <w:sz w:val="22"/>
          <w:szCs w:val="22"/>
        </w:rPr>
        <w:t>rt. 71</w:t>
      </w:r>
      <w:r>
        <w:rPr>
          <w:rFonts w:hint="default" w:ascii="Arial" w:hAnsi="Arial" w:cs="Arial"/>
          <w:sz w:val="22"/>
          <w:szCs w:val="22"/>
          <w:lang w:val="pt-BR"/>
        </w:rPr>
        <w:t>, da Lei Federal nº 14.133/2021, e</w:t>
      </w:r>
      <w:r>
        <w:rPr>
          <w:rFonts w:hint="default" w:ascii="Arial" w:hAnsi="Arial" w:cs="Arial"/>
          <w:sz w:val="22"/>
          <w:szCs w:val="22"/>
        </w:rPr>
        <w:t xml:space="preserve">ncerradas as fases de julgamento e habilitação, e exauridos os recursos administrativos, </w:t>
      </w:r>
      <w:r>
        <w:rPr>
          <w:rFonts w:hint="default" w:ascii="Arial" w:hAnsi="Arial" w:cs="Arial"/>
          <w:sz w:val="22"/>
          <w:szCs w:val="22"/>
          <w:lang w:val="pt-BR"/>
        </w:rPr>
        <w:t xml:space="preserve">se houver, </w:t>
      </w:r>
      <w:r>
        <w:rPr>
          <w:rFonts w:hint="default" w:ascii="Arial" w:hAnsi="Arial" w:cs="Arial"/>
          <w:sz w:val="22"/>
          <w:szCs w:val="22"/>
        </w:rPr>
        <w:t>o processo licitatório será encaminhado à autoridade superior, que poderá:</w:t>
      </w:r>
    </w:p>
    <w:p w14:paraId="347F35B0">
      <w:pPr>
        <w:pStyle w:val="21"/>
        <w:keepNext w:val="0"/>
        <w:keepLines w:val="0"/>
        <w:widowControl/>
        <w:suppressLineNumbers w:val="0"/>
        <w:spacing w:before="225" w:beforeAutospacing="0" w:after="225" w:afterAutospacing="0" w:line="360" w:lineRule="auto"/>
        <w:ind w:left="0" w:right="0" w:firstLine="570"/>
        <w:jc w:val="both"/>
        <w:rPr>
          <w:sz w:val="22"/>
          <w:szCs w:val="22"/>
        </w:rPr>
      </w:pPr>
      <w:bookmarkStart w:id="36" w:name="art71i"/>
      <w:bookmarkEnd w:id="36"/>
      <w:r>
        <w:rPr>
          <w:rFonts w:hint="default" w:ascii="Arial" w:hAnsi="Arial" w:cs="Arial"/>
          <w:b/>
          <w:bCs/>
          <w:sz w:val="22"/>
          <w:szCs w:val="22"/>
          <w:lang w:val="pt-BR"/>
        </w:rPr>
        <w:t xml:space="preserve">11.1.1. </w:t>
      </w:r>
      <w:r>
        <w:rPr>
          <w:rFonts w:hint="default" w:ascii="Arial" w:hAnsi="Arial" w:cs="Arial"/>
          <w:sz w:val="22"/>
          <w:szCs w:val="22"/>
          <w:lang w:val="pt-BR"/>
        </w:rPr>
        <w:t>D</w:t>
      </w:r>
      <w:r>
        <w:rPr>
          <w:rFonts w:hint="default" w:ascii="Arial" w:hAnsi="Arial" w:cs="Arial"/>
          <w:sz w:val="22"/>
          <w:szCs w:val="22"/>
        </w:rPr>
        <w:t>eterminar o retorno dos autos para saneamento de irregularidades;</w:t>
      </w:r>
    </w:p>
    <w:p w14:paraId="02239540">
      <w:pPr>
        <w:pStyle w:val="21"/>
        <w:keepNext w:val="0"/>
        <w:keepLines w:val="0"/>
        <w:widowControl/>
        <w:suppressLineNumbers w:val="0"/>
        <w:spacing w:before="225" w:beforeAutospacing="0" w:after="225" w:afterAutospacing="0" w:line="360" w:lineRule="auto"/>
        <w:ind w:left="0" w:right="0" w:firstLine="570"/>
        <w:jc w:val="both"/>
        <w:rPr>
          <w:sz w:val="22"/>
          <w:szCs w:val="22"/>
        </w:rPr>
      </w:pPr>
      <w:bookmarkStart w:id="37" w:name="art71ii"/>
      <w:bookmarkEnd w:id="37"/>
      <w:r>
        <w:rPr>
          <w:rFonts w:hint="default" w:ascii="Arial" w:hAnsi="Arial" w:cs="Arial"/>
          <w:b/>
          <w:bCs/>
          <w:sz w:val="22"/>
          <w:szCs w:val="22"/>
          <w:lang w:val="pt-BR"/>
        </w:rPr>
        <w:t>11.1.2.</w:t>
      </w:r>
      <w:r>
        <w:rPr>
          <w:rFonts w:hint="default" w:ascii="Arial" w:hAnsi="Arial" w:cs="Arial"/>
          <w:sz w:val="22"/>
          <w:szCs w:val="22"/>
          <w:lang w:val="pt-BR"/>
        </w:rPr>
        <w:t xml:space="preserve"> Proceder com a r</w:t>
      </w:r>
      <w:r>
        <w:rPr>
          <w:rFonts w:hint="default" w:ascii="Arial" w:hAnsi="Arial" w:cs="Arial"/>
          <w:sz w:val="22"/>
          <w:szCs w:val="22"/>
        </w:rPr>
        <w:t>evoga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 por motivo de conveniência e oportunidade;</w:t>
      </w:r>
    </w:p>
    <w:p w14:paraId="0E9D02C4">
      <w:pPr>
        <w:pStyle w:val="21"/>
        <w:keepNext w:val="0"/>
        <w:keepLines w:val="0"/>
        <w:widowControl/>
        <w:suppressLineNumbers w:val="0"/>
        <w:spacing w:before="225" w:beforeAutospacing="0" w:after="225" w:afterAutospacing="0" w:line="360" w:lineRule="auto"/>
        <w:ind w:left="0" w:right="0" w:firstLine="570"/>
        <w:jc w:val="both"/>
        <w:rPr>
          <w:sz w:val="22"/>
          <w:szCs w:val="22"/>
        </w:rPr>
      </w:pPr>
      <w:bookmarkStart w:id="38" w:name="art71iii"/>
      <w:bookmarkEnd w:id="38"/>
      <w:r>
        <w:rPr>
          <w:rFonts w:hint="default" w:ascii="Arial" w:hAnsi="Arial" w:cs="Arial"/>
          <w:b/>
          <w:bCs/>
          <w:sz w:val="22"/>
          <w:szCs w:val="22"/>
          <w:lang w:val="pt-BR"/>
        </w:rPr>
        <w:t xml:space="preserve">11.1.3. </w:t>
      </w:r>
      <w:r>
        <w:rPr>
          <w:rFonts w:hint="default" w:ascii="Arial" w:hAnsi="Arial" w:cs="Arial"/>
          <w:sz w:val="22"/>
          <w:szCs w:val="22"/>
          <w:lang w:val="pt-BR"/>
        </w:rPr>
        <w:t>P</w:t>
      </w:r>
      <w:r>
        <w:rPr>
          <w:rFonts w:hint="default" w:ascii="Arial" w:hAnsi="Arial" w:cs="Arial"/>
          <w:sz w:val="22"/>
          <w:szCs w:val="22"/>
        </w:rPr>
        <w:t xml:space="preserve">roceder </w:t>
      </w:r>
      <w:r>
        <w:rPr>
          <w:rFonts w:hint="default" w:ascii="Arial" w:hAnsi="Arial" w:cs="Arial"/>
          <w:sz w:val="22"/>
          <w:szCs w:val="22"/>
          <w:lang w:val="pt-BR"/>
        </w:rPr>
        <w:t>com a</w:t>
      </w:r>
      <w:r>
        <w:rPr>
          <w:rFonts w:hint="default" w:ascii="Arial" w:hAnsi="Arial" w:cs="Arial"/>
          <w:sz w:val="22"/>
          <w:szCs w:val="22"/>
        </w:rPr>
        <w:t xml:space="preserve"> anulação da licitação, de ofício ou mediante provocação de terceiros, sempre que presente ilegalidade insanável;</w:t>
      </w:r>
    </w:p>
    <w:p w14:paraId="6F82AA48">
      <w:pPr>
        <w:pStyle w:val="21"/>
        <w:keepNext w:val="0"/>
        <w:keepLines w:val="0"/>
        <w:widowControl/>
        <w:suppressLineNumbers w:val="0"/>
        <w:spacing w:before="225" w:beforeAutospacing="0" w:after="225" w:afterAutospacing="0" w:line="360" w:lineRule="auto"/>
        <w:ind w:left="0" w:right="0" w:firstLine="570"/>
        <w:jc w:val="both"/>
        <w:rPr>
          <w:sz w:val="22"/>
          <w:szCs w:val="22"/>
        </w:rPr>
      </w:pPr>
      <w:bookmarkStart w:id="39" w:name="art71iv"/>
      <w:bookmarkEnd w:id="39"/>
      <w:r>
        <w:rPr>
          <w:rFonts w:hint="default" w:ascii="Arial" w:hAnsi="Arial" w:cs="Arial"/>
          <w:b/>
          <w:bCs/>
          <w:sz w:val="22"/>
          <w:szCs w:val="22"/>
          <w:lang w:val="pt-BR"/>
        </w:rPr>
        <w:t>11.1.4.</w:t>
      </w:r>
      <w:r>
        <w:rPr>
          <w:rFonts w:hint="default" w:ascii="Arial" w:hAnsi="Arial" w:cs="Arial"/>
          <w:sz w:val="22"/>
          <w:szCs w:val="22"/>
          <w:lang w:val="pt-BR"/>
        </w:rPr>
        <w:t xml:space="preserve"> Proceder com a a</w:t>
      </w:r>
      <w:r>
        <w:rPr>
          <w:rFonts w:hint="default" w:ascii="Arial" w:hAnsi="Arial" w:cs="Arial"/>
          <w:sz w:val="22"/>
          <w:szCs w:val="22"/>
        </w:rPr>
        <w:t>djudica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 xml:space="preserve">o objeto e </w:t>
      </w:r>
      <w:r>
        <w:rPr>
          <w:rFonts w:hint="default" w:ascii="Arial" w:hAnsi="Arial" w:cs="Arial"/>
          <w:sz w:val="22"/>
          <w:szCs w:val="22"/>
          <w:lang w:val="pt-BR"/>
        </w:rPr>
        <w:t xml:space="preserve">com a </w:t>
      </w:r>
      <w:r>
        <w:rPr>
          <w:rFonts w:hint="default" w:ascii="Arial" w:hAnsi="Arial" w:cs="Arial"/>
          <w:sz w:val="22"/>
          <w:szCs w:val="22"/>
        </w:rPr>
        <w:t>homologa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w:t>
      </w:r>
    </w:p>
    <w:p w14:paraId="61BF6187">
      <w:pPr>
        <w:pStyle w:val="21"/>
        <w:keepNext w:val="0"/>
        <w:keepLines w:val="0"/>
        <w:widowControl/>
        <w:suppressLineNumbers w:val="0"/>
        <w:spacing w:before="225" w:beforeAutospacing="0" w:after="225" w:afterAutospacing="0" w:line="360" w:lineRule="auto"/>
        <w:ind w:right="0"/>
        <w:jc w:val="both"/>
        <w:rPr>
          <w:sz w:val="22"/>
          <w:szCs w:val="22"/>
        </w:rPr>
      </w:pPr>
      <w:bookmarkStart w:id="40" w:name="art71§1"/>
      <w:bookmarkEnd w:id="40"/>
      <w:r>
        <w:rPr>
          <w:rFonts w:hint="default" w:ascii="Arial" w:hAnsi="Arial" w:cs="Arial"/>
          <w:b/>
          <w:bCs/>
          <w:sz w:val="22"/>
          <w:szCs w:val="22"/>
          <w:lang w:val="pt-BR"/>
        </w:rPr>
        <w:t>11.2.</w:t>
      </w:r>
      <w:r>
        <w:rPr>
          <w:rFonts w:hint="default" w:ascii="Arial" w:hAnsi="Arial" w:cs="Arial"/>
          <w:sz w:val="22"/>
          <w:szCs w:val="22"/>
          <w:lang w:val="pt-BR"/>
        </w:rPr>
        <w:t xml:space="preserve"> </w:t>
      </w:r>
      <w:r>
        <w:rPr>
          <w:rFonts w:hint="default" w:ascii="Arial" w:hAnsi="Arial" w:cs="Arial"/>
          <w:sz w:val="22"/>
          <w:szCs w:val="22"/>
        </w:rPr>
        <w:t xml:space="preserve">Ao pronunciar </w:t>
      </w:r>
      <w:r>
        <w:rPr>
          <w:rFonts w:hint="default" w:ascii="Arial" w:hAnsi="Arial" w:cs="Arial"/>
          <w:sz w:val="22"/>
          <w:szCs w:val="22"/>
          <w:lang w:val="pt-BR"/>
        </w:rPr>
        <w:t>com a anulação</w:t>
      </w:r>
      <w:r>
        <w:rPr>
          <w:rFonts w:hint="default" w:ascii="Arial" w:hAnsi="Arial" w:cs="Arial"/>
          <w:sz w:val="22"/>
          <w:szCs w:val="22"/>
        </w:rPr>
        <w:t>, a autoridade indicará expressamente os atos com vícios insanáveis, tornando sem efeito todos os subsequentes que deles dependam, e dará ensejo à apuração de responsabilidade de quem lhes tenha dado causa.</w:t>
      </w:r>
    </w:p>
    <w:p w14:paraId="484128AF">
      <w:pPr>
        <w:pStyle w:val="21"/>
        <w:keepNext w:val="0"/>
        <w:keepLines w:val="0"/>
        <w:widowControl/>
        <w:suppressLineNumbers w:val="0"/>
        <w:spacing w:before="225" w:beforeAutospacing="0" w:after="225" w:afterAutospacing="0" w:line="360" w:lineRule="auto"/>
        <w:ind w:right="0"/>
        <w:jc w:val="both"/>
        <w:rPr>
          <w:sz w:val="22"/>
          <w:szCs w:val="22"/>
        </w:rPr>
      </w:pPr>
      <w:bookmarkStart w:id="41" w:name="art71§2"/>
      <w:bookmarkEnd w:id="41"/>
      <w:r>
        <w:rPr>
          <w:rFonts w:hint="default" w:ascii="Arial" w:hAnsi="Arial" w:cs="Arial"/>
          <w:b/>
          <w:bCs/>
          <w:sz w:val="22"/>
          <w:szCs w:val="22"/>
          <w:lang w:val="pt-BR"/>
        </w:rPr>
        <w:t>11.3.</w:t>
      </w:r>
      <w:r>
        <w:rPr>
          <w:rFonts w:hint="default" w:ascii="Arial" w:hAnsi="Arial" w:cs="Arial"/>
          <w:sz w:val="22"/>
          <w:szCs w:val="22"/>
        </w:rPr>
        <w:t xml:space="preserve"> O motivo determinante para a revogação do processo licitatório deverá ser resultante de fato superveniente devidamente comprovado.</w:t>
      </w:r>
    </w:p>
    <w:p w14:paraId="57633F2A">
      <w:pPr>
        <w:pStyle w:val="21"/>
        <w:keepNext w:val="0"/>
        <w:keepLines w:val="0"/>
        <w:widowControl/>
        <w:suppressLineNumbers w:val="0"/>
        <w:spacing w:before="225" w:beforeAutospacing="0" w:after="225" w:afterAutospacing="0" w:line="360" w:lineRule="auto"/>
        <w:ind w:right="0"/>
        <w:jc w:val="both"/>
        <w:rPr>
          <w:sz w:val="22"/>
          <w:szCs w:val="22"/>
        </w:rPr>
      </w:pPr>
      <w:bookmarkStart w:id="42" w:name="art71§3"/>
      <w:bookmarkEnd w:id="42"/>
      <w:r>
        <w:rPr>
          <w:rFonts w:hint="default" w:ascii="Arial" w:hAnsi="Arial" w:cs="Arial"/>
          <w:b/>
          <w:bCs/>
          <w:sz w:val="22"/>
          <w:szCs w:val="22"/>
          <w:lang w:val="pt-BR"/>
        </w:rPr>
        <w:t>11.4.</w:t>
      </w:r>
      <w:r>
        <w:rPr>
          <w:rFonts w:hint="default" w:ascii="Arial" w:hAnsi="Arial" w:cs="Arial"/>
          <w:sz w:val="22"/>
          <w:szCs w:val="22"/>
          <w:lang w:val="pt-BR"/>
        </w:rPr>
        <w:t xml:space="preserve"> </w:t>
      </w:r>
      <w:r>
        <w:rPr>
          <w:rFonts w:hint="default" w:ascii="Arial" w:hAnsi="Arial" w:cs="Arial"/>
          <w:sz w:val="22"/>
          <w:szCs w:val="22"/>
        </w:rPr>
        <w:t>Nos casos de anulação e revogação, deverá ser assegurada a prévia manifestação dos interessados.</w:t>
      </w:r>
    </w:p>
    <w:p w14:paraId="007A24FC">
      <w:pPr>
        <w:spacing w:before="240" w:after="240" w:line="360" w:lineRule="auto"/>
        <w:jc w:val="both"/>
        <w:rPr>
          <w:rFonts w:ascii="Arial" w:hAnsi="Arial" w:cs="Arial"/>
          <w:sz w:val="22"/>
          <w:szCs w:val="22"/>
        </w:rPr>
      </w:pPr>
      <w:bookmarkStart w:id="43" w:name="art71§4"/>
      <w:bookmarkEnd w:id="43"/>
      <w:r>
        <w:rPr>
          <w:rFonts w:hint="default" w:ascii="Arial" w:hAnsi="Arial" w:cs="Arial"/>
          <w:b/>
          <w:sz w:val="22"/>
          <w:szCs w:val="22"/>
          <w:lang w:val="pt-BR"/>
        </w:rPr>
        <w:t>11.5</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Quando houver </w:t>
      </w:r>
      <w:r>
        <w:rPr>
          <w:rFonts w:ascii="Arial" w:hAnsi="Arial" w:cs="Arial"/>
          <w:sz w:val="22"/>
          <w:szCs w:val="22"/>
        </w:rPr>
        <w:t>interposição de recurso, após proferida a decisão, serão adotados os mesmos procedimentos já previstos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para adjudicação e homologação do resultado da licitação.</w:t>
      </w:r>
    </w:p>
    <w:p w14:paraId="6E3B34A7">
      <w:pPr>
        <w:pStyle w:val="22"/>
        <w:widowControl w:val="0"/>
        <w:numPr>
          <w:ilvl w:val="0"/>
          <w:numId w:val="0"/>
        </w:numPr>
        <w:tabs>
          <w:tab w:val="left" w:pos="142"/>
          <w:tab w:val="left" w:pos="574"/>
        </w:tabs>
        <w:adjustRightInd w:val="0"/>
        <w:spacing w:before="120" w:after="120" w:line="360" w:lineRule="auto"/>
        <w:ind w:leftChars="0"/>
        <w:textAlignment w:val="baseline"/>
        <w:rPr>
          <w:sz w:val="22"/>
          <w:szCs w:val="22"/>
        </w:rPr>
      </w:pPr>
      <w:r>
        <w:rPr>
          <w:rFonts w:hint="default"/>
          <w:b/>
          <w:bCs/>
          <w:sz w:val="22"/>
          <w:szCs w:val="22"/>
          <w:lang w:val="pt-BR"/>
        </w:rPr>
        <w:t>11.6.</w:t>
      </w:r>
      <w:r>
        <w:rPr>
          <w:rFonts w:hint="default"/>
          <w:sz w:val="22"/>
          <w:szCs w:val="22"/>
          <w:lang w:val="pt-BR"/>
        </w:rPr>
        <w:t xml:space="preserve"> </w:t>
      </w:r>
      <w:r>
        <w:rPr>
          <w:sz w:val="22"/>
          <w:szCs w:val="22"/>
        </w:rPr>
        <w:t xml:space="preserve">As obrigações decorrentes da presente licitação serão formalizadas por um contrato escrito, celebrado entre a Prefeitura Municipal de Sinop/MT e a licitante adjudicatária, regido pela Lei </w:t>
      </w:r>
      <w:r>
        <w:rPr>
          <w:rFonts w:hint="default"/>
          <w:sz w:val="22"/>
          <w:szCs w:val="22"/>
          <w:lang w:val="pt-BR"/>
        </w:rPr>
        <w:t>14133</w:t>
      </w:r>
      <w:r>
        <w:rPr>
          <w:sz w:val="22"/>
          <w:szCs w:val="22"/>
        </w:rPr>
        <w:t>/</w:t>
      </w:r>
      <w:r>
        <w:rPr>
          <w:rFonts w:hint="default"/>
          <w:sz w:val="22"/>
          <w:szCs w:val="22"/>
          <w:lang w:val="pt-BR"/>
        </w:rPr>
        <w:t>2021</w:t>
      </w:r>
      <w:r>
        <w:rPr>
          <w:sz w:val="22"/>
          <w:szCs w:val="22"/>
        </w:rPr>
        <w:t xml:space="preserve">, pelas condições deste edital e demais normas pertinentes, cuja minuta foi submetida ao exame prévio da Procuradoria Jurídica, ao qual constitui o </w:t>
      </w:r>
      <w:r>
        <w:rPr>
          <w:b/>
          <w:sz w:val="22"/>
          <w:szCs w:val="22"/>
          <w:u w:val="single"/>
        </w:rPr>
        <w:t xml:space="preserve">Anexo </w:t>
      </w:r>
      <w:r>
        <w:rPr>
          <w:rFonts w:hint="default"/>
          <w:b/>
          <w:sz w:val="22"/>
          <w:szCs w:val="22"/>
          <w:u w:val="single"/>
          <w:lang w:val="pt-BR"/>
        </w:rPr>
        <w:t>X</w:t>
      </w:r>
      <w:r>
        <w:rPr>
          <w:b/>
          <w:sz w:val="22"/>
          <w:szCs w:val="22"/>
          <w:u w:val="single"/>
        </w:rPr>
        <w:t>,</w:t>
      </w:r>
      <w:r>
        <w:rPr>
          <w:sz w:val="22"/>
          <w:szCs w:val="22"/>
        </w:rPr>
        <w:t xml:space="preserve"> deste edital. </w:t>
      </w:r>
    </w:p>
    <w:p w14:paraId="570C3ECC">
      <w:pPr>
        <w:pStyle w:val="22"/>
        <w:widowControl w:val="0"/>
        <w:numPr>
          <w:ilvl w:val="0"/>
          <w:numId w:val="0"/>
        </w:numPr>
        <w:tabs>
          <w:tab w:val="left" w:pos="574"/>
        </w:tabs>
        <w:adjustRightInd w:val="0"/>
        <w:spacing w:before="120" w:after="120" w:line="360" w:lineRule="auto"/>
        <w:ind w:leftChars="0"/>
        <w:textAlignment w:val="baseline"/>
        <w:rPr>
          <w:sz w:val="22"/>
          <w:szCs w:val="22"/>
        </w:rPr>
      </w:pPr>
      <w:r>
        <w:rPr>
          <w:rFonts w:hint="default"/>
          <w:b/>
          <w:bCs/>
          <w:sz w:val="22"/>
          <w:szCs w:val="22"/>
          <w:lang w:val="pt-BR"/>
        </w:rPr>
        <w:t>11.7.</w:t>
      </w:r>
      <w:r>
        <w:rPr>
          <w:rFonts w:hint="default"/>
          <w:sz w:val="22"/>
          <w:szCs w:val="22"/>
          <w:lang w:val="pt-BR"/>
        </w:rPr>
        <w:t xml:space="preserve"> </w:t>
      </w:r>
      <w:r>
        <w:rPr>
          <w:sz w:val="22"/>
          <w:szCs w:val="22"/>
        </w:rPr>
        <w:t xml:space="preserve">A licitante adjudicatária será convocada no prazo de </w:t>
      </w:r>
      <w:r>
        <w:rPr>
          <w:b/>
          <w:sz w:val="22"/>
          <w:szCs w:val="22"/>
        </w:rPr>
        <w:t>até 05 (cinco) dias</w:t>
      </w:r>
      <w:r>
        <w:rPr>
          <w:sz w:val="22"/>
          <w:szCs w:val="22"/>
        </w:rPr>
        <w:t xml:space="preserve">, contados do recebimento da notificação, para celebrar o referido contrato, do qual farão parte o edital, a sua proposta de preço e Termo de Referência. </w:t>
      </w:r>
    </w:p>
    <w:p w14:paraId="046C53FB">
      <w:pPr>
        <w:pStyle w:val="22"/>
        <w:widowControl w:val="0"/>
        <w:numPr>
          <w:ilvl w:val="0"/>
          <w:numId w:val="0"/>
        </w:numPr>
        <w:tabs>
          <w:tab w:val="left" w:pos="574"/>
        </w:tabs>
        <w:adjustRightInd w:val="0"/>
        <w:spacing w:before="120" w:after="120" w:line="360" w:lineRule="auto"/>
        <w:ind w:leftChars="0"/>
        <w:textAlignment w:val="baseline"/>
        <w:rPr>
          <w:sz w:val="22"/>
          <w:szCs w:val="22"/>
        </w:rPr>
      </w:pPr>
      <w:r>
        <w:rPr>
          <w:rFonts w:hint="default"/>
          <w:b/>
          <w:bCs/>
          <w:sz w:val="22"/>
          <w:szCs w:val="22"/>
          <w:lang w:val="pt-BR"/>
        </w:rPr>
        <w:t>11.8.</w:t>
      </w:r>
      <w:r>
        <w:rPr>
          <w:rFonts w:hint="default"/>
          <w:sz w:val="22"/>
          <w:szCs w:val="22"/>
          <w:lang w:val="pt-BR"/>
        </w:rPr>
        <w:t xml:space="preserve"> </w:t>
      </w:r>
      <w:r>
        <w:rPr>
          <w:sz w:val="22"/>
          <w:szCs w:val="22"/>
        </w:rPr>
        <w:t>Se a licitante não assinar o contrato no prazo estabelecido, é facultado à Administração convidar as licitantes remanescentes, na ordem de classificação, para fazê-lo em igual prazo e nas mesmas condições propostas pelo primeiro classificado, inclusive quanto ao preço, ou revogar a licitação.</w:t>
      </w:r>
    </w:p>
    <w:p w14:paraId="414BBFB1">
      <w:pPr>
        <w:pStyle w:val="22"/>
        <w:widowControl w:val="0"/>
        <w:numPr>
          <w:ilvl w:val="0"/>
          <w:numId w:val="0"/>
        </w:numPr>
        <w:tabs>
          <w:tab w:val="left" w:pos="574"/>
          <w:tab w:val="left" w:pos="1709"/>
        </w:tabs>
        <w:adjustRightInd w:val="0"/>
        <w:spacing w:before="120" w:after="120" w:line="360" w:lineRule="auto"/>
        <w:ind w:leftChars="0"/>
        <w:textAlignment w:val="baseline"/>
        <w:rPr>
          <w:sz w:val="22"/>
          <w:szCs w:val="22"/>
        </w:rPr>
      </w:pPr>
      <w:r>
        <w:rPr>
          <w:rFonts w:hint="default"/>
          <w:b/>
          <w:bCs/>
          <w:sz w:val="22"/>
          <w:szCs w:val="22"/>
          <w:lang w:val="pt-BR"/>
        </w:rPr>
        <w:t>11.9.</w:t>
      </w:r>
      <w:r>
        <w:rPr>
          <w:rFonts w:hint="default"/>
          <w:sz w:val="22"/>
          <w:szCs w:val="22"/>
          <w:lang w:val="pt-BR"/>
        </w:rPr>
        <w:t xml:space="preserve"> </w:t>
      </w:r>
      <w:r>
        <w:rPr>
          <w:sz w:val="22"/>
          <w:szCs w:val="22"/>
        </w:rPr>
        <w:t xml:space="preserve">O Contrato resultante da presente licitação só terá eficácia depois de aprovado pela autoridade competente e publicado no Diário Oficial do Estado de Mato Grosso. </w:t>
      </w:r>
    </w:p>
    <w:p w14:paraId="0579A11C">
      <w:pPr>
        <w:pStyle w:val="22"/>
        <w:widowControl w:val="0"/>
        <w:numPr>
          <w:ilvl w:val="0"/>
          <w:numId w:val="0"/>
        </w:numPr>
        <w:tabs>
          <w:tab w:val="left" w:pos="574"/>
        </w:tabs>
        <w:adjustRightInd w:val="0"/>
        <w:spacing w:before="120" w:after="120" w:line="360" w:lineRule="auto"/>
        <w:ind w:leftChars="0"/>
        <w:textAlignment w:val="baseline"/>
        <w:rPr>
          <w:rFonts w:hint="default"/>
          <w:sz w:val="22"/>
          <w:szCs w:val="22"/>
          <w:lang w:val="pt-BR"/>
        </w:rPr>
      </w:pPr>
      <w:r>
        <w:rPr>
          <w:rFonts w:hint="default"/>
          <w:b/>
          <w:bCs/>
          <w:sz w:val="22"/>
          <w:szCs w:val="22"/>
          <w:lang w:val="pt-BR"/>
        </w:rPr>
        <w:t>11.1.</w:t>
      </w:r>
      <w:r>
        <w:rPr>
          <w:rFonts w:hint="default"/>
          <w:sz w:val="22"/>
          <w:szCs w:val="22"/>
          <w:lang w:val="pt-BR"/>
        </w:rPr>
        <w:t xml:space="preserve"> </w:t>
      </w:r>
      <w:r>
        <w:rPr>
          <w:sz w:val="22"/>
          <w:szCs w:val="22"/>
        </w:rPr>
        <w:t>Manter, durante a execução do contrato, as mesmas características e condições de habilitação apresentadas durante o processo licitatório. Essa regularidade é indispensável para a emissão das notas de empenho e assinatura do contrato.</w:t>
      </w:r>
      <w:r>
        <w:rPr>
          <w:rFonts w:hint="default"/>
          <w:sz w:val="22"/>
          <w:szCs w:val="22"/>
          <w:lang w:val="pt-BR"/>
        </w:rPr>
        <w:t xml:space="preserve"> </w:t>
      </w:r>
    </w:p>
    <w:p w14:paraId="2CA73B61">
      <w:pPr>
        <w:pStyle w:val="2"/>
        <w:widowControl w:val="0"/>
        <w:numPr>
          <w:ilvl w:val="0"/>
          <w:numId w:val="0"/>
        </w:numPr>
        <w:pBdr>
          <w:top w:val="double" w:color="auto" w:sz="4" w:space="1"/>
          <w:left w:val="double" w:color="auto" w:sz="4" w:space="4"/>
          <w:bottom w:val="double" w:color="auto" w:sz="4" w:space="1"/>
          <w:right w:val="double" w:color="auto" w:sz="4" w:space="4"/>
        </w:pBdr>
        <w:shd w:val="clear" w:color="auto" w:fill="D9D9D9"/>
        <w:adjustRightInd w:val="0"/>
        <w:spacing w:line="300" w:lineRule="atLeast"/>
        <w:ind w:leftChars="0"/>
        <w:textAlignment w:val="baseline"/>
        <w:rPr>
          <w:rFonts w:cs="Arial"/>
          <w:b/>
          <w:color w:val="000000"/>
          <w:sz w:val="22"/>
          <w:szCs w:val="22"/>
        </w:rPr>
      </w:pPr>
      <w:r>
        <w:rPr>
          <w:rFonts w:hint="default" w:cs="Arial"/>
          <w:b/>
          <w:color w:val="000000"/>
          <w:sz w:val="22"/>
          <w:szCs w:val="22"/>
          <w:lang w:val="pt-BR"/>
        </w:rPr>
        <w:t xml:space="preserve">12. </w:t>
      </w:r>
      <w:r>
        <w:rPr>
          <w:rFonts w:cs="Arial"/>
          <w:b/>
          <w:color w:val="000000"/>
          <w:sz w:val="22"/>
          <w:szCs w:val="22"/>
        </w:rPr>
        <w:t>DA ASSINATURA DO CONTRATO</w:t>
      </w:r>
    </w:p>
    <w:p w14:paraId="1ED57A46">
      <w:pPr>
        <w:pStyle w:val="128"/>
        <w:numPr>
          <w:ilvl w:val="0"/>
          <w:numId w:val="0"/>
        </w:numPr>
        <w:spacing w:before="115" w:after="0" w:line="360" w:lineRule="auto"/>
        <w:ind w:leftChars="0" w:right="46" w:rightChars="0"/>
        <w:jc w:val="both"/>
        <w:rPr>
          <w:rFonts w:hint="default" w:ascii="Arial" w:hAnsi="Arial" w:cs="Arial"/>
          <w:sz w:val="22"/>
          <w:szCs w:val="22"/>
        </w:rPr>
      </w:pPr>
      <w:r>
        <w:rPr>
          <w:rFonts w:hint="default" w:ascii="Arial" w:hAnsi="Arial" w:cs="Arial"/>
          <w:b/>
          <w:bCs/>
          <w:sz w:val="22"/>
          <w:szCs w:val="22"/>
          <w:lang w:val="pt-BR"/>
        </w:rPr>
        <w:t>12.1</w:t>
      </w:r>
      <w:r>
        <w:rPr>
          <w:rFonts w:hint="default" w:ascii="Arial" w:hAnsi="Arial" w:cs="Arial"/>
          <w:sz w:val="22"/>
          <w:szCs w:val="22"/>
          <w:lang w:val="pt-BR"/>
        </w:rPr>
        <w:t xml:space="preserve"> </w:t>
      </w:r>
      <w:r>
        <w:rPr>
          <w:rFonts w:hint="default" w:ascii="Arial" w:hAnsi="Arial" w:cs="Arial"/>
          <w:sz w:val="22"/>
          <w:szCs w:val="22"/>
        </w:rPr>
        <w:t>Depois de homologado o resultado desta Concorrência, a licitante vencedora será</w:t>
      </w:r>
      <w:r>
        <w:rPr>
          <w:rFonts w:hint="default" w:ascii="Arial" w:hAnsi="Arial" w:cs="Arial"/>
          <w:spacing w:val="1"/>
          <w:sz w:val="22"/>
          <w:szCs w:val="22"/>
        </w:rPr>
        <w:t xml:space="preserve"> </w:t>
      </w:r>
      <w:r>
        <w:rPr>
          <w:rFonts w:hint="default" w:ascii="Arial" w:hAnsi="Arial" w:cs="Arial"/>
          <w:sz w:val="22"/>
          <w:szCs w:val="22"/>
        </w:rPr>
        <w:t xml:space="preserve">convocada para assinar o </w:t>
      </w:r>
      <w:r>
        <w:rPr>
          <w:rFonts w:hint="default" w:ascii="Arial" w:hAnsi="Arial" w:eastAsia="SimSun" w:cs="Arial"/>
          <w:sz w:val="22"/>
          <w:szCs w:val="22"/>
        </w:rPr>
        <w:t>Termo de Contrato</w:t>
      </w:r>
      <w:r>
        <w:rPr>
          <w:rFonts w:hint="default" w:ascii="Arial" w:hAnsi="Arial" w:cs="Arial"/>
          <w:sz w:val="22"/>
          <w:szCs w:val="22"/>
        </w:rPr>
        <w:t xml:space="preserve">, dentro do prazo de </w:t>
      </w:r>
      <w:r>
        <w:rPr>
          <w:rFonts w:hint="default" w:ascii="Arial" w:hAnsi="Arial" w:cs="Arial"/>
          <w:b/>
          <w:sz w:val="22"/>
          <w:szCs w:val="22"/>
          <w:lang w:val="pt-BR"/>
        </w:rPr>
        <w:t>5</w:t>
      </w:r>
      <w:r>
        <w:rPr>
          <w:rFonts w:hint="default" w:ascii="Arial" w:hAnsi="Arial" w:cs="Arial"/>
          <w:b/>
          <w:sz w:val="22"/>
          <w:szCs w:val="22"/>
        </w:rPr>
        <w:t xml:space="preserve"> (</w:t>
      </w:r>
      <w:r>
        <w:rPr>
          <w:rFonts w:hint="default" w:ascii="Arial" w:hAnsi="Arial" w:cs="Arial"/>
          <w:b/>
          <w:sz w:val="22"/>
          <w:szCs w:val="22"/>
          <w:lang w:val="pt-BR"/>
        </w:rPr>
        <w:t>cinco</w:t>
      </w:r>
      <w:r>
        <w:rPr>
          <w:rFonts w:hint="default" w:ascii="Arial" w:hAnsi="Arial" w:cs="Arial"/>
          <w:b/>
          <w:sz w:val="22"/>
          <w:szCs w:val="22"/>
        </w:rPr>
        <w:t xml:space="preserve">) dias úteis </w:t>
      </w:r>
      <w:r>
        <w:rPr>
          <w:rFonts w:hint="default" w:ascii="Arial" w:hAnsi="Arial" w:cs="Arial"/>
          <w:sz w:val="22"/>
          <w:szCs w:val="22"/>
        </w:rPr>
        <w:t>de sua convocação,</w:t>
      </w:r>
      <w:r>
        <w:rPr>
          <w:rFonts w:hint="default" w:ascii="Arial" w:hAnsi="Arial" w:cs="Arial"/>
          <w:spacing w:val="-57"/>
          <w:sz w:val="22"/>
          <w:szCs w:val="22"/>
        </w:rPr>
        <w:t xml:space="preserve"> </w:t>
      </w:r>
      <w:r>
        <w:rPr>
          <w:rFonts w:hint="default" w:ascii="Arial" w:hAnsi="Arial" w:cs="Arial"/>
          <w:sz w:val="22"/>
          <w:szCs w:val="22"/>
        </w:rPr>
        <w:t>sob</w:t>
      </w:r>
      <w:r>
        <w:rPr>
          <w:rFonts w:hint="default" w:ascii="Arial" w:hAnsi="Arial" w:cs="Arial"/>
          <w:spacing w:val="-1"/>
          <w:sz w:val="22"/>
          <w:szCs w:val="22"/>
        </w:rPr>
        <w:t xml:space="preserve"> </w:t>
      </w:r>
      <w:r>
        <w:rPr>
          <w:rFonts w:hint="default" w:ascii="Arial" w:hAnsi="Arial" w:cs="Arial"/>
          <w:sz w:val="22"/>
          <w:szCs w:val="22"/>
        </w:rPr>
        <w:t>pena</w:t>
      </w:r>
      <w:r>
        <w:rPr>
          <w:rFonts w:hint="default" w:ascii="Arial" w:hAnsi="Arial" w:cs="Arial"/>
          <w:spacing w:val="-2"/>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decair</w:t>
      </w:r>
      <w:r>
        <w:rPr>
          <w:rFonts w:hint="default" w:ascii="Arial" w:hAnsi="Arial" w:cs="Arial"/>
          <w:spacing w:val="-2"/>
          <w:sz w:val="22"/>
          <w:szCs w:val="22"/>
        </w:rPr>
        <w:t xml:space="preserve"> </w:t>
      </w:r>
      <w:r>
        <w:rPr>
          <w:rFonts w:hint="default" w:ascii="Arial" w:hAnsi="Arial" w:cs="Arial"/>
          <w:sz w:val="22"/>
          <w:szCs w:val="22"/>
        </w:rPr>
        <w:t>o</w:t>
      </w:r>
      <w:r>
        <w:rPr>
          <w:rFonts w:hint="default" w:ascii="Arial" w:hAnsi="Arial" w:cs="Arial"/>
          <w:spacing w:val="-1"/>
          <w:sz w:val="22"/>
          <w:szCs w:val="22"/>
        </w:rPr>
        <w:t xml:space="preserve"> </w:t>
      </w:r>
      <w:r>
        <w:rPr>
          <w:rFonts w:hint="default" w:ascii="Arial" w:hAnsi="Arial" w:cs="Arial"/>
          <w:sz w:val="22"/>
          <w:szCs w:val="22"/>
        </w:rPr>
        <w:t>direito</w:t>
      </w:r>
      <w:r>
        <w:rPr>
          <w:rFonts w:hint="default" w:ascii="Arial" w:hAnsi="Arial" w:cs="Arial"/>
          <w:spacing w:val="-1"/>
          <w:sz w:val="22"/>
          <w:szCs w:val="22"/>
        </w:rPr>
        <w:t xml:space="preserve"> </w:t>
      </w:r>
      <w:r>
        <w:rPr>
          <w:rFonts w:hint="default" w:ascii="Arial" w:hAnsi="Arial" w:cs="Arial"/>
          <w:sz w:val="22"/>
          <w:szCs w:val="22"/>
        </w:rPr>
        <w:t>à</w:t>
      </w:r>
      <w:r>
        <w:rPr>
          <w:rFonts w:hint="default" w:ascii="Arial" w:hAnsi="Arial" w:cs="Arial"/>
          <w:spacing w:val="-2"/>
          <w:sz w:val="22"/>
          <w:szCs w:val="22"/>
        </w:rPr>
        <w:t xml:space="preserve"> </w:t>
      </w:r>
      <w:r>
        <w:rPr>
          <w:rFonts w:hint="default" w:ascii="Arial" w:hAnsi="Arial" w:cs="Arial"/>
          <w:sz w:val="22"/>
          <w:szCs w:val="22"/>
        </w:rPr>
        <w:t>contratação,</w:t>
      </w:r>
      <w:r>
        <w:rPr>
          <w:rFonts w:hint="default" w:ascii="Arial" w:hAnsi="Arial" w:cs="Arial"/>
          <w:spacing w:val="-1"/>
          <w:sz w:val="22"/>
          <w:szCs w:val="22"/>
        </w:rPr>
        <w:t xml:space="preserve"> </w:t>
      </w:r>
      <w:r>
        <w:rPr>
          <w:rFonts w:hint="default" w:ascii="Arial" w:hAnsi="Arial" w:cs="Arial"/>
          <w:sz w:val="22"/>
          <w:szCs w:val="22"/>
        </w:rPr>
        <w:t>sem prejuízo</w:t>
      </w:r>
      <w:r>
        <w:rPr>
          <w:rFonts w:hint="default" w:ascii="Arial" w:hAnsi="Arial" w:cs="Arial"/>
          <w:spacing w:val="-1"/>
          <w:sz w:val="22"/>
          <w:szCs w:val="22"/>
        </w:rPr>
        <w:t xml:space="preserve"> </w:t>
      </w:r>
      <w:r>
        <w:rPr>
          <w:rFonts w:hint="default" w:ascii="Arial" w:hAnsi="Arial" w:cs="Arial"/>
          <w:sz w:val="22"/>
          <w:szCs w:val="22"/>
        </w:rPr>
        <w:t>das</w:t>
      </w:r>
      <w:r>
        <w:rPr>
          <w:rFonts w:hint="default" w:ascii="Arial" w:hAnsi="Arial" w:cs="Arial"/>
          <w:spacing w:val="-1"/>
          <w:sz w:val="22"/>
          <w:szCs w:val="22"/>
        </w:rPr>
        <w:t xml:space="preserve"> </w:t>
      </w:r>
      <w:r>
        <w:rPr>
          <w:rFonts w:hint="default" w:ascii="Arial" w:hAnsi="Arial" w:cs="Arial"/>
          <w:sz w:val="22"/>
          <w:szCs w:val="22"/>
        </w:rPr>
        <w:t>sanções</w:t>
      </w:r>
      <w:r>
        <w:rPr>
          <w:rFonts w:hint="default" w:ascii="Arial" w:hAnsi="Arial" w:cs="Arial"/>
          <w:spacing w:val="-1"/>
          <w:sz w:val="22"/>
          <w:szCs w:val="22"/>
        </w:rPr>
        <w:t xml:space="preserve"> </w:t>
      </w:r>
      <w:r>
        <w:rPr>
          <w:rFonts w:hint="default" w:ascii="Arial" w:hAnsi="Arial" w:cs="Arial"/>
          <w:sz w:val="22"/>
          <w:szCs w:val="22"/>
        </w:rPr>
        <w:t>previstas</w:t>
      </w:r>
      <w:r>
        <w:rPr>
          <w:rFonts w:hint="default" w:ascii="Arial" w:hAnsi="Arial" w:cs="Arial"/>
          <w:spacing w:val="-1"/>
          <w:sz w:val="22"/>
          <w:szCs w:val="22"/>
        </w:rPr>
        <w:t xml:space="preserve"> </w:t>
      </w:r>
      <w:r>
        <w:rPr>
          <w:rFonts w:hint="default" w:ascii="Arial" w:hAnsi="Arial" w:cs="Arial"/>
          <w:spacing w:val="-1"/>
          <w:sz w:val="22"/>
          <w:szCs w:val="22"/>
          <w:lang w:val="pt-BR"/>
        </w:rPr>
        <w:t xml:space="preserve">no Decreto Municipal nº 360/2023, no art. 155 da lei Federal nº 14.133/2021, e </w:t>
      </w:r>
      <w:r>
        <w:rPr>
          <w:rFonts w:hint="default" w:ascii="Arial" w:hAnsi="Arial" w:cs="Arial"/>
          <w:sz w:val="22"/>
          <w:szCs w:val="22"/>
        </w:rPr>
        <w:t>neste</w:t>
      </w:r>
      <w:r>
        <w:rPr>
          <w:rFonts w:hint="default" w:ascii="Arial" w:hAnsi="Arial" w:cs="Arial"/>
          <w:spacing w:val="-2"/>
          <w:sz w:val="22"/>
          <w:szCs w:val="22"/>
        </w:rPr>
        <w:t xml:space="preserve"> </w:t>
      </w:r>
      <w:r>
        <w:rPr>
          <w:rFonts w:hint="default" w:ascii="Arial" w:hAnsi="Arial" w:cs="Arial"/>
          <w:sz w:val="22"/>
          <w:szCs w:val="22"/>
        </w:rPr>
        <w:t>edital.</w:t>
      </w:r>
    </w:p>
    <w:p w14:paraId="2F04CDF0">
      <w:pPr>
        <w:pStyle w:val="128"/>
        <w:numPr>
          <w:ilvl w:val="0"/>
          <w:numId w:val="0"/>
        </w:numPr>
        <w:tabs>
          <w:tab w:val="left" w:pos="1200"/>
        </w:tabs>
        <w:spacing w:before="121" w:after="0" w:line="360" w:lineRule="auto"/>
        <w:ind w:left="439" w:leftChars="183" w:right="46" w:rightChars="0" w:firstLine="40" w:firstLineChars="18"/>
        <w:jc w:val="both"/>
        <w:rPr>
          <w:rFonts w:hint="default" w:ascii="Arial" w:hAnsi="Arial" w:cs="Arial"/>
          <w:sz w:val="22"/>
          <w:szCs w:val="22"/>
        </w:rPr>
      </w:pPr>
      <w:r>
        <w:rPr>
          <w:rFonts w:hint="default" w:ascii="Arial" w:hAnsi="Arial" w:cs="Arial"/>
          <w:b/>
          <w:sz w:val="22"/>
          <w:szCs w:val="22"/>
          <w:lang w:val="pt-BR"/>
        </w:rPr>
        <w:t>12.1.1</w:t>
      </w:r>
      <w:r>
        <w:rPr>
          <w:rFonts w:hint="default" w:ascii="Arial" w:hAnsi="Arial" w:cs="Arial"/>
          <w:b/>
          <w:sz w:val="22"/>
          <w:szCs w:val="22"/>
        </w:rPr>
        <w:t xml:space="preserve"> </w:t>
      </w:r>
      <w:r>
        <w:rPr>
          <w:rFonts w:hint="default" w:ascii="Arial" w:hAnsi="Arial" w:cs="Arial"/>
          <w:sz w:val="22"/>
          <w:szCs w:val="22"/>
        </w:rPr>
        <w:t>O prazo de convocação de que trata o item 16.1 poderá ser prorrogado 1 (uma)</w:t>
      </w:r>
      <w:r>
        <w:rPr>
          <w:rFonts w:hint="default" w:ascii="Arial" w:hAnsi="Arial" w:cs="Arial"/>
          <w:spacing w:val="1"/>
          <w:sz w:val="22"/>
          <w:szCs w:val="22"/>
        </w:rPr>
        <w:t xml:space="preserve"> </w:t>
      </w:r>
      <w:r>
        <w:rPr>
          <w:rFonts w:hint="default" w:ascii="Arial" w:hAnsi="Arial" w:cs="Arial"/>
          <w:sz w:val="22"/>
          <w:szCs w:val="22"/>
        </w:rPr>
        <w:t>vez,</w:t>
      </w:r>
      <w:r>
        <w:rPr>
          <w:rFonts w:hint="default" w:ascii="Arial" w:hAnsi="Arial" w:cs="Arial"/>
          <w:spacing w:val="-13"/>
          <w:sz w:val="22"/>
          <w:szCs w:val="22"/>
        </w:rPr>
        <w:t xml:space="preserve"> </w:t>
      </w:r>
      <w:r>
        <w:rPr>
          <w:rFonts w:hint="default" w:ascii="Arial" w:hAnsi="Arial" w:cs="Arial"/>
          <w:sz w:val="22"/>
          <w:szCs w:val="22"/>
        </w:rPr>
        <w:t>por</w:t>
      </w:r>
      <w:r>
        <w:rPr>
          <w:rFonts w:hint="default" w:ascii="Arial" w:hAnsi="Arial" w:cs="Arial"/>
          <w:spacing w:val="-14"/>
          <w:sz w:val="22"/>
          <w:szCs w:val="22"/>
        </w:rPr>
        <w:t xml:space="preserve"> </w:t>
      </w:r>
      <w:r>
        <w:rPr>
          <w:rFonts w:hint="default" w:ascii="Arial" w:hAnsi="Arial" w:cs="Arial"/>
          <w:sz w:val="22"/>
          <w:szCs w:val="22"/>
        </w:rPr>
        <w:t>igual</w:t>
      </w:r>
      <w:r>
        <w:rPr>
          <w:rFonts w:hint="default" w:ascii="Arial" w:hAnsi="Arial" w:cs="Arial"/>
          <w:spacing w:val="-10"/>
          <w:sz w:val="22"/>
          <w:szCs w:val="22"/>
        </w:rPr>
        <w:t xml:space="preserve"> </w:t>
      </w:r>
      <w:r>
        <w:rPr>
          <w:rFonts w:hint="default" w:ascii="Arial" w:hAnsi="Arial" w:cs="Arial"/>
          <w:sz w:val="22"/>
          <w:szCs w:val="22"/>
        </w:rPr>
        <w:t>período,</w:t>
      </w:r>
      <w:r>
        <w:rPr>
          <w:rFonts w:hint="default" w:ascii="Arial" w:hAnsi="Arial" w:cs="Arial"/>
          <w:spacing w:val="-13"/>
          <w:sz w:val="22"/>
          <w:szCs w:val="22"/>
        </w:rPr>
        <w:t xml:space="preserve"> </w:t>
      </w:r>
      <w:r>
        <w:rPr>
          <w:rFonts w:hint="default" w:ascii="Arial" w:hAnsi="Arial" w:cs="Arial"/>
          <w:sz w:val="22"/>
          <w:szCs w:val="22"/>
        </w:rPr>
        <w:t>mediante</w:t>
      </w:r>
      <w:r>
        <w:rPr>
          <w:rFonts w:hint="default" w:ascii="Arial" w:hAnsi="Arial" w:cs="Arial"/>
          <w:spacing w:val="-14"/>
          <w:sz w:val="22"/>
          <w:szCs w:val="22"/>
        </w:rPr>
        <w:t xml:space="preserve"> </w:t>
      </w:r>
      <w:r>
        <w:rPr>
          <w:rFonts w:hint="default" w:ascii="Arial" w:hAnsi="Arial" w:cs="Arial"/>
          <w:sz w:val="22"/>
          <w:szCs w:val="22"/>
        </w:rPr>
        <w:t>solicitação</w:t>
      </w:r>
      <w:r>
        <w:rPr>
          <w:rFonts w:hint="default" w:ascii="Arial" w:hAnsi="Arial" w:cs="Arial"/>
          <w:spacing w:val="-12"/>
          <w:sz w:val="22"/>
          <w:szCs w:val="22"/>
        </w:rPr>
        <w:t xml:space="preserve"> </w:t>
      </w:r>
      <w:r>
        <w:rPr>
          <w:rFonts w:hint="default" w:ascii="Arial" w:hAnsi="Arial" w:cs="Arial"/>
          <w:sz w:val="22"/>
          <w:szCs w:val="22"/>
        </w:rPr>
        <w:t>da</w:t>
      </w:r>
      <w:r>
        <w:rPr>
          <w:rFonts w:hint="default" w:ascii="Arial" w:hAnsi="Arial" w:cs="Arial"/>
          <w:spacing w:val="-14"/>
          <w:sz w:val="22"/>
          <w:szCs w:val="22"/>
        </w:rPr>
        <w:t xml:space="preserve"> </w:t>
      </w:r>
      <w:r>
        <w:rPr>
          <w:rFonts w:hint="default" w:ascii="Arial" w:hAnsi="Arial" w:cs="Arial"/>
          <w:sz w:val="22"/>
          <w:szCs w:val="22"/>
        </w:rPr>
        <w:t>licitante</w:t>
      </w:r>
      <w:r>
        <w:rPr>
          <w:rFonts w:hint="default" w:ascii="Arial" w:hAnsi="Arial" w:cs="Arial"/>
          <w:spacing w:val="-14"/>
          <w:sz w:val="22"/>
          <w:szCs w:val="22"/>
        </w:rPr>
        <w:t xml:space="preserve"> </w:t>
      </w:r>
      <w:r>
        <w:rPr>
          <w:rFonts w:hint="default" w:ascii="Arial" w:hAnsi="Arial" w:cs="Arial"/>
          <w:sz w:val="22"/>
          <w:szCs w:val="22"/>
        </w:rPr>
        <w:t>vencedora</w:t>
      </w:r>
      <w:r>
        <w:rPr>
          <w:rFonts w:hint="default" w:ascii="Arial" w:hAnsi="Arial" w:cs="Arial"/>
          <w:spacing w:val="-13"/>
          <w:sz w:val="22"/>
          <w:szCs w:val="22"/>
        </w:rPr>
        <w:t xml:space="preserve"> </w:t>
      </w:r>
      <w:r>
        <w:rPr>
          <w:rFonts w:hint="default" w:ascii="Arial" w:hAnsi="Arial" w:cs="Arial"/>
          <w:sz w:val="22"/>
          <w:szCs w:val="22"/>
        </w:rPr>
        <w:t>durante</w:t>
      </w:r>
      <w:r>
        <w:rPr>
          <w:rFonts w:hint="default" w:ascii="Arial" w:hAnsi="Arial" w:cs="Arial"/>
          <w:spacing w:val="-12"/>
          <w:sz w:val="22"/>
          <w:szCs w:val="22"/>
        </w:rPr>
        <w:t xml:space="preserve"> </w:t>
      </w:r>
      <w:r>
        <w:rPr>
          <w:rFonts w:hint="default" w:ascii="Arial" w:hAnsi="Arial" w:cs="Arial"/>
          <w:sz w:val="22"/>
          <w:szCs w:val="22"/>
        </w:rPr>
        <w:t>seu</w:t>
      </w:r>
      <w:r>
        <w:rPr>
          <w:rFonts w:hint="default" w:ascii="Arial" w:hAnsi="Arial" w:cs="Arial"/>
          <w:spacing w:val="-12"/>
          <w:sz w:val="22"/>
          <w:szCs w:val="22"/>
        </w:rPr>
        <w:t xml:space="preserve"> </w:t>
      </w:r>
      <w:r>
        <w:rPr>
          <w:rFonts w:hint="default" w:ascii="Arial" w:hAnsi="Arial" w:cs="Arial"/>
          <w:sz w:val="22"/>
          <w:szCs w:val="22"/>
        </w:rPr>
        <w:t>transcurso,</w:t>
      </w:r>
      <w:r>
        <w:rPr>
          <w:rFonts w:hint="default" w:ascii="Arial" w:hAnsi="Arial" w:cs="Arial"/>
          <w:spacing w:val="-58"/>
          <w:sz w:val="22"/>
          <w:szCs w:val="22"/>
        </w:rPr>
        <w:t xml:space="preserve"> </w:t>
      </w:r>
      <w:r>
        <w:rPr>
          <w:rFonts w:hint="default" w:ascii="Arial" w:hAnsi="Arial" w:cs="Arial"/>
          <w:sz w:val="22"/>
          <w:szCs w:val="22"/>
        </w:rPr>
        <w:t>devidamente</w:t>
      </w:r>
      <w:r>
        <w:rPr>
          <w:rFonts w:hint="default" w:ascii="Arial" w:hAnsi="Arial" w:cs="Arial"/>
          <w:spacing w:val="1"/>
          <w:sz w:val="22"/>
          <w:szCs w:val="22"/>
        </w:rPr>
        <w:t xml:space="preserve"> </w:t>
      </w:r>
      <w:r>
        <w:rPr>
          <w:rFonts w:hint="default" w:ascii="Arial" w:hAnsi="Arial" w:cs="Arial"/>
          <w:sz w:val="22"/>
          <w:szCs w:val="22"/>
        </w:rPr>
        <w:t>justificada,</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desde</w:t>
      </w:r>
      <w:r>
        <w:rPr>
          <w:rFonts w:hint="default" w:ascii="Arial" w:hAnsi="Arial" w:cs="Arial"/>
          <w:spacing w:val="1"/>
          <w:sz w:val="22"/>
          <w:szCs w:val="22"/>
        </w:rPr>
        <w:t xml:space="preserve"> </w:t>
      </w:r>
      <w:r>
        <w:rPr>
          <w:rFonts w:hint="default" w:ascii="Arial" w:hAnsi="Arial" w:cs="Arial"/>
          <w:sz w:val="22"/>
          <w:szCs w:val="22"/>
        </w:rPr>
        <w:t>que</w:t>
      </w:r>
      <w:r>
        <w:rPr>
          <w:rFonts w:hint="default" w:ascii="Arial" w:hAnsi="Arial" w:cs="Arial"/>
          <w:spacing w:val="1"/>
          <w:sz w:val="22"/>
          <w:szCs w:val="22"/>
        </w:rPr>
        <w:t xml:space="preserve"> </w:t>
      </w:r>
      <w:r>
        <w:rPr>
          <w:rFonts w:hint="default" w:ascii="Arial" w:hAnsi="Arial" w:cs="Arial"/>
          <w:sz w:val="22"/>
          <w:szCs w:val="22"/>
        </w:rPr>
        <w:t>o</w:t>
      </w:r>
      <w:r>
        <w:rPr>
          <w:rFonts w:hint="default" w:ascii="Arial" w:hAnsi="Arial" w:cs="Arial"/>
          <w:spacing w:val="1"/>
          <w:sz w:val="22"/>
          <w:szCs w:val="22"/>
        </w:rPr>
        <w:t xml:space="preserve"> </w:t>
      </w:r>
      <w:r>
        <w:rPr>
          <w:rFonts w:hint="default" w:ascii="Arial" w:hAnsi="Arial" w:cs="Arial"/>
          <w:sz w:val="22"/>
          <w:szCs w:val="22"/>
        </w:rPr>
        <w:t>motivo</w:t>
      </w:r>
      <w:r>
        <w:rPr>
          <w:rFonts w:hint="default" w:ascii="Arial" w:hAnsi="Arial" w:cs="Arial"/>
          <w:spacing w:val="1"/>
          <w:sz w:val="22"/>
          <w:szCs w:val="22"/>
        </w:rPr>
        <w:t xml:space="preserve"> </w:t>
      </w:r>
      <w:r>
        <w:rPr>
          <w:rFonts w:hint="default" w:ascii="Arial" w:hAnsi="Arial" w:cs="Arial"/>
          <w:sz w:val="22"/>
          <w:szCs w:val="22"/>
        </w:rPr>
        <w:t>apresentado</w:t>
      </w:r>
      <w:r>
        <w:rPr>
          <w:rFonts w:hint="default" w:ascii="Arial" w:hAnsi="Arial" w:cs="Arial"/>
          <w:spacing w:val="1"/>
          <w:sz w:val="22"/>
          <w:szCs w:val="22"/>
        </w:rPr>
        <w:t xml:space="preserve"> </w:t>
      </w:r>
      <w:r>
        <w:rPr>
          <w:rFonts w:hint="default" w:ascii="Arial" w:hAnsi="Arial" w:cs="Arial"/>
          <w:sz w:val="22"/>
          <w:szCs w:val="22"/>
        </w:rPr>
        <w:t>seja</w:t>
      </w:r>
      <w:r>
        <w:rPr>
          <w:rFonts w:hint="default" w:ascii="Arial" w:hAnsi="Arial" w:cs="Arial"/>
          <w:spacing w:val="1"/>
          <w:sz w:val="22"/>
          <w:szCs w:val="22"/>
        </w:rPr>
        <w:t xml:space="preserve"> </w:t>
      </w:r>
      <w:r>
        <w:rPr>
          <w:rFonts w:hint="default" w:ascii="Arial" w:hAnsi="Arial" w:cs="Arial"/>
          <w:sz w:val="22"/>
          <w:szCs w:val="22"/>
        </w:rPr>
        <w:t>aceito</w:t>
      </w:r>
      <w:r>
        <w:rPr>
          <w:rFonts w:hint="default" w:ascii="Arial" w:hAnsi="Arial" w:cs="Arial"/>
          <w:spacing w:val="1"/>
          <w:sz w:val="22"/>
          <w:szCs w:val="22"/>
        </w:rPr>
        <w:t xml:space="preserve"> </w:t>
      </w:r>
      <w:r>
        <w:rPr>
          <w:rFonts w:hint="default" w:ascii="Arial" w:hAnsi="Arial" w:cs="Arial"/>
          <w:sz w:val="22"/>
          <w:szCs w:val="22"/>
        </w:rPr>
        <w:t>pela</w:t>
      </w:r>
      <w:r>
        <w:rPr>
          <w:rFonts w:hint="default" w:ascii="Arial" w:hAnsi="Arial" w:cs="Arial"/>
          <w:spacing w:val="1"/>
          <w:sz w:val="22"/>
          <w:szCs w:val="22"/>
        </w:rPr>
        <w:t xml:space="preserve"> </w:t>
      </w:r>
      <w:r>
        <w:rPr>
          <w:rFonts w:hint="default" w:ascii="Arial" w:hAnsi="Arial" w:cs="Arial"/>
          <w:sz w:val="22"/>
          <w:szCs w:val="22"/>
        </w:rPr>
        <w:t>Administração.</w:t>
      </w:r>
    </w:p>
    <w:p w14:paraId="7BC1A325">
      <w:pPr>
        <w:pStyle w:val="128"/>
        <w:numPr>
          <w:ilvl w:val="0"/>
          <w:numId w:val="0"/>
        </w:numPr>
        <w:tabs>
          <w:tab w:val="left" w:pos="720"/>
          <w:tab w:val="left" w:pos="960"/>
        </w:tabs>
        <w:spacing w:before="121" w:after="0" w:line="360" w:lineRule="auto"/>
        <w:ind w:left="439" w:leftChars="183" w:right="46" w:rightChars="0" w:firstLine="40" w:firstLineChars="18"/>
        <w:jc w:val="both"/>
        <w:rPr>
          <w:rFonts w:hint="default" w:ascii="Arial" w:hAnsi="Arial" w:cs="Arial"/>
          <w:sz w:val="22"/>
          <w:szCs w:val="22"/>
        </w:rPr>
      </w:pPr>
      <w:r>
        <w:rPr>
          <w:rFonts w:hint="default" w:ascii="Arial" w:hAnsi="Arial" w:cs="Arial"/>
          <w:b/>
          <w:bCs/>
          <w:sz w:val="22"/>
          <w:szCs w:val="22"/>
          <w:lang w:val="pt-BR"/>
        </w:rPr>
        <w:t>12.1.2</w:t>
      </w:r>
      <w:r>
        <w:rPr>
          <w:rFonts w:hint="default" w:ascii="Arial" w:hAnsi="Arial" w:cs="Arial"/>
          <w:sz w:val="22"/>
          <w:szCs w:val="22"/>
          <w:lang w:val="pt-BR"/>
        </w:rPr>
        <w:t xml:space="preserve"> Deverá</w:t>
      </w:r>
      <w:r>
        <w:rPr>
          <w:rFonts w:hint="default" w:ascii="Arial" w:hAnsi="Arial" w:cs="Arial"/>
          <w:sz w:val="22"/>
          <w:szCs w:val="22"/>
        </w:rPr>
        <w:t xml:space="preserve"> </w:t>
      </w:r>
      <w:r>
        <w:rPr>
          <w:rFonts w:hint="default" w:ascii="Arial" w:hAnsi="Arial" w:cs="Arial"/>
          <w:sz w:val="22"/>
          <w:szCs w:val="22"/>
          <w:lang w:val="pt-BR"/>
        </w:rPr>
        <w:t xml:space="preserve">ser utilizada </w:t>
      </w:r>
      <w:r>
        <w:rPr>
          <w:rFonts w:hint="default" w:ascii="Arial" w:hAnsi="Arial" w:cs="Arial"/>
          <w:sz w:val="22"/>
          <w:szCs w:val="22"/>
        </w:rPr>
        <w:t xml:space="preserve">assinatura eletrônica </w:t>
      </w:r>
      <w:r>
        <w:rPr>
          <w:rFonts w:hint="default" w:ascii="Arial" w:hAnsi="Arial" w:cs="Arial"/>
          <w:sz w:val="22"/>
          <w:szCs w:val="22"/>
          <w:lang w:val="pt-BR"/>
        </w:rPr>
        <w:t xml:space="preserve">para firmar </w:t>
      </w:r>
      <w:r>
        <w:rPr>
          <w:rFonts w:hint="default" w:ascii="Arial" w:hAnsi="Arial" w:cs="Arial"/>
          <w:sz w:val="22"/>
          <w:szCs w:val="22"/>
        </w:rPr>
        <w:t>o contrato, mediante uso da certificação</w:t>
      </w:r>
      <w:r>
        <w:rPr>
          <w:rFonts w:hint="default" w:ascii="Arial" w:hAnsi="Arial" w:cs="Arial"/>
          <w:spacing w:val="1"/>
          <w:sz w:val="22"/>
          <w:szCs w:val="22"/>
        </w:rPr>
        <w:t xml:space="preserve"> </w:t>
      </w:r>
      <w:r>
        <w:rPr>
          <w:rFonts w:hint="default" w:ascii="Arial" w:hAnsi="Arial" w:cs="Arial"/>
          <w:sz w:val="22"/>
          <w:szCs w:val="22"/>
          <w:lang w:eastAsia="pt-BR"/>
        </w:rPr>
        <w:t>emitid</w:t>
      </w:r>
      <w:r>
        <w:rPr>
          <w:rFonts w:hint="default" w:ascii="Arial" w:hAnsi="Arial" w:cs="Arial"/>
          <w:sz w:val="22"/>
          <w:szCs w:val="22"/>
          <w:lang w:val="en-US" w:eastAsia="pt-BR"/>
        </w:rPr>
        <w:t>a</w:t>
      </w:r>
      <w:r>
        <w:rPr>
          <w:rFonts w:hint="default" w:ascii="Arial" w:hAnsi="Arial" w:cs="Arial"/>
          <w:sz w:val="22"/>
          <w:szCs w:val="22"/>
          <w:lang w:eastAsia="pt-BR"/>
        </w:rPr>
        <w:t xml:space="preserve"> no âmbito da ICP-Brasil, nos termos da MP n° 2.200-2/2002</w:t>
      </w:r>
      <w:r>
        <w:rPr>
          <w:rFonts w:hint="default" w:ascii="Arial" w:hAnsi="Arial" w:cs="Arial"/>
          <w:sz w:val="22"/>
          <w:szCs w:val="22"/>
        </w:rPr>
        <w:t>.</w:t>
      </w:r>
    </w:p>
    <w:p w14:paraId="43F00E09">
      <w:pPr>
        <w:pStyle w:val="128"/>
        <w:numPr>
          <w:ilvl w:val="0"/>
          <w:numId w:val="0"/>
        </w:numPr>
        <w:spacing w:before="121" w:after="0" w:line="360" w:lineRule="auto"/>
        <w:ind w:left="439" w:leftChars="183" w:right="46" w:rightChars="0" w:firstLine="40" w:firstLineChars="18"/>
        <w:jc w:val="both"/>
        <w:rPr>
          <w:rFonts w:hint="default" w:ascii="Arial" w:hAnsi="Arial" w:cs="Arial"/>
          <w:sz w:val="22"/>
          <w:szCs w:val="22"/>
        </w:rPr>
      </w:pPr>
      <w:r>
        <w:rPr>
          <w:rFonts w:hint="default" w:ascii="Arial" w:hAnsi="Arial" w:cs="Arial"/>
          <w:b/>
          <w:bCs/>
          <w:sz w:val="22"/>
          <w:szCs w:val="22"/>
          <w:lang w:val="pt-BR"/>
        </w:rPr>
        <w:t>12.1.3</w:t>
      </w:r>
      <w:r>
        <w:rPr>
          <w:rFonts w:hint="default" w:ascii="Arial" w:hAnsi="Arial" w:cs="Arial"/>
          <w:sz w:val="22"/>
          <w:szCs w:val="22"/>
          <w:lang w:val="pt-BR"/>
        </w:rPr>
        <w:t xml:space="preserve"> A Prefeitura Municipal de Sinop</w:t>
      </w:r>
      <w:r>
        <w:rPr>
          <w:rFonts w:hint="default" w:ascii="Arial" w:hAnsi="Arial" w:cs="Arial"/>
          <w:sz w:val="22"/>
          <w:szCs w:val="22"/>
        </w:rPr>
        <w:t xml:space="preserve"> enviar</w:t>
      </w:r>
      <w:r>
        <w:rPr>
          <w:rFonts w:hint="default" w:ascii="Arial" w:hAnsi="Arial" w:cs="Arial"/>
          <w:sz w:val="22"/>
          <w:szCs w:val="22"/>
          <w:lang w:val="pt-BR"/>
        </w:rPr>
        <w:t>á</w:t>
      </w:r>
      <w:r>
        <w:rPr>
          <w:rFonts w:hint="default" w:ascii="Arial" w:hAnsi="Arial" w:cs="Arial"/>
          <w:sz w:val="22"/>
          <w:szCs w:val="22"/>
        </w:rPr>
        <w:t xml:space="preserve"> o contrato para assinatura da licitante, que deverá</w:t>
      </w:r>
      <w:r>
        <w:rPr>
          <w:rFonts w:hint="default" w:ascii="Arial" w:hAnsi="Arial" w:cs="Arial"/>
          <w:spacing w:val="1"/>
          <w:sz w:val="22"/>
          <w:szCs w:val="22"/>
        </w:rPr>
        <w:t xml:space="preserve"> </w:t>
      </w:r>
      <w:r>
        <w:rPr>
          <w:rFonts w:hint="default" w:ascii="Arial" w:hAnsi="Arial" w:cs="Arial"/>
          <w:sz w:val="22"/>
          <w:szCs w:val="22"/>
        </w:rPr>
        <w:t>devolvê-lo</w:t>
      </w:r>
      <w:r>
        <w:rPr>
          <w:rFonts w:hint="default" w:ascii="Arial" w:hAnsi="Arial" w:cs="Arial"/>
          <w:spacing w:val="-1"/>
          <w:sz w:val="22"/>
          <w:szCs w:val="22"/>
        </w:rPr>
        <w:t xml:space="preserve"> </w:t>
      </w:r>
      <w:r>
        <w:rPr>
          <w:rFonts w:hint="default" w:ascii="Arial" w:hAnsi="Arial" w:cs="Arial"/>
          <w:sz w:val="22"/>
          <w:szCs w:val="22"/>
        </w:rPr>
        <w:t>assinado no prazo previsto no item 16.1.</w:t>
      </w:r>
      <w:r>
        <w:rPr>
          <w:rFonts w:hint="default" w:ascii="Arial" w:hAnsi="Arial" w:cs="Arial"/>
          <w:sz w:val="22"/>
          <w:szCs w:val="22"/>
          <w:lang w:val="pt-BR"/>
        </w:rPr>
        <w:t>, para tal, a</w:t>
      </w:r>
      <w:r>
        <w:rPr>
          <w:rFonts w:hint="default" w:ascii="Arial" w:hAnsi="Arial" w:cs="Arial"/>
          <w:sz w:val="22"/>
          <w:szCs w:val="22"/>
          <w:lang w:eastAsia="pt-BR"/>
        </w:rPr>
        <w:t xml:space="preserve"> licitante deverá informar em seu cadastro na plataforma </w:t>
      </w:r>
      <w:r>
        <w:rPr>
          <w:rFonts w:hint="default" w:ascii="Arial" w:hAnsi="Arial" w:cs="Arial"/>
          <w:bCs/>
          <w:iCs/>
          <w:snapToGrid w:val="0"/>
          <w:sz w:val="22"/>
          <w:szCs w:val="22"/>
        </w:rPr>
        <w:fldChar w:fldCharType="begin"/>
      </w:r>
      <w:r>
        <w:rPr>
          <w:rFonts w:hint="default" w:ascii="Arial" w:hAnsi="Arial" w:cs="Arial"/>
          <w:bCs/>
          <w:iCs/>
          <w:snapToGrid w:val="0"/>
          <w:sz w:val="22"/>
          <w:szCs w:val="22"/>
        </w:rPr>
        <w:instrText xml:space="preserve"> HYPERLINK "http://www.portaldecompraspublicas.com.br" </w:instrText>
      </w:r>
      <w:r>
        <w:rPr>
          <w:rFonts w:hint="default" w:ascii="Arial" w:hAnsi="Arial" w:cs="Arial"/>
          <w:bCs/>
          <w:iCs/>
          <w:snapToGrid w:val="0"/>
          <w:sz w:val="22"/>
          <w:szCs w:val="22"/>
        </w:rPr>
        <w:fldChar w:fldCharType="separate"/>
      </w:r>
      <w:r>
        <w:rPr>
          <w:rStyle w:val="15"/>
          <w:rFonts w:hint="default" w:ascii="Arial" w:hAnsi="Arial" w:cs="Arial"/>
          <w:bCs/>
          <w:iCs/>
          <w:snapToGrid w:val="0"/>
          <w:color w:val="auto"/>
          <w:sz w:val="22"/>
          <w:szCs w:val="22"/>
        </w:rPr>
        <w:t>www.portaldecompraspublicas.com.br</w:t>
      </w:r>
      <w:r>
        <w:rPr>
          <w:rFonts w:hint="default" w:ascii="Arial" w:hAnsi="Arial" w:cs="Arial"/>
          <w:bCs/>
          <w:iCs/>
          <w:snapToGrid w:val="0"/>
          <w:sz w:val="22"/>
          <w:szCs w:val="22"/>
        </w:rPr>
        <w:fldChar w:fldCharType="end"/>
      </w:r>
      <w:r>
        <w:rPr>
          <w:rFonts w:hint="default" w:ascii="Arial" w:hAnsi="Arial" w:cs="Arial"/>
          <w:bCs/>
          <w:iCs/>
          <w:snapToGrid w:val="0"/>
          <w:sz w:val="22"/>
          <w:szCs w:val="22"/>
        </w:rPr>
        <w:t xml:space="preserve"> </w:t>
      </w:r>
      <w:r>
        <w:rPr>
          <w:rFonts w:hint="default" w:ascii="Arial" w:hAnsi="Arial" w:cs="Arial"/>
          <w:sz w:val="22"/>
          <w:szCs w:val="22"/>
          <w:lang w:eastAsia="pt-BR"/>
        </w:rPr>
        <w:t xml:space="preserve">o </w:t>
      </w:r>
      <w:r>
        <w:rPr>
          <w:rFonts w:hint="default" w:ascii="Arial" w:hAnsi="Arial" w:cs="Arial"/>
          <w:i/>
          <w:sz w:val="22"/>
          <w:szCs w:val="22"/>
          <w:lang w:eastAsia="pt-BR"/>
        </w:rPr>
        <w:t>e-mail</w:t>
      </w:r>
      <w:r>
        <w:rPr>
          <w:rFonts w:hint="default" w:ascii="Arial" w:hAnsi="Arial" w:cs="Arial"/>
          <w:sz w:val="22"/>
          <w:szCs w:val="22"/>
          <w:lang w:eastAsia="pt-BR"/>
        </w:rPr>
        <w:t xml:space="preserve"> para envio do Contrato para assinatura eletrônica, com a indicação do nome e CPF do representante legal da empresa constante no certificado digital. O contrato também poderá ser assinado através do seguinte endereço eletrônico </w:t>
      </w:r>
      <w:r>
        <w:rPr>
          <w:rFonts w:hint="default" w:ascii="Arial" w:hAnsi="Arial" w:cs="Arial"/>
          <w:sz w:val="22"/>
          <w:szCs w:val="22"/>
          <w:u w:val="single"/>
          <w:lang w:eastAsia="pt-BR"/>
        </w:rPr>
        <w:fldChar w:fldCharType="begin"/>
      </w:r>
      <w:r>
        <w:rPr>
          <w:rFonts w:hint="default" w:ascii="Arial" w:hAnsi="Arial" w:cs="Arial"/>
          <w:sz w:val="22"/>
          <w:szCs w:val="22"/>
          <w:u w:val="single"/>
          <w:lang w:eastAsia="pt-BR"/>
        </w:rPr>
        <w:instrText xml:space="preserve"> HYPERLINK "http://www.portaldeassinaturas.com.br." </w:instrText>
      </w:r>
      <w:r>
        <w:rPr>
          <w:rFonts w:hint="default" w:ascii="Arial" w:hAnsi="Arial" w:cs="Arial"/>
          <w:sz w:val="22"/>
          <w:szCs w:val="22"/>
          <w:u w:val="single"/>
          <w:lang w:eastAsia="pt-BR"/>
        </w:rPr>
        <w:fldChar w:fldCharType="separate"/>
      </w:r>
      <w:r>
        <w:rPr>
          <w:rStyle w:val="15"/>
          <w:rFonts w:hint="default" w:ascii="Arial" w:hAnsi="Arial" w:cs="Arial"/>
          <w:sz w:val="22"/>
          <w:szCs w:val="22"/>
          <w:lang w:eastAsia="pt-BR"/>
        </w:rPr>
        <w:t>www.portaldeassinaturas.com.br.</w:t>
      </w:r>
      <w:r>
        <w:rPr>
          <w:rFonts w:hint="default" w:ascii="Arial" w:hAnsi="Arial" w:cs="Arial"/>
          <w:sz w:val="22"/>
          <w:szCs w:val="22"/>
          <w:u w:val="single"/>
          <w:lang w:eastAsia="pt-BR"/>
        </w:rPr>
        <w:fldChar w:fldCharType="end"/>
      </w:r>
    </w:p>
    <w:p w14:paraId="295D2AD2">
      <w:pPr>
        <w:pStyle w:val="128"/>
        <w:numPr>
          <w:ilvl w:val="0"/>
          <w:numId w:val="0"/>
        </w:numPr>
        <w:spacing w:before="121" w:after="0" w:line="360" w:lineRule="auto"/>
        <w:ind w:left="439" w:leftChars="183" w:right="46" w:rightChars="0" w:firstLine="40" w:firstLineChars="18"/>
        <w:jc w:val="both"/>
        <w:rPr>
          <w:rFonts w:hint="default" w:ascii="Arial" w:hAnsi="Arial" w:cs="Arial"/>
          <w:sz w:val="22"/>
          <w:szCs w:val="22"/>
        </w:rPr>
      </w:pPr>
      <w:r>
        <w:rPr>
          <w:rFonts w:hint="default" w:ascii="Arial" w:hAnsi="Arial" w:cs="Arial"/>
          <w:b/>
          <w:sz w:val="22"/>
          <w:szCs w:val="22"/>
          <w:lang w:val="pt-BR"/>
        </w:rPr>
        <w:t>12.1.4</w:t>
      </w:r>
      <w:r>
        <w:rPr>
          <w:rFonts w:hint="default" w:ascii="Arial" w:hAnsi="Arial" w:cs="Arial"/>
          <w:b/>
          <w:sz w:val="22"/>
          <w:szCs w:val="22"/>
        </w:rPr>
        <w:t xml:space="preserve"> </w:t>
      </w:r>
      <w:r>
        <w:rPr>
          <w:rFonts w:hint="default" w:ascii="Arial" w:hAnsi="Arial" w:eastAsia="SimSun" w:cs="Arial"/>
          <w:sz w:val="22"/>
          <w:szCs w:val="22"/>
        </w:rPr>
        <w:t>Na assinatura do contrato, será exigida a comprovação das condições de habilitação consignadas, que deverão ser mantidas pelo licitante durante a vigência do contrato.</w:t>
      </w:r>
    </w:p>
    <w:p w14:paraId="302BC64D">
      <w:pPr>
        <w:pStyle w:val="128"/>
        <w:numPr>
          <w:ilvl w:val="0"/>
          <w:numId w:val="0"/>
        </w:numPr>
        <w:spacing w:before="121" w:after="0" w:line="360" w:lineRule="auto"/>
        <w:ind w:left="439" w:leftChars="183" w:right="46" w:rightChars="0" w:firstLine="40" w:firstLineChars="18"/>
        <w:jc w:val="both"/>
        <w:rPr>
          <w:rFonts w:hint="default" w:ascii="Arial" w:hAnsi="Arial" w:cs="Arial"/>
          <w:sz w:val="22"/>
          <w:szCs w:val="22"/>
        </w:rPr>
      </w:pPr>
      <w:r>
        <w:rPr>
          <w:rFonts w:hint="default" w:ascii="Arial" w:hAnsi="Arial" w:cs="Arial"/>
          <w:b/>
          <w:bCs/>
          <w:sz w:val="22"/>
          <w:szCs w:val="22"/>
          <w:lang w:val="pt-BR"/>
        </w:rPr>
        <w:t>12.1.5</w:t>
      </w:r>
      <w:r>
        <w:rPr>
          <w:rFonts w:hint="default" w:ascii="Arial" w:hAnsi="Arial" w:cs="Arial"/>
          <w:sz w:val="22"/>
          <w:szCs w:val="22"/>
          <w:lang w:val="pt-BR"/>
        </w:rPr>
        <w:t xml:space="preserve"> </w:t>
      </w:r>
      <w:r>
        <w:rPr>
          <w:rFonts w:hint="default" w:ascii="Arial" w:hAnsi="Arial" w:eastAsia="SimSun" w:cs="Arial"/>
          <w:sz w:val="22"/>
          <w:szCs w:val="22"/>
        </w:rPr>
        <w:t>Na hipótese de o vencedor da licitação não comprovar as condições de habilitação consignadas no Edital, se recusar a assinar o Contrato, outro licitante poderá ser convocado, respeitada a ordem de classificação, para, após a comprovação dos requisitos para habilitação, analisada a proposta e eventuais documentos complementares e, feita a negociação, celebrar a contratação ou instrumento equivalente, nas condições propostas pelo licitante vencedor, sem prejuízo da aplicação das sanções previstas em regulamento municipal próprio e no art. 155 da Lei Federal n. 14.133</w:t>
      </w:r>
      <w:r>
        <w:rPr>
          <w:rFonts w:hint="default" w:ascii="Arial" w:hAnsi="Arial" w:eastAsia="SimSun" w:cs="Arial"/>
          <w:sz w:val="22"/>
          <w:szCs w:val="22"/>
          <w:lang w:val="pt-BR"/>
        </w:rPr>
        <w:t>/2021</w:t>
      </w:r>
      <w:r>
        <w:rPr>
          <w:rFonts w:hint="default" w:ascii="Arial" w:hAnsi="Arial" w:cs="Arial"/>
          <w:sz w:val="22"/>
          <w:szCs w:val="22"/>
        </w:rPr>
        <w:t>.</w:t>
      </w:r>
    </w:p>
    <w:p w14:paraId="4B931629">
      <w:pPr>
        <w:pStyle w:val="128"/>
        <w:numPr>
          <w:ilvl w:val="0"/>
          <w:numId w:val="0"/>
        </w:numPr>
        <w:spacing w:before="120" w:after="0" w:line="360" w:lineRule="auto"/>
        <w:ind w:leftChars="0" w:right="46" w:rightChars="0"/>
        <w:jc w:val="both"/>
        <w:rPr>
          <w:rFonts w:hint="default" w:ascii="Arial" w:hAnsi="Arial" w:cs="Arial"/>
          <w:sz w:val="22"/>
          <w:szCs w:val="22"/>
        </w:rPr>
      </w:pPr>
      <w:r>
        <w:rPr>
          <w:rFonts w:hint="default" w:ascii="Arial" w:hAnsi="Arial" w:cs="Arial"/>
          <w:b/>
          <w:bCs/>
          <w:sz w:val="22"/>
          <w:szCs w:val="22"/>
          <w:lang w:val="pt-BR"/>
        </w:rPr>
        <w:t xml:space="preserve">12.2 </w:t>
      </w:r>
      <w:r>
        <w:rPr>
          <w:rFonts w:hint="default" w:ascii="Arial" w:hAnsi="Arial" w:cs="Arial"/>
          <w:sz w:val="22"/>
          <w:szCs w:val="22"/>
          <w:lang w:val="pt-BR"/>
        </w:rPr>
        <w:t xml:space="preserve"> </w:t>
      </w:r>
      <w:r>
        <w:rPr>
          <w:rFonts w:hint="default" w:ascii="Arial" w:hAnsi="Arial" w:eastAsia="SimSun" w:cs="Arial"/>
          <w:sz w:val="22"/>
          <w:szCs w:val="22"/>
        </w:rPr>
        <w:t xml:space="preserve">Caso nenhum dos licitantes aceite a contratação nos termos do </w:t>
      </w:r>
      <w:r>
        <w:rPr>
          <w:rFonts w:hint="default" w:ascii="Arial" w:hAnsi="Arial" w:eastAsia="SimSun" w:cs="Arial"/>
          <w:sz w:val="22"/>
          <w:szCs w:val="22"/>
          <w:lang w:val="pt-BR"/>
        </w:rPr>
        <w:t>subtópico 16.1.5</w:t>
      </w:r>
      <w:r>
        <w:rPr>
          <w:rFonts w:hint="default" w:ascii="Arial" w:hAnsi="Arial" w:eastAsia="SimSun" w:cs="Arial"/>
          <w:sz w:val="22"/>
          <w:szCs w:val="22"/>
        </w:rPr>
        <w:t xml:space="preserve">, a Administração, observados o orçamento estimado e o valor máximo aceitável e sua eventual atualização nos termos </w:t>
      </w:r>
      <w:r>
        <w:rPr>
          <w:rFonts w:hint="default" w:ascii="Arial" w:hAnsi="Arial" w:eastAsia="SimSun" w:cs="Arial"/>
          <w:sz w:val="22"/>
          <w:szCs w:val="22"/>
          <w:lang w:val="pt-BR"/>
        </w:rPr>
        <w:t>do Edital, poderá:</w:t>
      </w:r>
    </w:p>
    <w:p w14:paraId="4D8D8440">
      <w:pPr>
        <w:pStyle w:val="128"/>
        <w:numPr>
          <w:ilvl w:val="0"/>
          <w:numId w:val="0"/>
        </w:numPr>
        <w:spacing w:before="120" w:after="0" w:line="360" w:lineRule="auto"/>
        <w:ind w:left="480" w:leftChars="200" w:right="46" w:rightChars="0" w:firstLine="0" w:firstLineChars="0"/>
        <w:jc w:val="both"/>
        <w:rPr>
          <w:rFonts w:hint="default" w:ascii="Arial" w:hAnsi="Arial" w:cs="Arial"/>
          <w:sz w:val="22"/>
          <w:szCs w:val="22"/>
        </w:rPr>
      </w:pPr>
      <w:r>
        <w:rPr>
          <w:rFonts w:hint="default" w:ascii="Arial" w:hAnsi="Arial" w:cs="Arial"/>
          <w:b/>
          <w:sz w:val="22"/>
          <w:szCs w:val="22"/>
          <w:lang w:val="pt-BR"/>
        </w:rPr>
        <w:t xml:space="preserve">12.2.1 </w:t>
      </w:r>
      <w:r>
        <w:rPr>
          <w:rFonts w:hint="default" w:ascii="Arial" w:hAnsi="Arial" w:eastAsia="SimSun" w:cs="Arial"/>
          <w:sz w:val="22"/>
          <w:szCs w:val="22"/>
        </w:rPr>
        <w:t>Convocar os licitantes remanescentes para negociação, na ordem de classificação, com vistas à obtenção de preço melhor, mesmo que acima do preço do adjudicatário;</w:t>
      </w:r>
    </w:p>
    <w:p w14:paraId="036D5588">
      <w:pPr>
        <w:pStyle w:val="128"/>
        <w:numPr>
          <w:ilvl w:val="0"/>
          <w:numId w:val="0"/>
        </w:numPr>
        <w:spacing w:before="120" w:after="0" w:line="360" w:lineRule="auto"/>
        <w:ind w:left="480" w:leftChars="200" w:right="46" w:rightChars="0" w:firstLine="0" w:firstLineChars="0"/>
        <w:jc w:val="both"/>
        <w:rPr>
          <w:rFonts w:hint="default" w:ascii="Arial" w:hAnsi="Arial" w:cs="Arial"/>
          <w:sz w:val="22"/>
          <w:szCs w:val="22"/>
        </w:rPr>
      </w:pPr>
      <w:r>
        <w:rPr>
          <w:rFonts w:hint="default" w:ascii="Arial" w:hAnsi="Arial" w:cs="Arial"/>
          <w:b/>
          <w:sz w:val="22"/>
          <w:szCs w:val="22"/>
          <w:lang w:val="pt-BR"/>
        </w:rPr>
        <w:t xml:space="preserve">12.2.2 </w:t>
      </w:r>
      <w:r>
        <w:rPr>
          <w:rFonts w:hint="default" w:ascii="Arial" w:hAnsi="Arial" w:eastAsia="SimSun" w:cs="Arial"/>
          <w:sz w:val="22"/>
          <w:szCs w:val="22"/>
        </w:rPr>
        <w:t>Adjudicar e celebrar o contrato nas condições ofertadas pelos licitantes remanescentes, atendida a ordem classificatória, quando frustrada a negociação de melhor condição</w:t>
      </w:r>
      <w:r>
        <w:rPr>
          <w:rFonts w:hint="default" w:ascii="Arial" w:hAnsi="Arial" w:eastAsia="SimSun" w:cs="Arial"/>
          <w:sz w:val="22"/>
          <w:szCs w:val="22"/>
          <w:lang w:val="pt-BR"/>
        </w:rPr>
        <w:t>;</w:t>
      </w:r>
    </w:p>
    <w:p w14:paraId="54A57BA3">
      <w:pPr>
        <w:pStyle w:val="128"/>
        <w:numPr>
          <w:ilvl w:val="0"/>
          <w:numId w:val="0"/>
        </w:numPr>
        <w:spacing w:before="120" w:after="0" w:line="360" w:lineRule="auto"/>
        <w:ind w:left="480" w:leftChars="200" w:right="46" w:rightChars="0" w:firstLine="0" w:firstLineChars="0"/>
        <w:jc w:val="both"/>
        <w:rPr>
          <w:rFonts w:hint="default" w:ascii="Arial" w:hAnsi="Arial" w:cs="Arial"/>
          <w:sz w:val="22"/>
          <w:szCs w:val="22"/>
        </w:rPr>
      </w:pPr>
      <w:r>
        <w:rPr>
          <w:rFonts w:hint="default" w:ascii="Arial" w:hAnsi="Arial" w:cs="Arial"/>
          <w:b/>
          <w:sz w:val="22"/>
          <w:szCs w:val="22"/>
          <w:lang w:val="pt-BR"/>
        </w:rPr>
        <w:t xml:space="preserve">12.2.3 </w:t>
      </w:r>
      <w:r>
        <w:rPr>
          <w:rFonts w:hint="default" w:ascii="Arial" w:hAnsi="Arial" w:eastAsia="SimSun" w:cs="Arial"/>
          <w:sz w:val="22"/>
          <w:szCs w:val="22"/>
        </w:rPr>
        <w:t>A recusa injustificada do adjudicatário em assinar o contrato no prazo estabelecido pela Administração caracterizará o descumprimento total da obrigação assumida e o sujeitará às sanções administrativas previstas em regulamento municipal próp</w:t>
      </w:r>
      <w:r>
        <w:rPr>
          <w:rFonts w:hint="default" w:ascii="Arial" w:hAnsi="Arial" w:eastAsia="SimSun" w:cs="Arial"/>
          <w:sz w:val="22"/>
          <w:szCs w:val="22"/>
          <w:lang w:val="pt-BR"/>
        </w:rPr>
        <w:t>rio.</w:t>
      </w:r>
    </w:p>
    <w:p w14:paraId="52ADA346">
      <w:pPr>
        <w:pStyle w:val="128"/>
        <w:numPr>
          <w:ilvl w:val="0"/>
          <w:numId w:val="0"/>
        </w:numPr>
        <w:spacing w:before="120" w:after="0" w:line="360" w:lineRule="auto"/>
        <w:ind w:left="480" w:leftChars="200" w:right="46" w:rightChars="0" w:firstLine="0" w:firstLineChars="0"/>
        <w:jc w:val="both"/>
        <w:rPr>
          <w:rFonts w:hint="default" w:ascii="Arial" w:hAnsi="Arial" w:cs="Arial"/>
          <w:sz w:val="22"/>
          <w:szCs w:val="22"/>
        </w:rPr>
      </w:pPr>
      <w:r>
        <w:rPr>
          <w:rFonts w:hint="default" w:ascii="Arial" w:hAnsi="Arial" w:cs="Arial"/>
          <w:b/>
          <w:sz w:val="22"/>
          <w:szCs w:val="22"/>
          <w:lang w:val="pt-BR"/>
        </w:rPr>
        <w:t xml:space="preserve">12.2.4 </w:t>
      </w:r>
      <w:r>
        <w:rPr>
          <w:rFonts w:hint="default" w:ascii="Arial" w:hAnsi="Arial" w:eastAsia="SimSun" w:cs="Arial"/>
          <w:sz w:val="22"/>
          <w:szCs w:val="22"/>
        </w:rPr>
        <w:t xml:space="preserve">A regra do </w:t>
      </w:r>
      <w:r>
        <w:rPr>
          <w:rFonts w:hint="default" w:ascii="Arial" w:hAnsi="Arial" w:eastAsia="SimSun" w:cs="Arial"/>
          <w:sz w:val="22"/>
          <w:szCs w:val="22"/>
          <w:lang w:val="pt-BR"/>
        </w:rPr>
        <w:t>subtópico 1</w:t>
      </w:r>
      <w:r>
        <w:rPr>
          <w:rFonts w:hint="default" w:ascii="Arial" w:hAnsi="Arial" w:cs="Arial"/>
          <w:sz w:val="22"/>
          <w:szCs w:val="22"/>
          <w:lang w:val="pt-BR"/>
        </w:rPr>
        <w:t>2</w:t>
      </w:r>
      <w:r>
        <w:rPr>
          <w:rFonts w:hint="default" w:ascii="Arial" w:hAnsi="Arial" w:eastAsia="SimSun" w:cs="Arial"/>
          <w:sz w:val="22"/>
          <w:szCs w:val="22"/>
          <w:lang w:val="pt-BR"/>
        </w:rPr>
        <w:t>.2.3</w:t>
      </w:r>
      <w:r>
        <w:rPr>
          <w:rFonts w:hint="default" w:ascii="Arial" w:hAnsi="Arial" w:eastAsia="SimSun" w:cs="Arial"/>
          <w:sz w:val="22"/>
          <w:szCs w:val="22"/>
        </w:rPr>
        <w:t xml:space="preserve"> não se aplicará aos licitantes remanescentes convocados na forma do </w:t>
      </w:r>
      <w:r>
        <w:rPr>
          <w:rFonts w:hint="default" w:ascii="Arial" w:hAnsi="Arial" w:eastAsia="SimSun" w:cs="Arial"/>
          <w:sz w:val="22"/>
          <w:szCs w:val="22"/>
          <w:lang w:val="pt-BR"/>
        </w:rPr>
        <w:t>subtópico 1</w:t>
      </w:r>
      <w:r>
        <w:rPr>
          <w:rFonts w:hint="default" w:ascii="Arial" w:hAnsi="Arial" w:cs="Arial"/>
          <w:sz w:val="22"/>
          <w:szCs w:val="22"/>
          <w:lang w:val="pt-BR"/>
        </w:rPr>
        <w:t>2</w:t>
      </w:r>
      <w:r>
        <w:rPr>
          <w:rFonts w:hint="default" w:ascii="Arial" w:hAnsi="Arial" w:eastAsia="SimSun" w:cs="Arial"/>
          <w:sz w:val="22"/>
          <w:szCs w:val="22"/>
          <w:lang w:val="pt-BR"/>
        </w:rPr>
        <w:t>.2.1 retromencionados.</w:t>
      </w:r>
    </w:p>
    <w:p w14:paraId="6FC4851D">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7D7D7" w:themeFill="background1" w:themeFillShade="D8"/>
        <w:tabs>
          <w:tab w:val="left" w:pos="426"/>
        </w:tabs>
        <w:spacing w:line="360" w:lineRule="auto"/>
        <w:ind w:leftChars="0"/>
        <w:jc w:val="center"/>
        <w:rPr>
          <w:rFonts w:hint="default" w:ascii="Arial" w:hAnsi="Arial" w:cs="Arial"/>
          <w:b/>
          <w:bCs/>
          <w:iCs/>
          <w:sz w:val="22"/>
          <w:szCs w:val="22"/>
          <w:lang w:val="pt-BR"/>
        </w:rPr>
      </w:pPr>
      <w:r>
        <w:rPr>
          <w:rFonts w:hint="default" w:ascii="Arial" w:hAnsi="Arial" w:cs="Arial"/>
          <w:b/>
          <w:bCs/>
          <w:iCs/>
          <w:color w:val="auto"/>
          <w:sz w:val="22"/>
          <w:szCs w:val="22"/>
          <w:lang w:val="pt-BR"/>
        </w:rPr>
        <w:t>1</w:t>
      </w:r>
      <w:r>
        <w:rPr>
          <w:rFonts w:hint="default" w:cs="Arial"/>
          <w:b/>
          <w:bCs/>
          <w:iCs/>
          <w:color w:val="auto"/>
          <w:sz w:val="22"/>
          <w:szCs w:val="22"/>
          <w:lang w:val="pt-BR"/>
        </w:rPr>
        <w:t>3</w:t>
      </w:r>
      <w:r>
        <w:rPr>
          <w:rFonts w:hint="default" w:ascii="Arial" w:hAnsi="Arial" w:cs="Arial"/>
          <w:b/>
          <w:bCs/>
          <w:iCs/>
          <w:color w:val="auto"/>
          <w:sz w:val="22"/>
          <w:szCs w:val="22"/>
          <w:lang w:val="pt-BR"/>
        </w:rPr>
        <w:t>. DO CONTRATO</w:t>
      </w:r>
    </w:p>
    <w:p w14:paraId="794A4241">
      <w:pPr>
        <w:pStyle w:val="22"/>
        <w:widowControl w:val="0"/>
        <w:numPr>
          <w:ilvl w:val="0"/>
          <w:numId w:val="0"/>
        </w:numPr>
        <w:tabs>
          <w:tab w:val="left" w:pos="142"/>
          <w:tab w:val="left" w:pos="574"/>
        </w:tabs>
        <w:adjustRightInd w:val="0"/>
        <w:spacing w:before="120" w:after="120" w:line="360" w:lineRule="auto"/>
        <w:ind w:leftChars="0"/>
        <w:textAlignment w:val="baseline"/>
        <w:rPr>
          <w:sz w:val="22"/>
          <w:szCs w:val="22"/>
        </w:rPr>
      </w:pPr>
      <w:r>
        <w:rPr>
          <w:rFonts w:hint="default"/>
          <w:b/>
          <w:bCs/>
          <w:sz w:val="22"/>
          <w:szCs w:val="22"/>
          <w:lang w:val="pt-BR"/>
        </w:rPr>
        <w:t>13.1.</w:t>
      </w:r>
      <w:r>
        <w:rPr>
          <w:rFonts w:hint="default"/>
          <w:sz w:val="22"/>
          <w:szCs w:val="22"/>
          <w:lang w:val="pt-BR"/>
        </w:rPr>
        <w:t xml:space="preserve"> </w:t>
      </w:r>
      <w:r>
        <w:rPr>
          <w:sz w:val="22"/>
          <w:szCs w:val="22"/>
        </w:rPr>
        <w:t xml:space="preserve">As obrigações decorrentes da presente licitação serão formalizadas por um contrato escrito, celebrado entre a Prefeitura Municipal de Sinop/MT e a licitante adjudicatária, regido pela Lei </w:t>
      </w:r>
      <w:r>
        <w:rPr>
          <w:rFonts w:hint="default"/>
          <w:sz w:val="22"/>
          <w:szCs w:val="22"/>
          <w:lang w:val="pt-BR"/>
        </w:rPr>
        <w:t>14133</w:t>
      </w:r>
      <w:r>
        <w:rPr>
          <w:sz w:val="22"/>
          <w:szCs w:val="22"/>
        </w:rPr>
        <w:t>/</w:t>
      </w:r>
      <w:r>
        <w:rPr>
          <w:rFonts w:hint="default"/>
          <w:sz w:val="22"/>
          <w:szCs w:val="22"/>
          <w:lang w:val="pt-BR"/>
        </w:rPr>
        <w:t>2021</w:t>
      </w:r>
      <w:r>
        <w:rPr>
          <w:sz w:val="22"/>
          <w:szCs w:val="22"/>
        </w:rPr>
        <w:t xml:space="preserve">, pelas condições deste edital e demais normas pertinentes, cuja minuta foi submetida ao exame prévio da Procuradoria Jurídica, ao qual constitui o </w:t>
      </w:r>
      <w:r>
        <w:rPr>
          <w:b/>
          <w:sz w:val="22"/>
          <w:szCs w:val="22"/>
          <w:highlight w:val="none"/>
          <w:u w:val="single"/>
        </w:rPr>
        <w:t xml:space="preserve">Anexo </w:t>
      </w:r>
      <w:r>
        <w:rPr>
          <w:rFonts w:hint="default"/>
          <w:b/>
          <w:sz w:val="22"/>
          <w:szCs w:val="22"/>
          <w:highlight w:val="none"/>
          <w:u w:val="single"/>
          <w:lang w:val="pt-BR"/>
        </w:rPr>
        <w:t>X</w:t>
      </w:r>
      <w:r>
        <w:rPr>
          <w:b/>
          <w:sz w:val="22"/>
          <w:szCs w:val="22"/>
          <w:highlight w:val="none"/>
          <w:u w:val="single"/>
        </w:rPr>
        <w:t>,</w:t>
      </w:r>
      <w:r>
        <w:rPr>
          <w:sz w:val="22"/>
          <w:szCs w:val="22"/>
          <w:highlight w:val="none"/>
        </w:rPr>
        <w:t xml:space="preserve"> </w:t>
      </w:r>
      <w:r>
        <w:rPr>
          <w:sz w:val="22"/>
          <w:szCs w:val="22"/>
        </w:rPr>
        <w:t xml:space="preserve">deste edital. </w:t>
      </w:r>
    </w:p>
    <w:p w14:paraId="70EC43DE">
      <w:pPr>
        <w:pStyle w:val="22"/>
        <w:widowControl w:val="0"/>
        <w:numPr>
          <w:ilvl w:val="0"/>
          <w:numId w:val="0"/>
        </w:numPr>
        <w:tabs>
          <w:tab w:val="left" w:pos="574"/>
        </w:tabs>
        <w:adjustRightInd w:val="0"/>
        <w:spacing w:before="120" w:after="120" w:line="360" w:lineRule="auto"/>
        <w:ind w:leftChars="0"/>
        <w:textAlignment w:val="baseline"/>
        <w:rPr>
          <w:sz w:val="22"/>
          <w:szCs w:val="22"/>
        </w:rPr>
      </w:pPr>
      <w:r>
        <w:rPr>
          <w:rFonts w:hint="default"/>
          <w:b/>
          <w:bCs/>
          <w:sz w:val="22"/>
          <w:szCs w:val="22"/>
          <w:lang w:val="pt-BR"/>
        </w:rPr>
        <w:t>13.2.</w:t>
      </w:r>
      <w:r>
        <w:rPr>
          <w:rFonts w:hint="default"/>
          <w:sz w:val="22"/>
          <w:szCs w:val="22"/>
          <w:lang w:val="pt-BR"/>
        </w:rPr>
        <w:t xml:space="preserve"> </w:t>
      </w:r>
      <w:r>
        <w:rPr>
          <w:sz w:val="22"/>
          <w:szCs w:val="22"/>
        </w:rPr>
        <w:t xml:space="preserve">A licitante adjudicatária será convocada no prazo de </w:t>
      </w:r>
      <w:r>
        <w:rPr>
          <w:b/>
          <w:sz w:val="22"/>
          <w:szCs w:val="22"/>
        </w:rPr>
        <w:t>até 05 (cinco) dias</w:t>
      </w:r>
      <w:r>
        <w:rPr>
          <w:sz w:val="22"/>
          <w:szCs w:val="22"/>
        </w:rPr>
        <w:t xml:space="preserve">, contados do recebimento da notificação, para celebrar o referido contrato, do qual farão parte o edital, a sua proposta de preço e Termo de Referência. </w:t>
      </w:r>
    </w:p>
    <w:p w14:paraId="642E76D7">
      <w:pPr>
        <w:pStyle w:val="22"/>
        <w:widowControl w:val="0"/>
        <w:numPr>
          <w:ilvl w:val="0"/>
          <w:numId w:val="0"/>
        </w:numPr>
        <w:tabs>
          <w:tab w:val="left" w:pos="574"/>
        </w:tabs>
        <w:adjustRightInd w:val="0"/>
        <w:spacing w:before="120" w:after="120" w:line="360" w:lineRule="auto"/>
        <w:ind w:leftChars="0"/>
        <w:textAlignment w:val="baseline"/>
        <w:rPr>
          <w:sz w:val="22"/>
          <w:szCs w:val="22"/>
        </w:rPr>
      </w:pPr>
      <w:r>
        <w:rPr>
          <w:rFonts w:hint="default"/>
          <w:b/>
          <w:bCs/>
          <w:sz w:val="22"/>
          <w:szCs w:val="22"/>
          <w:lang w:val="pt-BR"/>
        </w:rPr>
        <w:t>13.3.</w:t>
      </w:r>
      <w:r>
        <w:rPr>
          <w:rFonts w:hint="default"/>
          <w:sz w:val="22"/>
          <w:szCs w:val="22"/>
          <w:lang w:val="pt-BR"/>
        </w:rPr>
        <w:t xml:space="preserve"> </w:t>
      </w:r>
      <w:r>
        <w:rPr>
          <w:sz w:val="22"/>
          <w:szCs w:val="22"/>
        </w:rPr>
        <w:t>Se a licitante não assinar o contrato no prazo estabelecido, é facultado à Administração convidar as licitantes remanescentes, na ordem de classificação, para fazê-lo em igual prazo e nas mesmas condições propostas pelo primeiro classificado, inclusive quanto ao preço, ou revogar a licitação.</w:t>
      </w:r>
    </w:p>
    <w:p w14:paraId="1E70550B">
      <w:pPr>
        <w:pStyle w:val="22"/>
        <w:widowControl w:val="0"/>
        <w:numPr>
          <w:ilvl w:val="0"/>
          <w:numId w:val="0"/>
        </w:numPr>
        <w:tabs>
          <w:tab w:val="left" w:pos="574"/>
          <w:tab w:val="left" w:pos="1709"/>
        </w:tabs>
        <w:adjustRightInd w:val="0"/>
        <w:spacing w:before="120" w:after="120" w:line="360" w:lineRule="auto"/>
        <w:ind w:leftChars="0"/>
        <w:textAlignment w:val="baseline"/>
        <w:rPr>
          <w:sz w:val="22"/>
          <w:szCs w:val="22"/>
        </w:rPr>
      </w:pPr>
      <w:r>
        <w:rPr>
          <w:rFonts w:hint="default"/>
          <w:b/>
          <w:bCs/>
          <w:sz w:val="22"/>
          <w:szCs w:val="22"/>
          <w:lang w:val="pt-BR"/>
        </w:rPr>
        <w:t>13.4.</w:t>
      </w:r>
      <w:r>
        <w:rPr>
          <w:rFonts w:hint="default"/>
          <w:sz w:val="22"/>
          <w:szCs w:val="22"/>
          <w:lang w:val="pt-BR"/>
        </w:rPr>
        <w:t xml:space="preserve"> </w:t>
      </w:r>
      <w:r>
        <w:rPr>
          <w:sz w:val="22"/>
          <w:szCs w:val="22"/>
        </w:rPr>
        <w:t>O Contrato resultante da presente licitação só terá eficácia depois de aprovado pela autoridade competente e</w:t>
      </w:r>
      <w:r>
        <w:rPr>
          <w:rFonts w:hint="default"/>
          <w:sz w:val="22"/>
          <w:szCs w:val="22"/>
          <w:lang w:val="pt-BR"/>
        </w:rPr>
        <w:t xml:space="preserve"> ter seu extrato</w:t>
      </w:r>
      <w:r>
        <w:rPr>
          <w:sz w:val="22"/>
          <w:szCs w:val="22"/>
        </w:rPr>
        <w:t xml:space="preserve"> publicado no Diário Oficial. </w:t>
      </w:r>
    </w:p>
    <w:p w14:paraId="14C56657">
      <w:pPr>
        <w:pStyle w:val="22"/>
        <w:widowControl w:val="0"/>
        <w:numPr>
          <w:ilvl w:val="0"/>
          <w:numId w:val="0"/>
        </w:numPr>
        <w:tabs>
          <w:tab w:val="left" w:pos="574"/>
        </w:tabs>
        <w:adjustRightInd w:val="0"/>
        <w:spacing w:before="120" w:after="120" w:line="360" w:lineRule="auto"/>
        <w:ind w:leftChars="0"/>
        <w:textAlignment w:val="baseline"/>
        <w:rPr>
          <w:rFonts w:ascii="Arial" w:hAnsi="Arial" w:cs="Arial"/>
          <w:szCs w:val="22"/>
        </w:rPr>
      </w:pPr>
      <w:r>
        <w:rPr>
          <w:rFonts w:hint="default"/>
          <w:b/>
          <w:bCs/>
          <w:sz w:val="22"/>
          <w:szCs w:val="22"/>
          <w:lang w:val="pt-BR"/>
        </w:rPr>
        <w:t>13.5.</w:t>
      </w:r>
      <w:r>
        <w:rPr>
          <w:rFonts w:hint="default"/>
          <w:sz w:val="22"/>
          <w:szCs w:val="22"/>
          <w:lang w:val="pt-BR"/>
        </w:rPr>
        <w:t xml:space="preserve"> A licitante deverá m</w:t>
      </w:r>
      <w:r>
        <w:rPr>
          <w:sz w:val="22"/>
          <w:szCs w:val="22"/>
        </w:rPr>
        <w:t>anter, durante a execução do contrato, as mesmas características e condições de habilitação apresentadas durante o processo licitatório. Essa regularidade é indispensável para a emissão das notas de empenho e assinatura do contrato.</w:t>
      </w:r>
    </w:p>
    <w:p w14:paraId="3A01A8DC">
      <w:pPr>
        <w:pStyle w:val="6"/>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val="0"/>
          <w:bCs/>
          <w:sz w:val="22"/>
          <w:szCs w:val="22"/>
          <w:highlight w:val="none"/>
        </w:rPr>
      </w:pPr>
      <w:r>
        <w:rPr>
          <w:rFonts w:hint="default" w:cs="Arial"/>
          <w:sz w:val="22"/>
          <w:szCs w:val="22"/>
          <w:highlight w:val="none"/>
          <w:lang w:val="pt-BR"/>
        </w:rPr>
        <w:t xml:space="preserve">14. </w:t>
      </w:r>
      <w:r>
        <w:rPr>
          <w:rFonts w:cs="Arial"/>
          <w:sz w:val="22"/>
          <w:szCs w:val="22"/>
          <w:highlight w:val="none"/>
        </w:rPr>
        <w:t>DA</w:t>
      </w:r>
      <w:r>
        <w:rPr>
          <w:rFonts w:hint="default" w:cs="Arial"/>
          <w:sz w:val="22"/>
          <w:szCs w:val="22"/>
          <w:highlight w:val="none"/>
          <w:lang w:val="pt-BR"/>
        </w:rPr>
        <w:t>S CONDIÇÕES DE PAGAMENTO</w:t>
      </w:r>
    </w:p>
    <w:p w14:paraId="019F05EE">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4.1</w:t>
      </w:r>
      <w:r>
        <w:rPr>
          <w:rFonts w:hint="default" w:ascii="Arial" w:hAnsi="Arial" w:cs="Arial"/>
          <w:b/>
          <w:sz w:val="22"/>
          <w:szCs w:val="22"/>
          <w:highlight w:val="none"/>
        </w:rPr>
        <w:t>.</w:t>
      </w:r>
      <w:r>
        <w:rPr>
          <w:rFonts w:hint="default" w:ascii="Arial" w:hAnsi="Arial" w:eastAsia="Times New Roman" w:cs="Arial"/>
          <w:color w:val="000000"/>
          <w:sz w:val="22"/>
          <w:szCs w:val="22"/>
        </w:rPr>
        <w:t>O pagamento das obrigações contratuais deverá observar a ordem cronológica de exigibilidade para cada fonte diferenciada de recursos, separadamente por unidade orçamentária e subdividida nas seguintes categorias de contratações: I - fornecimento de bens; II - locações;</w:t>
      </w:r>
      <w:r>
        <w:rPr>
          <w:rFonts w:hint="default" w:ascii="Arial" w:hAnsi="Arial" w:cs="Arial"/>
          <w:color w:val="000000"/>
          <w:sz w:val="22"/>
          <w:szCs w:val="22"/>
          <w:lang w:val="pt-BR"/>
        </w:rPr>
        <w:t xml:space="preserve"> </w:t>
      </w:r>
      <w:r>
        <w:rPr>
          <w:rFonts w:hint="default" w:ascii="Arial" w:hAnsi="Arial" w:eastAsia="Times New Roman" w:cs="Arial"/>
          <w:color w:val="000000"/>
          <w:sz w:val="22"/>
          <w:szCs w:val="22"/>
        </w:rPr>
        <w:t>III - prestação de serviços; e IV - realização de obras</w:t>
      </w:r>
      <w:r>
        <w:rPr>
          <w:rFonts w:hint="default" w:ascii="Arial" w:hAnsi="Arial" w:cs="Arial"/>
          <w:color w:val="000000"/>
          <w:sz w:val="22"/>
          <w:szCs w:val="22"/>
          <w:lang w:val="pt-BR"/>
        </w:rPr>
        <w:t>, conforme determina o Decreto Municipal nº 129/2024.</w:t>
      </w:r>
    </w:p>
    <w:p w14:paraId="7DEADE69">
      <w:pPr>
        <w:pStyle w:val="134"/>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14.2. </w:t>
      </w:r>
      <w:r>
        <w:rPr>
          <w:rFonts w:hint="default" w:ascii="Arial" w:hAnsi="Arial" w:eastAsia="Times New Roman" w:cs="Arial"/>
          <w:color w:val="000000"/>
          <w:sz w:val="22"/>
          <w:szCs w:val="22"/>
        </w:rPr>
        <w:t>A ordem cronológica de exigibilidade terá como marco inicial, para efeito de inclusão do crédito na sequência de pagamentos, a liquidação de despesa.</w:t>
      </w:r>
    </w:p>
    <w:p w14:paraId="4FDABF59">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4.3.</w:t>
      </w:r>
      <w:r>
        <w:rPr>
          <w:rFonts w:hint="default" w:ascii="Arial" w:hAnsi="Arial" w:cs="Arial"/>
          <w:sz w:val="22"/>
          <w:szCs w:val="22"/>
        </w:rPr>
        <w:t xml:space="preserve"> </w:t>
      </w:r>
      <w:r>
        <w:rPr>
          <w:rFonts w:hint="default" w:ascii="Arial" w:hAnsi="Arial" w:eastAsia="Times New Roman" w:cs="Arial"/>
          <w:color w:val="000000"/>
          <w:sz w:val="22"/>
          <w:szCs w:val="22"/>
        </w:rPr>
        <w:t>Considera-se liquidação o segundo estágio da despesa pública e consiste na verificação do direito adquirido pelo credor, tendo por base os títulos e documentos comprobatórios do respectivo crédito, após a execução do objeto do gasto e atesto por servidor designado.</w:t>
      </w:r>
    </w:p>
    <w:p w14:paraId="79D6A2FC">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highlight w:val="none"/>
          <w:lang w:val="pt-BR"/>
        </w:rPr>
        <w:t>14.4.</w:t>
      </w:r>
      <w:r>
        <w:rPr>
          <w:rFonts w:hint="default" w:ascii="Arial" w:hAnsi="Arial" w:cs="Arial"/>
          <w:sz w:val="22"/>
          <w:szCs w:val="22"/>
          <w:highlight w:val="none"/>
        </w:rPr>
        <w:t xml:space="preserve"> </w:t>
      </w:r>
      <w:r>
        <w:rPr>
          <w:rFonts w:hint="default" w:ascii="Arial" w:hAnsi="Arial" w:eastAsia="Times New Roman" w:cs="Arial"/>
          <w:color w:val="000000"/>
          <w:sz w:val="22"/>
          <w:szCs w:val="22"/>
        </w:rPr>
        <w:t>Para os fins de liquidação, deverá ser observado o dispositivo no artigo 63 da Lei n° 4.320 de 17 de março de 1964 e instrução normativa 38/2009, certificando-se do adimplemento da obrigação do contratado nos prazos e forma previstos no contrato</w:t>
      </w:r>
      <w:r>
        <w:rPr>
          <w:rFonts w:hint="default" w:ascii="Arial" w:hAnsi="Arial" w:eastAsia="Times New Roman" w:cs="Arial"/>
          <w:color w:val="000000"/>
          <w:sz w:val="22"/>
          <w:szCs w:val="22"/>
          <w:lang w:val="pt-BR"/>
        </w:rPr>
        <w:t>.</w:t>
      </w:r>
    </w:p>
    <w:p w14:paraId="20FFBCB8">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eastAsia="Times New Roman" w:cs="Arial"/>
          <w:color w:val="000000"/>
          <w:sz w:val="22"/>
          <w:szCs w:val="22"/>
        </w:rPr>
      </w:pPr>
      <w:r>
        <w:rPr>
          <w:rFonts w:hint="default" w:ascii="Arial" w:hAnsi="Arial" w:eastAsia="Times New Roman" w:cs="Arial"/>
          <w:color w:val="000000"/>
          <w:sz w:val="22"/>
          <w:szCs w:val="22"/>
        </w:rPr>
        <w:t xml:space="preserve">Os prazos </w:t>
      </w:r>
      <w:r>
        <w:rPr>
          <w:rFonts w:hint="default" w:ascii="Arial" w:hAnsi="Arial" w:cs="Arial"/>
          <w:color w:val="000000"/>
          <w:sz w:val="22"/>
          <w:szCs w:val="22"/>
          <w:lang w:val="pt-BR"/>
        </w:rPr>
        <w:t xml:space="preserve">para que sejam efetuados os pagamento </w:t>
      </w:r>
      <w:r>
        <w:rPr>
          <w:rFonts w:hint="default" w:ascii="Arial" w:hAnsi="Arial" w:eastAsia="Times New Roman" w:cs="Arial"/>
          <w:color w:val="000000"/>
          <w:sz w:val="22"/>
          <w:szCs w:val="22"/>
        </w:rPr>
        <w:t>serão limitados a:</w:t>
      </w:r>
    </w:p>
    <w:p w14:paraId="4936C79B">
      <w:pPr>
        <w:keepNext w:val="0"/>
        <w:keepLines w:val="0"/>
        <w:pageBreakBefore w:val="0"/>
        <w:widowControl/>
        <w:numPr>
          <w:ilvl w:val="0"/>
          <w:numId w:val="12"/>
        </w:numPr>
        <w:tabs>
          <w:tab w:val="clear" w:pos="420"/>
        </w:tabs>
        <w:kinsoku/>
        <w:wordWrap/>
        <w:overflowPunct/>
        <w:topLinePunct w:val="0"/>
        <w:autoSpaceDE w:val="0"/>
        <w:autoSpaceDN w:val="0"/>
        <w:bidi w:val="0"/>
        <w:adjustRightInd w:val="0"/>
        <w:snapToGrid/>
        <w:spacing w:before="181" w:beforeLines="50" w:after="181" w:afterLines="50" w:line="360" w:lineRule="auto"/>
        <w:ind w:left="480" w:leftChars="0" w:firstLine="0" w:firstLineChars="0"/>
        <w:jc w:val="both"/>
        <w:textAlignment w:val="auto"/>
        <w:rPr>
          <w:rFonts w:hint="default" w:ascii="Arial" w:hAnsi="Arial" w:cs="Arial"/>
          <w:sz w:val="22"/>
          <w:szCs w:val="22"/>
        </w:rPr>
      </w:pPr>
      <w:r>
        <w:rPr>
          <w:rFonts w:hint="default" w:ascii="Arial" w:hAnsi="Arial" w:eastAsia="Times New Roman" w:cs="Arial"/>
          <w:color w:val="000000"/>
          <w:sz w:val="22"/>
          <w:szCs w:val="22"/>
        </w:rPr>
        <w:t>até 10 dias para a liquidação e encaminhamento para pagamento, a contar do recebimento da nota fiscal ou instrumento de cobra</w:t>
      </w:r>
      <w:r>
        <w:rPr>
          <w:rFonts w:hint="default" w:ascii="Arial" w:hAnsi="Arial" w:eastAsia="Times New Roman" w:cs="Arial"/>
          <w:color w:val="000000"/>
          <w:sz w:val="22"/>
          <w:szCs w:val="22"/>
          <w:lang w:val="pt-BR"/>
        </w:rPr>
        <w:t>n</w:t>
      </w:r>
      <w:r>
        <w:rPr>
          <w:rFonts w:hint="default" w:ascii="Arial" w:hAnsi="Arial" w:eastAsia="Times New Roman" w:cs="Arial"/>
          <w:color w:val="000000"/>
          <w:sz w:val="22"/>
          <w:szCs w:val="22"/>
        </w:rPr>
        <w:t>ça equivalente pela unidade Administrativa responsável pela despesa;</w:t>
      </w:r>
    </w:p>
    <w:p w14:paraId="284FDF38">
      <w:pPr>
        <w:keepNext w:val="0"/>
        <w:keepLines w:val="0"/>
        <w:pageBreakBefore w:val="0"/>
        <w:widowControl/>
        <w:numPr>
          <w:ilvl w:val="0"/>
          <w:numId w:val="12"/>
        </w:numPr>
        <w:tabs>
          <w:tab w:val="clear" w:pos="420"/>
        </w:tabs>
        <w:kinsoku/>
        <w:wordWrap/>
        <w:overflowPunct/>
        <w:topLinePunct w:val="0"/>
        <w:autoSpaceDE w:val="0"/>
        <w:autoSpaceDN w:val="0"/>
        <w:bidi w:val="0"/>
        <w:adjustRightInd w:val="0"/>
        <w:snapToGrid/>
        <w:spacing w:before="181" w:beforeLines="50" w:after="181" w:afterLines="50" w:line="360" w:lineRule="auto"/>
        <w:ind w:left="480" w:leftChars="0" w:firstLine="0" w:firstLineChars="0"/>
        <w:jc w:val="both"/>
        <w:textAlignment w:val="auto"/>
        <w:rPr>
          <w:rFonts w:hint="default" w:ascii="Arial" w:hAnsi="Arial" w:eastAsia="Times New Roman" w:cs="Arial"/>
          <w:color w:val="000000"/>
          <w:sz w:val="22"/>
          <w:szCs w:val="22"/>
        </w:rPr>
      </w:pPr>
      <w:r>
        <w:rPr>
          <w:rFonts w:hint="default" w:ascii="Arial" w:hAnsi="Arial" w:cs="Arial"/>
          <w:color w:val="000000"/>
          <w:sz w:val="22"/>
          <w:szCs w:val="22"/>
          <w:lang w:val="pt-BR"/>
        </w:rPr>
        <w:t>a</w:t>
      </w:r>
      <w:r>
        <w:rPr>
          <w:rFonts w:hint="default" w:ascii="Arial" w:hAnsi="Arial" w:cs="Arial"/>
          <w:color w:val="000000"/>
          <w:sz w:val="22"/>
          <w:szCs w:val="22"/>
        </w:rPr>
        <w:t>t</w:t>
      </w:r>
      <w:r>
        <w:rPr>
          <w:rFonts w:hint="default" w:ascii="Arial" w:hAnsi="Arial" w:cs="Arial"/>
          <w:color w:val="000000"/>
          <w:sz w:val="22"/>
          <w:szCs w:val="22"/>
          <w:lang w:val="pt-BR"/>
        </w:rPr>
        <w:t xml:space="preserve">é </w:t>
      </w:r>
      <w:r>
        <w:rPr>
          <w:rFonts w:hint="default" w:ascii="Arial" w:hAnsi="Arial" w:cs="Arial"/>
          <w:color w:val="000000"/>
          <w:sz w:val="22"/>
          <w:szCs w:val="22"/>
        </w:rPr>
        <w:t>20 dias para pagamento, a contar da liquida</w:t>
      </w:r>
      <w:r>
        <w:rPr>
          <w:rFonts w:hint="default" w:ascii="Arial" w:hAnsi="Arial" w:cs="Arial"/>
          <w:color w:val="000000"/>
          <w:sz w:val="22"/>
          <w:szCs w:val="22"/>
          <w:lang w:val="pt-BR"/>
        </w:rPr>
        <w:t>ção;</w:t>
      </w:r>
    </w:p>
    <w:p w14:paraId="57427653">
      <w:pPr>
        <w:keepNext w:val="0"/>
        <w:keepLines w:val="0"/>
        <w:pageBreakBefore w:val="0"/>
        <w:widowControl/>
        <w:numPr>
          <w:ilvl w:val="0"/>
          <w:numId w:val="12"/>
        </w:numPr>
        <w:tabs>
          <w:tab w:val="clear" w:pos="420"/>
        </w:tabs>
        <w:kinsoku/>
        <w:wordWrap/>
        <w:overflowPunct/>
        <w:topLinePunct w:val="0"/>
        <w:autoSpaceDE w:val="0"/>
        <w:autoSpaceDN w:val="0"/>
        <w:bidi w:val="0"/>
        <w:adjustRightInd w:val="0"/>
        <w:snapToGrid/>
        <w:spacing w:before="181" w:beforeLines="50" w:after="181" w:afterLines="50" w:line="360" w:lineRule="auto"/>
        <w:ind w:left="480" w:leftChars="0" w:firstLine="0" w:firstLineChars="0"/>
        <w:jc w:val="both"/>
        <w:textAlignment w:val="auto"/>
        <w:rPr>
          <w:rFonts w:hint="default" w:ascii="Arial" w:hAnsi="Arial" w:eastAsia="Times New Roman" w:cs="Arial"/>
          <w:color w:val="000000"/>
          <w:sz w:val="22"/>
          <w:szCs w:val="22"/>
        </w:rPr>
      </w:pPr>
      <w:r>
        <w:rPr>
          <w:rFonts w:hint="default" w:ascii="Arial" w:hAnsi="Arial" w:eastAsia="Times New Roman" w:cs="Arial"/>
          <w:color w:val="000000"/>
          <w:sz w:val="22"/>
          <w:szCs w:val="22"/>
          <w:lang w:val="pt-BR"/>
        </w:rPr>
        <w:t>a</w:t>
      </w:r>
      <w:r>
        <w:rPr>
          <w:rFonts w:hint="default" w:ascii="Arial" w:hAnsi="Arial" w:eastAsia="Times New Roman" w:cs="Arial"/>
          <w:color w:val="000000"/>
          <w:sz w:val="22"/>
          <w:szCs w:val="22"/>
        </w:rPr>
        <w:t xml:space="preserve">pós a liquidação, o órgão responsável deverá encaminhar o processo para pagamento em até 3 dias a contar da data do atesto, respeitado o prazo definido </w:t>
      </w:r>
      <w:r>
        <w:rPr>
          <w:rFonts w:hint="default" w:ascii="Arial" w:hAnsi="Arial" w:cs="Arial"/>
          <w:color w:val="000000"/>
          <w:sz w:val="22"/>
          <w:szCs w:val="22"/>
          <w:lang w:val="pt-BR"/>
        </w:rPr>
        <w:t>(até 10 dias para liquidação e encaminhamento).</w:t>
      </w:r>
    </w:p>
    <w:p w14:paraId="086DDFE4">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4.5.</w:t>
      </w:r>
      <w:r>
        <w:rPr>
          <w:rFonts w:hint="default" w:ascii="Arial" w:hAnsi="Arial" w:cs="Arial"/>
          <w:sz w:val="22"/>
          <w:szCs w:val="22"/>
        </w:rPr>
        <w:t xml:space="preserve"> </w:t>
      </w:r>
      <w:r>
        <w:rPr>
          <w:rFonts w:hint="default" w:ascii="Arial" w:hAnsi="Arial" w:eastAsia="Times New Roman" w:cs="Arial"/>
          <w:color w:val="000000"/>
          <w:sz w:val="22"/>
          <w:szCs w:val="22"/>
        </w:rPr>
        <w:t xml:space="preserve">O prazo para a solução, pelo contratado, de inconsistências na execução do objeto ou de saneamento da nota fiscal ou de instrumento de cobrança equivalente, verificadas pela administração durante a análise prévia à liquidação da despesa, não será computado </w:t>
      </w:r>
      <w:r>
        <w:rPr>
          <w:rFonts w:hint="default" w:ascii="Arial" w:hAnsi="Arial" w:cs="Arial"/>
          <w:color w:val="000000"/>
          <w:sz w:val="22"/>
          <w:szCs w:val="22"/>
          <w:lang w:val="pt-BR"/>
        </w:rPr>
        <w:t>no prazo para liquidação e pagamento.</w:t>
      </w:r>
    </w:p>
    <w:p w14:paraId="67C01EA6">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4.6.</w:t>
      </w:r>
      <w:r>
        <w:rPr>
          <w:rFonts w:hint="default" w:ascii="Arial" w:hAnsi="Arial" w:cs="Arial"/>
          <w:sz w:val="22"/>
          <w:szCs w:val="22"/>
        </w:rPr>
        <w:t xml:space="preserve"> </w:t>
      </w:r>
      <w:r>
        <w:rPr>
          <w:rFonts w:hint="default" w:ascii="Arial" w:hAnsi="Arial" w:eastAsia="Times New Roman" w:cs="Arial"/>
          <w:color w:val="000000"/>
          <w:sz w:val="22"/>
          <w:szCs w:val="22"/>
        </w:rPr>
        <w:t>Na hipótese de caso fortuito ou força maior, que impeça a liquidação ou o pagamento da despesa, o prazo para o pagamento será suspenso até a sua regularização, devendo ser mantida a posição da ordem cronológica que a despesa originalmente estava inscrita</w:t>
      </w:r>
      <w:r>
        <w:rPr>
          <w:rFonts w:hint="default" w:ascii="Arial" w:hAnsi="Arial" w:eastAsia="Times New Roman" w:cs="Arial"/>
          <w:color w:val="000000"/>
          <w:sz w:val="22"/>
          <w:szCs w:val="22"/>
          <w:lang w:val="pt-BR"/>
        </w:rPr>
        <w:t>.</w:t>
      </w:r>
      <w:r>
        <w:rPr>
          <w:rFonts w:hint="default" w:ascii="Arial" w:hAnsi="Arial" w:cs="Arial"/>
          <w:color w:val="auto"/>
          <w:sz w:val="22"/>
          <w:szCs w:val="22"/>
          <w:u w:val="none"/>
          <w:lang w:eastAsia="en-US"/>
        </w:rPr>
        <w:t xml:space="preserve"> </w:t>
      </w:r>
    </w:p>
    <w:p w14:paraId="11AC85B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4.7.</w:t>
      </w:r>
      <w:r>
        <w:rPr>
          <w:rFonts w:hint="default" w:ascii="Arial" w:hAnsi="Arial" w:cs="Arial"/>
          <w:sz w:val="22"/>
          <w:szCs w:val="22"/>
        </w:rPr>
        <w:t xml:space="preserve"> </w:t>
      </w:r>
      <w:r>
        <w:rPr>
          <w:rFonts w:hint="default" w:ascii="Arial" w:hAnsi="Arial" w:eastAsia="Times New Roman" w:cs="Arial"/>
          <w:color w:val="000000"/>
          <w:sz w:val="22"/>
          <w:szCs w:val="22"/>
        </w:rPr>
        <w:t>Previamente ao pagamento, a administração deve verificar a manutenção das condições exigidas para habilitação na licitação, ou para a qualificação na contratação direta, bem como eventual aplicação de sanção administrativa.</w:t>
      </w:r>
    </w:p>
    <w:p w14:paraId="7CDE177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ind w:left="480" w:leftChars="200" w:firstLine="0" w:firstLineChars="0"/>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 xml:space="preserve">4.7.1. </w:t>
      </w:r>
      <w:r>
        <w:rPr>
          <w:rFonts w:hint="default" w:ascii="Arial" w:hAnsi="Arial" w:eastAsia="Times New Roman" w:cs="Arial"/>
          <w:color w:val="000000"/>
          <w:sz w:val="22"/>
          <w:szCs w:val="22"/>
        </w:rPr>
        <w:t>verificadas quaisquer irregularidades, a administração deverá notificar o fornecedor contratado para que regularize a sua situação, sem prejuízo do prosseguimento do processo de pagamento;</w:t>
      </w:r>
    </w:p>
    <w:p w14:paraId="532398C6">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4.8.</w:t>
      </w:r>
      <w:r>
        <w:rPr>
          <w:rFonts w:hint="default" w:ascii="Arial" w:hAnsi="Arial" w:cs="Arial"/>
          <w:sz w:val="22"/>
          <w:szCs w:val="22"/>
        </w:rPr>
        <w:t xml:space="preserve"> </w:t>
      </w:r>
      <w:r>
        <w:rPr>
          <w:rFonts w:hint="default" w:ascii="Arial" w:hAnsi="Arial" w:eastAsia="Times New Roman" w:cs="Arial"/>
          <w:color w:val="000000"/>
          <w:sz w:val="22"/>
          <w:szCs w:val="22"/>
        </w:rPr>
        <w:t>A permanecência da condição de irregularidade devidamente notificada anteriormente sem a devida justificativa ou com justificativa não aceita pela administração, culminará em suspensão dos pagamentos e rescisão contratual, sem prejuízo da apuração de responsabilidade e da aplicação de penalidades cabíveis, observado o contraditório e ampla defesa</w:t>
      </w:r>
      <w:r>
        <w:rPr>
          <w:rFonts w:hint="default" w:ascii="Arial" w:hAnsi="Arial" w:eastAsia="Times New Roman" w:cs="Arial"/>
          <w:color w:val="000000"/>
          <w:sz w:val="22"/>
          <w:szCs w:val="22"/>
          <w:lang w:val="pt-BR"/>
        </w:rPr>
        <w:t>.</w:t>
      </w:r>
    </w:p>
    <w:p w14:paraId="4E3C450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Times New Roman" w:cs="Arial"/>
          <w:color w:val="000000"/>
          <w:sz w:val="22"/>
          <w:szCs w:val="22"/>
        </w:rPr>
      </w:pPr>
      <w:bookmarkStart w:id="44" w:name="_Hlk157075646"/>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4.9.</w:t>
      </w:r>
      <w:r>
        <w:rPr>
          <w:rFonts w:hint="default" w:ascii="Arial" w:hAnsi="Arial" w:eastAsia="Calibri" w:cs="Arial"/>
          <w:sz w:val="22"/>
          <w:szCs w:val="22"/>
          <w:lang w:eastAsia="en-US"/>
        </w:rPr>
        <w:t xml:space="preserve"> </w:t>
      </w:r>
      <w:r>
        <w:rPr>
          <w:rFonts w:hint="default" w:ascii="Arial" w:hAnsi="Arial" w:eastAsia="Times New Roman" w:cs="Arial"/>
          <w:color w:val="000000"/>
          <w:sz w:val="22"/>
          <w:szCs w:val="22"/>
        </w:rPr>
        <w:t xml:space="preserve">É facultada a retenção </w:t>
      </w:r>
      <w:r>
        <w:rPr>
          <w:rFonts w:hint="default" w:ascii="Arial" w:hAnsi="Arial" w:eastAsia="Times New Roman" w:cs="Arial"/>
          <w:i/>
          <w:color w:val="000000"/>
          <w:sz w:val="22"/>
          <w:szCs w:val="22"/>
        </w:rPr>
        <w:t xml:space="preserve">ad cautelam </w:t>
      </w:r>
      <w:r>
        <w:rPr>
          <w:rFonts w:hint="default" w:ascii="Arial" w:hAnsi="Arial" w:eastAsia="Times New Roman" w:cs="Arial"/>
          <w:color w:val="000000"/>
          <w:sz w:val="22"/>
          <w:szCs w:val="22"/>
        </w:rPr>
        <w:t>dos créditos decorrentres do contrato, até o limite dos prejuízos causados a administração pública e das multas aplicadas de acordo com a Lei Federal 14.133 de 2021, regulamento municipal próprio sobr o tema.</w:t>
      </w:r>
    </w:p>
    <w:p w14:paraId="147679E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r>
        <w:rPr>
          <w:rFonts w:hint="default" w:ascii="Arial" w:hAnsi="Arial" w:eastAsia="Times New Roman" w:cs="Arial"/>
          <w:b/>
          <w:bCs/>
          <w:color w:val="000000"/>
          <w:sz w:val="22"/>
          <w:szCs w:val="22"/>
          <w:lang w:val="pt-BR"/>
        </w:rPr>
        <w:t>14.10.</w:t>
      </w:r>
      <w:r>
        <w:rPr>
          <w:rFonts w:hint="default" w:ascii="Arial" w:hAnsi="Arial" w:eastAsia="Times New Roman" w:cs="Arial"/>
          <w:color w:val="000000"/>
          <w:sz w:val="22"/>
          <w:szCs w:val="22"/>
          <w:lang w:val="pt-BR"/>
        </w:rPr>
        <w:t xml:space="preserve"> </w:t>
      </w:r>
      <w:r>
        <w:rPr>
          <w:rFonts w:hint="default" w:ascii="Arial" w:hAnsi="Arial" w:eastAsia="Calibri" w:cs="Arial"/>
          <w:sz w:val="22"/>
          <w:szCs w:val="22"/>
          <w:lang w:eastAsia="en-US"/>
        </w:rPr>
        <w:t xml:space="preserve">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bookmarkEnd w:id="44"/>
    <w:p w14:paraId="1D6845D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4.11.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2A1E3389">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4.12.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189AD25D">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4.13.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7D705DDB">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4.14.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59908ACE">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4.15.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3294B50F">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4.16.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4</w:t>
      </w:r>
      <w:r>
        <w:rPr>
          <w:rFonts w:hint="default" w:ascii="Arial" w:hAnsi="Arial" w:cs="Arial"/>
          <w:sz w:val="22"/>
          <w:szCs w:val="22"/>
        </w:rPr>
        <w:t>.</w:t>
      </w:r>
      <w:r>
        <w:rPr>
          <w:rFonts w:hint="default" w:ascii="Arial" w:hAnsi="Arial" w:cs="Arial"/>
          <w:sz w:val="22"/>
          <w:szCs w:val="22"/>
          <w:lang w:val="pt-BR"/>
        </w:rPr>
        <w:t>4.</w:t>
      </w:r>
      <w:r>
        <w:rPr>
          <w:rFonts w:hint="default" w:ascii="Arial" w:hAnsi="Arial" w:cs="Arial"/>
          <w:sz w:val="22"/>
          <w:szCs w:val="22"/>
        </w:rPr>
        <w:t xml:space="preserve"> somente se iniciará com a devida regularização das pendências. </w:t>
      </w:r>
    </w:p>
    <w:p w14:paraId="09C5C187">
      <w:pPr>
        <w:pStyle w:val="134"/>
        <w:numPr>
          <w:ilvl w:val="0"/>
          <w:numId w:val="0"/>
        </w:numPr>
        <w:spacing w:line="360" w:lineRule="auto"/>
        <w:ind w:leftChars="0"/>
        <w:jc w:val="both"/>
        <w:rPr>
          <w:rFonts w:hint="default" w:ascii="Arial" w:hAnsi="Arial" w:eastAsia="SimSun" w:cs="Arial"/>
          <w:b w:val="0"/>
          <w:bCs w:val="0"/>
          <w:sz w:val="22"/>
          <w:szCs w:val="22"/>
        </w:rPr>
      </w:pPr>
      <w:r>
        <w:rPr>
          <w:rFonts w:hint="default" w:ascii="Arial" w:hAnsi="Arial" w:cs="Arial"/>
          <w:b/>
          <w:bCs/>
          <w:sz w:val="22"/>
          <w:szCs w:val="22"/>
          <w:highlight w:val="none"/>
          <w:lang w:val="pt-BR" w:eastAsia="en-US"/>
        </w:rPr>
        <w:t>1</w:t>
      </w:r>
      <w:r>
        <w:rPr>
          <w:rFonts w:hint="default" w:cs="Arial"/>
          <w:b/>
          <w:bCs/>
          <w:sz w:val="22"/>
          <w:szCs w:val="22"/>
          <w:highlight w:val="none"/>
          <w:lang w:val="pt-BR" w:eastAsia="en-US"/>
        </w:rPr>
        <w:t>4</w:t>
      </w:r>
      <w:r>
        <w:rPr>
          <w:rFonts w:hint="default" w:ascii="Arial" w:hAnsi="Arial" w:cs="Arial"/>
          <w:b/>
          <w:bCs/>
          <w:sz w:val="22"/>
          <w:szCs w:val="22"/>
          <w:highlight w:val="none"/>
          <w:lang w:val="pt-BR" w:eastAsia="en-US"/>
        </w:rPr>
        <w:t>.</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lang w:val="pt-BR"/>
        </w:rPr>
        <w:t xml:space="preserve">Em </w:t>
      </w:r>
      <w:r>
        <w:rPr>
          <w:rFonts w:hint="default" w:ascii="Arial" w:hAnsi="Arial" w:eastAsia="SimSun" w:cs="Arial"/>
          <w:b w:val="0"/>
          <w:bCs w:val="0"/>
          <w:sz w:val="22"/>
          <w:szCs w:val="22"/>
        </w:rPr>
        <w:t>caso de eventua</w:t>
      </w:r>
      <w:r>
        <w:rPr>
          <w:rFonts w:hint="default" w:ascii="Arial" w:hAnsi="Arial" w:cs="Arial"/>
          <w:b w:val="0"/>
          <w:bCs w:val="0"/>
          <w:sz w:val="22"/>
          <w:szCs w:val="22"/>
          <w:lang w:val="pt-BR"/>
        </w:rPr>
        <w:t>l</w:t>
      </w:r>
      <w:r>
        <w:rPr>
          <w:rFonts w:hint="default" w:ascii="Arial" w:hAnsi="Arial" w:eastAsia="SimSun" w:cs="Arial"/>
          <w:b w:val="0"/>
          <w:bCs w:val="0"/>
          <w:sz w:val="22"/>
          <w:szCs w:val="22"/>
        </w:rPr>
        <w:t xml:space="preserve"> atraso de pagamento, desde que a CONTRATADA não tenha concorrido de alguma forma para tanto, fica convencionado</w:t>
      </w:r>
      <w:r>
        <w:rPr>
          <w:rFonts w:hint="default" w:ascii="Arial" w:hAnsi="Arial" w:cs="Arial"/>
          <w:b w:val="0"/>
          <w:bCs w:val="0"/>
          <w:sz w:val="22"/>
          <w:szCs w:val="22"/>
          <w:lang w:val="pt-BR"/>
        </w:rPr>
        <w:t>,</w:t>
      </w:r>
      <w:r>
        <w:rPr>
          <w:rFonts w:hint="default" w:ascii="Arial" w:hAnsi="Arial" w:eastAsia="SimSun" w:cs="Arial"/>
          <w:b w:val="0"/>
          <w:bCs w:val="0"/>
          <w:sz w:val="22"/>
          <w:szCs w:val="22"/>
        </w:rPr>
        <w:t xml:space="preserve"> </w:t>
      </w:r>
      <w:r>
        <w:rPr>
          <w:rFonts w:hint="default" w:ascii="Arial" w:hAnsi="Arial" w:cs="Arial"/>
          <w:sz w:val="22"/>
          <w:szCs w:val="22"/>
          <w:highlight w:val="none"/>
        </w:rPr>
        <w:t>para fins de</w:t>
      </w:r>
      <w:r>
        <w:rPr>
          <w:rFonts w:hint="default" w:ascii="Arial" w:hAnsi="Arial"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w:t>
      </w:r>
      <w:r>
        <w:rPr>
          <w:rFonts w:hint="default" w:ascii="Arial" w:hAnsi="Arial" w:cs="Arial"/>
          <w:sz w:val="22"/>
          <w:szCs w:val="22"/>
          <w:highlight w:val="none"/>
          <w:lang w:val="pt-BR"/>
        </w:rPr>
        <w:t>,</w:t>
      </w:r>
      <w:r>
        <w:rPr>
          <w:rFonts w:hint="default" w:ascii="Arial" w:hAnsi="Arial" w:eastAsia="SimSun" w:cs="Arial"/>
          <w:b w:val="0"/>
          <w:bCs w:val="0"/>
          <w:sz w:val="22"/>
          <w:szCs w:val="22"/>
        </w:rPr>
        <w:t xml:space="preserve"> devidos pel</w:t>
      </w:r>
      <w:r>
        <w:rPr>
          <w:rFonts w:hint="default" w:ascii="Arial" w:hAnsi="Arial" w:eastAsia="SimSun" w:cs="Arial"/>
          <w:b w:val="0"/>
          <w:bCs w:val="0"/>
          <w:sz w:val="22"/>
          <w:szCs w:val="22"/>
          <w:lang w:val="pt-BR"/>
        </w:rPr>
        <w:t>a</w:t>
      </w:r>
      <w:r>
        <w:rPr>
          <w:rFonts w:hint="default" w:ascii="Arial" w:hAnsi="Arial" w:eastAsia="SimSun" w:cs="Arial"/>
          <w:b w:val="0"/>
          <w:bCs w:val="0"/>
          <w:sz w:val="22"/>
          <w:szCs w:val="22"/>
        </w:rPr>
        <w:t xml:space="preserve"> CONTRATANTE, entre o término do prazo </w:t>
      </w:r>
      <w:r>
        <w:rPr>
          <w:rFonts w:hint="default" w:ascii="Arial" w:hAnsi="Arial" w:cs="Arial"/>
          <w:b w:val="0"/>
          <w:bCs w:val="0"/>
          <w:sz w:val="22"/>
          <w:szCs w:val="22"/>
          <w:lang w:val="pt-BR"/>
        </w:rPr>
        <w:t xml:space="preserve">para pagamento </w:t>
      </w:r>
      <w:r>
        <w:rPr>
          <w:rFonts w:hint="default" w:ascii="Arial" w:hAnsi="Arial" w:eastAsia="SimSun" w:cs="Arial"/>
          <w:b w:val="0"/>
          <w:bCs w:val="0"/>
          <w:sz w:val="22"/>
          <w:szCs w:val="22"/>
        </w:rPr>
        <w:t>e a data do efetivo pagamento da nota fiscal/fatura, a serem incluídos em fatura própria, são calculados por meio da aplicação da seguinte fórmula: EM = I x N x VP, onde:</w:t>
      </w:r>
    </w:p>
    <w:p w14:paraId="662E8A3A">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EM = Encargos Moratórios;</w:t>
      </w:r>
    </w:p>
    <w:p w14:paraId="1BE6C147">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N = Número de dias entre a data prevista para o pagamento e a do efetivo pagamento;</w:t>
      </w:r>
    </w:p>
    <w:p w14:paraId="29EEF982">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VP = Valor da parcela em atraso;</w:t>
      </w:r>
    </w:p>
    <w:p w14:paraId="46E131D8">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I = Índice de compensação financeira = 0,00016438, assim apurado:</w:t>
      </w:r>
    </w:p>
    <w:p w14:paraId="4729EE82">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I = i / 365</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 xml:space="preserve"> </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 xml:space="preserve">I = 6/ 100 / 365 </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I = 0,00016438</w:t>
      </w:r>
    </w:p>
    <w:p w14:paraId="7C69B6C3">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Onde i = taxa percentual anual no valor de 6%</w:t>
      </w:r>
    </w:p>
    <w:p w14:paraId="5C96F9B4">
      <w:pPr>
        <w:pStyle w:val="3"/>
        <w:numPr>
          <w:ilvl w:val="0"/>
          <w:numId w:val="0"/>
        </w:numPr>
        <w:spacing w:before="93" w:line="360" w:lineRule="auto"/>
        <w:ind w:left="960" w:leftChars="400" w:right="0" w:rightChars="0" w:firstLine="0" w:firstLineChars="0"/>
        <w:jc w:val="both"/>
        <w:rPr>
          <w:rFonts w:hint="default" w:ascii="Times New Roman" w:hAnsi="Times New Roman" w:eastAsia="SimSun" w:cs="Times New Roman"/>
          <w:b w:val="0"/>
          <w:bCs w:val="0"/>
          <w:sz w:val="24"/>
          <w:szCs w:val="24"/>
          <w:u w:val="none"/>
          <w:lang w:val="pt-BR" w:eastAsia="en-US"/>
        </w:rPr>
      </w:pPr>
    </w:p>
    <w:p w14:paraId="7E72E260">
      <w:pPr>
        <w:pStyle w:val="134"/>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14.18.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6C73AD05">
      <w:pPr>
        <w:pStyle w:val="134"/>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14.19.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52D71C44">
      <w:pPr>
        <w:pStyle w:val="134"/>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14.20.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7BF13762">
      <w:pPr>
        <w:pStyle w:val="137"/>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14.20.1.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24484907">
      <w:pPr>
        <w:pStyle w:val="137"/>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14.20.2.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6D52D5BD">
      <w:pPr>
        <w:pStyle w:val="137"/>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14.20.3.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sz w:val="22"/>
          <w:szCs w:val="22"/>
          <w:lang w:val="pt-BR" w:eastAsia="en-US"/>
        </w:rPr>
        <w:t>o Contrato</w:t>
      </w:r>
      <w:r>
        <w:rPr>
          <w:rFonts w:hint="default" w:ascii="Arial" w:hAnsi="Arial" w:cs="Arial"/>
          <w:sz w:val="22"/>
          <w:szCs w:val="22"/>
          <w:lang w:eastAsia="en-US"/>
        </w:rPr>
        <w:t xml:space="preserve"> e do órgão contratante; </w:t>
      </w:r>
    </w:p>
    <w:p w14:paraId="5B145DB7">
      <w:pPr>
        <w:pStyle w:val="137"/>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14.20.4.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sz w:val="22"/>
          <w:szCs w:val="22"/>
          <w:lang w:val="pt-BR" w:eastAsia="en-US"/>
        </w:rPr>
        <w:t>o Contrato</w:t>
      </w:r>
      <w:r>
        <w:rPr>
          <w:rFonts w:hint="default" w:ascii="Arial" w:hAnsi="Arial" w:cs="Arial"/>
          <w:sz w:val="22"/>
          <w:szCs w:val="22"/>
          <w:lang w:eastAsia="en-US"/>
        </w:rPr>
        <w:t xml:space="preserve">; </w:t>
      </w:r>
    </w:p>
    <w:p w14:paraId="3953C6C0">
      <w:pPr>
        <w:pStyle w:val="137"/>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14.20.5.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51230359">
      <w:pPr>
        <w:pStyle w:val="137"/>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14.20.6.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0DAFEDD1">
      <w:pPr>
        <w:pStyle w:val="134"/>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14.21.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775F4527">
      <w:pPr>
        <w:pStyle w:val="134"/>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14.22.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2BC28A93">
      <w:pPr>
        <w:pStyle w:val="134"/>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14.23.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2A7EC5E1">
      <w:pPr>
        <w:pStyle w:val="134"/>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14.24.</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sz w:val="22"/>
          <w:szCs w:val="22"/>
          <w:lang w:val="pt-BR" w:eastAsia="en-US"/>
        </w:rPr>
        <w:t>o Contrato</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5DF6BB16">
      <w:pPr>
        <w:spacing w:before="240" w:after="240" w:line="360" w:lineRule="auto"/>
        <w:jc w:val="both"/>
        <w:rPr>
          <w:rFonts w:ascii="Arial" w:hAnsi="Arial" w:cs="Arial"/>
          <w:sz w:val="22"/>
          <w:szCs w:val="22"/>
        </w:rPr>
      </w:pPr>
      <w:r>
        <w:rPr>
          <w:rFonts w:hint="default" w:ascii="Arial" w:hAnsi="Arial" w:cs="Arial"/>
          <w:b/>
          <w:sz w:val="22"/>
          <w:szCs w:val="22"/>
          <w:lang w:val="pt-BR"/>
        </w:rPr>
        <w:t>14.25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5AA12075">
      <w:pPr>
        <w:pStyle w:val="119"/>
        <w:suppressLineNumbers w:val="0"/>
        <w:spacing w:before="240" w:after="240" w:line="360" w:lineRule="auto"/>
      </w:pPr>
      <w:r>
        <w:rPr>
          <w:rFonts w:hint="default"/>
          <w:b/>
          <w:lang w:val="pt-BR"/>
        </w:rPr>
        <w:t>14.26</w:t>
      </w:r>
      <w:r>
        <w:rPr>
          <w:b/>
        </w:rPr>
        <w:t>.</w:t>
      </w:r>
      <w:r>
        <w:t xml:space="preserve"> Na eventualidade de aplicação de multas, estas deverão ser liquidadas simultaneamente com parcela vinculada ao evento cujo descumprimento der origem à aplicação da penalidade.</w:t>
      </w:r>
    </w:p>
    <w:p w14:paraId="02909364">
      <w:pPr>
        <w:spacing w:before="240" w:after="240" w:line="360" w:lineRule="auto"/>
        <w:jc w:val="both"/>
        <w:rPr>
          <w:rFonts w:ascii="Arial" w:hAnsi="Arial" w:cs="Arial"/>
          <w:sz w:val="22"/>
          <w:szCs w:val="22"/>
        </w:rPr>
      </w:pPr>
      <w:r>
        <w:rPr>
          <w:rFonts w:hint="default" w:ascii="Arial" w:hAnsi="Arial" w:cs="Arial"/>
          <w:b/>
          <w:sz w:val="22"/>
          <w:szCs w:val="22"/>
          <w:lang w:val="pt-BR"/>
        </w:rPr>
        <w:t>14.27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0274B2B4">
      <w:pPr>
        <w:spacing w:before="240" w:after="240" w:line="360" w:lineRule="auto"/>
        <w:jc w:val="both"/>
        <w:rPr>
          <w:rFonts w:ascii="Arial" w:hAnsi="Arial" w:cs="Arial"/>
          <w:sz w:val="22"/>
          <w:szCs w:val="22"/>
        </w:rPr>
      </w:pPr>
      <w:r>
        <w:rPr>
          <w:rFonts w:hint="default" w:ascii="Arial" w:hAnsi="Arial" w:cs="Arial"/>
          <w:b/>
          <w:sz w:val="22"/>
          <w:szCs w:val="22"/>
          <w:lang w:val="pt-BR"/>
        </w:rPr>
        <w:t>14.28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6036C3CA">
      <w:pPr>
        <w:pStyle w:val="17"/>
        <w:widowControl w:val="0"/>
        <w:adjustRightInd w:val="0"/>
        <w:spacing w:before="240" w:after="240" w:line="360" w:lineRule="auto"/>
        <w:textAlignment w:val="baseline"/>
        <w:rPr>
          <w:rFonts w:ascii="Arial" w:hAnsi="Arial" w:cs="Arial"/>
          <w:sz w:val="22"/>
          <w:szCs w:val="22"/>
        </w:rPr>
      </w:pPr>
      <w:r>
        <w:rPr>
          <w:rFonts w:hint="default" w:ascii="Arial" w:hAnsi="Arial" w:cs="Arial"/>
          <w:b/>
          <w:sz w:val="22"/>
          <w:szCs w:val="22"/>
          <w:lang w:val="pt-BR"/>
        </w:rPr>
        <w:t>14.29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157"/>
        <w:tblW w:w="9061" w:type="dxa"/>
        <w:tblInd w:w="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46"/>
        <w:gridCol w:w="3795"/>
        <w:gridCol w:w="2520"/>
      </w:tblGrid>
      <w:tr w14:paraId="376410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2746" w:type="dxa"/>
            <w:shd w:val="clear" w:color="auto" w:fill="D8D8D8" w:themeFill="background1" w:themeFillShade="D9"/>
          </w:tcPr>
          <w:p w14:paraId="363488FE">
            <w:pPr>
              <w:pStyle w:val="155"/>
              <w:widowControl w:val="0"/>
              <w:autoSpaceDE w:val="0"/>
              <w:autoSpaceDN w:val="0"/>
              <w:spacing w:after="0" w:line="240" w:lineRule="auto"/>
              <w:jc w:val="center"/>
              <w:rPr>
                <w:rFonts w:hint="default" w:ascii="Arial" w:hAnsi="Arial" w:cs="Arial"/>
                <w:b/>
                <w:sz w:val="22"/>
                <w:szCs w:val="22"/>
                <w:lang w:val="pt-BR"/>
              </w:rPr>
            </w:pPr>
            <w:r>
              <w:rPr>
                <w:rFonts w:hint="default" w:ascii="Arial" w:hAnsi="Arial" w:cs="Arial"/>
                <w:b/>
                <w:sz w:val="22"/>
                <w:szCs w:val="22"/>
              </w:rPr>
              <w:t>SE</w:t>
            </w:r>
            <w:r>
              <w:rPr>
                <w:rFonts w:hint="default" w:ascii="Arial" w:hAnsi="Arial" w:cs="Arial"/>
                <w:b/>
                <w:sz w:val="22"/>
                <w:szCs w:val="22"/>
                <w:lang w:val="pt-BR"/>
              </w:rPr>
              <w:t>CRETARIA</w:t>
            </w:r>
          </w:p>
        </w:tc>
        <w:tc>
          <w:tcPr>
            <w:tcW w:w="3795" w:type="dxa"/>
            <w:shd w:val="clear" w:color="auto" w:fill="D8D8D8" w:themeFill="background1" w:themeFillShade="D9"/>
          </w:tcPr>
          <w:p w14:paraId="39F2ED3A">
            <w:pPr>
              <w:pStyle w:val="155"/>
              <w:widowControl w:val="0"/>
              <w:autoSpaceDE w:val="0"/>
              <w:autoSpaceDN w:val="0"/>
              <w:spacing w:after="0" w:line="240" w:lineRule="auto"/>
              <w:jc w:val="center"/>
              <w:rPr>
                <w:rFonts w:hint="default" w:ascii="Arial" w:hAnsi="Arial" w:cs="Arial"/>
                <w:b/>
                <w:sz w:val="22"/>
                <w:szCs w:val="22"/>
              </w:rPr>
            </w:pPr>
            <w:r>
              <w:rPr>
                <w:rFonts w:hint="default" w:ascii="Arial" w:hAnsi="Arial" w:cs="Arial"/>
                <w:b/>
                <w:sz w:val="22"/>
                <w:szCs w:val="22"/>
              </w:rPr>
              <w:t>DOTAÇÃO</w:t>
            </w:r>
          </w:p>
        </w:tc>
        <w:tc>
          <w:tcPr>
            <w:tcW w:w="2520" w:type="dxa"/>
            <w:shd w:val="clear" w:color="auto" w:fill="D8D8D8" w:themeFill="background1" w:themeFillShade="D9"/>
          </w:tcPr>
          <w:p w14:paraId="06388C00">
            <w:pPr>
              <w:pStyle w:val="155"/>
              <w:widowControl w:val="0"/>
              <w:autoSpaceDE w:val="0"/>
              <w:autoSpaceDN w:val="0"/>
              <w:spacing w:after="0" w:line="240" w:lineRule="auto"/>
              <w:jc w:val="center"/>
              <w:rPr>
                <w:rFonts w:hint="default" w:ascii="Arial" w:hAnsi="Arial" w:cs="Arial"/>
                <w:b/>
                <w:sz w:val="22"/>
                <w:szCs w:val="22"/>
              </w:rPr>
            </w:pPr>
            <w:r>
              <w:rPr>
                <w:rFonts w:hint="default" w:ascii="Arial" w:hAnsi="Arial" w:cs="Arial"/>
                <w:b/>
                <w:sz w:val="22"/>
                <w:szCs w:val="22"/>
              </w:rPr>
              <w:t>RECURSO</w:t>
            </w:r>
          </w:p>
        </w:tc>
      </w:tr>
      <w:tr w14:paraId="67C5F7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5" w:hRule="atLeast"/>
        </w:trPr>
        <w:tc>
          <w:tcPr>
            <w:tcW w:w="2746" w:type="dxa"/>
            <w:shd w:val="clear" w:color="auto" w:fill="auto"/>
            <w:vAlign w:val="center"/>
          </w:tcPr>
          <w:p w14:paraId="2DCF825C">
            <w:pPr>
              <w:pStyle w:val="155"/>
              <w:widowControl w:val="0"/>
              <w:autoSpaceDE w:val="0"/>
              <w:autoSpaceDN w:val="0"/>
              <w:spacing w:after="0" w:line="240" w:lineRule="auto"/>
              <w:jc w:val="center"/>
              <w:rPr>
                <w:rFonts w:hint="default" w:ascii="Arial" w:hAnsi="Arial" w:cs="Arial"/>
                <w:sz w:val="22"/>
                <w:szCs w:val="22"/>
                <w:lang w:val="pt-BR"/>
              </w:rPr>
            </w:pPr>
            <w:r>
              <w:rPr>
                <w:rFonts w:hint="default" w:ascii="Arial" w:hAnsi="Arial" w:cs="Arial"/>
                <w:sz w:val="22"/>
                <w:szCs w:val="22"/>
                <w:lang w:val="pt-BR"/>
              </w:rPr>
              <w:t>SECRETARIA MUNICIPAL DE ADMINISTRAÇÃO E MODERNIZAÇÃO</w:t>
            </w:r>
          </w:p>
        </w:tc>
        <w:tc>
          <w:tcPr>
            <w:tcW w:w="3795" w:type="dxa"/>
            <w:shd w:val="clear" w:color="auto" w:fill="auto"/>
            <w:vAlign w:val="center"/>
          </w:tcPr>
          <w:p w14:paraId="27609547">
            <w:pPr>
              <w:pStyle w:val="155"/>
              <w:widowControl w:val="0"/>
              <w:autoSpaceDE w:val="0"/>
              <w:autoSpaceDN w:val="0"/>
              <w:spacing w:after="0" w:line="240" w:lineRule="auto"/>
              <w:jc w:val="center"/>
              <w:rPr>
                <w:rFonts w:hint="default" w:ascii="Arial" w:hAnsi="Arial" w:cs="Arial"/>
                <w:sz w:val="22"/>
                <w:szCs w:val="22"/>
              </w:rPr>
            </w:pPr>
            <w:r>
              <w:rPr>
                <w:rFonts w:hint="default" w:ascii="Arial" w:hAnsi="Arial" w:cs="Arial"/>
                <w:sz w:val="22"/>
                <w:szCs w:val="22"/>
                <w:highlight w:val="none"/>
                <w:lang w:val="pt-BR"/>
              </w:rPr>
              <w:t>2031.33.90.40.0000.25000000000</w:t>
            </w:r>
          </w:p>
        </w:tc>
        <w:tc>
          <w:tcPr>
            <w:tcW w:w="2520" w:type="dxa"/>
            <w:shd w:val="clear" w:color="auto" w:fill="auto"/>
            <w:vAlign w:val="center"/>
          </w:tcPr>
          <w:p w14:paraId="70C213BA">
            <w:pPr>
              <w:pStyle w:val="155"/>
              <w:widowControl w:val="0"/>
              <w:autoSpaceDE w:val="0"/>
              <w:autoSpaceDN w:val="0"/>
              <w:spacing w:after="0" w:line="240" w:lineRule="auto"/>
              <w:jc w:val="center"/>
              <w:rPr>
                <w:rFonts w:hint="default" w:ascii="Arial" w:hAnsi="Arial" w:cs="Arial"/>
                <w:sz w:val="22"/>
                <w:szCs w:val="22"/>
              </w:rPr>
            </w:pPr>
            <w:r>
              <w:rPr>
                <w:rFonts w:hint="default" w:ascii="Arial" w:hAnsi="Arial" w:cs="Arial"/>
                <w:sz w:val="22"/>
                <w:szCs w:val="22"/>
              </w:rPr>
              <w:t>PRÓPRIO (MUNIC</w:t>
            </w:r>
            <w:r>
              <w:rPr>
                <w:rFonts w:hint="default" w:ascii="Arial" w:hAnsi="Arial" w:cs="Arial"/>
                <w:sz w:val="22"/>
                <w:szCs w:val="22"/>
                <w:lang w:val="pt-BR"/>
              </w:rPr>
              <w:t>Í</w:t>
            </w:r>
            <w:r>
              <w:rPr>
                <w:rFonts w:hint="default" w:ascii="Arial" w:hAnsi="Arial" w:cs="Arial"/>
                <w:sz w:val="22"/>
                <w:szCs w:val="22"/>
              </w:rPr>
              <w:t>PIO)</w:t>
            </w:r>
          </w:p>
        </w:tc>
      </w:tr>
    </w:tbl>
    <w:p w14:paraId="3EB72D00">
      <w:pPr>
        <w:pStyle w:val="17"/>
        <w:widowControl w:val="0"/>
        <w:adjustRightInd w:val="0"/>
        <w:spacing w:line="240" w:lineRule="auto"/>
        <w:textAlignment w:val="baseline"/>
        <w:rPr>
          <w:rFonts w:hint="default" w:ascii="Arial" w:hAnsi="Arial" w:cs="Arial"/>
          <w:sz w:val="22"/>
          <w:szCs w:val="22"/>
          <w:highlight w:val="none"/>
        </w:rPr>
      </w:pPr>
    </w:p>
    <w:p w14:paraId="6E6B080B">
      <w:pPr>
        <w:numPr>
          <w:ilvl w:val="0"/>
          <w:numId w:val="1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0" w:firstLine="0"/>
        <w:jc w:val="center"/>
        <w:rPr>
          <w:rFonts w:ascii="Arial" w:hAnsi="Arial" w:cs="Arial"/>
          <w:color w:val="000000"/>
          <w:sz w:val="22"/>
          <w:szCs w:val="22"/>
        </w:rPr>
      </w:pPr>
      <w:r>
        <w:rPr>
          <w:rFonts w:ascii="Arial" w:hAnsi="Arial" w:cs="Arial"/>
          <w:b/>
          <w:sz w:val="22"/>
          <w:szCs w:val="22"/>
        </w:rPr>
        <w:t>D</w:t>
      </w:r>
      <w:r>
        <w:rPr>
          <w:rFonts w:hint="default" w:ascii="Arial" w:hAnsi="Arial" w:cs="Arial"/>
          <w:b/>
          <w:sz w:val="22"/>
          <w:szCs w:val="22"/>
          <w:lang w:val="pt-BR"/>
        </w:rPr>
        <w:t>A PRESTAÇÃO DE SERVIÇO E DO</w:t>
      </w:r>
      <w:r>
        <w:rPr>
          <w:rFonts w:ascii="Arial" w:hAnsi="Arial" w:cs="Arial"/>
          <w:b/>
          <w:sz w:val="22"/>
          <w:szCs w:val="22"/>
        </w:rPr>
        <w:t xml:space="preserve"> PRAZO</w:t>
      </w:r>
      <w:r>
        <w:rPr>
          <w:rFonts w:hint="default" w:ascii="Arial" w:hAnsi="Arial" w:cs="Arial"/>
          <w:b/>
          <w:sz w:val="22"/>
          <w:szCs w:val="22"/>
          <w:lang w:val="pt-BR"/>
        </w:rPr>
        <w:t xml:space="preserve"> </w:t>
      </w:r>
    </w:p>
    <w:p w14:paraId="51B21134">
      <w:pPr>
        <w:pStyle w:val="128"/>
        <w:widowControl w:val="0"/>
        <w:numPr>
          <w:ilvl w:val="0"/>
          <w:numId w:val="0"/>
        </w:numPr>
        <w:autoSpaceDE w:val="0"/>
        <w:autoSpaceDN w:val="0"/>
        <w:spacing w:after="0" w:line="360" w:lineRule="auto"/>
        <w:ind w:left="0" w:leftChars="0" w:firstLine="0" w:firstLineChars="0"/>
        <w:jc w:val="both"/>
        <w:rPr>
          <w:rFonts w:hint="default" w:ascii="Arial" w:hAnsi="Arial" w:cs="Arial"/>
          <w:sz w:val="22"/>
          <w:szCs w:val="22"/>
        </w:rPr>
      </w:pPr>
      <w:r>
        <w:rPr>
          <w:rFonts w:hint="default" w:ascii="Arial" w:hAnsi="Arial" w:cs="Arial"/>
          <w:b/>
          <w:color w:val="000000"/>
          <w:sz w:val="22"/>
          <w:szCs w:val="22"/>
        </w:rPr>
        <w:t>1</w:t>
      </w:r>
      <w:r>
        <w:rPr>
          <w:rFonts w:hint="default" w:ascii="Arial" w:hAnsi="Arial" w:cs="Arial"/>
          <w:b/>
          <w:color w:val="000000"/>
          <w:sz w:val="22"/>
          <w:szCs w:val="22"/>
          <w:lang w:val="pt-BR"/>
        </w:rPr>
        <w:t>5</w:t>
      </w:r>
      <w:r>
        <w:rPr>
          <w:rFonts w:hint="default" w:ascii="Arial" w:hAnsi="Arial" w:cs="Arial"/>
          <w:b/>
          <w:color w:val="000000"/>
          <w:sz w:val="22"/>
          <w:szCs w:val="22"/>
        </w:rPr>
        <w:t>.1</w:t>
      </w:r>
      <w:r>
        <w:rPr>
          <w:rFonts w:hint="default" w:ascii="Arial" w:hAnsi="Arial" w:cs="Arial"/>
          <w:color w:val="000000"/>
          <w:sz w:val="22"/>
          <w:szCs w:val="22"/>
        </w:rPr>
        <w:t xml:space="preserve"> </w:t>
      </w:r>
      <w:r>
        <w:rPr>
          <w:rFonts w:hint="default" w:ascii="Arial" w:hAnsi="Arial" w:cs="Arial"/>
          <w:sz w:val="22"/>
          <w:szCs w:val="22"/>
        </w:rPr>
        <w:t>Horários para execução do serviço: O horário de entrega do produto e execução do serviço é o comercial, iniciando as 08:00 e terminando as 18:00 horas</w:t>
      </w:r>
      <w:r>
        <w:rPr>
          <w:rFonts w:hint="default" w:ascii="Arial" w:hAnsi="Arial" w:cs="Arial"/>
          <w:sz w:val="22"/>
          <w:szCs w:val="22"/>
          <w:lang w:val="pt-BR"/>
        </w:rPr>
        <w:t xml:space="preserve"> (horário local)</w:t>
      </w:r>
      <w:r>
        <w:rPr>
          <w:rFonts w:hint="default" w:ascii="Arial" w:hAnsi="Arial" w:cs="Arial"/>
          <w:sz w:val="22"/>
          <w:szCs w:val="22"/>
        </w:rPr>
        <w:t>. Podendo, a critério da PREFEITURA ser realizado fora do horário comercial, sem ônus para a CONTRATANTE mediante autorização com antecedência de 24 (vinte e quatro) horas, devendo a empresa apresentar lista de funcionários devidamente identificados.</w:t>
      </w:r>
    </w:p>
    <w:p w14:paraId="2D5EDBD3">
      <w:pPr>
        <w:pStyle w:val="128"/>
        <w:widowControl w:val="0"/>
        <w:numPr>
          <w:ilvl w:val="0"/>
          <w:numId w:val="0"/>
        </w:numPr>
        <w:autoSpaceDE w:val="0"/>
        <w:autoSpaceDN w:val="0"/>
        <w:spacing w:after="0" w:line="360" w:lineRule="auto"/>
        <w:ind w:left="0" w:leftChars="0" w:firstLine="0" w:firstLineChars="0"/>
        <w:jc w:val="both"/>
        <w:rPr>
          <w:rFonts w:hint="default" w:ascii="Arial" w:hAnsi="Arial" w:cs="Arial"/>
          <w:sz w:val="22"/>
          <w:szCs w:val="22"/>
        </w:rPr>
      </w:pPr>
      <w:r>
        <w:rPr>
          <w:rFonts w:hint="default" w:ascii="Arial" w:hAnsi="Arial" w:cs="Arial"/>
          <w:b/>
          <w:bCs/>
          <w:sz w:val="22"/>
          <w:szCs w:val="22"/>
          <w:lang w:val="pt-BR"/>
        </w:rPr>
        <w:t>15.2</w:t>
      </w:r>
      <w:r>
        <w:rPr>
          <w:rFonts w:hint="default" w:ascii="Arial" w:hAnsi="Arial" w:cs="Arial"/>
          <w:sz w:val="22"/>
          <w:szCs w:val="22"/>
          <w:lang w:val="pt-BR"/>
        </w:rPr>
        <w:t xml:space="preserve"> </w:t>
      </w:r>
      <w:r>
        <w:rPr>
          <w:rFonts w:hint="default" w:ascii="Arial" w:hAnsi="Arial" w:cs="Arial"/>
          <w:sz w:val="22"/>
          <w:szCs w:val="22"/>
        </w:rPr>
        <w:t xml:space="preserve">Locais de entrega do produto ou execução do serviço: Os produtos adquiridos deverão ser entregues na Rua das Avencas, 1481, </w:t>
      </w:r>
      <w:r>
        <w:rPr>
          <w:rFonts w:hint="default" w:ascii="Arial" w:hAnsi="Arial" w:cs="Arial"/>
          <w:sz w:val="22"/>
          <w:szCs w:val="22"/>
          <w:lang w:val="pt-BR"/>
        </w:rPr>
        <w:t>Setor Comercial</w:t>
      </w:r>
      <w:r>
        <w:rPr>
          <w:rFonts w:hint="default" w:ascii="Arial" w:hAnsi="Arial" w:cs="Arial"/>
          <w:sz w:val="22"/>
          <w:szCs w:val="22"/>
        </w:rPr>
        <w:t>, Sinop-MT</w:t>
      </w:r>
      <w:r>
        <w:rPr>
          <w:rFonts w:hint="default" w:ascii="Arial" w:hAnsi="Arial" w:cs="Arial"/>
          <w:sz w:val="22"/>
          <w:szCs w:val="22"/>
          <w:lang w:val="pt-BR"/>
        </w:rPr>
        <w:t>, CEP 78550-210</w:t>
      </w:r>
      <w:r>
        <w:rPr>
          <w:rFonts w:hint="default" w:ascii="Arial" w:hAnsi="Arial" w:cs="Arial"/>
          <w:sz w:val="22"/>
          <w:szCs w:val="22"/>
        </w:rPr>
        <w:t xml:space="preserve"> (Secretaria de Administração);</w:t>
      </w:r>
    </w:p>
    <w:p w14:paraId="5E0B8087">
      <w:pPr>
        <w:pStyle w:val="128"/>
        <w:widowControl w:val="0"/>
        <w:numPr>
          <w:ilvl w:val="0"/>
          <w:numId w:val="0"/>
        </w:numPr>
        <w:autoSpaceDE w:val="0"/>
        <w:autoSpaceDN w:val="0"/>
        <w:spacing w:after="0" w:line="360" w:lineRule="auto"/>
        <w:ind w:left="0" w:leftChars="0" w:firstLine="0" w:firstLineChars="0"/>
        <w:jc w:val="both"/>
        <w:rPr>
          <w:rFonts w:hint="default" w:ascii="Arial" w:hAnsi="Arial" w:cs="Arial"/>
          <w:sz w:val="22"/>
          <w:szCs w:val="22"/>
        </w:rPr>
      </w:pPr>
      <w:r>
        <w:rPr>
          <w:rFonts w:hint="default" w:ascii="Arial" w:hAnsi="Arial" w:cs="Arial"/>
          <w:b/>
          <w:bCs/>
          <w:sz w:val="22"/>
          <w:szCs w:val="22"/>
          <w:lang w:val="pt-BR"/>
        </w:rPr>
        <w:t>15.3</w:t>
      </w:r>
      <w:r>
        <w:rPr>
          <w:rFonts w:hint="default" w:ascii="Arial" w:hAnsi="Arial" w:cs="Arial"/>
          <w:sz w:val="22"/>
          <w:szCs w:val="22"/>
          <w:lang w:val="pt-BR"/>
        </w:rPr>
        <w:t xml:space="preserve"> </w:t>
      </w:r>
      <w:r>
        <w:rPr>
          <w:rFonts w:hint="default" w:ascii="Arial" w:hAnsi="Arial" w:cs="Arial"/>
          <w:sz w:val="22"/>
          <w:szCs w:val="22"/>
        </w:rPr>
        <w:t>Em até 3 (três) dias úteis após a abertura da Ordem de Serviço (OS), a CONTRATADA deve realizar reunião inicial com a equipe técnica da PREFEITURA para colher informações necessárias à elaboração do projeto executivo, de acordo com a disponibilidade de agenda da equipe técnica da PREFEITURA;</w:t>
      </w:r>
    </w:p>
    <w:p w14:paraId="2E915F29">
      <w:pPr>
        <w:pStyle w:val="128"/>
        <w:widowControl w:val="0"/>
        <w:numPr>
          <w:ilvl w:val="0"/>
          <w:numId w:val="0"/>
        </w:numPr>
        <w:autoSpaceDE w:val="0"/>
        <w:autoSpaceDN w:val="0"/>
        <w:spacing w:after="0" w:line="360" w:lineRule="auto"/>
        <w:ind w:left="0" w:leftChars="0" w:firstLine="0" w:firstLineChars="0"/>
        <w:jc w:val="both"/>
        <w:rPr>
          <w:rFonts w:hint="default" w:ascii="Arial" w:hAnsi="Arial" w:cs="Arial"/>
          <w:sz w:val="22"/>
          <w:szCs w:val="22"/>
        </w:rPr>
      </w:pPr>
      <w:r>
        <w:rPr>
          <w:rFonts w:hint="default" w:ascii="Arial" w:hAnsi="Arial" w:cs="Arial"/>
          <w:b/>
          <w:bCs/>
          <w:sz w:val="22"/>
          <w:szCs w:val="22"/>
          <w:lang w:val="pt-BR"/>
        </w:rPr>
        <w:t>15.4</w:t>
      </w:r>
      <w:r>
        <w:rPr>
          <w:rFonts w:hint="default" w:ascii="Arial" w:hAnsi="Arial" w:cs="Arial"/>
          <w:sz w:val="22"/>
          <w:szCs w:val="22"/>
          <w:lang w:val="pt-BR"/>
        </w:rPr>
        <w:t xml:space="preserve"> </w:t>
      </w:r>
      <w:r>
        <w:rPr>
          <w:rFonts w:hint="default" w:ascii="Arial" w:hAnsi="Arial" w:cs="Arial"/>
          <w:sz w:val="22"/>
          <w:szCs w:val="22"/>
        </w:rPr>
        <w:t>A CONTRATADA deverá entregar no prazo de 15 (quinze) dias úteis após a assinatura da ata da reunião inicial, o Estudo técnico do edifício da PREFEITURA para garantir o recepcionamento das cargas elétricas e térmicas atuais e futuras.</w:t>
      </w:r>
    </w:p>
    <w:p w14:paraId="5A9C5946">
      <w:pPr>
        <w:pStyle w:val="128"/>
        <w:widowControl w:val="0"/>
        <w:numPr>
          <w:ilvl w:val="0"/>
          <w:numId w:val="0"/>
        </w:numPr>
        <w:autoSpaceDE w:val="0"/>
        <w:autoSpaceDN w:val="0"/>
        <w:spacing w:after="0" w:line="360" w:lineRule="auto"/>
        <w:ind w:left="0" w:leftChars="0" w:firstLine="0" w:firstLineChars="0"/>
        <w:jc w:val="both"/>
        <w:rPr>
          <w:rFonts w:hint="default" w:ascii="Arial" w:hAnsi="Arial" w:cs="Arial"/>
          <w:sz w:val="22"/>
          <w:szCs w:val="22"/>
        </w:rPr>
      </w:pPr>
      <w:r>
        <w:rPr>
          <w:rFonts w:hint="default" w:ascii="Arial" w:hAnsi="Arial" w:cs="Arial"/>
          <w:b/>
          <w:bCs/>
          <w:sz w:val="22"/>
          <w:szCs w:val="22"/>
          <w:lang w:val="pt-BR"/>
        </w:rPr>
        <w:t>15.5</w:t>
      </w:r>
      <w:r>
        <w:rPr>
          <w:rFonts w:hint="default" w:ascii="Arial" w:hAnsi="Arial" w:cs="Arial"/>
          <w:sz w:val="22"/>
          <w:szCs w:val="22"/>
          <w:lang w:val="pt-BR"/>
        </w:rPr>
        <w:t xml:space="preserve"> </w:t>
      </w:r>
      <w:r>
        <w:rPr>
          <w:rFonts w:hint="default" w:ascii="Arial" w:hAnsi="Arial" w:cs="Arial"/>
          <w:sz w:val="22"/>
          <w:szCs w:val="22"/>
        </w:rPr>
        <w:t>A critério da CONTRATANTE ou CONTRATADA, poderão ser solicitadas reuniões para acompanhamento do Estudo técnico do edifício da PREFEITURA.</w:t>
      </w:r>
    </w:p>
    <w:p w14:paraId="638A8736">
      <w:pPr>
        <w:pStyle w:val="128"/>
        <w:widowControl w:val="0"/>
        <w:numPr>
          <w:ilvl w:val="0"/>
          <w:numId w:val="0"/>
        </w:numPr>
        <w:autoSpaceDE w:val="0"/>
        <w:autoSpaceDN w:val="0"/>
        <w:spacing w:after="0" w:line="360" w:lineRule="auto"/>
        <w:ind w:left="0" w:leftChars="0" w:firstLine="0" w:firstLineChars="0"/>
        <w:jc w:val="both"/>
        <w:rPr>
          <w:rFonts w:hint="default" w:ascii="Arial" w:hAnsi="Arial" w:cs="Arial"/>
          <w:sz w:val="22"/>
          <w:szCs w:val="22"/>
        </w:rPr>
      </w:pPr>
      <w:r>
        <w:rPr>
          <w:rFonts w:hint="default" w:ascii="Arial" w:hAnsi="Arial" w:cs="Arial"/>
          <w:b/>
          <w:bCs/>
          <w:sz w:val="22"/>
          <w:szCs w:val="22"/>
          <w:lang w:val="pt-BR"/>
        </w:rPr>
        <w:t>15.6</w:t>
      </w:r>
      <w:r>
        <w:rPr>
          <w:rFonts w:hint="default" w:ascii="Arial" w:hAnsi="Arial" w:cs="Arial"/>
          <w:sz w:val="22"/>
          <w:szCs w:val="22"/>
          <w:lang w:val="pt-BR"/>
        </w:rPr>
        <w:t xml:space="preserve"> </w:t>
      </w:r>
      <w:r>
        <w:rPr>
          <w:rFonts w:hint="default" w:ascii="Arial" w:hAnsi="Arial" w:cs="Arial"/>
          <w:sz w:val="22"/>
          <w:szCs w:val="22"/>
        </w:rPr>
        <w:t>Após o recebimento do Estudo técnico do edifício da PREFEITURA, a CONTRATANTE terá o prazo de 05 (cinco) dias úteis para aprovação da documentação.</w:t>
      </w:r>
    </w:p>
    <w:p w14:paraId="1F25EF36">
      <w:pPr>
        <w:pStyle w:val="128"/>
        <w:widowControl w:val="0"/>
        <w:numPr>
          <w:ilvl w:val="0"/>
          <w:numId w:val="0"/>
        </w:numPr>
        <w:autoSpaceDE w:val="0"/>
        <w:autoSpaceDN w:val="0"/>
        <w:spacing w:after="0" w:line="360" w:lineRule="auto"/>
        <w:ind w:left="0" w:leftChars="0" w:firstLine="0" w:firstLineChars="0"/>
        <w:jc w:val="both"/>
        <w:rPr>
          <w:rFonts w:hint="default" w:ascii="Arial" w:hAnsi="Arial" w:cs="Arial"/>
          <w:sz w:val="22"/>
          <w:szCs w:val="22"/>
        </w:rPr>
      </w:pPr>
      <w:r>
        <w:rPr>
          <w:rFonts w:hint="default" w:ascii="Arial" w:hAnsi="Arial" w:cs="Arial"/>
          <w:b/>
          <w:bCs/>
          <w:sz w:val="22"/>
          <w:szCs w:val="22"/>
          <w:lang w:val="pt-BR"/>
        </w:rPr>
        <w:t>15.7</w:t>
      </w:r>
      <w:r>
        <w:rPr>
          <w:rFonts w:hint="default" w:ascii="Arial" w:hAnsi="Arial" w:cs="Arial"/>
          <w:sz w:val="22"/>
          <w:szCs w:val="22"/>
          <w:lang w:val="pt-BR"/>
        </w:rPr>
        <w:t xml:space="preserve"> </w:t>
      </w:r>
      <w:r>
        <w:rPr>
          <w:rFonts w:hint="default" w:ascii="Arial" w:hAnsi="Arial" w:cs="Arial"/>
          <w:sz w:val="22"/>
          <w:szCs w:val="22"/>
        </w:rPr>
        <w:t>Caso seja constatada a necessidade de correção da documentação recebida, a CONTRATADA terá o prazo de 2 (dois) dias úteis para a adequação do Estudo Técnico.</w:t>
      </w:r>
    </w:p>
    <w:p w14:paraId="1DE6EC26">
      <w:pPr>
        <w:pStyle w:val="128"/>
        <w:widowControl w:val="0"/>
        <w:numPr>
          <w:ilvl w:val="0"/>
          <w:numId w:val="0"/>
        </w:numPr>
        <w:autoSpaceDE w:val="0"/>
        <w:autoSpaceDN w:val="0"/>
        <w:spacing w:after="0" w:line="360" w:lineRule="auto"/>
        <w:ind w:left="0" w:leftChars="0" w:firstLine="0" w:firstLineChars="0"/>
        <w:jc w:val="both"/>
        <w:rPr>
          <w:rFonts w:hint="default" w:ascii="Arial" w:hAnsi="Arial" w:cs="Arial"/>
          <w:sz w:val="22"/>
          <w:szCs w:val="22"/>
        </w:rPr>
      </w:pPr>
      <w:r>
        <w:rPr>
          <w:rFonts w:hint="default" w:ascii="Arial" w:hAnsi="Arial" w:cs="Arial"/>
          <w:b/>
          <w:bCs/>
          <w:sz w:val="22"/>
          <w:szCs w:val="22"/>
          <w:lang w:val="pt-BR"/>
        </w:rPr>
        <w:t>15.8</w:t>
      </w:r>
      <w:r>
        <w:rPr>
          <w:rFonts w:hint="default" w:ascii="Arial" w:hAnsi="Arial" w:cs="Arial"/>
          <w:sz w:val="22"/>
          <w:szCs w:val="22"/>
          <w:lang w:val="pt-BR"/>
        </w:rPr>
        <w:t xml:space="preserve"> </w:t>
      </w:r>
      <w:r>
        <w:rPr>
          <w:rFonts w:hint="default" w:ascii="Arial" w:hAnsi="Arial" w:cs="Arial"/>
          <w:sz w:val="22"/>
          <w:szCs w:val="22"/>
        </w:rPr>
        <w:t>Em até 30 (trinta) dias úteis após a aprovação do Estudo técnico, a CONTRATADA deverá entregar o Projeto Executivo;</w:t>
      </w:r>
    </w:p>
    <w:p w14:paraId="75E28BA5">
      <w:pPr>
        <w:pStyle w:val="128"/>
        <w:widowControl w:val="0"/>
        <w:numPr>
          <w:ilvl w:val="0"/>
          <w:numId w:val="0"/>
        </w:numPr>
        <w:autoSpaceDE w:val="0"/>
        <w:autoSpaceDN w:val="0"/>
        <w:spacing w:after="0" w:line="360" w:lineRule="auto"/>
        <w:ind w:left="0" w:leftChars="0" w:firstLine="0" w:firstLineChars="0"/>
        <w:jc w:val="both"/>
        <w:rPr>
          <w:rFonts w:hint="default" w:ascii="Arial" w:hAnsi="Arial" w:cs="Arial"/>
          <w:sz w:val="22"/>
          <w:szCs w:val="22"/>
        </w:rPr>
      </w:pPr>
      <w:r>
        <w:rPr>
          <w:rFonts w:hint="default" w:ascii="Arial" w:hAnsi="Arial" w:cs="Arial"/>
          <w:b/>
          <w:bCs/>
          <w:sz w:val="22"/>
          <w:szCs w:val="22"/>
          <w:lang w:val="pt-BR"/>
        </w:rPr>
        <w:t>15.9</w:t>
      </w:r>
      <w:r>
        <w:rPr>
          <w:rFonts w:hint="default" w:ascii="Arial" w:hAnsi="Arial" w:cs="Arial"/>
          <w:sz w:val="22"/>
          <w:szCs w:val="22"/>
          <w:lang w:val="pt-BR"/>
        </w:rPr>
        <w:t xml:space="preserve"> </w:t>
      </w:r>
      <w:r>
        <w:rPr>
          <w:rFonts w:hint="default" w:ascii="Arial" w:hAnsi="Arial" w:cs="Arial"/>
          <w:sz w:val="22"/>
          <w:szCs w:val="22"/>
        </w:rPr>
        <w:t>Em até 90 (noventa) dias úteis após aceite do projeto executivo, a CONTRATADA deverá fornecer, instalar e testar o Centro de Processamento de Dados da PREFEITURA (incluindo adequações físicas caso seja verificado a necessidade do mesmo);</w:t>
      </w:r>
    </w:p>
    <w:p w14:paraId="1B68D7AF">
      <w:pPr>
        <w:pStyle w:val="128"/>
        <w:widowControl w:val="0"/>
        <w:numPr>
          <w:ilvl w:val="0"/>
          <w:numId w:val="0"/>
        </w:numPr>
        <w:autoSpaceDE w:val="0"/>
        <w:autoSpaceDN w:val="0"/>
        <w:spacing w:after="0" w:line="360" w:lineRule="auto"/>
        <w:ind w:left="0" w:leftChars="0" w:firstLine="0" w:firstLineChars="0"/>
        <w:jc w:val="both"/>
        <w:rPr>
          <w:rFonts w:hint="default" w:ascii="Arial" w:hAnsi="Arial" w:cs="Arial"/>
          <w:color w:val="auto"/>
          <w:sz w:val="22"/>
          <w:szCs w:val="22"/>
        </w:rPr>
      </w:pPr>
      <w:r>
        <w:rPr>
          <w:rFonts w:hint="default" w:ascii="Arial" w:hAnsi="Arial" w:cs="Arial"/>
          <w:b/>
          <w:bCs/>
          <w:sz w:val="22"/>
          <w:szCs w:val="22"/>
          <w:lang w:val="pt-BR"/>
        </w:rPr>
        <w:t>15.10</w:t>
      </w:r>
      <w:r>
        <w:rPr>
          <w:rFonts w:hint="default" w:ascii="Arial" w:hAnsi="Arial" w:cs="Arial"/>
          <w:sz w:val="22"/>
          <w:szCs w:val="22"/>
          <w:lang w:val="pt-BR"/>
        </w:rPr>
        <w:t xml:space="preserve"> </w:t>
      </w:r>
      <w:r>
        <w:rPr>
          <w:rFonts w:hint="default" w:ascii="Arial" w:hAnsi="Arial" w:cs="Arial"/>
          <w:color w:val="auto"/>
          <w:sz w:val="22"/>
          <w:szCs w:val="22"/>
        </w:rPr>
        <w:t xml:space="preserve">O Termo de Recebimento Provisório será emitido após execução do serviço e entrega da primeira versão dos documentos finais do tipo </w:t>
      </w:r>
      <w:r>
        <w:rPr>
          <w:rFonts w:hint="default" w:ascii="Arial" w:hAnsi="Arial" w:cs="Arial"/>
          <w:i/>
          <w:iCs/>
          <w:color w:val="auto"/>
          <w:sz w:val="22"/>
          <w:szCs w:val="22"/>
        </w:rPr>
        <w:t>as-built</w:t>
      </w:r>
      <w:r>
        <w:rPr>
          <w:rFonts w:hint="default" w:ascii="Arial" w:hAnsi="Arial" w:cs="Arial"/>
          <w:color w:val="auto"/>
          <w:sz w:val="22"/>
          <w:szCs w:val="22"/>
        </w:rPr>
        <w:t>, tendo a PREFEITURA 15 (quinze) dias úteis para aprovar, podendo solicitar retrabalho quantas vezes julgar necessário para se obter a boa qualidade do documento;</w:t>
      </w:r>
    </w:p>
    <w:p w14:paraId="7182A44A">
      <w:pPr>
        <w:pStyle w:val="128"/>
        <w:widowControl w:val="0"/>
        <w:numPr>
          <w:ilvl w:val="0"/>
          <w:numId w:val="0"/>
        </w:numPr>
        <w:autoSpaceDE w:val="0"/>
        <w:autoSpaceDN w:val="0"/>
        <w:spacing w:after="0" w:line="360" w:lineRule="auto"/>
        <w:ind w:left="0" w:leftChars="0" w:firstLine="0" w:firstLineChars="0"/>
        <w:jc w:val="both"/>
        <w:rPr>
          <w:rFonts w:hint="default" w:ascii="Arial" w:hAnsi="Arial" w:cs="Arial"/>
          <w:color w:val="auto"/>
          <w:sz w:val="22"/>
          <w:szCs w:val="22"/>
          <w:lang w:val="pt-BR"/>
        </w:rPr>
      </w:pPr>
      <w:r>
        <w:rPr>
          <w:rFonts w:hint="default" w:ascii="Arial" w:hAnsi="Arial" w:cs="Arial"/>
          <w:b/>
          <w:bCs/>
          <w:color w:val="auto"/>
          <w:sz w:val="22"/>
          <w:szCs w:val="22"/>
          <w:lang w:val="pt-BR"/>
        </w:rPr>
        <w:t>15.11</w:t>
      </w:r>
      <w:r>
        <w:rPr>
          <w:rFonts w:hint="default" w:ascii="Arial" w:hAnsi="Arial" w:cs="Arial"/>
          <w:color w:val="auto"/>
          <w:sz w:val="22"/>
          <w:szCs w:val="22"/>
          <w:lang w:val="pt-BR"/>
        </w:rPr>
        <w:t xml:space="preserve"> </w:t>
      </w:r>
      <w:r>
        <w:rPr>
          <w:rFonts w:hint="default" w:ascii="Arial" w:hAnsi="Arial" w:cs="Arial"/>
          <w:color w:val="auto"/>
          <w:sz w:val="22"/>
          <w:szCs w:val="22"/>
        </w:rPr>
        <w:t xml:space="preserve">O aceite dos documentos finais do tipo </w:t>
      </w:r>
      <w:r>
        <w:rPr>
          <w:rFonts w:hint="default" w:ascii="Arial" w:hAnsi="Arial" w:cs="Arial"/>
          <w:i/>
          <w:iCs/>
          <w:color w:val="auto"/>
          <w:sz w:val="22"/>
          <w:szCs w:val="22"/>
        </w:rPr>
        <w:t>as-built</w:t>
      </w:r>
      <w:r>
        <w:rPr>
          <w:rFonts w:hint="default" w:ascii="Arial" w:hAnsi="Arial" w:cs="Arial"/>
          <w:color w:val="auto"/>
          <w:sz w:val="22"/>
          <w:szCs w:val="22"/>
        </w:rPr>
        <w:t xml:space="preserve"> serão dados com a assinatura do Termo de Recebimento Definitivo pela Comissão de Execução contratual e pela CONTRATADA, em até 20 (vinte) dias úteis a partir da emissão do Termo de Recebimento Provisório.</w:t>
      </w:r>
    </w:p>
    <w:p w14:paraId="0EA4CB1D">
      <w:pPr>
        <w:pStyle w:val="128"/>
        <w:widowControl w:val="0"/>
        <w:numPr>
          <w:ilvl w:val="0"/>
          <w:numId w:val="0"/>
        </w:numPr>
        <w:autoSpaceDE w:val="0"/>
        <w:autoSpaceDN w:val="0"/>
        <w:spacing w:after="0" w:line="360" w:lineRule="auto"/>
        <w:ind w:left="0" w:leftChars="0" w:firstLine="660" w:firstLineChars="300"/>
        <w:jc w:val="both"/>
        <w:rPr>
          <w:rFonts w:hint="default" w:ascii="Arial" w:hAnsi="Arial" w:cs="Arial"/>
          <w:color w:val="000000"/>
          <w:sz w:val="22"/>
          <w:szCs w:val="22"/>
        </w:rPr>
      </w:pPr>
    </w:p>
    <w:p w14:paraId="5C04F8CA">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hint="default" w:ascii="Arial" w:hAnsi="Arial" w:cs="Arial"/>
          <w:sz w:val="22"/>
          <w:szCs w:val="22"/>
          <w:lang w:val="pt-BR"/>
        </w:rPr>
      </w:pPr>
      <w:r>
        <w:rPr>
          <w:rFonts w:ascii="Arial" w:hAnsi="Arial" w:cs="Arial"/>
          <w:b/>
          <w:bCs/>
          <w:iCs/>
          <w:sz w:val="22"/>
          <w:szCs w:val="22"/>
        </w:rPr>
        <w:t>1</w:t>
      </w:r>
      <w:r>
        <w:rPr>
          <w:rFonts w:hint="default" w:ascii="Arial" w:hAnsi="Arial" w:cs="Arial"/>
          <w:b/>
          <w:bCs/>
          <w:iCs/>
          <w:sz w:val="22"/>
          <w:szCs w:val="22"/>
          <w:lang w:val="pt-BR"/>
        </w:rPr>
        <w:t>6</w:t>
      </w:r>
      <w:r>
        <w:rPr>
          <w:rFonts w:ascii="Arial" w:hAnsi="Arial" w:cs="Arial"/>
          <w:b/>
          <w:bCs/>
          <w:iCs/>
          <w:sz w:val="22"/>
          <w:szCs w:val="22"/>
        </w:rPr>
        <w:t>. DAS OBRIGAÇÕES</w:t>
      </w:r>
      <w:r>
        <w:rPr>
          <w:rFonts w:hint="default" w:ascii="Arial" w:hAnsi="Arial" w:cs="Arial"/>
          <w:b/>
          <w:bCs/>
          <w:iCs/>
          <w:sz w:val="22"/>
          <w:szCs w:val="22"/>
          <w:lang w:val="pt-BR"/>
        </w:rPr>
        <w:t xml:space="preserve"> DA CONTRATANTE E DA CONTRATADA</w:t>
      </w:r>
    </w:p>
    <w:p w14:paraId="7515442E">
      <w:pPr>
        <w:pStyle w:val="22"/>
        <w:spacing w:before="240" w:after="240" w:line="360" w:lineRule="auto"/>
        <w:rPr>
          <w:sz w:val="22"/>
          <w:szCs w:val="22"/>
        </w:rPr>
      </w:pPr>
      <w:r>
        <w:rPr>
          <w:b/>
          <w:sz w:val="22"/>
          <w:szCs w:val="22"/>
        </w:rPr>
        <w:t>1</w:t>
      </w:r>
      <w:r>
        <w:rPr>
          <w:rFonts w:hint="default"/>
          <w:b/>
          <w:sz w:val="22"/>
          <w:szCs w:val="22"/>
          <w:lang w:val="pt-BR"/>
        </w:rPr>
        <w:t>6</w:t>
      </w:r>
      <w:r>
        <w:rPr>
          <w:b/>
          <w:sz w:val="22"/>
          <w:szCs w:val="22"/>
        </w:rPr>
        <w:t>.1.</w:t>
      </w:r>
      <w:r>
        <w:rPr>
          <w:rFonts w:hint="default"/>
          <w:b/>
          <w:sz w:val="22"/>
          <w:szCs w:val="22"/>
          <w:lang w:val="pt-BR"/>
        </w:rPr>
        <w:t xml:space="preserve"> </w:t>
      </w:r>
      <w:r>
        <w:rPr>
          <w:rFonts w:hint="default"/>
          <w:b/>
          <w:bCs w:val="0"/>
          <w:sz w:val="22"/>
          <w:szCs w:val="22"/>
          <w:lang w:val="pt-BR"/>
        </w:rPr>
        <w:t>São obrigações da Contratante</w:t>
      </w:r>
      <w:r>
        <w:rPr>
          <w:b/>
          <w:bCs w:val="0"/>
          <w:sz w:val="22"/>
          <w:szCs w:val="22"/>
        </w:rPr>
        <w:t>:</w:t>
      </w:r>
    </w:p>
    <w:p w14:paraId="58BF896B">
      <w:pPr>
        <w:pStyle w:val="154"/>
        <w:numPr>
          <w:ilvl w:val="0"/>
          <w:numId w:val="0"/>
        </w:numPr>
        <w:tabs>
          <w:tab w:val="left" w:pos="426"/>
        </w:tabs>
        <w:spacing w:line="360" w:lineRule="auto"/>
        <w:ind w:leftChars="0"/>
        <w:jc w:val="both"/>
        <w:rPr>
          <w:rFonts w:hint="default" w:ascii="Arial" w:hAnsi="Arial" w:cs="Arial"/>
          <w:sz w:val="22"/>
          <w:szCs w:val="22"/>
        </w:rPr>
      </w:pPr>
      <w:r>
        <w:rPr>
          <w:rFonts w:hint="default" w:ascii="Arial" w:hAnsi="Arial" w:cs="Arial"/>
          <w:b/>
          <w:bCs/>
          <w:sz w:val="22"/>
          <w:szCs w:val="22"/>
          <w:lang w:val="pt-BR"/>
        </w:rPr>
        <w:t>16.1.1.</w:t>
      </w:r>
      <w:r>
        <w:rPr>
          <w:rFonts w:hint="default" w:ascii="Arial" w:hAnsi="Arial" w:cs="Arial"/>
          <w:sz w:val="22"/>
          <w:szCs w:val="22"/>
          <w:lang w:val="pt-BR"/>
        </w:rPr>
        <w:t xml:space="preserve"> </w:t>
      </w:r>
      <w:r>
        <w:rPr>
          <w:rFonts w:hint="default" w:ascii="Arial" w:hAnsi="Arial" w:cs="Arial"/>
          <w:sz w:val="22"/>
          <w:szCs w:val="22"/>
        </w:rPr>
        <w:t>Tornar disponíveis os locais onde serão instalados os equipamentos, permitindo o acesso dos empregados da empresa CONTRATADA às suas dependências para execução dos serviços referentes ao objeto.</w:t>
      </w:r>
    </w:p>
    <w:p w14:paraId="2AAAE9C5">
      <w:pPr>
        <w:pStyle w:val="154"/>
        <w:numPr>
          <w:ilvl w:val="0"/>
          <w:numId w:val="0"/>
        </w:numPr>
        <w:tabs>
          <w:tab w:val="left" w:pos="426"/>
        </w:tabs>
        <w:spacing w:line="360" w:lineRule="auto"/>
        <w:ind w:leftChars="0"/>
        <w:jc w:val="both"/>
        <w:rPr>
          <w:rFonts w:hint="default" w:ascii="Arial" w:hAnsi="Arial" w:cs="Arial"/>
          <w:sz w:val="22"/>
          <w:szCs w:val="22"/>
        </w:rPr>
      </w:pPr>
      <w:r>
        <w:rPr>
          <w:rFonts w:hint="default" w:ascii="Arial" w:hAnsi="Arial" w:cs="Arial"/>
          <w:b/>
          <w:bCs/>
          <w:sz w:val="22"/>
          <w:szCs w:val="22"/>
          <w:lang w:val="pt-BR"/>
        </w:rPr>
        <w:t>16.1.2.</w:t>
      </w:r>
      <w:r>
        <w:rPr>
          <w:rFonts w:hint="default" w:ascii="Arial" w:hAnsi="Arial" w:cs="Arial"/>
          <w:sz w:val="22"/>
          <w:szCs w:val="22"/>
          <w:lang w:val="pt-BR"/>
        </w:rPr>
        <w:t xml:space="preserve"> </w:t>
      </w:r>
      <w:r>
        <w:rPr>
          <w:rFonts w:hint="default" w:ascii="Arial" w:hAnsi="Arial" w:cs="Arial"/>
          <w:sz w:val="22"/>
          <w:szCs w:val="22"/>
        </w:rPr>
        <w:t xml:space="preserve">Prestar todas as informações e os esclarecimentos solicitados pela CONTRATADA. </w:t>
      </w:r>
    </w:p>
    <w:p w14:paraId="745ABEF5">
      <w:pPr>
        <w:pStyle w:val="154"/>
        <w:numPr>
          <w:ilvl w:val="0"/>
          <w:numId w:val="0"/>
        </w:numPr>
        <w:tabs>
          <w:tab w:val="left" w:pos="426"/>
        </w:tabs>
        <w:spacing w:line="360" w:lineRule="auto"/>
        <w:ind w:leftChars="0"/>
        <w:jc w:val="both"/>
        <w:rPr>
          <w:rFonts w:hint="default" w:ascii="Arial" w:hAnsi="Arial" w:cs="Arial"/>
          <w:sz w:val="22"/>
          <w:szCs w:val="22"/>
        </w:rPr>
      </w:pPr>
      <w:r>
        <w:rPr>
          <w:rFonts w:hint="default" w:ascii="Arial" w:hAnsi="Arial" w:cs="Arial"/>
          <w:b/>
          <w:bCs/>
          <w:sz w:val="22"/>
          <w:szCs w:val="22"/>
          <w:lang w:val="pt-BR"/>
        </w:rPr>
        <w:t>16.1.3.</w:t>
      </w:r>
      <w:r>
        <w:rPr>
          <w:rFonts w:hint="default" w:ascii="Arial" w:hAnsi="Arial" w:cs="Arial"/>
          <w:sz w:val="22"/>
          <w:szCs w:val="22"/>
          <w:lang w:val="pt-BR"/>
        </w:rPr>
        <w:t xml:space="preserve"> </w:t>
      </w:r>
      <w:r>
        <w:rPr>
          <w:rFonts w:hint="default" w:ascii="Arial" w:hAnsi="Arial" w:cs="Arial"/>
          <w:sz w:val="22"/>
          <w:szCs w:val="22"/>
        </w:rPr>
        <w:t>Comunicar a CONTRATADA toda e quaisquer ocorrências relacionadas com o fornecimento e instalação dos equipamentos.</w:t>
      </w:r>
    </w:p>
    <w:p w14:paraId="68377D5F">
      <w:pPr>
        <w:pStyle w:val="154"/>
        <w:numPr>
          <w:ilvl w:val="0"/>
          <w:numId w:val="0"/>
        </w:numPr>
        <w:tabs>
          <w:tab w:val="left" w:pos="426"/>
        </w:tabs>
        <w:spacing w:line="360" w:lineRule="auto"/>
        <w:ind w:leftChars="0"/>
        <w:jc w:val="both"/>
        <w:rPr>
          <w:rFonts w:hint="default" w:ascii="Arial" w:hAnsi="Arial" w:cs="Arial"/>
          <w:sz w:val="22"/>
          <w:szCs w:val="22"/>
        </w:rPr>
      </w:pPr>
      <w:r>
        <w:rPr>
          <w:rFonts w:hint="default" w:ascii="Arial" w:hAnsi="Arial" w:cs="Arial"/>
          <w:b/>
          <w:bCs/>
          <w:sz w:val="22"/>
          <w:szCs w:val="22"/>
          <w:lang w:val="pt-BR"/>
        </w:rPr>
        <w:t>16.1.4.</w:t>
      </w:r>
      <w:r>
        <w:rPr>
          <w:rFonts w:hint="default" w:ascii="Arial" w:hAnsi="Arial" w:cs="Arial"/>
          <w:sz w:val="22"/>
          <w:szCs w:val="22"/>
          <w:lang w:val="pt-BR"/>
        </w:rPr>
        <w:t xml:space="preserve"> </w:t>
      </w:r>
      <w:r>
        <w:rPr>
          <w:rFonts w:hint="default" w:ascii="Arial" w:hAnsi="Arial" w:cs="Arial"/>
          <w:sz w:val="22"/>
          <w:szCs w:val="22"/>
        </w:rPr>
        <w:t>Fiscalizar a entrega e instalação do Centro de Processamento de Dados, podendo sustar, recusar, solicitar fazer ou desfazer qualquer entrega ou serviços, no todo ou em parte, que não esteja de acordo com as condições e exigências estabelecidas neste Termo de Referência.</w:t>
      </w:r>
    </w:p>
    <w:p w14:paraId="0F99A267">
      <w:pPr>
        <w:pStyle w:val="154"/>
        <w:numPr>
          <w:ilvl w:val="0"/>
          <w:numId w:val="0"/>
        </w:numPr>
        <w:tabs>
          <w:tab w:val="left" w:pos="426"/>
        </w:tabs>
        <w:spacing w:line="360" w:lineRule="auto"/>
        <w:ind w:leftChars="0"/>
        <w:jc w:val="both"/>
        <w:rPr>
          <w:rFonts w:hint="default" w:ascii="Arial" w:hAnsi="Arial" w:cs="Arial"/>
          <w:sz w:val="22"/>
          <w:szCs w:val="22"/>
        </w:rPr>
      </w:pPr>
      <w:r>
        <w:rPr>
          <w:rFonts w:hint="default" w:ascii="Arial" w:hAnsi="Arial" w:cs="Arial"/>
          <w:b/>
          <w:bCs/>
          <w:sz w:val="22"/>
          <w:szCs w:val="22"/>
          <w:lang w:val="pt-BR"/>
        </w:rPr>
        <w:t>16.1.5.</w:t>
      </w:r>
      <w:r>
        <w:rPr>
          <w:rFonts w:hint="default" w:ascii="Arial" w:hAnsi="Arial" w:cs="Arial"/>
          <w:sz w:val="22"/>
          <w:szCs w:val="22"/>
          <w:lang w:val="pt-BR"/>
        </w:rPr>
        <w:t xml:space="preserve"> </w:t>
      </w:r>
      <w:r>
        <w:rPr>
          <w:rFonts w:hint="default" w:ascii="Arial" w:hAnsi="Arial" w:cs="Arial"/>
          <w:sz w:val="22"/>
          <w:szCs w:val="22"/>
        </w:rPr>
        <w:t>Emitir relatórios sobre os atos relativos à execução do contrato que vier a ser firmado, em especial quanto ao acompanhamento e fiscalização da execução dos serviços, à exigência de condições estabelecidas e proposta de aplicação de sanções.</w:t>
      </w:r>
    </w:p>
    <w:p w14:paraId="254456FE">
      <w:pPr>
        <w:pStyle w:val="154"/>
        <w:numPr>
          <w:ilvl w:val="0"/>
          <w:numId w:val="0"/>
        </w:numPr>
        <w:tabs>
          <w:tab w:val="left" w:pos="426"/>
        </w:tabs>
        <w:spacing w:line="360" w:lineRule="auto"/>
        <w:ind w:leftChars="0"/>
        <w:jc w:val="both"/>
        <w:rPr>
          <w:rFonts w:hint="default" w:ascii="Arial" w:hAnsi="Arial" w:cs="Arial"/>
          <w:bCs/>
          <w:sz w:val="22"/>
          <w:szCs w:val="22"/>
          <w:highlight w:val="none"/>
        </w:rPr>
      </w:pPr>
      <w:r>
        <w:rPr>
          <w:rFonts w:hint="default" w:ascii="Arial" w:hAnsi="Arial" w:cs="Arial"/>
          <w:b/>
          <w:bCs/>
          <w:sz w:val="22"/>
          <w:szCs w:val="22"/>
          <w:lang w:val="pt-BR"/>
        </w:rPr>
        <w:t>16.1.6.</w:t>
      </w:r>
      <w:r>
        <w:rPr>
          <w:rFonts w:hint="default" w:ascii="Arial" w:hAnsi="Arial" w:cs="Arial"/>
          <w:sz w:val="22"/>
          <w:szCs w:val="22"/>
          <w:lang w:val="pt-BR"/>
        </w:rPr>
        <w:t xml:space="preserve"> </w:t>
      </w:r>
      <w:r>
        <w:rPr>
          <w:rFonts w:hint="default" w:ascii="Arial" w:hAnsi="Arial" w:cs="Arial"/>
          <w:bCs/>
          <w:sz w:val="22"/>
          <w:szCs w:val="22"/>
          <w:highlight w:val="none"/>
        </w:rPr>
        <w:t>Atestar nas Notas Fiscais e/ou fatura a efetiva entrega do objeto desta licitação.</w:t>
      </w:r>
    </w:p>
    <w:p w14:paraId="52AFA728">
      <w:pPr>
        <w:pStyle w:val="154"/>
        <w:numPr>
          <w:ilvl w:val="0"/>
          <w:numId w:val="0"/>
        </w:numPr>
        <w:tabs>
          <w:tab w:val="left" w:pos="426"/>
        </w:tabs>
        <w:spacing w:line="360" w:lineRule="auto"/>
        <w:ind w:leftChars="0"/>
        <w:jc w:val="both"/>
        <w:rPr>
          <w:rFonts w:hint="default" w:ascii="Arial" w:hAnsi="Arial" w:cs="Arial"/>
          <w:sz w:val="22"/>
          <w:szCs w:val="22"/>
          <w:highlight w:val="none"/>
        </w:rPr>
      </w:pPr>
      <w:r>
        <w:rPr>
          <w:rFonts w:hint="default" w:ascii="Arial" w:hAnsi="Arial" w:cs="Arial"/>
          <w:b/>
          <w:bCs w:val="0"/>
          <w:sz w:val="22"/>
          <w:szCs w:val="22"/>
          <w:highlight w:val="none"/>
          <w:lang w:val="pt-BR"/>
        </w:rPr>
        <w:t>16.1.7.</w:t>
      </w:r>
      <w:r>
        <w:rPr>
          <w:rFonts w:hint="default" w:ascii="Arial" w:hAnsi="Arial" w:cs="Arial"/>
          <w:bCs/>
          <w:sz w:val="22"/>
          <w:szCs w:val="22"/>
          <w:highlight w:val="none"/>
          <w:lang w:val="pt-BR"/>
        </w:rPr>
        <w:t xml:space="preserve"> </w:t>
      </w:r>
      <w:r>
        <w:rPr>
          <w:rFonts w:hint="default" w:ascii="Arial" w:hAnsi="Arial" w:cs="Arial"/>
          <w:sz w:val="22"/>
          <w:szCs w:val="22"/>
          <w:highlight w:val="none"/>
        </w:rPr>
        <w:t>Promover o acompanhamento e a fiscalização da execução do objeto do presente Termo de Referência, sob o aspecto quantitativo e qualitativo, anotando em registro próprio as falhas e ocorrências detectadas.</w:t>
      </w:r>
    </w:p>
    <w:p w14:paraId="07311DB9">
      <w:pPr>
        <w:pStyle w:val="154"/>
        <w:numPr>
          <w:ilvl w:val="0"/>
          <w:numId w:val="0"/>
        </w:numPr>
        <w:tabs>
          <w:tab w:val="left" w:pos="426"/>
        </w:tabs>
        <w:spacing w:line="360" w:lineRule="auto"/>
        <w:ind w:leftChars="0"/>
        <w:jc w:val="both"/>
        <w:rPr>
          <w:rFonts w:hint="default" w:ascii="Arial" w:hAnsi="Arial" w:cs="Arial"/>
          <w:sz w:val="22"/>
          <w:szCs w:val="22"/>
          <w:highlight w:val="none"/>
        </w:rPr>
      </w:pPr>
      <w:r>
        <w:rPr>
          <w:rFonts w:hint="default" w:ascii="Arial" w:hAnsi="Arial" w:cs="Arial"/>
          <w:b/>
          <w:bCs/>
          <w:sz w:val="22"/>
          <w:szCs w:val="22"/>
          <w:highlight w:val="none"/>
          <w:lang w:val="pt-BR"/>
        </w:rPr>
        <w:t>16.1.8.</w:t>
      </w:r>
      <w:r>
        <w:rPr>
          <w:rFonts w:hint="default" w:ascii="Arial" w:hAnsi="Arial" w:cs="Arial"/>
          <w:sz w:val="22"/>
          <w:szCs w:val="22"/>
          <w:highlight w:val="none"/>
          <w:lang w:val="pt-BR"/>
        </w:rPr>
        <w:t xml:space="preserve"> </w:t>
      </w:r>
      <w:r>
        <w:rPr>
          <w:rFonts w:hint="default" w:ascii="Arial" w:hAnsi="Arial" w:cs="Arial"/>
          <w:sz w:val="22"/>
          <w:szCs w:val="22"/>
          <w:highlight w:val="none"/>
        </w:rPr>
        <w:t>A Contratante não responderá por quaisquer compromissos assumidos pela Contratada com terceiros, bem como por qualquer dano causado a terceiros em decorrência de ato da Contratada, de seus empregados, prepostos ou subordinados.</w:t>
      </w:r>
    </w:p>
    <w:p w14:paraId="0264AA4E">
      <w:pPr>
        <w:pStyle w:val="154"/>
        <w:numPr>
          <w:ilvl w:val="0"/>
          <w:numId w:val="0"/>
        </w:numPr>
        <w:tabs>
          <w:tab w:val="left" w:pos="426"/>
        </w:tabs>
        <w:spacing w:line="360" w:lineRule="auto"/>
        <w:ind w:leftChars="0"/>
        <w:jc w:val="both"/>
        <w:rPr>
          <w:rFonts w:hint="default" w:ascii="Arial" w:hAnsi="Arial" w:cs="Arial"/>
          <w:sz w:val="22"/>
          <w:szCs w:val="22"/>
          <w:highlight w:val="none"/>
        </w:rPr>
      </w:pPr>
      <w:r>
        <w:rPr>
          <w:rFonts w:hint="default" w:ascii="Arial" w:hAnsi="Arial" w:cs="Arial"/>
          <w:b/>
          <w:bCs/>
          <w:sz w:val="22"/>
          <w:szCs w:val="22"/>
          <w:highlight w:val="none"/>
          <w:lang w:val="pt-BR"/>
        </w:rPr>
        <w:t>16.1.9.</w:t>
      </w:r>
      <w:r>
        <w:rPr>
          <w:rFonts w:hint="default" w:ascii="Arial" w:hAnsi="Arial" w:cs="Arial"/>
          <w:sz w:val="22"/>
          <w:szCs w:val="22"/>
          <w:highlight w:val="none"/>
          <w:lang w:val="pt-BR"/>
        </w:rPr>
        <w:t xml:space="preserve"> </w:t>
      </w:r>
      <w:r>
        <w:rPr>
          <w:rFonts w:hint="default" w:ascii="Arial" w:hAnsi="Arial" w:cs="Arial"/>
          <w:sz w:val="22"/>
          <w:szCs w:val="22"/>
          <w:highlight w:val="none"/>
        </w:rPr>
        <w:t>Fornecer todo tipo de informação interna essencial à realização dos fornecimentos.</w:t>
      </w:r>
    </w:p>
    <w:p w14:paraId="1ACBC6F6">
      <w:pPr>
        <w:pStyle w:val="154"/>
        <w:numPr>
          <w:ilvl w:val="0"/>
          <w:numId w:val="0"/>
        </w:numPr>
        <w:tabs>
          <w:tab w:val="left" w:pos="426"/>
        </w:tabs>
        <w:spacing w:line="360" w:lineRule="auto"/>
        <w:ind w:leftChars="0"/>
        <w:jc w:val="both"/>
        <w:rPr>
          <w:rFonts w:hint="default" w:ascii="Arial" w:hAnsi="Arial" w:cs="Arial"/>
          <w:sz w:val="22"/>
          <w:szCs w:val="22"/>
          <w:highlight w:val="none"/>
        </w:rPr>
      </w:pPr>
      <w:r>
        <w:rPr>
          <w:rFonts w:hint="default" w:ascii="Arial" w:hAnsi="Arial" w:cs="Arial"/>
          <w:b/>
          <w:bCs/>
          <w:sz w:val="22"/>
          <w:szCs w:val="22"/>
          <w:highlight w:val="none"/>
          <w:lang w:val="pt-BR"/>
        </w:rPr>
        <w:t>16.1.10.</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Conferir toda a documentação, especificação do produto, quantidade e qualidade </w:t>
      </w:r>
      <w:r>
        <w:rPr>
          <w:rFonts w:hint="default" w:ascii="Arial" w:hAnsi="Arial" w:cs="Arial"/>
          <w:sz w:val="22"/>
          <w:szCs w:val="22"/>
          <w:highlight w:val="none"/>
          <w:lang w:val="pt-BR"/>
        </w:rPr>
        <w:t>t</w:t>
      </w:r>
      <w:r>
        <w:rPr>
          <w:rFonts w:hint="default" w:ascii="Arial" w:hAnsi="Arial" w:cs="Arial"/>
          <w:sz w:val="22"/>
          <w:szCs w:val="22"/>
          <w:highlight w:val="none"/>
        </w:rPr>
        <w:t>écnica gerada e apresentada durante a execução do objeto, efetuando o seu atesto quando a mesma estiver em conformidade com os padrões de informação e qualidade exigidos.</w:t>
      </w:r>
    </w:p>
    <w:p w14:paraId="2BF68CE9">
      <w:pPr>
        <w:pStyle w:val="154"/>
        <w:numPr>
          <w:ilvl w:val="0"/>
          <w:numId w:val="0"/>
        </w:numPr>
        <w:tabs>
          <w:tab w:val="left" w:pos="426"/>
        </w:tabs>
        <w:spacing w:line="360" w:lineRule="auto"/>
        <w:ind w:leftChars="0"/>
        <w:jc w:val="both"/>
        <w:rPr>
          <w:rFonts w:hint="default" w:ascii="Arial" w:hAnsi="Arial" w:cs="Arial"/>
          <w:sz w:val="22"/>
          <w:szCs w:val="22"/>
          <w:highlight w:val="none"/>
          <w:lang w:val="pt-BR"/>
        </w:rPr>
      </w:pPr>
      <w:r>
        <w:rPr>
          <w:rFonts w:hint="default" w:ascii="Arial" w:hAnsi="Arial" w:cs="Arial"/>
          <w:b/>
          <w:bCs/>
          <w:sz w:val="22"/>
          <w:szCs w:val="22"/>
          <w:highlight w:val="none"/>
          <w:lang w:val="pt-BR"/>
        </w:rPr>
        <w:t>16.1.11.</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Efetuar o pagamento de acordo com o estabelecido neste Termo de Referência e demais cominações legais, desde que atendidas todas as exigências e cumpridas as especificações e desde que devidamente atestadas as notas fiscais e relatórios feitos pelos fiscais </w:t>
      </w:r>
      <w:r>
        <w:rPr>
          <w:rFonts w:hint="default" w:ascii="Arial" w:hAnsi="Arial" w:cs="Arial"/>
          <w:sz w:val="22"/>
          <w:szCs w:val="22"/>
          <w:highlight w:val="none"/>
          <w:lang w:val="pt-BR"/>
        </w:rPr>
        <w:t>do contrato.</w:t>
      </w:r>
    </w:p>
    <w:p w14:paraId="12183D53">
      <w:pPr>
        <w:pStyle w:val="154"/>
        <w:numPr>
          <w:ilvl w:val="0"/>
          <w:numId w:val="0"/>
        </w:numPr>
        <w:tabs>
          <w:tab w:val="left" w:pos="426"/>
        </w:tabs>
        <w:spacing w:line="360" w:lineRule="auto"/>
        <w:ind w:leftChars="0"/>
        <w:jc w:val="both"/>
        <w:rPr>
          <w:rFonts w:hint="default" w:ascii="Arial" w:hAnsi="Arial" w:cs="Arial"/>
          <w:sz w:val="22"/>
          <w:szCs w:val="22"/>
          <w:highlight w:val="none"/>
        </w:rPr>
      </w:pPr>
      <w:r>
        <w:rPr>
          <w:rFonts w:hint="default" w:ascii="Arial" w:hAnsi="Arial" w:cs="Arial"/>
          <w:b/>
          <w:bCs/>
          <w:sz w:val="22"/>
          <w:szCs w:val="22"/>
          <w:highlight w:val="none"/>
          <w:lang w:val="pt-BR"/>
        </w:rPr>
        <w:t>16.1.12.</w:t>
      </w:r>
      <w:r>
        <w:rPr>
          <w:rFonts w:hint="default" w:ascii="Arial" w:hAnsi="Arial" w:cs="Arial"/>
          <w:sz w:val="22"/>
          <w:szCs w:val="22"/>
          <w:highlight w:val="none"/>
          <w:lang w:val="pt-BR"/>
        </w:rPr>
        <w:t xml:space="preserve"> </w:t>
      </w:r>
      <w:r>
        <w:rPr>
          <w:rFonts w:hint="default" w:ascii="Arial" w:hAnsi="Arial" w:cs="Arial"/>
          <w:sz w:val="22"/>
          <w:szCs w:val="22"/>
          <w:highlight w:val="none"/>
        </w:rPr>
        <w:t>Aplicar à contratada as penalidades, quando for o caso.</w:t>
      </w:r>
    </w:p>
    <w:p w14:paraId="3F9F0B3C">
      <w:pPr>
        <w:pStyle w:val="154"/>
        <w:numPr>
          <w:ilvl w:val="0"/>
          <w:numId w:val="0"/>
        </w:numPr>
        <w:tabs>
          <w:tab w:val="left" w:pos="426"/>
        </w:tabs>
        <w:spacing w:line="360" w:lineRule="auto"/>
        <w:ind w:leftChars="0"/>
        <w:jc w:val="both"/>
        <w:rPr>
          <w:rFonts w:hint="default" w:ascii="Arial" w:hAnsi="Arial" w:cs="Arial"/>
          <w:sz w:val="22"/>
          <w:szCs w:val="22"/>
          <w:highlight w:val="none"/>
        </w:rPr>
      </w:pPr>
      <w:r>
        <w:rPr>
          <w:rFonts w:hint="default" w:ascii="Arial" w:hAnsi="Arial" w:cs="Arial"/>
          <w:b/>
          <w:bCs/>
          <w:sz w:val="22"/>
          <w:szCs w:val="22"/>
          <w:highlight w:val="none"/>
          <w:lang w:val="pt-BR"/>
        </w:rPr>
        <w:t>16.1.13.</w:t>
      </w:r>
      <w:r>
        <w:rPr>
          <w:rFonts w:hint="default" w:ascii="Arial" w:hAnsi="Arial" w:cs="Arial"/>
          <w:sz w:val="22"/>
          <w:szCs w:val="22"/>
          <w:highlight w:val="none"/>
          <w:lang w:val="pt-BR"/>
        </w:rPr>
        <w:t xml:space="preserve"> </w:t>
      </w:r>
      <w:r>
        <w:rPr>
          <w:rFonts w:hint="default" w:ascii="Arial" w:hAnsi="Arial" w:cs="Arial"/>
          <w:sz w:val="22"/>
          <w:szCs w:val="22"/>
          <w:highlight w:val="none"/>
        </w:rPr>
        <w:t>Notificar, por escrito, a contratada da aplicação de qualquer sanção.</w:t>
      </w:r>
    </w:p>
    <w:p w14:paraId="59F6DD9D">
      <w:pPr>
        <w:pStyle w:val="154"/>
        <w:numPr>
          <w:ilvl w:val="0"/>
          <w:numId w:val="0"/>
        </w:numPr>
        <w:tabs>
          <w:tab w:val="left" w:pos="426"/>
        </w:tabs>
        <w:spacing w:line="360" w:lineRule="auto"/>
        <w:ind w:leftChars="0"/>
        <w:jc w:val="both"/>
        <w:rPr>
          <w:rFonts w:hint="default" w:ascii="Arial" w:hAnsi="Arial" w:cs="Arial"/>
          <w:sz w:val="22"/>
          <w:szCs w:val="22"/>
          <w:highlight w:val="none"/>
        </w:rPr>
      </w:pPr>
      <w:r>
        <w:rPr>
          <w:rFonts w:hint="default" w:ascii="Arial" w:hAnsi="Arial" w:cs="Arial"/>
          <w:b/>
          <w:bCs/>
          <w:sz w:val="22"/>
          <w:szCs w:val="22"/>
          <w:highlight w:val="none"/>
          <w:lang w:val="pt-BR"/>
        </w:rPr>
        <w:t>16.1.14.</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Acompanhar, controlar e avaliar a </w:t>
      </w:r>
      <w:r>
        <w:rPr>
          <w:rFonts w:hint="default" w:ascii="Arial" w:hAnsi="Arial" w:cs="Arial"/>
          <w:sz w:val="22"/>
          <w:szCs w:val="22"/>
          <w:highlight w:val="none"/>
          <w:lang w:val="pt-BR"/>
        </w:rPr>
        <w:t>entrega e a qualidade dos materiais e serviços</w:t>
      </w:r>
      <w:r>
        <w:rPr>
          <w:rFonts w:hint="default" w:ascii="Arial" w:hAnsi="Arial" w:cs="Arial"/>
          <w:sz w:val="22"/>
          <w:szCs w:val="22"/>
          <w:highlight w:val="none"/>
        </w:rPr>
        <w:t xml:space="preserve">, através da unidade responsável por esta </w:t>
      </w:r>
      <w:r>
        <w:rPr>
          <w:rFonts w:hint="default" w:ascii="Arial" w:hAnsi="Arial" w:cs="Arial"/>
          <w:sz w:val="22"/>
          <w:szCs w:val="22"/>
          <w:highlight w:val="none"/>
          <w:lang w:val="pt-BR"/>
        </w:rPr>
        <w:t>a</w:t>
      </w:r>
      <w:r>
        <w:rPr>
          <w:rFonts w:hint="default" w:ascii="Arial" w:hAnsi="Arial" w:cs="Arial"/>
          <w:sz w:val="22"/>
          <w:szCs w:val="22"/>
          <w:highlight w:val="none"/>
        </w:rPr>
        <w:t>tribuição.</w:t>
      </w:r>
    </w:p>
    <w:p w14:paraId="0C4EFCCB">
      <w:pPr>
        <w:pStyle w:val="154"/>
        <w:numPr>
          <w:ilvl w:val="0"/>
          <w:numId w:val="0"/>
        </w:numPr>
        <w:tabs>
          <w:tab w:val="left" w:pos="426"/>
        </w:tabs>
        <w:spacing w:line="360" w:lineRule="auto"/>
        <w:ind w:leftChars="0"/>
        <w:jc w:val="both"/>
        <w:rPr>
          <w:rFonts w:hint="default" w:ascii="Arial" w:hAnsi="Arial" w:cs="Arial"/>
          <w:sz w:val="22"/>
          <w:szCs w:val="22"/>
          <w:highlight w:val="none"/>
          <w:lang w:val="pt-BR"/>
        </w:rPr>
      </w:pPr>
      <w:r>
        <w:rPr>
          <w:rFonts w:hint="default" w:ascii="Arial" w:hAnsi="Arial" w:cs="Arial"/>
          <w:b/>
          <w:bCs/>
          <w:sz w:val="22"/>
          <w:szCs w:val="22"/>
          <w:highlight w:val="none"/>
          <w:lang w:val="pt-BR"/>
        </w:rPr>
        <w:t>16.1.15.</w:t>
      </w:r>
      <w:r>
        <w:rPr>
          <w:rFonts w:hint="default" w:ascii="Arial" w:hAnsi="Arial" w:cs="Arial"/>
          <w:sz w:val="22"/>
          <w:szCs w:val="22"/>
          <w:highlight w:val="none"/>
          <w:lang w:val="pt-BR"/>
        </w:rPr>
        <w:t xml:space="preserve"> </w:t>
      </w:r>
      <w:r>
        <w:rPr>
          <w:rFonts w:hint="default" w:ascii="Arial" w:hAnsi="Arial" w:cs="Arial"/>
          <w:sz w:val="22"/>
          <w:szCs w:val="22"/>
          <w:highlight w:val="none"/>
        </w:rPr>
        <w:t>Interromper os serviços que apresentarem irregularidades em sua prestação, comunicando o fato imediatamente à Contratada, bem como qualquer eventual ocorrência relevante relacionada com o mesmo.</w:t>
      </w:r>
    </w:p>
    <w:p w14:paraId="2FB6856C">
      <w:pPr>
        <w:pStyle w:val="22"/>
        <w:spacing w:before="240" w:after="240" w:line="360" w:lineRule="auto"/>
        <w:rPr>
          <w:rFonts w:hint="default" w:ascii="Arial" w:hAnsi="Arial" w:cs="Arial"/>
          <w:sz w:val="22"/>
          <w:szCs w:val="22"/>
        </w:rPr>
      </w:pPr>
      <w:r>
        <w:rPr>
          <w:b/>
          <w:sz w:val="22"/>
          <w:szCs w:val="22"/>
        </w:rPr>
        <w:t>1</w:t>
      </w:r>
      <w:r>
        <w:rPr>
          <w:rFonts w:hint="default"/>
          <w:b/>
          <w:sz w:val="22"/>
          <w:szCs w:val="22"/>
          <w:lang w:val="pt-BR"/>
        </w:rPr>
        <w:t>6</w:t>
      </w:r>
      <w:r>
        <w:rPr>
          <w:b/>
          <w:sz w:val="22"/>
          <w:szCs w:val="22"/>
        </w:rPr>
        <w:t>.</w:t>
      </w:r>
      <w:r>
        <w:rPr>
          <w:rFonts w:hint="default"/>
          <w:b/>
          <w:sz w:val="22"/>
          <w:szCs w:val="22"/>
          <w:lang w:val="pt-BR"/>
        </w:rPr>
        <w:t>2</w:t>
      </w:r>
      <w:r>
        <w:rPr>
          <w:b/>
          <w:sz w:val="22"/>
          <w:szCs w:val="22"/>
        </w:rPr>
        <w:t>.</w:t>
      </w:r>
      <w:r>
        <w:rPr>
          <w:rFonts w:hint="default"/>
          <w:b/>
          <w:sz w:val="22"/>
          <w:szCs w:val="22"/>
          <w:lang w:val="pt-BR"/>
        </w:rPr>
        <w:t xml:space="preserve"> </w:t>
      </w:r>
      <w:r>
        <w:rPr>
          <w:rFonts w:hint="default"/>
          <w:b/>
          <w:bCs w:val="0"/>
          <w:sz w:val="22"/>
          <w:szCs w:val="22"/>
          <w:lang w:val="pt-BR"/>
        </w:rPr>
        <w:t>São obrigações da Contratada</w:t>
      </w:r>
      <w:r>
        <w:rPr>
          <w:b/>
          <w:bCs w:val="0"/>
          <w:sz w:val="22"/>
          <w:szCs w:val="22"/>
        </w:rPr>
        <w:t>:</w:t>
      </w:r>
    </w:p>
    <w:p w14:paraId="1CA0D63B">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color w:val="auto"/>
          <w:sz w:val="22"/>
          <w:szCs w:val="22"/>
          <w:highlight w:val="none"/>
          <w:lang w:val="pt-BR"/>
        </w:rPr>
        <w:t xml:space="preserve">16.2.1 </w:t>
      </w:r>
      <w:r>
        <w:rPr>
          <w:rFonts w:hint="default" w:ascii="Arial" w:hAnsi="Arial" w:cs="Arial"/>
          <w:sz w:val="22"/>
          <w:szCs w:val="22"/>
        </w:rPr>
        <w:t>Comunicar à CONTRATANTE, por escrito, qualquer anormalidade de caráter urgente e prestar os esclarecimentos julgados necessários.</w:t>
      </w:r>
    </w:p>
    <w:p w14:paraId="33C9D703">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16.2.2</w:t>
      </w:r>
      <w:r>
        <w:rPr>
          <w:rFonts w:hint="default" w:ascii="Arial" w:hAnsi="Arial" w:cs="Arial"/>
          <w:sz w:val="22"/>
          <w:szCs w:val="22"/>
          <w:lang w:val="pt-BR"/>
        </w:rPr>
        <w:t xml:space="preserve"> </w:t>
      </w:r>
      <w:r>
        <w:rPr>
          <w:rFonts w:hint="default" w:ascii="Arial" w:hAnsi="Arial" w:cs="Arial"/>
          <w:sz w:val="22"/>
          <w:szCs w:val="22"/>
        </w:rPr>
        <w:t>Possuir técnicos devidamente qualificados/treinados pelo fabricante dos equipamentos que compõem o Centro de Processamento de Dados para execução, instalação e testes de operação.</w:t>
      </w:r>
    </w:p>
    <w:p w14:paraId="735988D4">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16.2.3</w:t>
      </w:r>
      <w:r>
        <w:rPr>
          <w:rFonts w:hint="default" w:ascii="Arial" w:hAnsi="Arial" w:cs="Arial"/>
          <w:sz w:val="22"/>
          <w:szCs w:val="22"/>
          <w:lang w:val="pt-BR"/>
        </w:rPr>
        <w:t xml:space="preserve"> </w:t>
      </w:r>
      <w:r>
        <w:rPr>
          <w:rFonts w:hint="default" w:ascii="Arial" w:hAnsi="Arial" w:cs="Arial"/>
          <w:sz w:val="22"/>
          <w:szCs w:val="22"/>
        </w:rPr>
        <w:t xml:space="preserve">Efetuar a entrega dos equipamentos do Centro de Processamento de Dados de acordo com as especificações e demais condições previstas neste Termo de Referência. </w:t>
      </w:r>
    </w:p>
    <w:p w14:paraId="0B0D3AAC">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16.2.4</w:t>
      </w:r>
      <w:r>
        <w:rPr>
          <w:rFonts w:hint="default" w:ascii="Arial" w:hAnsi="Arial" w:cs="Arial"/>
          <w:sz w:val="22"/>
          <w:szCs w:val="22"/>
          <w:lang w:val="pt-BR"/>
        </w:rPr>
        <w:t xml:space="preserve"> </w:t>
      </w:r>
      <w:r>
        <w:rPr>
          <w:rFonts w:hint="default" w:ascii="Arial" w:hAnsi="Arial" w:cs="Arial"/>
          <w:sz w:val="22"/>
          <w:szCs w:val="22"/>
        </w:rPr>
        <w:t xml:space="preserve">A CONTRATADA deverá emitir relatórios da manutenção e de todas as ocorrências referente a manutenção corretiva quando em garantia. </w:t>
      </w:r>
    </w:p>
    <w:p w14:paraId="01087AA3">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16.2.5</w:t>
      </w:r>
      <w:r>
        <w:rPr>
          <w:rFonts w:hint="default" w:ascii="Arial" w:hAnsi="Arial" w:cs="Arial"/>
          <w:sz w:val="22"/>
          <w:szCs w:val="22"/>
          <w:lang w:val="pt-BR"/>
        </w:rPr>
        <w:t xml:space="preserve"> </w:t>
      </w:r>
      <w:r>
        <w:rPr>
          <w:rFonts w:hint="default" w:ascii="Arial" w:hAnsi="Arial" w:cs="Arial"/>
          <w:sz w:val="22"/>
          <w:szCs w:val="22"/>
        </w:rPr>
        <w:t xml:space="preserve">Assumir toda a responsabilidade pelos encargos fiscais e comerciais resultantes do fornecimento do objeto do presente Termo de Referência. </w:t>
      </w:r>
    </w:p>
    <w:p w14:paraId="3BBD1168">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16.2.6</w:t>
      </w:r>
      <w:r>
        <w:rPr>
          <w:rFonts w:hint="default" w:ascii="Arial" w:hAnsi="Arial" w:cs="Arial"/>
          <w:sz w:val="22"/>
          <w:szCs w:val="22"/>
          <w:lang w:val="pt-BR"/>
        </w:rPr>
        <w:t xml:space="preserve"> </w:t>
      </w:r>
      <w:r>
        <w:rPr>
          <w:rFonts w:hint="default" w:ascii="Arial" w:hAnsi="Arial" w:cs="Arial"/>
          <w:sz w:val="22"/>
          <w:szCs w:val="22"/>
        </w:rPr>
        <w:t xml:space="preserve">O objeto deverá ser entregue, levando-se em consideração o fato de que os serviços deste Termo deverão ser entregues completos (cabos, identificadores dos cabos, acessórios, manuais entre outros) em consequência, ficará a cargo da CONTRATADA prever qualquer material necessário, mesmo quando não expressamente indicado no Termo de Referência e nas especificações técnicas, não lhe cabendo quaisquer acréscimos de pagamentos decorrentes. </w:t>
      </w:r>
    </w:p>
    <w:p w14:paraId="7BDDF85C">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16.2.7</w:t>
      </w:r>
      <w:r>
        <w:rPr>
          <w:rFonts w:hint="default" w:ascii="Arial" w:hAnsi="Arial" w:cs="Arial"/>
          <w:sz w:val="22"/>
          <w:szCs w:val="22"/>
          <w:lang w:val="pt-BR"/>
        </w:rPr>
        <w:t xml:space="preserve"> </w:t>
      </w:r>
      <w:r>
        <w:rPr>
          <w:rFonts w:hint="default" w:ascii="Arial" w:hAnsi="Arial" w:cs="Arial"/>
          <w:sz w:val="22"/>
          <w:szCs w:val="22"/>
        </w:rPr>
        <w:t xml:space="preserve">Durante a execução do serviço a CONTRATADA deverá disponibilizar nas instalações da CONTRATANTE, profissionais legalmente habilitados, com registro válido no Conselho Regional de Engenharia e Arquitetura (CREA) competente, com habilitação de Engenheiro. </w:t>
      </w:r>
    </w:p>
    <w:p w14:paraId="547F84FF">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16.2.8</w:t>
      </w:r>
      <w:r>
        <w:rPr>
          <w:rFonts w:hint="default" w:ascii="Arial" w:hAnsi="Arial" w:cs="Arial"/>
          <w:sz w:val="22"/>
          <w:szCs w:val="22"/>
          <w:lang w:val="pt-BR"/>
        </w:rPr>
        <w:t xml:space="preserve"> </w:t>
      </w:r>
      <w:r>
        <w:rPr>
          <w:rFonts w:hint="default" w:ascii="Arial" w:hAnsi="Arial" w:cs="Arial"/>
          <w:sz w:val="22"/>
          <w:szCs w:val="22"/>
        </w:rPr>
        <w:t>A CONTRATADA deverá emitir Anotação de Responsabilidade Técnica – ART ou RRT junto ao CREA ou CAU MT, em nome de seus responsáveis técnicos apresentados, para vinculação de responsabilidade de projetos executivos, fornecimento e serviços a serem executados via objeto deste Termo de Referência, após a assinatura do Contrato.</w:t>
      </w:r>
    </w:p>
    <w:p w14:paraId="3BB3F8DD">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b/>
          <w:sz w:val="22"/>
          <w:szCs w:val="22"/>
          <w:highlight w:val="none"/>
          <w:lang w:val="pt-BR"/>
        </w:rPr>
      </w:pPr>
      <w:r>
        <w:rPr>
          <w:rFonts w:hint="default" w:ascii="Arial" w:hAnsi="Arial" w:cs="Arial"/>
          <w:b/>
          <w:bCs/>
          <w:color w:val="auto"/>
          <w:sz w:val="22"/>
          <w:szCs w:val="22"/>
          <w:highlight w:val="none"/>
          <w:lang w:val="pt-BR"/>
        </w:rPr>
        <w:t>16.2.9</w:t>
      </w:r>
      <w:r>
        <w:rPr>
          <w:rFonts w:hint="default" w:ascii="Arial" w:hAnsi="Arial" w:cs="Arial"/>
          <w:color w:val="auto"/>
          <w:sz w:val="22"/>
          <w:szCs w:val="22"/>
          <w:highlight w:val="none"/>
          <w:lang w:val="pt-BR"/>
        </w:rPr>
        <w:t xml:space="preserve"> </w:t>
      </w:r>
      <w:r>
        <w:rPr>
          <w:rFonts w:hint="default" w:ascii="Arial" w:hAnsi="Arial" w:cs="Arial"/>
          <w:color w:val="auto"/>
          <w:sz w:val="22"/>
          <w:szCs w:val="22"/>
          <w:highlight w:val="none"/>
        </w:rPr>
        <w:t>A CONTRATADA deverá emitir comprovante de regularização junto ao CREA e CAU da proponente e dos profissionais responsáveis técnicos apresentados pela proponente, através de Certidão de Registro e Quitação – CRQ emitida pelo CREA. A certidão deverá conter os dados cadastrais atualizados, nos termos da legislação em vigor, com habilitação de Engenheiro, em atendimento à Resolução do CONFEA nº 265 (15/12/79), Resolução nº 266 (15/12/79) e Resolução nº 191 (20/03/70). Em caso de participantes e seus responsáveis técnicos inscritos ou registrados em um CREA de outra região, os mesmos deverão, no ato da assinatura do contrato, terem sido visitados e ter registrada a sua documentação no CREA-M</w:t>
      </w:r>
      <w:r>
        <w:rPr>
          <w:rFonts w:hint="default" w:ascii="Arial" w:hAnsi="Arial" w:cs="Arial"/>
          <w:color w:val="auto"/>
          <w:sz w:val="22"/>
          <w:szCs w:val="22"/>
          <w:highlight w:val="none"/>
          <w:lang w:val="pt-BR"/>
        </w:rPr>
        <w:t>T</w:t>
      </w:r>
      <w:r>
        <w:rPr>
          <w:rFonts w:hint="default" w:ascii="Arial" w:hAnsi="Arial" w:cs="Arial"/>
          <w:color w:val="auto"/>
          <w:sz w:val="22"/>
          <w:szCs w:val="22"/>
          <w:highlight w:val="none"/>
        </w:rPr>
        <w:t>, de acordo com a resolução 413/97, do Conselho Federal de Engenharia, Arquitetura e Agronomia</w:t>
      </w:r>
      <w:r>
        <w:rPr>
          <w:rFonts w:hint="default" w:ascii="Arial" w:hAnsi="Arial" w:cs="Arial"/>
          <w:color w:val="auto"/>
          <w:sz w:val="22"/>
          <w:szCs w:val="22"/>
          <w:highlight w:val="none"/>
          <w:lang w:val="pt-BR"/>
        </w:rPr>
        <w:t>.</w:t>
      </w:r>
      <w:r>
        <w:rPr>
          <w:rFonts w:hint="default" w:ascii="Arial" w:hAnsi="Arial" w:cs="Arial"/>
          <w:color w:val="auto"/>
          <w:sz w:val="22"/>
          <w:szCs w:val="22"/>
          <w:highlight w:val="none"/>
          <w:lang w:eastAsia="zh-CN"/>
        </w:rPr>
        <w:t xml:space="preserve"> </w:t>
      </w:r>
    </w:p>
    <w:p w14:paraId="18189C59">
      <w:pPr>
        <w:pStyle w:val="128"/>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right="0" w:rightChars="0"/>
        <w:contextualSpacing/>
        <w:jc w:val="both"/>
        <w:textAlignment w:val="baseline"/>
        <w:rPr>
          <w:rFonts w:hint="default" w:ascii="Arial" w:hAnsi="Arial" w:cs="Arial"/>
          <w:color w:val="auto"/>
          <w:sz w:val="22"/>
          <w:szCs w:val="22"/>
          <w:highlight w:val="none"/>
        </w:rPr>
      </w:pPr>
      <w:r>
        <w:rPr>
          <w:rFonts w:hint="default" w:ascii="Arial" w:hAnsi="Arial" w:cs="Arial"/>
          <w:b/>
          <w:bCs/>
          <w:color w:val="auto"/>
          <w:sz w:val="22"/>
          <w:szCs w:val="22"/>
          <w:highlight w:val="none"/>
          <w:lang w:val="pt-BR"/>
        </w:rPr>
        <w:t>16.2.10</w:t>
      </w:r>
      <w:r>
        <w:rPr>
          <w:rFonts w:hint="default" w:ascii="Arial" w:hAnsi="Arial" w:cs="Arial"/>
          <w:color w:val="auto"/>
          <w:sz w:val="22"/>
          <w:szCs w:val="22"/>
          <w:highlight w:val="none"/>
          <w:lang w:val="pt-BR"/>
        </w:rPr>
        <w:t xml:space="preserve"> </w:t>
      </w:r>
      <w:r>
        <w:rPr>
          <w:rFonts w:hint="default" w:ascii="Arial" w:hAnsi="Arial" w:cs="Arial"/>
          <w:color w:val="auto"/>
          <w:sz w:val="22"/>
          <w:szCs w:val="22"/>
          <w:highlight w:val="none"/>
        </w:rPr>
        <w:t>Responsabilizar-se pelas despesas dos tributos, encargos trabalhistas, previdenciários, fiscais, comerciais, taxas, fretes, seguros, deslocamento de pessoal, prestação de garantia e quaisquer outras que incidam ou venham a incidir na execução da ata/contrato, inclusive nos casos de troca de item ou qualquer eventualidade que possa ocorrer;</w:t>
      </w:r>
    </w:p>
    <w:p w14:paraId="4D1C3AAD">
      <w:pPr>
        <w:pStyle w:val="128"/>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right="0" w:rightChars="0"/>
        <w:contextualSpacing/>
        <w:jc w:val="both"/>
        <w:textAlignment w:val="baseline"/>
        <w:rPr>
          <w:rFonts w:hint="default" w:ascii="Arial" w:hAnsi="Arial" w:cs="Arial"/>
          <w:color w:val="auto"/>
          <w:sz w:val="22"/>
          <w:szCs w:val="22"/>
          <w:highlight w:val="none"/>
        </w:rPr>
      </w:pPr>
      <w:r>
        <w:rPr>
          <w:rFonts w:hint="default" w:ascii="Arial" w:hAnsi="Arial" w:cs="Arial"/>
          <w:b/>
          <w:bCs/>
          <w:color w:val="auto"/>
          <w:sz w:val="22"/>
          <w:szCs w:val="22"/>
          <w:highlight w:val="none"/>
          <w:lang w:val="pt-BR"/>
        </w:rPr>
        <w:t>16.2.11</w:t>
      </w:r>
      <w:r>
        <w:rPr>
          <w:rFonts w:hint="default" w:ascii="Arial" w:hAnsi="Arial" w:cs="Arial"/>
          <w:color w:val="auto"/>
          <w:sz w:val="22"/>
          <w:szCs w:val="22"/>
          <w:highlight w:val="none"/>
          <w:lang w:val="pt-BR"/>
        </w:rPr>
        <w:t xml:space="preserve"> </w:t>
      </w:r>
      <w:r>
        <w:rPr>
          <w:rFonts w:hint="default" w:ascii="Arial" w:hAnsi="Arial" w:cs="Arial"/>
          <w:color w:val="auto"/>
          <w:sz w:val="22"/>
          <w:szCs w:val="22"/>
          <w:highlight w:val="none"/>
        </w:rPr>
        <w:t>Arcar com toda e qualquer despesa relativa ao fornecimento ora pactuado, dentre elas, carga, transporte, descarga, frete, impostos, mão de obra, taxas, contribuições, encargos sociais, inclusive nos casos de troca de item ou qualquer eventualidade que possa ocorrer;</w:t>
      </w:r>
    </w:p>
    <w:p w14:paraId="7E72A33A">
      <w:pPr>
        <w:pStyle w:val="128"/>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right="0" w:rightChars="0"/>
        <w:contextualSpacing/>
        <w:jc w:val="both"/>
        <w:textAlignment w:val="baseline"/>
        <w:rPr>
          <w:rFonts w:hint="default" w:ascii="Arial" w:hAnsi="Arial" w:cs="Arial"/>
          <w:color w:val="auto"/>
          <w:sz w:val="22"/>
          <w:szCs w:val="22"/>
          <w:highlight w:val="none"/>
        </w:rPr>
      </w:pPr>
      <w:r>
        <w:rPr>
          <w:rFonts w:hint="default" w:ascii="Arial" w:hAnsi="Arial" w:cs="Arial"/>
          <w:b/>
          <w:bCs/>
          <w:color w:val="auto"/>
          <w:sz w:val="22"/>
          <w:szCs w:val="22"/>
          <w:highlight w:val="none"/>
          <w:lang w:val="pt-BR"/>
        </w:rPr>
        <w:t>16.2.12</w:t>
      </w:r>
      <w:r>
        <w:rPr>
          <w:rFonts w:hint="default" w:ascii="Arial" w:hAnsi="Arial" w:cs="Arial"/>
          <w:color w:val="auto"/>
          <w:sz w:val="22"/>
          <w:szCs w:val="22"/>
          <w:highlight w:val="none"/>
          <w:lang w:val="pt-BR"/>
        </w:rPr>
        <w:t xml:space="preserve"> </w:t>
      </w:r>
      <w:r>
        <w:rPr>
          <w:rFonts w:hint="default" w:ascii="Arial" w:hAnsi="Arial" w:cs="Arial"/>
          <w:color w:val="auto"/>
          <w:sz w:val="22"/>
          <w:szCs w:val="22"/>
          <w:highlight w:val="none"/>
        </w:rPr>
        <w:t>Manter, durante toda a execução d</w:t>
      </w:r>
      <w:r>
        <w:rPr>
          <w:rFonts w:hint="default" w:ascii="Arial" w:hAnsi="Arial" w:cs="Arial"/>
          <w:color w:val="auto"/>
          <w:sz w:val="22"/>
          <w:szCs w:val="22"/>
          <w:highlight w:val="none"/>
          <w:lang w:val="pt-BR"/>
        </w:rPr>
        <w:t xml:space="preserve">o </w:t>
      </w:r>
      <w:r>
        <w:rPr>
          <w:rFonts w:hint="default" w:ascii="Arial" w:hAnsi="Arial" w:cs="Arial"/>
          <w:color w:val="auto"/>
          <w:sz w:val="22"/>
          <w:szCs w:val="22"/>
          <w:highlight w:val="none"/>
        </w:rPr>
        <w:t>contrato, em compatibilidade com as obrigações assumidas, todas as condições de habilitação e qualificação exigidas na licitação ou na contratação.</w:t>
      </w:r>
    </w:p>
    <w:p w14:paraId="359EF8BA">
      <w:pPr>
        <w:pStyle w:val="128"/>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right="0" w:rightChars="0"/>
        <w:contextualSpacing/>
        <w:jc w:val="both"/>
        <w:textAlignment w:val="baseline"/>
        <w:rPr>
          <w:rFonts w:hint="default" w:ascii="Arial" w:hAnsi="Arial" w:cs="Arial"/>
          <w:color w:val="auto"/>
          <w:sz w:val="22"/>
          <w:szCs w:val="22"/>
          <w:highlight w:val="none"/>
        </w:rPr>
      </w:pPr>
      <w:r>
        <w:rPr>
          <w:rFonts w:hint="default" w:ascii="Arial" w:hAnsi="Arial" w:cs="Arial"/>
          <w:b/>
          <w:bCs/>
          <w:color w:val="auto"/>
          <w:sz w:val="22"/>
          <w:szCs w:val="22"/>
          <w:highlight w:val="none"/>
          <w:lang w:val="pt-BR"/>
        </w:rPr>
        <w:t>16.2.13</w:t>
      </w:r>
      <w:r>
        <w:rPr>
          <w:rFonts w:hint="default" w:ascii="Arial" w:hAnsi="Arial" w:cs="Arial"/>
          <w:color w:val="auto"/>
          <w:sz w:val="22"/>
          <w:szCs w:val="22"/>
          <w:highlight w:val="none"/>
          <w:lang w:val="pt-BR"/>
        </w:rPr>
        <w:t xml:space="preserve"> </w:t>
      </w:r>
      <w:r>
        <w:rPr>
          <w:rFonts w:hint="default" w:ascii="Arial" w:hAnsi="Arial" w:cs="Arial"/>
          <w:color w:val="auto"/>
          <w:sz w:val="22"/>
          <w:szCs w:val="22"/>
          <w:highlight w:val="none"/>
        </w:rPr>
        <w:t>Atender prontamente a quaisquer exigências da Administração, inerentes ao objeto da presente licitação.</w:t>
      </w:r>
    </w:p>
    <w:p w14:paraId="56616C3A">
      <w:pPr>
        <w:pStyle w:val="128"/>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contextualSpacing/>
        <w:jc w:val="both"/>
        <w:textAlignment w:val="baseline"/>
        <w:rPr>
          <w:rFonts w:hint="default" w:ascii="Arial" w:hAnsi="Arial" w:cs="Arial"/>
          <w:color w:val="auto"/>
          <w:sz w:val="22"/>
          <w:szCs w:val="22"/>
          <w:highlight w:val="none"/>
        </w:rPr>
      </w:pPr>
      <w:r>
        <w:rPr>
          <w:rFonts w:hint="default" w:ascii="Arial" w:hAnsi="Arial" w:cs="Arial"/>
          <w:b/>
          <w:bCs/>
          <w:color w:val="auto"/>
          <w:sz w:val="22"/>
          <w:szCs w:val="22"/>
          <w:highlight w:val="none"/>
          <w:lang w:val="pt-BR"/>
        </w:rPr>
        <w:t>16.2.14</w:t>
      </w:r>
      <w:r>
        <w:rPr>
          <w:rFonts w:hint="default" w:ascii="Arial" w:hAnsi="Arial" w:cs="Arial"/>
          <w:color w:val="auto"/>
          <w:sz w:val="22"/>
          <w:szCs w:val="22"/>
          <w:highlight w:val="none"/>
          <w:lang w:val="pt-BR"/>
        </w:rPr>
        <w:t xml:space="preserve"> </w:t>
      </w:r>
      <w:r>
        <w:rPr>
          <w:rFonts w:hint="default" w:ascii="Arial" w:hAnsi="Arial" w:cs="Arial"/>
          <w:color w:val="auto"/>
          <w:sz w:val="22"/>
          <w:szCs w:val="22"/>
          <w:highlight w:val="none"/>
        </w:rPr>
        <w:t>Não transferir a terceiros, por qualquer forma, as obrigações assumidas, nem subcontratar qualquer das prestações a que está obrigada.</w:t>
      </w:r>
    </w:p>
    <w:p w14:paraId="7DE44BD3">
      <w:pPr>
        <w:pStyle w:val="128"/>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color w:val="auto"/>
          <w:sz w:val="22"/>
          <w:szCs w:val="22"/>
          <w:highlight w:val="none"/>
        </w:rPr>
      </w:pPr>
      <w:r>
        <w:rPr>
          <w:rFonts w:hint="default" w:ascii="Arial" w:hAnsi="Arial" w:cs="Arial"/>
          <w:b/>
          <w:bCs/>
          <w:color w:val="auto"/>
          <w:sz w:val="22"/>
          <w:szCs w:val="22"/>
          <w:highlight w:val="none"/>
          <w:lang w:val="pt-BR"/>
        </w:rPr>
        <w:t>16.2.15</w:t>
      </w:r>
      <w:r>
        <w:rPr>
          <w:rFonts w:hint="default" w:ascii="Arial" w:hAnsi="Arial" w:cs="Arial"/>
          <w:color w:val="auto"/>
          <w:sz w:val="22"/>
          <w:szCs w:val="22"/>
          <w:highlight w:val="none"/>
          <w:lang w:val="pt-BR"/>
        </w:rPr>
        <w:t xml:space="preserve"> </w:t>
      </w:r>
      <w:r>
        <w:rPr>
          <w:rFonts w:hint="default" w:ascii="Arial" w:hAnsi="Arial" w:cs="Arial"/>
          <w:color w:val="auto"/>
          <w:sz w:val="22"/>
          <w:szCs w:val="22"/>
          <w:highlight w:val="none"/>
        </w:rPr>
        <w:t>Destacar e discriminar a retenção a que está sujeita, informando de forma clara e inequívoca todos os impostos e alíquotas incidentes, cabendo a ela toda a responsabilidade pela eventual ausência dessa informação ou pela informação incorreta.</w:t>
      </w:r>
    </w:p>
    <w:p w14:paraId="48C765AF">
      <w:pPr>
        <w:pStyle w:val="128"/>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color w:val="auto"/>
          <w:sz w:val="22"/>
          <w:szCs w:val="22"/>
          <w:highlight w:val="none"/>
        </w:rPr>
      </w:pPr>
      <w:r>
        <w:rPr>
          <w:rFonts w:hint="default" w:ascii="Arial" w:hAnsi="Arial" w:cs="Arial"/>
          <w:b/>
          <w:bCs/>
          <w:color w:val="auto"/>
          <w:sz w:val="22"/>
          <w:szCs w:val="22"/>
          <w:highlight w:val="none"/>
          <w:lang w:val="pt-BR"/>
        </w:rPr>
        <w:t>16.2.16</w:t>
      </w:r>
      <w:r>
        <w:rPr>
          <w:rFonts w:hint="default" w:ascii="Arial" w:hAnsi="Arial" w:cs="Arial"/>
          <w:color w:val="auto"/>
          <w:sz w:val="22"/>
          <w:szCs w:val="22"/>
          <w:highlight w:val="none"/>
          <w:lang w:val="pt-BR"/>
        </w:rPr>
        <w:t xml:space="preserve"> </w:t>
      </w:r>
      <w:r>
        <w:rPr>
          <w:rFonts w:hint="default" w:ascii="Arial" w:hAnsi="Arial" w:cs="Arial"/>
          <w:color w:val="auto"/>
          <w:sz w:val="22"/>
          <w:szCs w:val="22"/>
          <w:highlight w:val="none"/>
        </w:rPr>
        <w:t>As notas fiscais não poderão ter rasuras e deverão descrever corretamente o item</w:t>
      </w:r>
      <w:r>
        <w:rPr>
          <w:rFonts w:hint="default" w:ascii="Arial" w:hAnsi="Arial" w:cs="Arial"/>
          <w:color w:val="auto"/>
          <w:sz w:val="22"/>
          <w:szCs w:val="22"/>
          <w:highlight w:val="none"/>
          <w:lang w:val="pt-BR"/>
        </w:rPr>
        <w:t>, o</w:t>
      </w:r>
      <w:r>
        <w:rPr>
          <w:rFonts w:hint="default" w:ascii="Arial" w:hAnsi="Arial" w:cs="Arial"/>
          <w:color w:val="auto"/>
          <w:sz w:val="22"/>
          <w:szCs w:val="22"/>
          <w:highlight w:val="none"/>
        </w:rPr>
        <w:t xml:space="preserve"> número de empenho, o número do processo de compras</w:t>
      </w:r>
      <w:r>
        <w:rPr>
          <w:rFonts w:hint="default" w:ascii="Arial" w:hAnsi="Arial" w:cs="Arial"/>
          <w:color w:val="auto"/>
          <w:sz w:val="22"/>
          <w:szCs w:val="22"/>
          <w:highlight w:val="none"/>
          <w:lang w:val="pt-BR"/>
        </w:rPr>
        <w:t xml:space="preserve"> e</w:t>
      </w:r>
      <w:r>
        <w:rPr>
          <w:rFonts w:hint="default" w:ascii="Arial" w:hAnsi="Arial" w:cs="Arial"/>
          <w:color w:val="auto"/>
          <w:sz w:val="22"/>
          <w:szCs w:val="22"/>
          <w:highlight w:val="none"/>
        </w:rPr>
        <w:t xml:space="preserve"> dados bancários para depósito. </w:t>
      </w:r>
      <w:r>
        <w:rPr>
          <w:rFonts w:hint="default" w:ascii="Arial" w:hAnsi="Arial" w:cs="Arial"/>
          <w:b/>
          <w:bCs/>
          <w:color w:val="auto"/>
          <w:sz w:val="22"/>
          <w:szCs w:val="22"/>
          <w:highlight w:val="none"/>
          <w:lang w:val="pt-BR"/>
        </w:rPr>
        <w:t>16.2.17</w:t>
      </w:r>
      <w:r>
        <w:rPr>
          <w:rFonts w:hint="default" w:ascii="Arial" w:hAnsi="Arial" w:cs="Arial"/>
          <w:color w:val="auto"/>
          <w:sz w:val="22"/>
          <w:szCs w:val="22"/>
          <w:highlight w:val="none"/>
          <w:lang w:val="pt-BR"/>
        </w:rPr>
        <w:t xml:space="preserve"> </w:t>
      </w:r>
      <w:r>
        <w:rPr>
          <w:rFonts w:hint="default" w:ascii="Arial" w:hAnsi="Arial" w:cs="Arial"/>
          <w:color w:val="auto"/>
          <w:sz w:val="22"/>
          <w:szCs w:val="22"/>
          <w:highlight w:val="none"/>
        </w:rPr>
        <w:t>As notas fiscais serão liberadas para pagamento somente quando estiver devidamente assinad</w:t>
      </w:r>
      <w:r>
        <w:rPr>
          <w:rFonts w:hint="default" w:ascii="Arial" w:hAnsi="Arial" w:cs="Arial"/>
          <w:color w:val="auto"/>
          <w:sz w:val="22"/>
          <w:szCs w:val="22"/>
          <w:highlight w:val="none"/>
          <w:lang w:val="pt-BR"/>
        </w:rPr>
        <w:t>a</w:t>
      </w:r>
      <w:r>
        <w:rPr>
          <w:rFonts w:hint="default" w:ascii="Arial" w:hAnsi="Arial" w:cs="Arial"/>
          <w:color w:val="auto"/>
          <w:sz w:val="22"/>
          <w:szCs w:val="22"/>
          <w:highlight w:val="none"/>
        </w:rPr>
        <w:t xml:space="preserve"> e carimbad</w:t>
      </w:r>
      <w:r>
        <w:rPr>
          <w:rFonts w:hint="default" w:ascii="Arial" w:hAnsi="Arial" w:cs="Arial"/>
          <w:color w:val="auto"/>
          <w:sz w:val="22"/>
          <w:szCs w:val="22"/>
          <w:highlight w:val="none"/>
          <w:lang w:val="pt-BR"/>
        </w:rPr>
        <w:t>a</w:t>
      </w:r>
      <w:r>
        <w:rPr>
          <w:rFonts w:hint="default" w:ascii="Arial" w:hAnsi="Arial" w:cs="Arial"/>
          <w:color w:val="auto"/>
          <w:sz w:val="22"/>
          <w:szCs w:val="22"/>
          <w:highlight w:val="none"/>
        </w:rPr>
        <w:t xml:space="preserve"> pelo </w:t>
      </w:r>
      <w:r>
        <w:rPr>
          <w:rFonts w:hint="default" w:ascii="Arial" w:hAnsi="Arial" w:cs="Arial"/>
          <w:color w:val="auto"/>
          <w:sz w:val="22"/>
          <w:szCs w:val="22"/>
          <w:highlight w:val="none"/>
          <w:lang w:val="pt-BR"/>
        </w:rPr>
        <w:t>servidor</w:t>
      </w:r>
      <w:r>
        <w:rPr>
          <w:rFonts w:hint="default" w:ascii="Arial" w:hAnsi="Arial" w:cs="Arial"/>
          <w:color w:val="auto"/>
          <w:sz w:val="22"/>
          <w:szCs w:val="22"/>
          <w:highlight w:val="none"/>
        </w:rPr>
        <w:t xml:space="preserve"> responsável;</w:t>
      </w:r>
    </w:p>
    <w:p w14:paraId="055CAA52">
      <w:pPr>
        <w:pStyle w:val="128"/>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leftChars="0" w:right="0" w:rightChars="0"/>
        <w:jc w:val="both"/>
        <w:textAlignment w:val="baseline"/>
        <w:rPr>
          <w:rFonts w:hint="default" w:ascii="Arial" w:hAnsi="Arial" w:cs="Arial"/>
          <w:b w:val="0"/>
          <w:bCs w:val="0"/>
          <w:color w:val="auto"/>
          <w:sz w:val="22"/>
          <w:szCs w:val="22"/>
          <w:highlight w:val="none"/>
          <w:lang w:val="pt-BR"/>
        </w:rPr>
      </w:pPr>
      <w:r>
        <w:rPr>
          <w:rFonts w:hint="default" w:ascii="Arial" w:hAnsi="Arial" w:cs="Arial"/>
          <w:b/>
          <w:bCs/>
          <w:color w:val="auto"/>
          <w:sz w:val="22"/>
          <w:szCs w:val="22"/>
          <w:highlight w:val="none"/>
          <w:lang w:val="pt-BR"/>
        </w:rPr>
        <w:t>16.2.18</w:t>
      </w:r>
      <w:r>
        <w:rPr>
          <w:rFonts w:hint="default" w:ascii="Arial" w:hAnsi="Arial" w:cs="Arial"/>
          <w:color w:val="auto"/>
          <w:sz w:val="22"/>
          <w:szCs w:val="22"/>
          <w:highlight w:val="none"/>
          <w:lang w:val="pt-BR"/>
        </w:rPr>
        <w:t xml:space="preserve"> </w:t>
      </w:r>
      <w:r>
        <w:rPr>
          <w:rFonts w:hint="default" w:ascii="Arial" w:hAnsi="Arial" w:cs="Arial"/>
          <w:color w:val="auto"/>
          <w:sz w:val="22"/>
          <w:szCs w:val="22"/>
          <w:highlight w:val="none"/>
        </w:rPr>
        <w:t>As notas fiscais deverão se</w:t>
      </w:r>
      <w:r>
        <w:rPr>
          <w:rFonts w:hint="default" w:ascii="Arial" w:hAnsi="Arial" w:cs="Arial"/>
          <w:color w:val="auto"/>
          <w:sz w:val="22"/>
          <w:szCs w:val="22"/>
          <w:highlight w:val="none"/>
          <w:lang w:val="pt-BR"/>
        </w:rPr>
        <w:t>r</w:t>
      </w:r>
      <w:r>
        <w:rPr>
          <w:rFonts w:hint="default" w:ascii="Arial" w:hAnsi="Arial" w:cs="Arial"/>
          <w:color w:val="auto"/>
          <w:sz w:val="22"/>
          <w:szCs w:val="22"/>
          <w:highlight w:val="none"/>
        </w:rPr>
        <w:t xml:space="preserve"> encaminhadas</w:t>
      </w:r>
      <w:r>
        <w:rPr>
          <w:rFonts w:hint="default" w:ascii="Arial" w:hAnsi="Arial" w:cs="Arial"/>
          <w:color w:val="auto"/>
          <w:sz w:val="22"/>
          <w:szCs w:val="22"/>
          <w:highlight w:val="none"/>
          <w:lang w:val="pt-BR"/>
        </w:rPr>
        <w:t xml:space="preserve"> à Prefeitura de Sinop, por meio do </w:t>
      </w:r>
      <w:r>
        <w:rPr>
          <w:rFonts w:hint="default" w:ascii="Arial" w:hAnsi="Arial" w:cs="Arial"/>
          <w:b/>
          <w:bCs/>
          <w:i/>
          <w:iCs/>
          <w:color w:val="auto"/>
          <w:sz w:val="22"/>
          <w:szCs w:val="22"/>
          <w:highlight w:val="none"/>
          <w:lang w:val="pt-BR"/>
        </w:rPr>
        <w:t>Portal do Fornecedor</w:t>
      </w:r>
      <w:r>
        <w:rPr>
          <w:rFonts w:hint="default" w:ascii="Arial" w:hAnsi="Arial" w:cs="Arial"/>
          <w:color w:val="auto"/>
          <w:sz w:val="22"/>
          <w:szCs w:val="22"/>
          <w:highlight w:val="none"/>
          <w:lang w:val="pt-BR"/>
        </w:rPr>
        <w:t xml:space="preserve">, disponível no endereço eletrônico: </w:t>
      </w:r>
      <w:r>
        <w:rPr>
          <w:rFonts w:hint="default" w:ascii="Arial" w:hAnsi="Arial" w:cs="Arial"/>
          <w:i/>
          <w:iCs/>
          <w:color w:val="auto"/>
          <w:sz w:val="22"/>
          <w:szCs w:val="22"/>
          <w:highlight w:val="none"/>
          <w:lang w:val="pt-BR"/>
        </w:rPr>
        <w:fldChar w:fldCharType="begin"/>
      </w:r>
      <w:r>
        <w:rPr>
          <w:rFonts w:hint="default" w:ascii="Arial" w:hAnsi="Arial" w:cs="Arial"/>
          <w:i/>
          <w:iCs/>
          <w:color w:val="auto"/>
          <w:sz w:val="22"/>
          <w:szCs w:val="22"/>
          <w:highlight w:val="none"/>
          <w:lang w:val="pt-BR"/>
        </w:rPr>
        <w:instrText xml:space="preserve"> HYPERLINK "https://www.gp.srv.br/portalfornecedor_sinop/servlet/home," </w:instrText>
      </w:r>
      <w:r>
        <w:rPr>
          <w:rFonts w:hint="default" w:ascii="Arial" w:hAnsi="Arial" w:cs="Arial"/>
          <w:i/>
          <w:iCs/>
          <w:color w:val="auto"/>
          <w:sz w:val="22"/>
          <w:szCs w:val="22"/>
          <w:highlight w:val="none"/>
          <w:lang w:val="pt-BR"/>
        </w:rPr>
        <w:fldChar w:fldCharType="separate"/>
      </w:r>
      <w:r>
        <w:rPr>
          <w:rStyle w:val="15"/>
          <w:rFonts w:hint="default" w:ascii="Arial" w:hAnsi="Arial" w:cs="Arial"/>
          <w:i/>
          <w:iCs/>
          <w:color w:val="auto"/>
          <w:sz w:val="22"/>
          <w:szCs w:val="22"/>
          <w:highlight w:val="none"/>
          <w:lang w:val="pt-BR"/>
        </w:rPr>
        <w:t>https://www.gp.srv.br/portalfornecedor_sinop/servlet/home</w:t>
      </w:r>
      <w:r>
        <w:rPr>
          <w:rStyle w:val="15"/>
          <w:rFonts w:hint="default" w:ascii="Arial" w:hAnsi="Arial" w:cs="Arial"/>
          <w:color w:val="auto"/>
          <w:sz w:val="22"/>
          <w:szCs w:val="22"/>
          <w:highlight w:val="none"/>
          <w:lang w:val="pt-BR"/>
        </w:rPr>
        <w:t>,</w:t>
      </w:r>
      <w:r>
        <w:rPr>
          <w:rFonts w:hint="default" w:ascii="Arial" w:hAnsi="Arial" w:cs="Arial"/>
          <w:i/>
          <w:iCs/>
          <w:color w:val="auto"/>
          <w:sz w:val="22"/>
          <w:szCs w:val="22"/>
          <w:highlight w:val="none"/>
          <w:lang w:val="pt-BR"/>
        </w:rPr>
        <w:fldChar w:fldCharType="end"/>
      </w:r>
      <w:r>
        <w:rPr>
          <w:rFonts w:hint="default" w:ascii="Arial" w:hAnsi="Arial" w:cs="Arial"/>
          <w:color w:val="auto"/>
          <w:sz w:val="22"/>
          <w:szCs w:val="22"/>
          <w:highlight w:val="none"/>
          <w:lang w:val="pt-BR"/>
        </w:rPr>
        <w:t xml:space="preserve"> conforme Decreto 230/2023 o</w:t>
      </w:r>
      <w:r>
        <w:rPr>
          <w:rFonts w:hint="default" w:ascii="Arial" w:hAnsi="Arial" w:cs="Arial"/>
          <w:b w:val="0"/>
          <w:bCs w:val="0"/>
          <w:color w:val="auto"/>
          <w:sz w:val="22"/>
          <w:szCs w:val="22"/>
          <w:highlight w:val="none"/>
          <w:lang w:val="pt-BR"/>
        </w:rPr>
        <w:t xml:space="preserve"> protocolo deverá ser realizado separadamente por Secretaria e Empenho/Nad;</w:t>
      </w:r>
    </w:p>
    <w:p w14:paraId="05D57CA4">
      <w:pPr>
        <w:pStyle w:val="128"/>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leftChars="0" w:right="0" w:rightChars="0"/>
        <w:jc w:val="both"/>
        <w:textAlignment w:val="baseline"/>
        <w:rPr>
          <w:rFonts w:hint="default" w:ascii="Arial" w:hAnsi="Arial" w:cs="Arial"/>
          <w:b w:val="0"/>
          <w:bCs w:val="0"/>
          <w:color w:val="auto"/>
          <w:sz w:val="22"/>
          <w:szCs w:val="22"/>
          <w:highlight w:val="none"/>
          <w:lang w:val="pt-BR"/>
        </w:rPr>
      </w:pPr>
      <w:r>
        <w:rPr>
          <w:rFonts w:hint="default" w:ascii="Arial" w:hAnsi="Arial" w:cs="Arial"/>
          <w:b/>
          <w:bCs/>
          <w:color w:val="auto"/>
          <w:sz w:val="22"/>
          <w:szCs w:val="22"/>
          <w:highlight w:val="none"/>
          <w:lang w:val="pt-BR"/>
        </w:rPr>
        <w:t>16.2.19</w:t>
      </w:r>
      <w:r>
        <w:rPr>
          <w:rFonts w:hint="default" w:ascii="Arial" w:hAnsi="Arial" w:cs="Arial"/>
          <w:b w:val="0"/>
          <w:bCs w:val="0"/>
          <w:color w:val="auto"/>
          <w:sz w:val="22"/>
          <w:szCs w:val="22"/>
          <w:highlight w:val="none"/>
          <w:lang w:val="pt-BR"/>
        </w:rPr>
        <w:t xml:space="preserve"> As certidões deverão ser juntadas ao protocolo e são obrigatórias para a liquidação da despesa.</w:t>
      </w:r>
    </w:p>
    <w:p w14:paraId="19E14CC3">
      <w:pPr>
        <w:pStyle w:val="128"/>
        <w:numPr>
          <w:ilvl w:val="0"/>
          <w:numId w:val="0"/>
        </w:numPr>
        <w:tabs>
          <w:tab w:val="left" w:pos="390"/>
        </w:tabs>
        <w:spacing w:before="1" w:line="360" w:lineRule="auto"/>
        <w:ind w:leftChars="0" w:right="107" w:rightChars="0"/>
        <w:jc w:val="both"/>
        <w:rPr>
          <w:rFonts w:hint="default" w:ascii="Arial" w:hAnsi="Arial" w:cs="Arial"/>
          <w:b/>
          <w:bCs/>
          <w:color w:val="auto"/>
          <w:sz w:val="22"/>
          <w:szCs w:val="22"/>
          <w:highlight w:val="none"/>
          <w:lang w:val="pt-BR"/>
        </w:rPr>
      </w:pPr>
      <w:r>
        <w:rPr>
          <w:rFonts w:hint="default" w:ascii="Arial" w:hAnsi="Arial" w:cs="Arial"/>
          <w:b/>
          <w:bCs/>
          <w:color w:val="auto"/>
          <w:sz w:val="22"/>
          <w:szCs w:val="22"/>
          <w:highlight w:val="none"/>
          <w:lang w:val="pt-BR"/>
        </w:rPr>
        <w:t>16.2.20</w:t>
      </w:r>
      <w:r>
        <w:rPr>
          <w:rFonts w:hint="default" w:ascii="Arial" w:hAnsi="Arial" w:cs="Arial"/>
          <w:color w:val="auto"/>
          <w:sz w:val="22"/>
          <w:szCs w:val="22"/>
          <w:highlight w:val="none"/>
          <w:lang w:val="pt-BR"/>
        </w:rPr>
        <w:t xml:space="preserve"> Todos os documentos são obrigatórios, especialmente os citados no edital de licitação e os que constam na Instrução Normativa 038/2009, atualizada no Decreto 118/2022.</w:t>
      </w:r>
    </w:p>
    <w:p w14:paraId="202A31B0">
      <w:pPr>
        <w:pStyle w:val="128"/>
        <w:numPr>
          <w:ilvl w:val="0"/>
          <w:numId w:val="0"/>
        </w:numPr>
        <w:tabs>
          <w:tab w:val="left" w:pos="390"/>
        </w:tabs>
        <w:spacing w:before="1" w:line="360" w:lineRule="auto"/>
        <w:ind w:leftChars="0" w:right="107" w:rightChars="0"/>
        <w:jc w:val="both"/>
        <w:rPr>
          <w:rFonts w:hint="default" w:cs="Arial"/>
          <w:b/>
          <w:bCs/>
          <w:color w:val="auto"/>
          <w:sz w:val="22"/>
          <w:szCs w:val="22"/>
          <w:highlight w:val="none"/>
          <w:lang w:val="pt-BR"/>
        </w:rPr>
      </w:pPr>
    </w:p>
    <w:p w14:paraId="02FBAAF2">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uppressAutoHyphens/>
        <w:spacing w:line="360" w:lineRule="auto"/>
        <w:ind w:leftChars="0"/>
        <w:jc w:val="center"/>
        <w:rPr>
          <w:rFonts w:hint="default" w:cs="Arial"/>
          <w:b/>
          <w:bCs/>
          <w:iCs/>
          <w:color w:val="auto"/>
          <w:sz w:val="22"/>
          <w:szCs w:val="22"/>
          <w:lang w:val="pt-BR"/>
        </w:rPr>
      </w:pPr>
      <w:r>
        <w:rPr>
          <w:rFonts w:hint="default" w:cs="Arial"/>
          <w:b/>
          <w:bCs/>
          <w:iCs/>
          <w:color w:val="auto"/>
          <w:sz w:val="22"/>
          <w:szCs w:val="22"/>
          <w:lang w:val="pt-BR"/>
        </w:rPr>
        <w:t xml:space="preserve">17. </w:t>
      </w:r>
      <w:r>
        <w:rPr>
          <w:rFonts w:cs="Arial"/>
          <w:b/>
          <w:bCs/>
          <w:iCs/>
          <w:color w:val="auto"/>
          <w:sz w:val="22"/>
          <w:szCs w:val="22"/>
        </w:rPr>
        <w:t xml:space="preserve">DAS </w:t>
      </w:r>
      <w:r>
        <w:rPr>
          <w:rFonts w:hint="default" w:cs="Arial"/>
          <w:b/>
          <w:bCs/>
          <w:iCs/>
          <w:color w:val="auto"/>
          <w:sz w:val="22"/>
          <w:szCs w:val="22"/>
          <w:lang w:val="pt-BR"/>
        </w:rPr>
        <w:t>INFRAÇÕES E SANÇÕES ADMINISTRATIVAS</w:t>
      </w:r>
    </w:p>
    <w:p w14:paraId="0C2204A8">
      <w:pPr>
        <w:pStyle w:val="134"/>
        <w:numPr>
          <w:ilvl w:val="0"/>
          <w:numId w:val="0"/>
        </w:numPr>
        <w:spacing w:line="360" w:lineRule="auto"/>
        <w:ind w:leftChars="0"/>
        <w:rPr>
          <w:sz w:val="22"/>
          <w:szCs w:val="22"/>
          <w:highlight w:val="none"/>
        </w:rPr>
      </w:pPr>
      <w:r>
        <w:rPr>
          <w:rFonts w:hint="default"/>
          <w:b/>
          <w:bCs/>
          <w:sz w:val="22"/>
          <w:szCs w:val="22"/>
          <w:lang w:val="pt-BR"/>
        </w:rPr>
        <w:t>17.1.</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 xml:space="preserve">que, com dolo ou culpa: </w:t>
      </w:r>
    </w:p>
    <w:p w14:paraId="203B66B5">
      <w:pPr>
        <w:pStyle w:val="21"/>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 xml:space="preserve">17.1.1.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2ADDB496">
      <w:pPr>
        <w:pStyle w:val="21"/>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bookmarkStart w:id="45" w:name="art155ii"/>
      <w:bookmarkEnd w:id="45"/>
      <w:r>
        <w:rPr>
          <w:rFonts w:hint="default" w:ascii="Arial" w:hAnsi="Arial" w:cs="Arial"/>
          <w:b/>
          <w:bCs/>
          <w:sz w:val="22"/>
          <w:szCs w:val="22"/>
          <w:highlight w:val="none"/>
          <w:lang w:val="pt-BR"/>
        </w:rPr>
        <w:t>17.1.2.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lang w:val="pt-BR"/>
        </w:rPr>
        <w:t xml:space="preserve"> </w:t>
      </w:r>
      <w:r>
        <w:rPr>
          <w:rFonts w:hint="default" w:ascii="Arial" w:hAnsi="Arial" w:cs="Arial"/>
          <w:sz w:val="22"/>
          <w:szCs w:val="22"/>
          <w:highlight w:val="none"/>
        </w:rPr>
        <w:t>que cause grave dano à Administração, ao funcionamento dos serviços públicos ou ao interesse coletivo;</w:t>
      </w:r>
    </w:p>
    <w:p w14:paraId="4D118C4B">
      <w:pPr>
        <w:pStyle w:val="21"/>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bookmarkStart w:id="46" w:name="art155iii"/>
      <w:bookmarkEnd w:id="46"/>
      <w:r>
        <w:rPr>
          <w:rFonts w:hint="default" w:ascii="Arial" w:hAnsi="Arial" w:cs="Arial"/>
          <w:b/>
          <w:bCs/>
          <w:sz w:val="22"/>
          <w:szCs w:val="22"/>
          <w:highlight w:val="none"/>
          <w:lang w:val="pt-BR"/>
        </w:rPr>
        <w:t xml:space="preserve">17.1.3.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do</w:t>
      </w:r>
      <w:r>
        <w:rPr>
          <w:rFonts w:hint="default" w:ascii="Arial" w:hAnsi="Arial" w:cs="Arial"/>
          <w:color w:val="auto"/>
          <w:sz w:val="22"/>
          <w:szCs w:val="22"/>
          <w:lang w:val="pt-BR"/>
        </w:rPr>
        <w:t xml:space="preserve"> Contrato</w:t>
      </w:r>
      <w:r>
        <w:rPr>
          <w:rFonts w:hint="default" w:ascii="Arial" w:hAnsi="Arial" w:cs="Arial"/>
          <w:sz w:val="22"/>
          <w:szCs w:val="22"/>
          <w:highlight w:val="none"/>
        </w:rPr>
        <w:t>;</w:t>
      </w:r>
    </w:p>
    <w:p w14:paraId="497CB41C">
      <w:pPr>
        <w:pStyle w:val="137"/>
        <w:numPr>
          <w:ilvl w:val="0"/>
          <w:numId w:val="0"/>
        </w:numPr>
        <w:spacing w:line="360" w:lineRule="auto"/>
        <w:ind w:left="0" w:leftChars="0" w:firstLine="481" w:firstLineChars="218"/>
        <w:rPr>
          <w:sz w:val="22"/>
          <w:szCs w:val="22"/>
          <w:highlight w:val="none"/>
        </w:rPr>
      </w:pPr>
      <w:bookmarkStart w:id="47" w:name="_Ref114668085"/>
      <w:r>
        <w:rPr>
          <w:rFonts w:hint="default"/>
          <w:b/>
          <w:bCs/>
          <w:sz w:val="22"/>
          <w:szCs w:val="22"/>
          <w:highlight w:val="none"/>
          <w:lang w:val="pt-BR"/>
        </w:rPr>
        <w:t xml:space="preserve">17.1.4.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bookmarkEnd w:id="47"/>
    </w:p>
    <w:p w14:paraId="04362DFA">
      <w:pPr>
        <w:pStyle w:val="137"/>
        <w:numPr>
          <w:ilvl w:val="0"/>
          <w:numId w:val="0"/>
        </w:numPr>
        <w:tabs>
          <w:tab w:val="left" w:pos="0"/>
        </w:tabs>
        <w:spacing w:line="360" w:lineRule="auto"/>
        <w:ind w:left="4" w:leftChars="0" w:firstLine="477" w:firstLineChars="216"/>
        <w:rPr>
          <w:sz w:val="22"/>
          <w:szCs w:val="22"/>
          <w:highlight w:val="none"/>
        </w:rPr>
      </w:pPr>
      <w:bookmarkStart w:id="48" w:name="_Ref114668108"/>
      <w:r>
        <w:rPr>
          <w:rFonts w:hint="default"/>
          <w:b/>
          <w:bCs/>
          <w:sz w:val="22"/>
          <w:szCs w:val="22"/>
          <w:highlight w:val="none"/>
          <w:lang w:val="pt-BR"/>
        </w:rPr>
        <w:t xml:space="preserve">17.1.5.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bookmarkEnd w:id="48"/>
    </w:p>
    <w:p w14:paraId="1D344836">
      <w:pPr>
        <w:pStyle w:val="142"/>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4A6369E8">
      <w:pPr>
        <w:pStyle w:val="142"/>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58DF18D8">
      <w:pPr>
        <w:pStyle w:val="142"/>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677CBBC7">
      <w:pPr>
        <w:pStyle w:val="142"/>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17.1.5.4.</w:t>
      </w:r>
      <w:r>
        <w:rPr>
          <w:rFonts w:hint="default"/>
          <w:sz w:val="22"/>
          <w:szCs w:val="22"/>
          <w:highlight w:val="none"/>
          <w:lang w:val="pt-BR"/>
        </w:rPr>
        <w:t xml:space="preserve"> D</w:t>
      </w:r>
      <w:r>
        <w:rPr>
          <w:sz w:val="22"/>
          <w:szCs w:val="22"/>
          <w:highlight w:val="none"/>
        </w:rPr>
        <w:t>eixar de apresentar amostra;</w:t>
      </w:r>
    </w:p>
    <w:p w14:paraId="734D3930">
      <w:pPr>
        <w:pStyle w:val="142"/>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096F7D64">
      <w:pPr>
        <w:pStyle w:val="137"/>
        <w:numPr>
          <w:ilvl w:val="0"/>
          <w:numId w:val="0"/>
        </w:numPr>
        <w:spacing w:line="360" w:lineRule="auto"/>
        <w:ind w:left="0" w:leftChars="0" w:firstLine="481" w:firstLineChars="218"/>
        <w:rPr>
          <w:rFonts w:hint="default" w:ascii="Arial" w:hAnsi="Arial" w:cs="Arial"/>
          <w:sz w:val="22"/>
          <w:szCs w:val="22"/>
          <w:highlight w:val="none"/>
        </w:rPr>
      </w:pPr>
      <w:bookmarkStart w:id="49" w:name="_Ref114668139"/>
      <w:r>
        <w:rPr>
          <w:rFonts w:hint="default"/>
          <w:b/>
          <w:bCs/>
          <w:sz w:val="22"/>
          <w:szCs w:val="22"/>
          <w:highlight w:val="none"/>
          <w:lang w:val="pt-BR"/>
        </w:rPr>
        <w:t>17.1.6.</w:t>
      </w:r>
      <w:r>
        <w:rPr>
          <w:rFonts w:hint="default"/>
          <w:sz w:val="22"/>
          <w:szCs w:val="22"/>
          <w:highlight w:val="none"/>
          <w:lang w:val="pt-BR"/>
        </w:rPr>
        <w:t xml:space="preserve"> </w:t>
      </w:r>
      <w:r>
        <w:rPr>
          <w:rFonts w:hint="default" w:ascii="Arial" w:hAnsi="Arial" w:cs="Arial"/>
          <w:sz w:val="22"/>
          <w:szCs w:val="22"/>
          <w:highlight w:val="none"/>
          <w:lang w:val="pt-BR"/>
        </w:rPr>
        <w:t>N</w:t>
      </w:r>
      <w:r>
        <w:rPr>
          <w:rFonts w:hint="default" w:ascii="Arial" w:hAnsi="Arial" w:cs="Arial"/>
          <w:sz w:val="22"/>
          <w:szCs w:val="22"/>
          <w:highlight w:val="none"/>
        </w:rPr>
        <w:t xml:space="preserve">ão celebrar </w:t>
      </w:r>
      <w:r>
        <w:rPr>
          <w:rFonts w:hint="default" w:ascii="Arial" w:hAnsi="Arial" w:cs="Arial"/>
          <w:color w:val="auto"/>
          <w:sz w:val="22"/>
          <w:szCs w:val="22"/>
          <w:lang w:val="pt-BR"/>
        </w:rPr>
        <w:t xml:space="preserve">o Contrato </w:t>
      </w:r>
      <w:r>
        <w:rPr>
          <w:rFonts w:hint="default" w:ascii="Arial" w:hAnsi="Arial" w:cs="Arial"/>
          <w:sz w:val="22"/>
          <w:szCs w:val="22"/>
          <w:highlight w:val="none"/>
        </w:rPr>
        <w:t>ou não entregar a documentação exigida para a contratação, quando convocado dentro do prazo de validade de sua proposta</w:t>
      </w:r>
      <w:bookmarkEnd w:id="49"/>
      <w:r>
        <w:rPr>
          <w:rFonts w:hint="default" w:ascii="Arial" w:hAnsi="Arial" w:cs="Arial"/>
          <w:sz w:val="22"/>
          <w:szCs w:val="22"/>
          <w:highlight w:val="none"/>
          <w:lang w:val="pt-BR"/>
        </w:rPr>
        <w:t>, bem como r</w:t>
      </w:r>
      <w:r>
        <w:rPr>
          <w:rFonts w:hint="default" w:ascii="Arial" w:hAnsi="Arial" w:cs="Arial"/>
          <w:sz w:val="22"/>
          <w:szCs w:val="22"/>
          <w:highlight w:val="none"/>
        </w:rPr>
        <w:t xml:space="preserve">ecusar-se, sem justificativa, a assinar </w:t>
      </w:r>
      <w:r>
        <w:rPr>
          <w:rFonts w:hint="default" w:ascii="Arial" w:hAnsi="Arial" w:cs="Arial"/>
          <w:color w:val="auto"/>
          <w:sz w:val="22"/>
          <w:szCs w:val="22"/>
          <w:lang w:val="pt-BR"/>
        </w:rPr>
        <w:t>o Contrato</w:t>
      </w:r>
      <w:r>
        <w:rPr>
          <w:rFonts w:hint="default" w:ascii="Arial" w:hAnsi="Arial" w:cs="Arial"/>
          <w:sz w:val="22"/>
          <w:szCs w:val="22"/>
          <w:highlight w:val="none"/>
        </w:rPr>
        <w:t>, ou a aceitar ou retirar o instrumento equivalente no prazo estabelecido pela Administração;</w:t>
      </w:r>
    </w:p>
    <w:p w14:paraId="404CBA43">
      <w:pPr>
        <w:pStyle w:val="21"/>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r>
        <w:rPr>
          <w:rFonts w:hint="default" w:ascii="Arial" w:hAnsi="Arial" w:cs="Arial"/>
          <w:b/>
          <w:bCs/>
          <w:sz w:val="22"/>
          <w:szCs w:val="22"/>
          <w:highlight w:val="none"/>
          <w:lang w:val="pt-BR"/>
        </w:rPr>
        <w:t>17.1.7.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2DC4C51B">
      <w:pPr>
        <w:pStyle w:val="137"/>
        <w:numPr>
          <w:ilvl w:val="0"/>
          <w:numId w:val="0"/>
        </w:numPr>
        <w:spacing w:line="360" w:lineRule="auto"/>
        <w:ind w:left="4" w:leftChars="0" w:firstLine="477" w:firstLineChars="216"/>
        <w:rPr>
          <w:rFonts w:hint="default" w:ascii="Arial" w:hAnsi="Arial" w:cs="Arial"/>
          <w:sz w:val="22"/>
          <w:szCs w:val="22"/>
          <w:highlight w:val="none"/>
          <w:lang w:val="pt-BR"/>
        </w:rPr>
      </w:pPr>
      <w:bookmarkStart w:id="50" w:name="_Ref114668249"/>
      <w:bookmarkStart w:id="51" w:name="_Hlk114652595"/>
      <w:r>
        <w:rPr>
          <w:rFonts w:hint="default" w:ascii="Arial" w:hAnsi="Arial" w:cs="Arial"/>
          <w:b/>
          <w:bCs/>
          <w:sz w:val="22"/>
          <w:szCs w:val="22"/>
          <w:highlight w:val="none"/>
          <w:lang w:val="pt-BR"/>
        </w:rPr>
        <w:t>17.1.8.</w:t>
      </w:r>
      <w:r>
        <w:rPr>
          <w:rFonts w:hint="default" w:ascii="Arial" w:hAnsi="Arial" w:cs="Arial"/>
          <w:sz w:val="22"/>
          <w:szCs w:val="22"/>
          <w:highlight w:val="none"/>
          <w:lang w:val="pt-BR"/>
        </w:rPr>
        <w:t xml:space="preserve"> A</w:t>
      </w:r>
      <w:r>
        <w:rPr>
          <w:rFonts w:hint="default" w:ascii="Arial" w:hAnsi="Arial" w:cs="Arial"/>
          <w:sz w:val="22"/>
          <w:szCs w:val="22"/>
          <w:highlight w:val="none"/>
        </w:rPr>
        <w:t>presentar declaração ou documentação falsa exigida para o certame ou prestar declaração falsa durante a licitação</w:t>
      </w:r>
      <w:bookmarkEnd w:id="50"/>
      <w:r>
        <w:rPr>
          <w:rFonts w:hint="default" w:ascii="Arial" w:hAnsi="Arial" w:cs="Arial"/>
          <w:sz w:val="22"/>
          <w:szCs w:val="22"/>
          <w:highlight w:val="none"/>
          <w:lang w:val="pt-BR"/>
        </w:rPr>
        <w:t xml:space="preserve"> ou durante a execução </w:t>
      </w:r>
      <w:r>
        <w:rPr>
          <w:rFonts w:hint="default"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lang w:val="pt-BR"/>
        </w:rPr>
        <w:t>;</w:t>
      </w:r>
    </w:p>
    <w:p w14:paraId="0FB7D5FB">
      <w:pPr>
        <w:pStyle w:val="137"/>
        <w:numPr>
          <w:ilvl w:val="0"/>
          <w:numId w:val="0"/>
        </w:numPr>
        <w:spacing w:line="360" w:lineRule="auto"/>
        <w:ind w:left="4" w:leftChars="0" w:firstLine="477" w:firstLineChars="216"/>
        <w:rPr>
          <w:rFonts w:hint="default" w:ascii="Arial" w:hAnsi="Arial" w:cs="Arial"/>
          <w:sz w:val="22"/>
          <w:szCs w:val="22"/>
          <w:highlight w:val="none"/>
          <w:lang w:val="pt-BR"/>
        </w:rPr>
      </w:pPr>
      <w:bookmarkStart w:id="52" w:name="_Ref114668245"/>
      <w:r>
        <w:rPr>
          <w:rFonts w:hint="default" w:ascii="Arial" w:hAnsi="Arial" w:cs="Arial"/>
          <w:b/>
          <w:bCs/>
          <w:sz w:val="22"/>
          <w:szCs w:val="22"/>
          <w:highlight w:val="none"/>
          <w:lang w:val="pt-BR"/>
        </w:rPr>
        <w:t>17.1.9.</w:t>
      </w:r>
      <w:r>
        <w:rPr>
          <w:rFonts w:hint="default" w:ascii="Arial" w:hAnsi="Arial" w:cs="Arial"/>
          <w:sz w:val="22"/>
          <w:szCs w:val="22"/>
          <w:highlight w:val="none"/>
          <w:lang w:val="pt-BR"/>
        </w:rPr>
        <w:t xml:space="preserve"> F</w:t>
      </w:r>
      <w:r>
        <w:rPr>
          <w:rFonts w:hint="default" w:ascii="Arial" w:hAnsi="Arial" w:cs="Arial"/>
          <w:sz w:val="22"/>
          <w:szCs w:val="22"/>
          <w:highlight w:val="none"/>
        </w:rPr>
        <w:t>raudar a licitação</w:t>
      </w:r>
      <w:bookmarkEnd w:id="52"/>
      <w:r>
        <w:rPr>
          <w:rFonts w:hint="default" w:ascii="Arial" w:hAnsi="Arial" w:cs="Arial"/>
          <w:sz w:val="22"/>
          <w:szCs w:val="22"/>
          <w:highlight w:val="none"/>
          <w:lang w:val="pt-BR"/>
        </w:rPr>
        <w:t xml:space="preserve"> ou praticar ato fraudulento na execução </w:t>
      </w:r>
      <w:r>
        <w:rPr>
          <w:rFonts w:hint="default"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lang w:val="pt-BR"/>
        </w:rPr>
        <w:t>;</w:t>
      </w:r>
    </w:p>
    <w:p w14:paraId="1A1F4925">
      <w:pPr>
        <w:pStyle w:val="137"/>
        <w:numPr>
          <w:ilvl w:val="0"/>
          <w:numId w:val="0"/>
        </w:numPr>
        <w:spacing w:line="360" w:lineRule="auto"/>
        <w:ind w:left="4" w:leftChars="0" w:firstLine="477" w:firstLineChars="216"/>
        <w:rPr>
          <w:rFonts w:hint="default" w:ascii="Arial" w:hAnsi="Arial" w:cs="Arial"/>
          <w:sz w:val="22"/>
          <w:szCs w:val="22"/>
          <w:highlight w:val="none"/>
        </w:rPr>
      </w:pPr>
      <w:bookmarkStart w:id="53" w:name="_Ref114668247"/>
      <w:r>
        <w:rPr>
          <w:rFonts w:hint="default" w:ascii="Arial" w:hAnsi="Arial" w:cs="Arial"/>
          <w:b/>
          <w:bCs/>
          <w:sz w:val="22"/>
          <w:szCs w:val="22"/>
          <w:highlight w:val="none"/>
          <w:lang w:val="pt-BR"/>
        </w:rPr>
        <w:t>17.1.10.</w:t>
      </w:r>
      <w:r>
        <w:rPr>
          <w:rFonts w:hint="default" w:ascii="Arial" w:hAnsi="Arial" w:cs="Arial"/>
          <w:sz w:val="22"/>
          <w:szCs w:val="22"/>
          <w:highlight w:val="none"/>
          <w:lang w:val="pt-BR"/>
        </w:rPr>
        <w:t xml:space="preserve"> C</w:t>
      </w:r>
      <w:r>
        <w:rPr>
          <w:rFonts w:hint="default" w:ascii="Arial" w:hAnsi="Arial" w:cs="Arial"/>
          <w:sz w:val="22"/>
          <w:szCs w:val="22"/>
          <w:highlight w:val="none"/>
        </w:rPr>
        <w:t>omportar-se de modo inidôneo ou cometer fraude de qualquer natureza, em especial quando:</w:t>
      </w:r>
      <w:bookmarkEnd w:id="53"/>
    </w:p>
    <w:p w14:paraId="0B6616C1">
      <w:pPr>
        <w:pStyle w:val="142"/>
        <w:numPr>
          <w:ilvl w:val="0"/>
          <w:numId w:val="0"/>
        </w:numPr>
        <w:spacing w:line="360" w:lineRule="auto"/>
        <w:ind w:left="7" w:leftChars="0" w:firstLine="716" w:firstLineChars="324"/>
        <w:rPr>
          <w:rFonts w:hint="default" w:ascii="Arial" w:hAnsi="Arial" w:cs="Arial"/>
          <w:sz w:val="22"/>
          <w:szCs w:val="22"/>
          <w:highlight w:val="none"/>
        </w:rPr>
      </w:pPr>
      <w:r>
        <w:rPr>
          <w:rFonts w:hint="default" w:ascii="Arial" w:hAnsi="Arial" w:cs="Arial"/>
          <w:b/>
          <w:bCs/>
          <w:sz w:val="22"/>
          <w:szCs w:val="22"/>
          <w:highlight w:val="none"/>
          <w:lang w:val="pt-BR"/>
        </w:rPr>
        <w:t xml:space="preserve">17.1.10.1. </w:t>
      </w:r>
      <w:r>
        <w:rPr>
          <w:rFonts w:hint="default" w:ascii="Arial" w:hAnsi="Arial" w:cs="Arial"/>
          <w:b w:val="0"/>
          <w:bCs w:val="0"/>
          <w:sz w:val="22"/>
          <w:szCs w:val="22"/>
          <w:highlight w:val="none"/>
          <w:lang w:val="pt-BR"/>
        </w:rPr>
        <w:t>A</w:t>
      </w:r>
      <w:r>
        <w:rPr>
          <w:rFonts w:hint="default" w:ascii="Arial" w:hAnsi="Arial" w:cs="Arial"/>
          <w:sz w:val="22"/>
          <w:szCs w:val="22"/>
          <w:highlight w:val="none"/>
        </w:rPr>
        <w:t xml:space="preserve">gir em conluio ou em desconformidade com a lei; </w:t>
      </w:r>
    </w:p>
    <w:p w14:paraId="07CA6BEA">
      <w:pPr>
        <w:pStyle w:val="142"/>
        <w:numPr>
          <w:ilvl w:val="0"/>
          <w:numId w:val="0"/>
        </w:numPr>
        <w:spacing w:line="360" w:lineRule="auto"/>
        <w:ind w:left="7" w:leftChars="0" w:firstLine="716" w:firstLineChars="324"/>
        <w:rPr>
          <w:rFonts w:hint="default" w:ascii="Arial" w:hAnsi="Arial" w:cs="Arial"/>
          <w:sz w:val="22"/>
          <w:szCs w:val="22"/>
          <w:highlight w:val="none"/>
        </w:rPr>
      </w:pPr>
      <w:r>
        <w:rPr>
          <w:rFonts w:hint="default" w:ascii="Arial" w:hAnsi="Arial" w:cs="Arial"/>
          <w:b/>
          <w:bCs/>
          <w:sz w:val="22"/>
          <w:szCs w:val="22"/>
          <w:highlight w:val="none"/>
          <w:lang w:val="pt-BR"/>
        </w:rPr>
        <w:t>17.1.10.2.</w:t>
      </w:r>
      <w:r>
        <w:rPr>
          <w:rFonts w:hint="default" w:ascii="Arial" w:hAnsi="Arial" w:cs="Arial"/>
          <w:sz w:val="22"/>
          <w:szCs w:val="22"/>
          <w:highlight w:val="none"/>
          <w:lang w:val="pt-BR"/>
        </w:rPr>
        <w:t xml:space="preserve"> I</w:t>
      </w:r>
      <w:r>
        <w:rPr>
          <w:rFonts w:hint="default" w:ascii="Arial" w:hAnsi="Arial" w:cs="Arial"/>
          <w:sz w:val="22"/>
          <w:szCs w:val="22"/>
          <w:highlight w:val="none"/>
        </w:rPr>
        <w:t xml:space="preserve">nduzir deliberadamente a erro no julgamento; </w:t>
      </w:r>
    </w:p>
    <w:p w14:paraId="522DFAF0">
      <w:pPr>
        <w:pStyle w:val="142"/>
        <w:numPr>
          <w:ilvl w:val="0"/>
          <w:numId w:val="0"/>
        </w:numPr>
        <w:spacing w:line="360" w:lineRule="auto"/>
        <w:ind w:left="7" w:leftChars="0" w:firstLine="716" w:firstLineChars="324"/>
        <w:rPr>
          <w:rFonts w:hint="default" w:ascii="Arial" w:hAnsi="Arial" w:cs="Arial"/>
          <w:sz w:val="22"/>
          <w:szCs w:val="22"/>
          <w:highlight w:val="none"/>
        </w:rPr>
      </w:pPr>
      <w:r>
        <w:rPr>
          <w:rFonts w:hint="default" w:ascii="Arial" w:hAnsi="Arial" w:cs="Arial"/>
          <w:b/>
          <w:bCs/>
          <w:sz w:val="22"/>
          <w:szCs w:val="22"/>
          <w:highlight w:val="none"/>
          <w:lang w:val="pt-BR"/>
        </w:rPr>
        <w:t>17.1.10.3.</w:t>
      </w:r>
      <w:r>
        <w:rPr>
          <w:rFonts w:hint="default" w:ascii="Arial" w:hAnsi="Arial" w:cs="Arial"/>
          <w:sz w:val="22"/>
          <w:szCs w:val="22"/>
          <w:highlight w:val="none"/>
          <w:lang w:val="pt-BR"/>
        </w:rPr>
        <w:t xml:space="preserve"> A</w:t>
      </w:r>
      <w:r>
        <w:rPr>
          <w:rFonts w:hint="default" w:ascii="Arial" w:hAnsi="Arial" w:cs="Arial"/>
          <w:sz w:val="22"/>
          <w:szCs w:val="22"/>
          <w:highlight w:val="none"/>
        </w:rPr>
        <w:t>presentar amostra falsificada ou deteriorada</w:t>
      </w:r>
      <w:r>
        <w:rPr>
          <w:rFonts w:hint="default" w:ascii="Arial" w:hAnsi="Arial" w:cs="Arial"/>
          <w:sz w:val="22"/>
          <w:szCs w:val="22"/>
          <w:highlight w:val="none"/>
          <w:lang w:val="pt-BR"/>
        </w:rPr>
        <w:t>.</w:t>
      </w:r>
      <w:r>
        <w:rPr>
          <w:rFonts w:hint="default" w:ascii="Arial" w:hAnsi="Arial" w:cs="Arial"/>
          <w:sz w:val="22"/>
          <w:szCs w:val="22"/>
          <w:highlight w:val="none"/>
        </w:rPr>
        <w:t xml:space="preserve"> </w:t>
      </w:r>
    </w:p>
    <w:p w14:paraId="2A334DAA">
      <w:pPr>
        <w:pStyle w:val="137"/>
        <w:numPr>
          <w:ilvl w:val="0"/>
          <w:numId w:val="0"/>
        </w:numPr>
        <w:spacing w:line="360" w:lineRule="auto"/>
        <w:ind w:left="0" w:leftChars="0" w:firstLine="481" w:firstLineChars="218"/>
        <w:rPr>
          <w:rFonts w:hint="default" w:ascii="Arial" w:hAnsi="Arial" w:cs="Arial"/>
          <w:sz w:val="22"/>
          <w:szCs w:val="22"/>
          <w:highlight w:val="none"/>
          <w:lang w:val="pt-BR"/>
        </w:rPr>
      </w:pPr>
      <w:bookmarkStart w:id="54" w:name="_Ref114668251"/>
      <w:r>
        <w:rPr>
          <w:rFonts w:hint="default" w:ascii="Arial" w:hAnsi="Arial" w:cs="Arial"/>
          <w:b/>
          <w:bCs/>
          <w:sz w:val="22"/>
          <w:szCs w:val="22"/>
          <w:highlight w:val="none"/>
          <w:lang w:val="pt-BR"/>
        </w:rPr>
        <w:t>17.1.11.</w:t>
      </w:r>
      <w:r>
        <w:rPr>
          <w:rFonts w:hint="default" w:ascii="Arial" w:hAnsi="Arial" w:cs="Arial"/>
          <w:sz w:val="22"/>
          <w:szCs w:val="22"/>
          <w:highlight w:val="none"/>
          <w:lang w:val="pt-BR"/>
        </w:rPr>
        <w:t xml:space="preserve"> P</w:t>
      </w:r>
      <w:r>
        <w:rPr>
          <w:rFonts w:hint="default" w:ascii="Arial" w:hAnsi="Arial" w:cs="Arial"/>
          <w:sz w:val="22"/>
          <w:szCs w:val="22"/>
          <w:highlight w:val="none"/>
        </w:rPr>
        <w:t>raticar atos ilícitos com vistas a frustrar os objetivos da licitação</w:t>
      </w:r>
      <w:bookmarkEnd w:id="54"/>
      <w:r>
        <w:rPr>
          <w:rFonts w:hint="default" w:ascii="Arial" w:hAnsi="Arial" w:cs="Arial"/>
          <w:sz w:val="22"/>
          <w:szCs w:val="22"/>
          <w:highlight w:val="none"/>
          <w:lang w:val="pt-BR"/>
        </w:rPr>
        <w:t>;</w:t>
      </w:r>
    </w:p>
    <w:p w14:paraId="4F5EE4D4">
      <w:pPr>
        <w:pStyle w:val="137"/>
        <w:numPr>
          <w:ilvl w:val="0"/>
          <w:numId w:val="0"/>
        </w:numPr>
        <w:spacing w:line="360" w:lineRule="auto"/>
        <w:ind w:left="4" w:leftChars="0" w:firstLine="477" w:firstLineChars="216"/>
        <w:rPr>
          <w:rFonts w:hint="default" w:ascii="Arial" w:hAnsi="Arial" w:cs="Arial"/>
          <w:sz w:val="22"/>
          <w:szCs w:val="22"/>
          <w:highlight w:val="none"/>
        </w:rPr>
      </w:pPr>
      <w:bookmarkStart w:id="55" w:name="_Ref114668252"/>
      <w:r>
        <w:rPr>
          <w:rFonts w:hint="default" w:ascii="Arial" w:hAnsi="Arial" w:cs="Arial"/>
          <w:b/>
          <w:bCs/>
          <w:sz w:val="22"/>
          <w:szCs w:val="22"/>
          <w:highlight w:val="none"/>
          <w:lang w:val="pt-BR"/>
        </w:rPr>
        <w:t xml:space="preserve">17.1.12. </w:t>
      </w:r>
      <w:r>
        <w:rPr>
          <w:rFonts w:hint="default" w:ascii="Arial" w:hAnsi="Arial" w:cs="Arial"/>
          <w:sz w:val="22"/>
          <w:szCs w:val="22"/>
          <w:highlight w:val="none"/>
          <w:lang w:val="pt-BR"/>
        </w:rPr>
        <w:t>P</w:t>
      </w:r>
      <w:r>
        <w:rPr>
          <w:rFonts w:hint="default" w:ascii="Arial" w:hAnsi="Arial" w:cs="Arial"/>
          <w:sz w:val="22"/>
          <w:szCs w:val="22"/>
          <w:highlight w:val="none"/>
        </w:rPr>
        <w:t xml:space="preserve">raticar ato lesivo previsto no </w:t>
      </w:r>
      <w:r>
        <w:rPr>
          <w:rFonts w:hint="default" w:ascii="Arial" w:hAnsi="Arial" w:cs="Arial"/>
          <w:sz w:val="22"/>
          <w:szCs w:val="22"/>
          <w:highlight w:val="none"/>
        </w:rPr>
        <w:fldChar w:fldCharType="begin"/>
      </w:r>
      <w:r>
        <w:rPr>
          <w:rFonts w:hint="default" w:ascii="Arial" w:hAnsi="Arial" w:cs="Arial"/>
          <w:sz w:val="22"/>
          <w:szCs w:val="22"/>
          <w:highlight w:val="none"/>
        </w:rPr>
        <w:instrText xml:space="preserve"> HYPERLINK "https://www.planalto.gov.br/ccivil_03/_ato2011-2014/2013/lei/l12846.htm" \l "art5" </w:instrText>
      </w:r>
      <w:r>
        <w:rPr>
          <w:rFonts w:hint="default" w:ascii="Arial" w:hAnsi="Arial" w:cs="Arial"/>
          <w:sz w:val="22"/>
          <w:szCs w:val="22"/>
          <w:highlight w:val="none"/>
        </w:rPr>
        <w:fldChar w:fldCharType="separate"/>
      </w:r>
      <w:r>
        <w:rPr>
          <w:rStyle w:val="15"/>
          <w:rFonts w:hint="default" w:ascii="Arial" w:hAnsi="Arial" w:cs="Arial"/>
          <w:color w:val="000000"/>
          <w:sz w:val="22"/>
          <w:szCs w:val="22"/>
          <w:highlight w:val="none"/>
          <w:u w:val="none"/>
        </w:rPr>
        <w:t>art. 5º da Lei nº 12.846</w:t>
      </w:r>
      <w:r>
        <w:rPr>
          <w:rStyle w:val="15"/>
          <w:rFonts w:hint="default" w:ascii="Arial" w:hAnsi="Arial" w:cs="Arial"/>
          <w:color w:val="000000"/>
          <w:sz w:val="22"/>
          <w:szCs w:val="22"/>
          <w:highlight w:val="none"/>
          <w:u w:val="none"/>
          <w:lang w:val="pt-BR"/>
        </w:rPr>
        <w:t>/</w:t>
      </w:r>
      <w:r>
        <w:rPr>
          <w:rStyle w:val="15"/>
          <w:rFonts w:hint="default" w:ascii="Arial" w:hAnsi="Arial" w:cs="Arial"/>
          <w:color w:val="000000"/>
          <w:sz w:val="22"/>
          <w:szCs w:val="22"/>
          <w:highlight w:val="none"/>
          <w:u w:val="none"/>
        </w:rPr>
        <w:t>2013</w:t>
      </w:r>
      <w:r>
        <w:rPr>
          <w:rStyle w:val="15"/>
          <w:rFonts w:hint="default" w:ascii="Arial" w:hAnsi="Arial" w:cs="Arial"/>
          <w:color w:val="000000"/>
          <w:sz w:val="22"/>
          <w:szCs w:val="22"/>
          <w:highlight w:val="none"/>
          <w:u w:val="none"/>
        </w:rPr>
        <w:fldChar w:fldCharType="end"/>
      </w:r>
      <w:r>
        <w:rPr>
          <w:rFonts w:hint="default" w:ascii="Arial" w:hAnsi="Arial" w:cs="Arial"/>
          <w:sz w:val="22"/>
          <w:szCs w:val="22"/>
          <w:highlight w:val="none"/>
        </w:rPr>
        <w:t>.</w:t>
      </w:r>
      <w:bookmarkEnd w:id="55"/>
    </w:p>
    <w:bookmarkEnd w:id="51"/>
    <w:p w14:paraId="531014D1">
      <w:pPr>
        <w:pStyle w:val="134"/>
        <w:numPr>
          <w:ilvl w:val="0"/>
          <w:numId w:val="0"/>
        </w:numPr>
        <w:spacing w:line="360" w:lineRule="auto"/>
        <w:ind w:leftChars="0"/>
        <w:rPr>
          <w:rFonts w:hint="default" w:ascii="Arial" w:hAnsi="Arial" w:cs="Arial"/>
          <w:sz w:val="22"/>
          <w:szCs w:val="22"/>
        </w:rPr>
      </w:pPr>
      <w:r>
        <w:rPr>
          <w:rFonts w:hint="default" w:ascii="Arial" w:hAnsi="Arial" w:cs="Arial"/>
          <w:b/>
          <w:bCs/>
          <w:sz w:val="22"/>
          <w:szCs w:val="22"/>
          <w:lang w:val="pt-BR"/>
        </w:rPr>
        <w:t xml:space="preserve">17.2. </w:t>
      </w:r>
      <w:r>
        <w:rPr>
          <w:rFonts w:hint="default" w:ascii="Arial" w:hAnsi="Arial" w:cs="Arial"/>
          <w:sz w:val="22"/>
          <w:szCs w:val="22"/>
        </w:rPr>
        <w:t>Com fulcro n</w:t>
      </w:r>
      <w:r>
        <w:rPr>
          <w:rFonts w:hint="default" w:ascii="Arial" w:hAnsi="Arial" w:cs="Arial"/>
          <w:sz w:val="22"/>
          <w:szCs w:val="22"/>
          <w:lang w:val="pt-BR"/>
        </w:rPr>
        <w:t>o art. 156 da</w:t>
      </w:r>
      <w:r>
        <w:rPr>
          <w:rFonts w:hint="default" w:ascii="Arial" w:hAnsi="Arial" w:cs="Arial"/>
          <w:sz w:val="22"/>
          <w:szCs w:val="22"/>
        </w:rPr>
        <w:t xml:space="preserve"> </w:t>
      </w:r>
      <w:r>
        <w:rPr>
          <w:rFonts w:hint="default" w:ascii="Arial" w:hAnsi="Arial" w:cs="Arial"/>
          <w:b w:val="0"/>
          <w:bCs w:val="0"/>
          <w:color w:val="auto"/>
          <w:sz w:val="22"/>
          <w:szCs w:val="22"/>
          <w:u w:val="none"/>
        </w:rPr>
        <w:fldChar w:fldCharType="begin"/>
      </w:r>
      <w:r>
        <w:rPr>
          <w:rFonts w:hint="default" w:ascii="Arial" w:hAnsi="Arial" w:cs="Arial"/>
          <w:b w:val="0"/>
          <w:bCs w:val="0"/>
          <w:color w:val="auto"/>
          <w:sz w:val="22"/>
          <w:szCs w:val="22"/>
          <w:u w:val="none"/>
        </w:rPr>
        <w:instrText xml:space="preserve"> HYPERLINK "http://www.planalto.gov.br/ccivil_03/_ato2019-2022/2021/lei/L14133.htm" </w:instrText>
      </w:r>
      <w:r>
        <w:rPr>
          <w:rFonts w:hint="default" w:ascii="Arial" w:hAnsi="Arial" w:cs="Arial"/>
          <w:b w:val="0"/>
          <w:bCs w:val="0"/>
          <w:color w:val="auto"/>
          <w:sz w:val="22"/>
          <w:szCs w:val="22"/>
          <w:u w:val="none"/>
        </w:rPr>
        <w:fldChar w:fldCharType="separate"/>
      </w:r>
      <w:r>
        <w:rPr>
          <w:rStyle w:val="15"/>
          <w:rFonts w:hint="default" w:ascii="Arial" w:hAnsi="Arial" w:cs="Arial"/>
          <w:b w:val="0"/>
          <w:bCs w:val="0"/>
          <w:color w:val="auto"/>
          <w:sz w:val="22"/>
          <w:szCs w:val="22"/>
          <w:u w:val="none"/>
        </w:rPr>
        <w:t xml:space="preserve">Lei </w:t>
      </w:r>
      <w:r>
        <w:rPr>
          <w:rStyle w:val="15"/>
          <w:rFonts w:hint="default" w:ascii="Arial" w:hAnsi="Arial" w:cs="Arial"/>
          <w:b w:val="0"/>
          <w:bCs w:val="0"/>
          <w:color w:val="auto"/>
          <w:sz w:val="22"/>
          <w:szCs w:val="22"/>
          <w:u w:val="none"/>
          <w:lang w:val="pt-BR"/>
        </w:rPr>
        <w:t xml:space="preserve">Federal </w:t>
      </w:r>
      <w:r>
        <w:rPr>
          <w:rStyle w:val="15"/>
          <w:rFonts w:hint="default" w:ascii="Arial" w:hAnsi="Arial" w:cs="Arial"/>
          <w:b w:val="0"/>
          <w:bCs w:val="0"/>
          <w:color w:val="auto"/>
          <w:sz w:val="22"/>
          <w:szCs w:val="22"/>
          <w:u w:val="none"/>
        </w:rPr>
        <w:t>nº 14.13</w:t>
      </w:r>
      <w:r>
        <w:rPr>
          <w:rStyle w:val="15"/>
          <w:rFonts w:hint="default" w:ascii="Arial" w:hAnsi="Arial" w:cs="Arial"/>
          <w:b w:val="0"/>
          <w:bCs w:val="0"/>
          <w:color w:val="auto"/>
          <w:sz w:val="22"/>
          <w:szCs w:val="22"/>
          <w:u w:val="none"/>
          <w:lang w:val="pt-BR"/>
        </w:rPr>
        <w:t>/2</w:t>
      </w:r>
      <w:r>
        <w:rPr>
          <w:rStyle w:val="15"/>
          <w:rFonts w:hint="default" w:ascii="Arial" w:hAnsi="Arial" w:cs="Arial"/>
          <w:b w:val="0"/>
          <w:bCs w:val="0"/>
          <w:color w:val="auto"/>
          <w:sz w:val="22"/>
          <w:szCs w:val="22"/>
          <w:u w:val="none"/>
        </w:rPr>
        <w:t>021</w:t>
      </w:r>
      <w:r>
        <w:rPr>
          <w:rStyle w:val="15"/>
          <w:rFonts w:hint="default" w:ascii="Arial" w:hAnsi="Arial" w:cs="Arial"/>
          <w:b w:val="0"/>
          <w:bCs w:val="0"/>
          <w:color w:val="auto"/>
          <w:sz w:val="22"/>
          <w:szCs w:val="22"/>
          <w:u w:val="none"/>
        </w:rPr>
        <w:fldChar w:fldCharType="end"/>
      </w:r>
      <w:r>
        <w:rPr>
          <w:rFonts w:hint="default" w:ascii="Arial" w:hAnsi="Arial" w:cs="Arial"/>
          <w:sz w:val="22"/>
          <w:szCs w:val="22"/>
        </w:rPr>
        <w:t xml:space="preserve">, </w:t>
      </w:r>
      <w:r>
        <w:rPr>
          <w:rFonts w:hint="default" w:ascii="Arial" w:hAnsi="Arial" w:cs="Arial"/>
          <w:sz w:val="22"/>
          <w:szCs w:val="22"/>
          <w:lang w:val="pt-BR"/>
        </w:rPr>
        <w:t>serão aplicadas ao responsável pelas infrações administrativas</w:t>
      </w:r>
      <w:r>
        <w:rPr>
          <w:rFonts w:hint="default" w:ascii="Arial" w:hAnsi="Arial" w:cs="Arial"/>
          <w:sz w:val="22"/>
          <w:szCs w:val="22"/>
        </w:rPr>
        <w:t xml:space="preserve">, garantida a prévia defesa, as seguintes sanções, sem prejuízo das responsabilidades civil e criminal: </w:t>
      </w:r>
    </w:p>
    <w:p w14:paraId="44315C07">
      <w:pPr>
        <w:pStyle w:val="137"/>
        <w:numPr>
          <w:ilvl w:val="0"/>
          <w:numId w:val="0"/>
        </w:numPr>
        <w:spacing w:line="360" w:lineRule="auto"/>
        <w:ind w:left="0" w:leftChars="0" w:firstLine="481" w:firstLineChars="218"/>
        <w:rPr>
          <w:sz w:val="22"/>
          <w:szCs w:val="22"/>
        </w:rPr>
      </w:pPr>
      <w:r>
        <w:rPr>
          <w:rFonts w:hint="default"/>
          <w:b/>
          <w:bCs/>
          <w:sz w:val="22"/>
          <w:szCs w:val="22"/>
          <w:lang w:val="pt-BR"/>
        </w:rPr>
        <w:t xml:space="preserve">17.2.1. </w:t>
      </w:r>
      <w:r>
        <w:rPr>
          <w:rFonts w:hint="default"/>
          <w:sz w:val="22"/>
          <w:szCs w:val="22"/>
          <w:lang w:val="pt-BR"/>
        </w:rPr>
        <w:t>A</w:t>
      </w:r>
      <w:r>
        <w:rPr>
          <w:sz w:val="22"/>
          <w:szCs w:val="22"/>
        </w:rPr>
        <w:t xml:space="preserve">dvertência; </w:t>
      </w:r>
    </w:p>
    <w:p w14:paraId="589180C3">
      <w:pPr>
        <w:pStyle w:val="137"/>
        <w:numPr>
          <w:ilvl w:val="0"/>
          <w:numId w:val="0"/>
        </w:numPr>
        <w:spacing w:line="360" w:lineRule="auto"/>
        <w:ind w:left="0" w:leftChars="0" w:firstLine="481" w:firstLineChars="218"/>
        <w:rPr>
          <w:sz w:val="22"/>
          <w:szCs w:val="22"/>
        </w:rPr>
      </w:pPr>
      <w:r>
        <w:rPr>
          <w:rFonts w:hint="default"/>
          <w:b/>
          <w:bCs/>
          <w:sz w:val="22"/>
          <w:szCs w:val="22"/>
          <w:lang w:val="pt-BR"/>
        </w:rPr>
        <w:t>17.2.2.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11081C76">
      <w:pPr>
        <w:pStyle w:val="137"/>
        <w:numPr>
          <w:ilvl w:val="0"/>
          <w:numId w:val="0"/>
        </w:numPr>
        <w:spacing w:line="360" w:lineRule="auto"/>
        <w:ind w:left="0" w:leftChars="0" w:firstLine="481" w:firstLineChars="218"/>
        <w:rPr>
          <w:sz w:val="22"/>
          <w:szCs w:val="22"/>
        </w:rPr>
      </w:pPr>
      <w:r>
        <w:rPr>
          <w:rFonts w:hint="default"/>
          <w:b/>
          <w:bCs/>
          <w:sz w:val="22"/>
          <w:szCs w:val="22"/>
          <w:lang w:val="pt-BR"/>
        </w:rPr>
        <w:t xml:space="preserve">17.2.3.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48F55D18">
      <w:pPr>
        <w:pStyle w:val="137"/>
        <w:numPr>
          <w:ilvl w:val="0"/>
          <w:numId w:val="0"/>
        </w:numPr>
        <w:spacing w:line="360" w:lineRule="auto"/>
        <w:ind w:left="0" w:leftChars="0" w:firstLine="481" w:firstLineChars="218"/>
        <w:rPr>
          <w:sz w:val="22"/>
          <w:szCs w:val="22"/>
        </w:rPr>
      </w:pPr>
      <w:r>
        <w:rPr>
          <w:rFonts w:hint="default"/>
          <w:b/>
          <w:bCs/>
          <w:sz w:val="22"/>
          <w:szCs w:val="22"/>
          <w:lang w:val="pt-BR"/>
        </w:rPr>
        <w:t>17.2.4.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0DE83126">
      <w:pPr>
        <w:pStyle w:val="134"/>
        <w:numPr>
          <w:ilvl w:val="0"/>
          <w:numId w:val="0"/>
        </w:numPr>
        <w:spacing w:line="360" w:lineRule="auto"/>
        <w:ind w:leftChars="0"/>
        <w:rPr>
          <w:sz w:val="22"/>
          <w:szCs w:val="22"/>
        </w:rPr>
      </w:pPr>
      <w:r>
        <w:rPr>
          <w:rFonts w:hint="default"/>
          <w:b/>
          <w:bCs/>
          <w:sz w:val="22"/>
          <w:szCs w:val="22"/>
          <w:lang w:val="pt-BR"/>
        </w:rPr>
        <w:t>17.3.</w:t>
      </w:r>
      <w:r>
        <w:rPr>
          <w:rFonts w:hint="default"/>
          <w:sz w:val="22"/>
          <w:szCs w:val="22"/>
          <w:lang w:val="pt-BR"/>
        </w:rPr>
        <w:t xml:space="preserve"> </w:t>
      </w:r>
      <w:r>
        <w:rPr>
          <w:sz w:val="22"/>
          <w:szCs w:val="22"/>
        </w:rPr>
        <w:t>Na aplicação das sanções serão considerados:</w:t>
      </w:r>
    </w:p>
    <w:p w14:paraId="0729C259">
      <w:pPr>
        <w:pStyle w:val="137"/>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76458395">
      <w:pPr>
        <w:pStyle w:val="137"/>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17.3.2. </w:t>
      </w:r>
      <w:r>
        <w:rPr>
          <w:rFonts w:hint="default"/>
          <w:sz w:val="22"/>
          <w:szCs w:val="22"/>
          <w:lang w:val="pt-BR"/>
        </w:rPr>
        <w:t>A</w:t>
      </w:r>
      <w:r>
        <w:rPr>
          <w:sz w:val="22"/>
          <w:szCs w:val="22"/>
        </w:rPr>
        <w:t>s peculiaridades do caso concreto</w:t>
      </w:r>
      <w:r>
        <w:rPr>
          <w:rFonts w:hint="default"/>
          <w:sz w:val="22"/>
          <w:szCs w:val="22"/>
          <w:lang w:val="pt-BR"/>
        </w:rPr>
        <w:t>;</w:t>
      </w:r>
    </w:p>
    <w:p w14:paraId="024C89AD">
      <w:pPr>
        <w:pStyle w:val="137"/>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17.3.3.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5C9056EC">
      <w:pPr>
        <w:pStyle w:val="137"/>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1555EBF1">
      <w:pPr>
        <w:pStyle w:val="137"/>
        <w:numPr>
          <w:ilvl w:val="0"/>
          <w:numId w:val="0"/>
        </w:numPr>
        <w:spacing w:line="360" w:lineRule="auto"/>
        <w:ind w:left="4" w:leftChars="0" w:firstLine="477" w:firstLineChars="216"/>
        <w:rPr>
          <w:sz w:val="22"/>
          <w:szCs w:val="22"/>
        </w:rPr>
      </w:pPr>
      <w:r>
        <w:rPr>
          <w:rFonts w:hint="default"/>
          <w:b/>
          <w:bCs/>
          <w:sz w:val="22"/>
          <w:szCs w:val="22"/>
          <w:lang w:val="pt-BR"/>
        </w:rPr>
        <w:t xml:space="preserve">17.3.5.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53E38333">
      <w:pPr>
        <w:pStyle w:val="134"/>
        <w:numPr>
          <w:ilvl w:val="0"/>
          <w:numId w:val="0"/>
        </w:numPr>
        <w:spacing w:line="360" w:lineRule="auto"/>
        <w:ind w:leftChars="0"/>
        <w:rPr>
          <w:rFonts w:hint="default" w:eastAsia="Arial" w:cs="Arial"/>
          <w:color w:val="auto"/>
          <w:sz w:val="22"/>
          <w:szCs w:val="22"/>
          <w:highlight w:val="none"/>
          <w:lang w:val="pt-BR"/>
        </w:rPr>
      </w:pPr>
      <w:r>
        <w:rPr>
          <w:rFonts w:hint="default"/>
          <w:b/>
          <w:bCs/>
          <w:sz w:val="22"/>
          <w:szCs w:val="22"/>
          <w:lang w:val="pt-BR"/>
        </w:rPr>
        <w:t>17.4.</w:t>
      </w:r>
      <w:r>
        <w:rPr>
          <w:rFonts w:hint="default"/>
          <w:sz w:val="22"/>
          <w:szCs w:val="22"/>
          <w:highlight w:val="none"/>
          <w:lang w:val="pt-BR"/>
        </w:rPr>
        <w:t xml:space="preserve"> </w:t>
      </w:r>
      <w:r>
        <w:rPr>
          <w:sz w:val="22"/>
          <w:szCs w:val="22"/>
          <w:highlight w:val="none"/>
        </w:rPr>
        <w:t>A multa será recolhida em percentual</w:t>
      </w:r>
      <w:r>
        <w:rPr>
          <w:rFonts w:hint="default"/>
          <w:sz w:val="22"/>
          <w:szCs w:val="22"/>
          <w:highlight w:val="none"/>
          <w:lang w:val="pt-BR"/>
        </w:rPr>
        <w:t>,</w:t>
      </w:r>
      <w:r>
        <w:rPr>
          <w:sz w:val="22"/>
          <w:szCs w:val="22"/>
          <w:highlight w:val="none"/>
        </w:rPr>
        <w:t xml:space="preserve"> </w:t>
      </w:r>
      <w:r>
        <w:rPr>
          <w:rFonts w:hint="default"/>
          <w:sz w:val="22"/>
          <w:szCs w:val="22"/>
          <w:highlight w:val="none"/>
          <w:lang w:val="pt-BR"/>
        </w:rPr>
        <w:t>conforme tabelas a seguir,</w:t>
      </w:r>
      <w:r>
        <w:rPr>
          <w:sz w:val="22"/>
          <w:szCs w:val="22"/>
          <w:highlight w:val="none"/>
        </w:rPr>
        <w:t xml:space="preserve"> incidente sobre o valor</w:t>
      </w:r>
      <w:r>
        <w:rPr>
          <w:rFonts w:hint="default"/>
          <w:sz w:val="22"/>
          <w:szCs w:val="22"/>
          <w:highlight w:val="none"/>
          <w:lang w:val="pt-BR"/>
        </w:rPr>
        <w:t xml:space="preserve"> </w:t>
      </w:r>
      <w:r>
        <w:rPr>
          <w:rFonts w:ascii="Arial" w:hAnsi="Arial" w:cs="Arial"/>
          <w:color w:val="000000"/>
          <w:sz w:val="22"/>
          <w:szCs w:val="22"/>
          <w:highlight w:val="none"/>
        </w:rPr>
        <w:t>d</w:t>
      </w:r>
      <w:r>
        <w:rPr>
          <w:rFonts w:hint="default" w:ascii="Arial" w:hAnsi="Arial" w:cs="Arial"/>
          <w:color w:val="auto"/>
          <w:sz w:val="22"/>
          <w:szCs w:val="22"/>
          <w:highlight w:val="none"/>
          <w:lang w:val="pt-BR"/>
        </w:rPr>
        <w:t>o Contrato</w:t>
      </w:r>
      <w:r>
        <w:rPr>
          <w:sz w:val="22"/>
          <w:szCs w:val="22"/>
          <w:highlight w:val="none"/>
        </w:rPr>
        <w:t xml:space="preserve">, recolhida no 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tbl>
      <w:tblPr>
        <w:tblStyle w:val="10"/>
        <w:tblW w:w="5820" w:type="dxa"/>
        <w:jc w:val="center"/>
        <w:tblLayout w:type="autofit"/>
        <w:tblCellMar>
          <w:top w:w="0" w:type="dxa"/>
          <w:left w:w="70" w:type="dxa"/>
          <w:bottom w:w="0" w:type="dxa"/>
          <w:right w:w="70" w:type="dxa"/>
        </w:tblCellMar>
      </w:tblPr>
      <w:tblGrid>
        <w:gridCol w:w="3980"/>
        <w:gridCol w:w="1840"/>
      </w:tblGrid>
      <w:tr w14:paraId="1BD3B894">
        <w:tblPrEx>
          <w:tblCellMar>
            <w:top w:w="0" w:type="dxa"/>
            <w:left w:w="70" w:type="dxa"/>
            <w:bottom w:w="0" w:type="dxa"/>
            <w:right w:w="70" w:type="dxa"/>
          </w:tblCellMar>
        </w:tblPrEx>
        <w:trPr>
          <w:trHeight w:val="330" w:hRule="atLeast"/>
          <w:jc w:val="center"/>
        </w:trPr>
        <w:tc>
          <w:tcPr>
            <w:tcW w:w="5820" w:type="dxa"/>
            <w:gridSpan w:val="2"/>
            <w:tcBorders>
              <w:top w:val="single" w:color="auto" w:sz="4" w:space="0"/>
              <w:left w:val="single" w:color="auto" w:sz="4" w:space="0"/>
              <w:bottom w:val="single" w:color="auto" w:sz="4" w:space="0"/>
              <w:right w:val="single" w:color="auto" w:sz="4" w:space="0"/>
            </w:tcBorders>
            <w:shd w:val="clear" w:color="000000" w:fill="7F7F7F"/>
            <w:noWrap w:val="0"/>
            <w:vAlign w:val="center"/>
          </w:tcPr>
          <w:p w14:paraId="4DA2948C">
            <w:pPr>
              <w:spacing w:after="0"/>
              <w:jc w:val="center"/>
              <w:rPr>
                <w:rFonts w:hint="default" w:ascii="Arial" w:hAnsi="Arial" w:eastAsia="Times New Roman" w:cs="Arial"/>
                <w:b/>
                <w:bCs/>
                <w:color w:val="FFFFFF"/>
                <w:sz w:val="22"/>
                <w:szCs w:val="22"/>
                <w:lang w:eastAsia="pt-BR"/>
              </w:rPr>
            </w:pPr>
            <w:r>
              <w:rPr>
                <w:rFonts w:hint="default" w:ascii="Arial" w:hAnsi="Arial" w:eastAsia="Times New Roman" w:cs="Arial"/>
                <w:b/>
                <w:bCs/>
                <w:color w:val="FFFFFF"/>
                <w:sz w:val="22"/>
                <w:szCs w:val="22"/>
                <w:lang w:eastAsia="pt-BR"/>
              </w:rPr>
              <w:t>TABELA 1 - PERCENTAGEM</w:t>
            </w:r>
          </w:p>
        </w:tc>
      </w:tr>
      <w:tr w14:paraId="15B89E50">
        <w:tblPrEx>
          <w:tblCellMar>
            <w:top w:w="0" w:type="dxa"/>
            <w:left w:w="70" w:type="dxa"/>
            <w:bottom w:w="0" w:type="dxa"/>
            <w:right w:w="70" w:type="dxa"/>
          </w:tblCellMar>
        </w:tblPrEx>
        <w:trPr>
          <w:trHeight w:val="330" w:hRule="atLeast"/>
          <w:jc w:val="center"/>
        </w:trPr>
        <w:tc>
          <w:tcPr>
            <w:tcW w:w="3980" w:type="dxa"/>
            <w:tcBorders>
              <w:top w:val="single" w:color="auto" w:sz="4" w:space="0"/>
              <w:left w:val="single" w:color="auto" w:sz="4" w:space="0"/>
              <w:bottom w:val="single" w:color="auto" w:sz="4" w:space="0"/>
              <w:right w:val="single" w:color="auto" w:sz="4" w:space="0"/>
            </w:tcBorders>
            <w:shd w:val="clear" w:color="000000" w:fill="BFBFBF"/>
            <w:noWrap w:val="0"/>
            <w:vAlign w:val="center"/>
          </w:tcPr>
          <w:p w14:paraId="026D1C45">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GRAU</w:t>
            </w:r>
          </w:p>
        </w:tc>
        <w:tc>
          <w:tcPr>
            <w:tcW w:w="1840" w:type="dxa"/>
            <w:tcBorders>
              <w:top w:val="single" w:color="auto" w:sz="4" w:space="0"/>
              <w:left w:val="single" w:color="auto" w:sz="4" w:space="0"/>
              <w:bottom w:val="single" w:color="auto" w:sz="4" w:space="0"/>
              <w:right w:val="single" w:color="auto" w:sz="4" w:space="0"/>
            </w:tcBorders>
            <w:shd w:val="clear" w:color="000000" w:fill="BFBFBF"/>
            <w:noWrap w:val="0"/>
            <w:vAlign w:val="center"/>
          </w:tcPr>
          <w:p w14:paraId="12FC594F">
            <w:pPr>
              <w:spacing w:after="0"/>
              <w:ind w:firstLine="748" w:firstLineChars="34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w:t>
            </w:r>
          </w:p>
        </w:tc>
      </w:tr>
      <w:tr w14:paraId="5BF465E8">
        <w:tblPrEx>
          <w:tblCellMar>
            <w:top w:w="0" w:type="dxa"/>
            <w:left w:w="70" w:type="dxa"/>
            <w:bottom w:w="0" w:type="dxa"/>
            <w:right w:w="70" w:type="dxa"/>
          </w:tblCellMar>
        </w:tblPrEx>
        <w:trPr>
          <w:trHeight w:val="330" w:hRule="atLeast"/>
          <w:jc w:val="center"/>
        </w:trPr>
        <w:tc>
          <w:tcPr>
            <w:tcW w:w="3980"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370819EA">
            <w:pPr>
              <w:spacing w:after="0"/>
              <w:ind w:left="337"/>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1 – BAIXO</w:t>
            </w:r>
          </w:p>
        </w:tc>
        <w:tc>
          <w:tcPr>
            <w:tcW w:w="1840"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00F86CD4">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3%</w:t>
            </w:r>
          </w:p>
        </w:tc>
      </w:tr>
      <w:tr w14:paraId="3D8409A4">
        <w:tblPrEx>
          <w:tblCellMar>
            <w:top w:w="0" w:type="dxa"/>
            <w:left w:w="70" w:type="dxa"/>
            <w:bottom w:w="0" w:type="dxa"/>
            <w:right w:w="70" w:type="dxa"/>
          </w:tblCellMar>
        </w:tblPrEx>
        <w:trPr>
          <w:trHeight w:val="330" w:hRule="atLeast"/>
          <w:jc w:val="center"/>
        </w:trPr>
        <w:tc>
          <w:tcPr>
            <w:tcW w:w="3980"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46D42DA3">
            <w:pPr>
              <w:spacing w:after="0"/>
              <w:ind w:left="337"/>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2 – MEDIO</w:t>
            </w:r>
          </w:p>
        </w:tc>
        <w:tc>
          <w:tcPr>
            <w:tcW w:w="1840"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19781684">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5%</w:t>
            </w:r>
          </w:p>
        </w:tc>
      </w:tr>
      <w:tr w14:paraId="42685AE6">
        <w:tblPrEx>
          <w:tblCellMar>
            <w:top w:w="0" w:type="dxa"/>
            <w:left w:w="70" w:type="dxa"/>
            <w:bottom w:w="0" w:type="dxa"/>
            <w:right w:w="70" w:type="dxa"/>
          </w:tblCellMar>
        </w:tblPrEx>
        <w:trPr>
          <w:trHeight w:val="330" w:hRule="atLeast"/>
          <w:jc w:val="center"/>
        </w:trPr>
        <w:tc>
          <w:tcPr>
            <w:tcW w:w="3980"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630DD90B">
            <w:pPr>
              <w:spacing w:after="0"/>
              <w:ind w:left="337"/>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3 – ALTO</w:t>
            </w:r>
          </w:p>
        </w:tc>
        <w:tc>
          <w:tcPr>
            <w:tcW w:w="1840"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72996F81">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10%</w:t>
            </w:r>
          </w:p>
        </w:tc>
      </w:tr>
      <w:tr w14:paraId="1FF54D62">
        <w:tblPrEx>
          <w:tblCellMar>
            <w:top w:w="0" w:type="dxa"/>
            <w:left w:w="70" w:type="dxa"/>
            <w:bottom w:w="0" w:type="dxa"/>
            <w:right w:w="70" w:type="dxa"/>
          </w:tblCellMar>
        </w:tblPrEx>
        <w:trPr>
          <w:trHeight w:val="330" w:hRule="atLeast"/>
          <w:jc w:val="center"/>
        </w:trPr>
        <w:tc>
          <w:tcPr>
            <w:tcW w:w="3980"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47D498A1">
            <w:pPr>
              <w:spacing w:after="0"/>
              <w:ind w:left="337"/>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4 –</w:t>
            </w:r>
            <w:r>
              <w:rPr>
                <w:rFonts w:hint="default" w:ascii="Arial" w:hAnsi="Arial" w:eastAsia="Times New Roman" w:cs="Arial"/>
                <w:b/>
                <w:bCs/>
                <w:color w:val="000000"/>
                <w:sz w:val="22"/>
                <w:szCs w:val="22"/>
                <w:lang w:val="en-US" w:eastAsia="pt-BR"/>
              </w:rPr>
              <w:t xml:space="preserve"> </w:t>
            </w:r>
            <w:r>
              <w:rPr>
                <w:rFonts w:hint="default" w:ascii="Arial" w:hAnsi="Arial" w:eastAsia="Times New Roman" w:cs="Arial"/>
                <w:b/>
                <w:bCs/>
                <w:color w:val="000000"/>
                <w:sz w:val="22"/>
                <w:szCs w:val="22"/>
                <w:lang w:eastAsia="pt-BR"/>
              </w:rPr>
              <w:t>ALTÍSSIMO</w:t>
            </w:r>
          </w:p>
        </w:tc>
        <w:tc>
          <w:tcPr>
            <w:tcW w:w="1840"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7B10472C">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20%</w:t>
            </w:r>
          </w:p>
        </w:tc>
      </w:tr>
    </w:tbl>
    <w:tbl>
      <w:tblPr>
        <w:tblStyle w:val="10"/>
        <w:tblpPr w:leftFromText="180" w:rightFromText="180" w:vertAnchor="text" w:horzAnchor="page" w:tblpX="2224" w:tblpY="493"/>
        <w:tblOverlap w:val="never"/>
        <w:tblW w:w="7796" w:type="dxa"/>
        <w:tblInd w:w="0" w:type="dxa"/>
        <w:tblLayout w:type="autofit"/>
        <w:tblCellMar>
          <w:top w:w="0" w:type="dxa"/>
          <w:left w:w="70" w:type="dxa"/>
          <w:bottom w:w="0" w:type="dxa"/>
          <w:right w:w="70" w:type="dxa"/>
        </w:tblCellMar>
      </w:tblPr>
      <w:tblGrid>
        <w:gridCol w:w="424"/>
        <w:gridCol w:w="6584"/>
        <w:gridCol w:w="788"/>
      </w:tblGrid>
      <w:tr w14:paraId="745EA849">
        <w:tblPrEx>
          <w:tblCellMar>
            <w:top w:w="0" w:type="dxa"/>
            <w:left w:w="70" w:type="dxa"/>
            <w:bottom w:w="0" w:type="dxa"/>
            <w:right w:w="70" w:type="dxa"/>
          </w:tblCellMar>
        </w:tblPrEx>
        <w:trPr>
          <w:trHeight w:val="330" w:hRule="atLeast"/>
        </w:trPr>
        <w:tc>
          <w:tcPr>
            <w:tcW w:w="7796" w:type="dxa"/>
            <w:gridSpan w:val="3"/>
            <w:tcBorders>
              <w:top w:val="single" w:color="auto" w:sz="4" w:space="0"/>
              <w:left w:val="single" w:color="auto" w:sz="4" w:space="0"/>
              <w:bottom w:val="single" w:color="auto" w:sz="4" w:space="0"/>
              <w:right w:val="single" w:color="auto" w:sz="4" w:space="0"/>
            </w:tcBorders>
            <w:shd w:val="clear" w:color="000000" w:fill="7F7F7F"/>
            <w:noWrap w:val="0"/>
            <w:vAlign w:val="center"/>
          </w:tcPr>
          <w:p w14:paraId="51B015AD">
            <w:pPr>
              <w:spacing w:after="0"/>
              <w:jc w:val="center"/>
              <w:rPr>
                <w:rFonts w:hint="default" w:ascii="Arial" w:hAnsi="Arial" w:eastAsia="Times New Roman" w:cs="Arial"/>
                <w:b/>
                <w:bCs/>
                <w:color w:val="FFFFFF"/>
                <w:sz w:val="22"/>
                <w:szCs w:val="22"/>
                <w:lang w:eastAsia="pt-BR"/>
              </w:rPr>
            </w:pPr>
            <w:r>
              <w:rPr>
                <w:rFonts w:hint="default" w:ascii="Arial" w:hAnsi="Arial" w:eastAsia="Times New Roman" w:cs="Arial"/>
                <w:b/>
                <w:bCs/>
                <w:color w:val="FFFFFF"/>
                <w:sz w:val="22"/>
                <w:szCs w:val="22"/>
                <w:lang w:eastAsia="pt-BR"/>
              </w:rPr>
              <w:t>TABELA 2 – INFRAÇÃO/GRADUAÇÃO</w:t>
            </w:r>
          </w:p>
        </w:tc>
      </w:tr>
      <w:tr w14:paraId="0D7C38FA">
        <w:tblPrEx>
          <w:tblCellMar>
            <w:top w:w="0" w:type="dxa"/>
            <w:left w:w="70" w:type="dxa"/>
            <w:bottom w:w="0" w:type="dxa"/>
            <w:right w:w="70" w:type="dxa"/>
          </w:tblCellMar>
        </w:tblPrEx>
        <w:trPr>
          <w:trHeight w:val="330" w:hRule="atLeast"/>
        </w:trPr>
        <w:tc>
          <w:tcPr>
            <w:tcW w:w="424" w:type="dxa"/>
            <w:tcBorders>
              <w:top w:val="single" w:color="auto" w:sz="4" w:space="0"/>
              <w:left w:val="single" w:color="auto" w:sz="4" w:space="0"/>
              <w:bottom w:val="single" w:color="auto" w:sz="4" w:space="0"/>
              <w:right w:val="single" w:color="auto" w:sz="4" w:space="0"/>
            </w:tcBorders>
            <w:shd w:val="clear" w:color="000000" w:fill="BFBFBF"/>
            <w:noWrap w:val="0"/>
            <w:vAlign w:val="center"/>
          </w:tcPr>
          <w:p w14:paraId="48A983E5">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N</w:t>
            </w:r>
          </w:p>
        </w:tc>
        <w:tc>
          <w:tcPr>
            <w:tcW w:w="6584" w:type="dxa"/>
            <w:tcBorders>
              <w:top w:val="single" w:color="auto" w:sz="4" w:space="0"/>
              <w:left w:val="single" w:color="auto" w:sz="4" w:space="0"/>
              <w:bottom w:val="single" w:color="auto" w:sz="4" w:space="0"/>
              <w:right w:val="single" w:color="auto" w:sz="4" w:space="0"/>
            </w:tcBorders>
            <w:shd w:val="clear" w:color="000000" w:fill="BFBFBF"/>
            <w:noWrap w:val="0"/>
            <w:vAlign w:val="center"/>
          </w:tcPr>
          <w:p w14:paraId="419033B8">
            <w:pPr>
              <w:spacing w:after="0"/>
              <w:ind w:firstLine="201"/>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INFRAÇÃO</w:t>
            </w:r>
          </w:p>
        </w:tc>
        <w:tc>
          <w:tcPr>
            <w:tcW w:w="788" w:type="dxa"/>
            <w:tcBorders>
              <w:top w:val="single" w:color="auto" w:sz="4" w:space="0"/>
              <w:left w:val="single" w:color="auto" w:sz="4" w:space="0"/>
              <w:bottom w:val="single" w:color="auto" w:sz="4" w:space="0"/>
              <w:right w:val="single" w:color="auto" w:sz="4" w:space="0"/>
            </w:tcBorders>
            <w:shd w:val="clear" w:color="000000" w:fill="BFBFBF"/>
            <w:noWrap w:val="0"/>
            <w:vAlign w:val="center"/>
          </w:tcPr>
          <w:p w14:paraId="2983D344">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GRAU</w:t>
            </w:r>
          </w:p>
        </w:tc>
      </w:tr>
      <w:tr w14:paraId="7EBCC430">
        <w:tblPrEx>
          <w:tblCellMar>
            <w:top w:w="0" w:type="dxa"/>
            <w:left w:w="70" w:type="dxa"/>
            <w:bottom w:w="0" w:type="dxa"/>
            <w:right w:w="70" w:type="dxa"/>
          </w:tblCellMar>
        </w:tblPrEx>
        <w:trPr>
          <w:trHeight w:val="630" w:hRule="atLeast"/>
        </w:trPr>
        <w:tc>
          <w:tcPr>
            <w:tcW w:w="424" w:type="dxa"/>
            <w:vMerge w:val="restart"/>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668D5CFB">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1</w:t>
            </w: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482F19D6">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Descrição:</w:t>
            </w:r>
            <w:r>
              <w:rPr>
                <w:rFonts w:hint="default" w:ascii="Arial" w:hAnsi="Arial" w:eastAsia="Times New Roman" w:cs="Arial"/>
                <w:color w:val="000000"/>
                <w:sz w:val="22"/>
                <w:szCs w:val="22"/>
                <w:lang w:eastAsia="pt-BR"/>
              </w:rPr>
              <w:t xml:space="preserve"> Descumprimento do prazo de entrega do projeto executivo estabelecido no item </w:t>
            </w:r>
            <w:r>
              <w:rPr>
                <w:rFonts w:hint="default" w:ascii="Arial" w:hAnsi="Arial" w:eastAsia="Times New Roman" w:cs="Arial"/>
                <w:color w:val="000000"/>
                <w:sz w:val="22"/>
                <w:szCs w:val="22"/>
                <w:highlight w:val="none"/>
                <w:lang w:eastAsia="pt-BR"/>
              </w:rPr>
              <w:t>“</w:t>
            </w:r>
            <w:r>
              <w:rPr>
                <w:rFonts w:hint="default" w:ascii="Arial" w:hAnsi="Arial" w:eastAsia="Times New Roman" w:cs="Arial"/>
                <w:color w:val="000000"/>
                <w:sz w:val="22"/>
                <w:szCs w:val="22"/>
                <w:highlight w:val="none"/>
                <w:lang w:val="en-US" w:eastAsia="pt-BR"/>
              </w:rPr>
              <w:t>6</w:t>
            </w:r>
            <w:r>
              <w:rPr>
                <w:rFonts w:hint="default" w:ascii="Arial" w:hAnsi="Arial" w:eastAsia="Times New Roman" w:cs="Arial"/>
                <w:color w:val="000000"/>
                <w:sz w:val="22"/>
                <w:szCs w:val="22"/>
                <w:highlight w:val="none"/>
                <w:lang w:eastAsia="pt-BR"/>
              </w:rPr>
              <w:t>.3</w:t>
            </w:r>
            <w:r>
              <w:rPr>
                <w:rFonts w:hint="default" w:ascii="Arial" w:hAnsi="Arial" w:eastAsia="Times New Roman" w:cs="Arial"/>
                <w:color w:val="000000"/>
                <w:sz w:val="22"/>
                <w:szCs w:val="22"/>
                <w:lang w:eastAsia="pt-BR"/>
              </w:rPr>
              <w:t xml:space="preserve"> </w:t>
            </w:r>
            <w:r>
              <w:rPr>
                <w:rFonts w:hint="default" w:ascii="Arial" w:hAnsi="Arial" w:eastAsia="Times New Roman" w:cs="Arial"/>
                <w:color w:val="000000"/>
                <w:sz w:val="22"/>
                <w:szCs w:val="22"/>
                <w:lang w:val="en-US" w:eastAsia="pt-BR"/>
              </w:rPr>
              <w:t xml:space="preserve">até 6.3.11 </w:t>
            </w:r>
            <w:r>
              <w:rPr>
                <w:rFonts w:hint="default" w:ascii="Arial" w:hAnsi="Arial" w:eastAsia="Times New Roman" w:cs="Arial"/>
                <w:color w:val="000000"/>
                <w:sz w:val="22"/>
                <w:szCs w:val="22"/>
                <w:lang w:eastAsia="pt-BR"/>
              </w:rPr>
              <w:t>– Prazos e condições”.</w:t>
            </w:r>
          </w:p>
        </w:tc>
        <w:tc>
          <w:tcPr>
            <w:tcW w:w="788" w:type="dxa"/>
            <w:vMerge w:val="restart"/>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4869FB12">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4</w:t>
            </w:r>
          </w:p>
        </w:tc>
      </w:tr>
      <w:tr w14:paraId="71438D20">
        <w:tblPrEx>
          <w:tblCellMar>
            <w:top w:w="0" w:type="dxa"/>
            <w:left w:w="70" w:type="dxa"/>
            <w:bottom w:w="0" w:type="dxa"/>
            <w:right w:w="70" w:type="dxa"/>
          </w:tblCellMar>
        </w:tblPrEx>
        <w:trPr>
          <w:trHeight w:val="330" w:hRule="atLeast"/>
        </w:trPr>
        <w:tc>
          <w:tcPr>
            <w:tcW w:w="424" w:type="dxa"/>
            <w:vMerge w:val="continue"/>
            <w:tcBorders>
              <w:top w:val="single" w:color="auto" w:sz="4" w:space="0"/>
              <w:left w:val="single" w:color="auto" w:sz="4" w:space="0"/>
              <w:bottom w:val="single" w:color="auto" w:sz="4" w:space="0"/>
              <w:right w:val="single" w:color="auto" w:sz="4" w:space="0"/>
            </w:tcBorders>
            <w:noWrap w:val="0"/>
            <w:vAlign w:val="center"/>
          </w:tcPr>
          <w:p w14:paraId="3D875480">
            <w:pPr>
              <w:spacing w:after="0"/>
              <w:jc w:val="center"/>
              <w:rPr>
                <w:rFonts w:hint="default" w:ascii="Arial" w:hAnsi="Arial" w:eastAsia="Times New Roman" w:cs="Arial"/>
                <w:b/>
                <w:bCs/>
                <w:color w:val="000000"/>
                <w:sz w:val="22"/>
                <w:szCs w:val="22"/>
                <w:lang w:eastAsia="pt-BR"/>
              </w:rPr>
            </w:pP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7C2F93EA">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 xml:space="preserve">Unidade Temporal: </w:t>
            </w:r>
            <w:r>
              <w:rPr>
                <w:rFonts w:hint="default" w:ascii="Arial" w:hAnsi="Arial" w:eastAsia="Times New Roman" w:cs="Arial"/>
                <w:color w:val="000000"/>
                <w:sz w:val="22"/>
                <w:szCs w:val="22"/>
                <w:lang w:eastAsia="pt-BR"/>
              </w:rPr>
              <w:t>% do GRAU de INFRAÇÃO por dia de atraso, limitado a 10%.</w:t>
            </w:r>
          </w:p>
        </w:tc>
        <w:tc>
          <w:tcPr>
            <w:tcW w:w="788" w:type="dxa"/>
            <w:vMerge w:val="continue"/>
            <w:tcBorders>
              <w:top w:val="single" w:color="auto" w:sz="4" w:space="0"/>
              <w:left w:val="single" w:color="auto" w:sz="4" w:space="0"/>
              <w:bottom w:val="single" w:color="auto" w:sz="4" w:space="0"/>
              <w:right w:val="single" w:color="auto" w:sz="4" w:space="0"/>
            </w:tcBorders>
            <w:noWrap w:val="0"/>
            <w:vAlign w:val="center"/>
          </w:tcPr>
          <w:p w14:paraId="38A8C999">
            <w:pPr>
              <w:spacing w:after="0"/>
              <w:jc w:val="center"/>
              <w:rPr>
                <w:rFonts w:hint="default" w:ascii="Arial" w:hAnsi="Arial" w:eastAsia="Times New Roman" w:cs="Arial"/>
                <w:b/>
                <w:bCs/>
                <w:color w:val="000000"/>
                <w:sz w:val="22"/>
                <w:szCs w:val="22"/>
                <w:lang w:eastAsia="pt-BR"/>
              </w:rPr>
            </w:pPr>
          </w:p>
        </w:tc>
      </w:tr>
      <w:tr w14:paraId="4125425D">
        <w:tblPrEx>
          <w:tblCellMar>
            <w:top w:w="0" w:type="dxa"/>
            <w:left w:w="70" w:type="dxa"/>
            <w:bottom w:w="0" w:type="dxa"/>
            <w:right w:w="70" w:type="dxa"/>
          </w:tblCellMar>
        </w:tblPrEx>
        <w:trPr>
          <w:trHeight w:val="330" w:hRule="atLeast"/>
        </w:trPr>
        <w:tc>
          <w:tcPr>
            <w:tcW w:w="424" w:type="dxa"/>
            <w:vMerge w:val="continue"/>
            <w:tcBorders>
              <w:top w:val="single" w:color="auto" w:sz="4" w:space="0"/>
              <w:left w:val="single" w:color="auto" w:sz="4" w:space="0"/>
              <w:bottom w:val="single" w:color="auto" w:sz="4" w:space="0"/>
              <w:right w:val="single" w:color="auto" w:sz="4" w:space="0"/>
            </w:tcBorders>
            <w:noWrap w:val="0"/>
            <w:vAlign w:val="center"/>
          </w:tcPr>
          <w:p w14:paraId="238590F2">
            <w:pPr>
              <w:spacing w:after="0"/>
              <w:jc w:val="center"/>
              <w:rPr>
                <w:rFonts w:hint="default" w:ascii="Arial" w:hAnsi="Arial" w:eastAsia="Times New Roman" w:cs="Arial"/>
                <w:b/>
                <w:bCs/>
                <w:color w:val="000000"/>
                <w:sz w:val="22"/>
                <w:szCs w:val="22"/>
                <w:lang w:eastAsia="pt-BR"/>
              </w:rPr>
            </w:pP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2455A495">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 xml:space="preserve">Correspondência: </w:t>
            </w:r>
            <w:r>
              <w:rPr>
                <w:rFonts w:hint="default" w:ascii="Arial" w:hAnsi="Arial" w:eastAsia="Times New Roman" w:cs="Arial"/>
                <w:color w:val="000000"/>
                <w:sz w:val="22"/>
                <w:szCs w:val="22"/>
                <w:lang w:eastAsia="pt-BR"/>
              </w:rPr>
              <w:t>sobre o valor do Item.</w:t>
            </w:r>
          </w:p>
        </w:tc>
        <w:tc>
          <w:tcPr>
            <w:tcW w:w="788" w:type="dxa"/>
            <w:vMerge w:val="continue"/>
            <w:tcBorders>
              <w:top w:val="single" w:color="auto" w:sz="4" w:space="0"/>
              <w:left w:val="single" w:color="auto" w:sz="4" w:space="0"/>
              <w:bottom w:val="single" w:color="auto" w:sz="4" w:space="0"/>
              <w:right w:val="single" w:color="auto" w:sz="4" w:space="0"/>
            </w:tcBorders>
            <w:noWrap w:val="0"/>
            <w:vAlign w:val="center"/>
          </w:tcPr>
          <w:p w14:paraId="2D014290">
            <w:pPr>
              <w:spacing w:after="0"/>
              <w:jc w:val="center"/>
              <w:rPr>
                <w:rFonts w:hint="default" w:ascii="Arial" w:hAnsi="Arial" w:eastAsia="Times New Roman" w:cs="Arial"/>
                <w:b/>
                <w:bCs/>
                <w:color w:val="000000"/>
                <w:sz w:val="22"/>
                <w:szCs w:val="22"/>
                <w:lang w:eastAsia="pt-BR"/>
              </w:rPr>
            </w:pPr>
          </w:p>
        </w:tc>
      </w:tr>
      <w:tr w14:paraId="7526B9FF">
        <w:tblPrEx>
          <w:tblCellMar>
            <w:top w:w="0" w:type="dxa"/>
            <w:left w:w="70" w:type="dxa"/>
            <w:bottom w:w="0" w:type="dxa"/>
            <w:right w:w="70" w:type="dxa"/>
          </w:tblCellMar>
        </w:tblPrEx>
        <w:trPr>
          <w:trHeight w:val="930" w:hRule="atLeast"/>
        </w:trPr>
        <w:tc>
          <w:tcPr>
            <w:tcW w:w="424" w:type="dxa"/>
            <w:vMerge w:val="restart"/>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359A96E8">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2</w:t>
            </w: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3B391CAC">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Descrição:</w:t>
            </w:r>
            <w:r>
              <w:rPr>
                <w:rFonts w:hint="default" w:ascii="Arial" w:hAnsi="Arial" w:eastAsia="Times New Roman" w:cs="Arial"/>
                <w:color w:val="000000"/>
                <w:sz w:val="22"/>
                <w:szCs w:val="22"/>
                <w:lang w:eastAsia="pt-BR"/>
              </w:rPr>
              <w:t xml:space="preserve"> Descumprimento do prazo de reunião inicial com a PREFEITURA afim de levantar as necessidades de projeto para subsidiar a elaboração do projeto executivo, conforme prazo estabelecido no item “</w:t>
            </w:r>
            <w:r>
              <w:rPr>
                <w:rFonts w:hint="default" w:ascii="Arial" w:hAnsi="Arial" w:eastAsia="Times New Roman" w:cs="Arial"/>
                <w:color w:val="000000"/>
                <w:sz w:val="22"/>
                <w:szCs w:val="22"/>
                <w:highlight w:val="none"/>
                <w:lang w:val="en-US" w:eastAsia="pt-BR"/>
              </w:rPr>
              <w:t>6</w:t>
            </w:r>
            <w:r>
              <w:rPr>
                <w:rFonts w:hint="default" w:ascii="Arial" w:hAnsi="Arial" w:eastAsia="Times New Roman" w:cs="Arial"/>
                <w:color w:val="000000"/>
                <w:sz w:val="22"/>
                <w:szCs w:val="22"/>
                <w:highlight w:val="none"/>
                <w:lang w:eastAsia="pt-BR"/>
              </w:rPr>
              <w:t>.3</w:t>
            </w:r>
            <w:r>
              <w:rPr>
                <w:rFonts w:hint="default" w:ascii="Arial" w:hAnsi="Arial" w:eastAsia="Times New Roman" w:cs="Arial"/>
                <w:color w:val="000000"/>
                <w:sz w:val="22"/>
                <w:szCs w:val="22"/>
                <w:lang w:eastAsia="pt-BR"/>
              </w:rPr>
              <w:t xml:space="preserve"> </w:t>
            </w:r>
            <w:r>
              <w:rPr>
                <w:rFonts w:hint="default" w:ascii="Arial" w:hAnsi="Arial" w:eastAsia="Times New Roman" w:cs="Arial"/>
                <w:color w:val="000000"/>
                <w:sz w:val="22"/>
                <w:szCs w:val="22"/>
                <w:lang w:val="en-US" w:eastAsia="pt-BR"/>
              </w:rPr>
              <w:t>até 6.3.11</w:t>
            </w:r>
            <w:r>
              <w:rPr>
                <w:rFonts w:hint="default" w:ascii="Arial" w:hAnsi="Arial" w:eastAsia="Times New Roman" w:cs="Arial"/>
                <w:color w:val="000000"/>
                <w:sz w:val="22"/>
                <w:szCs w:val="22"/>
                <w:lang w:eastAsia="pt-BR"/>
              </w:rPr>
              <w:t xml:space="preserve"> – Prazos e condições”.</w:t>
            </w:r>
          </w:p>
        </w:tc>
        <w:tc>
          <w:tcPr>
            <w:tcW w:w="788" w:type="dxa"/>
            <w:vMerge w:val="restart"/>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57B9E6D6">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2</w:t>
            </w:r>
          </w:p>
        </w:tc>
      </w:tr>
      <w:tr w14:paraId="7709D6EC">
        <w:tblPrEx>
          <w:tblCellMar>
            <w:top w:w="0" w:type="dxa"/>
            <w:left w:w="70" w:type="dxa"/>
            <w:bottom w:w="0" w:type="dxa"/>
            <w:right w:w="70" w:type="dxa"/>
          </w:tblCellMar>
        </w:tblPrEx>
        <w:trPr>
          <w:trHeight w:val="330" w:hRule="atLeast"/>
        </w:trPr>
        <w:tc>
          <w:tcPr>
            <w:tcW w:w="424" w:type="dxa"/>
            <w:vMerge w:val="continue"/>
            <w:tcBorders>
              <w:top w:val="single" w:color="auto" w:sz="4" w:space="0"/>
              <w:left w:val="single" w:color="auto" w:sz="4" w:space="0"/>
              <w:bottom w:val="single" w:color="auto" w:sz="4" w:space="0"/>
              <w:right w:val="single" w:color="auto" w:sz="4" w:space="0"/>
            </w:tcBorders>
            <w:noWrap w:val="0"/>
            <w:vAlign w:val="center"/>
          </w:tcPr>
          <w:p w14:paraId="3FE61831">
            <w:pPr>
              <w:spacing w:after="0"/>
              <w:jc w:val="both"/>
              <w:rPr>
                <w:rFonts w:hint="default" w:ascii="Arial" w:hAnsi="Arial" w:eastAsia="Times New Roman" w:cs="Arial"/>
                <w:b/>
                <w:bCs/>
                <w:color w:val="000000"/>
                <w:sz w:val="22"/>
                <w:szCs w:val="22"/>
                <w:lang w:eastAsia="pt-BR"/>
              </w:rPr>
            </w:pP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0E683648">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 xml:space="preserve">Unidade Temporal: </w:t>
            </w:r>
            <w:r>
              <w:rPr>
                <w:rFonts w:hint="default" w:ascii="Arial" w:hAnsi="Arial" w:eastAsia="Times New Roman" w:cs="Arial"/>
                <w:color w:val="000000"/>
                <w:sz w:val="22"/>
                <w:szCs w:val="22"/>
                <w:lang w:eastAsia="pt-BR"/>
              </w:rPr>
              <w:t>% do GRAU de INFRAÇÃO por dia de atraso, limitado a 1,25%.</w:t>
            </w:r>
          </w:p>
        </w:tc>
        <w:tc>
          <w:tcPr>
            <w:tcW w:w="788" w:type="dxa"/>
            <w:vMerge w:val="continue"/>
            <w:tcBorders>
              <w:top w:val="single" w:color="auto" w:sz="4" w:space="0"/>
              <w:left w:val="single" w:color="auto" w:sz="4" w:space="0"/>
              <w:bottom w:val="single" w:color="auto" w:sz="4" w:space="0"/>
              <w:right w:val="single" w:color="auto" w:sz="4" w:space="0"/>
            </w:tcBorders>
            <w:noWrap w:val="0"/>
            <w:vAlign w:val="center"/>
          </w:tcPr>
          <w:p w14:paraId="6CFAF901">
            <w:pPr>
              <w:spacing w:after="0"/>
              <w:jc w:val="center"/>
              <w:rPr>
                <w:rFonts w:hint="default" w:ascii="Arial" w:hAnsi="Arial" w:eastAsia="Times New Roman" w:cs="Arial"/>
                <w:b/>
                <w:bCs/>
                <w:color w:val="000000"/>
                <w:sz w:val="22"/>
                <w:szCs w:val="22"/>
                <w:lang w:eastAsia="pt-BR"/>
              </w:rPr>
            </w:pPr>
          </w:p>
        </w:tc>
      </w:tr>
      <w:tr w14:paraId="6E7C0E54">
        <w:tblPrEx>
          <w:tblCellMar>
            <w:top w:w="0" w:type="dxa"/>
            <w:left w:w="70" w:type="dxa"/>
            <w:bottom w:w="0" w:type="dxa"/>
            <w:right w:w="70" w:type="dxa"/>
          </w:tblCellMar>
        </w:tblPrEx>
        <w:trPr>
          <w:trHeight w:val="330" w:hRule="atLeast"/>
        </w:trPr>
        <w:tc>
          <w:tcPr>
            <w:tcW w:w="424" w:type="dxa"/>
            <w:vMerge w:val="continue"/>
            <w:tcBorders>
              <w:top w:val="single" w:color="auto" w:sz="4" w:space="0"/>
              <w:left w:val="single" w:color="auto" w:sz="4" w:space="0"/>
              <w:bottom w:val="single" w:color="auto" w:sz="4" w:space="0"/>
              <w:right w:val="single" w:color="auto" w:sz="4" w:space="0"/>
            </w:tcBorders>
            <w:noWrap w:val="0"/>
            <w:vAlign w:val="center"/>
          </w:tcPr>
          <w:p w14:paraId="0C5465EA">
            <w:pPr>
              <w:spacing w:after="0"/>
              <w:jc w:val="both"/>
              <w:rPr>
                <w:rFonts w:hint="default" w:ascii="Arial" w:hAnsi="Arial" w:eastAsia="Times New Roman" w:cs="Arial"/>
                <w:b/>
                <w:bCs/>
                <w:color w:val="000000"/>
                <w:sz w:val="22"/>
                <w:szCs w:val="22"/>
                <w:lang w:eastAsia="pt-BR"/>
              </w:rPr>
            </w:pP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026FE232">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 xml:space="preserve">Correspondência: </w:t>
            </w:r>
            <w:r>
              <w:rPr>
                <w:rFonts w:hint="default" w:ascii="Arial" w:hAnsi="Arial" w:eastAsia="Times New Roman" w:cs="Arial"/>
                <w:color w:val="000000"/>
                <w:sz w:val="22"/>
                <w:szCs w:val="22"/>
                <w:lang w:eastAsia="pt-BR"/>
              </w:rPr>
              <w:t>sobre o valor do Item.</w:t>
            </w:r>
          </w:p>
        </w:tc>
        <w:tc>
          <w:tcPr>
            <w:tcW w:w="788" w:type="dxa"/>
            <w:vMerge w:val="continue"/>
            <w:tcBorders>
              <w:top w:val="single" w:color="auto" w:sz="4" w:space="0"/>
              <w:left w:val="single" w:color="auto" w:sz="4" w:space="0"/>
              <w:bottom w:val="single" w:color="auto" w:sz="4" w:space="0"/>
              <w:right w:val="single" w:color="auto" w:sz="4" w:space="0"/>
            </w:tcBorders>
            <w:noWrap w:val="0"/>
            <w:vAlign w:val="center"/>
          </w:tcPr>
          <w:p w14:paraId="4D8A4557">
            <w:pPr>
              <w:spacing w:after="0"/>
              <w:jc w:val="center"/>
              <w:rPr>
                <w:rFonts w:hint="default" w:ascii="Arial" w:hAnsi="Arial" w:eastAsia="Times New Roman" w:cs="Arial"/>
                <w:b/>
                <w:bCs/>
                <w:color w:val="000000"/>
                <w:sz w:val="22"/>
                <w:szCs w:val="22"/>
                <w:lang w:eastAsia="pt-BR"/>
              </w:rPr>
            </w:pPr>
          </w:p>
        </w:tc>
      </w:tr>
      <w:tr w14:paraId="399A7943">
        <w:tblPrEx>
          <w:tblCellMar>
            <w:top w:w="0" w:type="dxa"/>
            <w:left w:w="70" w:type="dxa"/>
            <w:bottom w:w="0" w:type="dxa"/>
            <w:right w:w="70" w:type="dxa"/>
          </w:tblCellMar>
        </w:tblPrEx>
        <w:trPr>
          <w:trHeight w:val="630" w:hRule="atLeast"/>
        </w:trPr>
        <w:tc>
          <w:tcPr>
            <w:tcW w:w="424" w:type="dxa"/>
            <w:vMerge w:val="restart"/>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5A7713FE">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3</w:t>
            </w: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2CD4B76C">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Descrição:</w:t>
            </w:r>
            <w:r>
              <w:rPr>
                <w:rFonts w:hint="default" w:ascii="Arial" w:hAnsi="Arial" w:eastAsia="Times New Roman" w:cs="Arial"/>
                <w:color w:val="000000"/>
                <w:sz w:val="22"/>
                <w:szCs w:val="22"/>
                <w:lang w:eastAsia="pt-BR"/>
              </w:rPr>
              <w:t xml:space="preserve"> Descumprimento do prazo de entrega do projeto executivo, conforme prazo estabelecido no item “</w:t>
            </w:r>
            <w:r>
              <w:rPr>
                <w:rFonts w:hint="default" w:ascii="Arial" w:hAnsi="Arial" w:eastAsia="Times New Roman" w:cs="Arial"/>
                <w:color w:val="000000"/>
                <w:sz w:val="22"/>
                <w:szCs w:val="22"/>
                <w:highlight w:val="none"/>
                <w:lang w:val="en-US" w:eastAsia="pt-BR"/>
              </w:rPr>
              <w:t>6</w:t>
            </w:r>
            <w:r>
              <w:rPr>
                <w:rFonts w:hint="default" w:ascii="Arial" w:hAnsi="Arial" w:eastAsia="Times New Roman" w:cs="Arial"/>
                <w:color w:val="000000"/>
                <w:sz w:val="22"/>
                <w:szCs w:val="22"/>
                <w:highlight w:val="none"/>
                <w:lang w:eastAsia="pt-BR"/>
              </w:rPr>
              <w:t>.3</w:t>
            </w:r>
            <w:r>
              <w:rPr>
                <w:rFonts w:hint="default" w:ascii="Arial" w:hAnsi="Arial" w:eastAsia="Times New Roman" w:cs="Arial"/>
                <w:color w:val="000000"/>
                <w:sz w:val="22"/>
                <w:szCs w:val="22"/>
                <w:lang w:eastAsia="pt-BR"/>
              </w:rPr>
              <w:t xml:space="preserve"> </w:t>
            </w:r>
            <w:r>
              <w:rPr>
                <w:rFonts w:hint="default" w:ascii="Arial" w:hAnsi="Arial" w:eastAsia="Times New Roman" w:cs="Arial"/>
                <w:color w:val="000000"/>
                <w:sz w:val="22"/>
                <w:szCs w:val="22"/>
                <w:lang w:val="en-US" w:eastAsia="pt-BR"/>
              </w:rPr>
              <w:t>até 6.3.11</w:t>
            </w:r>
            <w:r>
              <w:rPr>
                <w:rFonts w:hint="default" w:ascii="Arial" w:hAnsi="Arial" w:eastAsia="Times New Roman" w:cs="Arial"/>
                <w:color w:val="000000"/>
                <w:sz w:val="22"/>
                <w:szCs w:val="22"/>
                <w:lang w:eastAsia="pt-BR"/>
              </w:rPr>
              <w:t xml:space="preserve"> – Prazos e condições”.</w:t>
            </w:r>
          </w:p>
        </w:tc>
        <w:tc>
          <w:tcPr>
            <w:tcW w:w="788" w:type="dxa"/>
            <w:vMerge w:val="restart"/>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3ABC5B88">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3</w:t>
            </w:r>
          </w:p>
        </w:tc>
      </w:tr>
      <w:tr w14:paraId="74959520">
        <w:tblPrEx>
          <w:tblCellMar>
            <w:top w:w="0" w:type="dxa"/>
            <w:left w:w="70" w:type="dxa"/>
            <w:bottom w:w="0" w:type="dxa"/>
            <w:right w:w="70" w:type="dxa"/>
          </w:tblCellMar>
        </w:tblPrEx>
        <w:trPr>
          <w:trHeight w:val="330" w:hRule="atLeast"/>
        </w:trPr>
        <w:tc>
          <w:tcPr>
            <w:tcW w:w="424" w:type="dxa"/>
            <w:vMerge w:val="continue"/>
            <w:tcBorders>
              <w:top w:val="single" w:color="auto" w:sz="4" w:space="0"/>
              <w:left w:val="single" w:color="auto" w:sz="4" w:space="0"/>
              <w:bottom w:val="single" w:color="auto" w:sz="4" w:space="0"/>
              <w:right w:val="single" w:color="auto" w:sz="4" w:space="0"/>
            </w:tcBorders>
            <w:noWrap w:val="0"/>
            <w:vAlign w:val="center"/>
          </w:tcPr>
          <w:p w14:paraId="6BF865B5">
            <w:pPr>
              <w:spacing w:after="0"/>
              <w:jc w:val="center"/>
              <w:rPr>
                <w:rFonts w:hint="default" w:ascii="Arial" w:hAnsi="Arial" w:eastAsia="Times New Roman" w:cs="Arial"/>
                <w:b/>
                <w:bCs/>
                <w:color w:val="000000"/>
                <w:sz w:val="22"/>
                <w:szCs w:val="22"/>
                <w:lang w:eastAsia="pt-BR"/>
              </w:rPr>
            </w:pP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67F1D01A">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 xml:space="preserve">Unidade Temporal: </w:t>
            </w:r>
            <w:r>
              <w:rPr>
                <w:rFonts w:hint="default" w:ascii="Arial" w:hAnsi="Arial" w:eastAsia="Times New Roman" w:cs="Arial"/>
                <w:color w:val="000000"/>
                <w:sz w:val="22"/>
                <w:szCs w:val="22"/>
                <w:lang w:eastAsia="pt-BR"/>
              </w:rPr>
              <w:t>% do GRAU de INFRAÇÃO por dia de atraso, limitado a 2,5%.</w:t>
            </w:r>
          </w:p>
        </w:tc>
        <w:tc>
          <w:tcPr>
            <w:tcW w:w="788" w:type="dxa"/>
            <w:vMerge w:val="continue"/>
            <w:tcBorders>
              <w:top w:val="single" w:color="auto" w:sz="4" w:space="0"/>
              <w:left w:val="single" w:color="auto" w:sz="4" w:space="0"/>
              <w:bottom w:val="single" w:color="auto" w:sz="4" w:space="0"/>
              <w:right w:val="single" w:color="auto" w:sz="4" w:space="0"/>
            </w:tcBorders>
            <w:noWrap w:val="0"/>
            <w:vAlign w:val="center"/>
          </w:tcPr>
          <w:p w14:paraId="33C0AB4C">
            <w:pPr>
              <w:spacing w:after="0"/>
              <w:jc w:val="both"/>
              <w:rPr>
                <w:rFonts w:hint="default" w:ascii="Arial" w:hAnsi="Arial" w:eastAsia="Times New Roman" w:cs="Arial"/>
                <w:b/>
                <w:bCs/>
                <w:color w:val="000000"/>
                <w:sz w:val="22"/>
                <w:szCs w:val="22"/>
                <w:lang w:eastAsia="pt-BR"/>
              </w:rPr>
            </w:pPr>
          </w:p>
        </w:tc>
      </w:tr>
      <w:tr w14:paraId="4AD5AC09">
        <w:tblPrEx>
          <w:tblCellMar>
            <w:top w:w="0" w:type="dxa"/>
            <w:left w:w="70" w:type="dxa"/>
            <w:bottom w:w="0" w:type="dxa"/>
            <w:right w:w="70" w:type="dxa"/>
          </w:tblCellMar>
        </w:tblPrEx>
        <w:trPr>
          <w:trHeight w:val="330" w:hRule="atLeast"/>
        </w:trPr>
        <w:tc>
          <w:tcPr>
            <w:tcW w:w="424" w:type="dxa"/>
            <w:vMerge w:val="continue"/>
            <w:tcBorders>
              <w:top w:val="single" w:color="auto" w:sz="4" w:space="0"/>
              <w:left w:val="single" w:color="auto" w:sz="4" w:space="0"/>
              <w:bottom w:val="single" w:color="auto" w:sz="4" w:space="0"/>
              <w:right w:val="single" w:color="auto" w:sz="4" w:space="0"/>
            </w:tcBorders>
            <w:noWrap w:val="0"/>
            <w:vAlign w:val="center"/>
          </w:tcPr>
          <w:p w14:paraId="5A171888">
            <w:pPr>
              <w:spacing w:after="0"/>
              <w:jc w:val="center"/>
              <w:rPr>
                <w:rFonts w:hint="default" w:ascii="Arial" w:hAnsi="Arial" w:eastAsia="Times New Roman" w:cs="Arial"/>
                <w:b/>
                <w:bCs/>
                <w:color w:val="000000"/>
                <w:sz w:val="22"/>
                <w:szCs w:val="22"/>
                <w:lang w:eastAsia="pt-BR"/>
              </w:rPr>
            </w:pP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0AE125B1">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 xml:space="preserve">Correspondência: </w:t>
            </w:r>
            <w:r>
              <w:rPr>
                <w:rFonts w:hint="default" w:ascii="Arial" w:hAnsi="Arial" w:eastAsia="Times New Roman" w:cs="Arial"/>
                <w:color w:val="000000"/>
                <w:sz w:val="22"/>
                <w:szCs w:val="22"/>
                <w:lang w:eastAsia="pt-BR"/>
              </w:rPr>
              <w:t>sobre o valor do Item.</w:t>
            </w:r>
          </w:p>
        </w:tc>
        <w:tc>
          <w:tcPr>
            <w:tcW w:w="788" w:type="dxa"/>
            <w:vMerge w:val="continue"/>
            <w:tcBorders>
              <w:top w:val="single" w:color="auto" w:sz="4" w:space="0"/>
              <w:left w:val="single" w:color="auto" w:sz="4" w:space="0"/>
              <w:bottom w:val="single" w:color="auto" w:sz="4" w:space="0"/>
              <w:right w:val="single" w:color="auto" w:sz="4" w:space="0"/>
            </w:tcBorders>
            <w:noWrap w:val="0"/>
            <w:vAlign w:val="center"/>
          </w:tcPr>
          <w:p w14:paraId="3012276E">
            <w:pPr>
              <w:spacing w:after="0"/>
              <w:jc w:val="both"/>
              <w:rPr>
                <w:rFonts w:hint="default" w:ascii="Arial" w:hAnsi="Arial" w:eastAsia="Times New Roman" w:cs="Arial"/>
                <w:b/>
                <w:bCs/>
                <w:color w:val="000000"/>
                <w:sz w:val="22"/>
                <w:szCs w:val="22"/>
                <w:lang w:eastAsia="pt-BR"/>
              </w:rPr>
            </w:pPr>
          </w:p>
        </w:tc>
      </w:tr>
      <w:tr w14:paraId="65342FFF">
        <w:tblPrEx>
          <w:tblCellMar>
            <w:top w:w="0" w:type="dxa"/>
            <w:left w:w="70" w:type="dxa"/>
            <w:bottom w:w="0" w:type="dxa"/>
            <w:right w:w="70" w:type="dxa"/>
          </w:tblCellMar>
        </w:tblPrEx>
        <w:trPr>
          <w:trHeight w:val="630" w:hRule="atLeast"/>
        </w:trPr>
        <w:tc>
          <w:tcPr>
            <w:tcW w:w="424" w:type="dxa"/>
            <w:vMerge w:val="restart"/>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5DCD54F2">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4</w:t>
            </w: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4C9A82BD">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Descrição:</w:t>
            </w:r>
            <w:r>
              <w:rPr>
                <w:rFonts w:hint="default" w:ascii="Arial" w:hAnsi="Arial" w:eastAsia="Times New Roman" w:cs="Arial"/>
                <w:color w:val="000000"/>
                <w:sz w:val="22"/>
                <w:szCs w:val="22"/>
                <w:lang w:eastAsia="pt-BR"/>
              </w:rPr>
              <w:t xml:space="preserve"> Descumprimento do prazo de entrega do documento final do tipo </w:t>
            </w:r>
            <w:r>
              <w:rPr>
                <w:rFonts w:hint="default" w:ascii="Arial" w:hAnsi="Arial" w:eastAsia="Times New Roman" w:cs="Arial"/>
                <w:i/>
                <w:iCs/>
                <w:color w:val="000000"/>
                <w:sz w:val="22"/>
                <w:szCs w:val="22"/>
                <w:lang w:eastAsia="pt-BR"/>
              </w:rPr>
              <w:t>as-built</w:t>
            </w:r>
            <w:r>
              <w:rPr>
                <w:rFonts w:hint="default" w:ascii="Arial" w:hAnsi="Arial" w:eastAsia="Times New Roman" w:cs="Arial"/>
                <w:color w:val="000000"/>
                <w:sz w:val="22"/>
                <w:szCs w:val="22"/>
                <w:lang w:eastAsia="pt-BR"/>
              </w:rPr>
              <w:t>, conforme prazo estabelecido no item “</w:t>
            </w:r>
            <w:r>
              <w:rPr>
                <w:rFonts w:hint="default" w:ascii="Arial" w:hAnsi="Arial" w:eastAsia="Times New Roman" w:cs="Arial"/>
                <w:color w:val="000000"/>
                <w:sz w:val="22"/>
                <w:szCs w:val="22"/>
                <w:highlight w:val="none"/>
                <w:lang w:val="en-US" w:eastAsia="pt-BR"/>
              </w:rPr>
              <w:t>6</w:t>
            </w:r>
            <w:r>
              <w:rPr>
                <w:rFonts w:hint="default" w:ascii="Arial" w:hAnsi="Arial" w:eastAsia="Times New Roman" w:cs="Arial"/>
                <w:color w:val="000000"/>
                <w:sz w:val="22"/>
                <w:szCs w:val="22"/>
                <w:highlight w:val="none"/>
                <w:lang w:eastAsia="pt-BR"/>
              </w:rPr>
              <w:t>.3</w:t>
            </w:r>
            <w:r>
              <w:rPr>
                <w:rFonts w:hint="default" w:ascii="Arial" w:hAnsi="Arial" w:eastAsia="Times New Roman" w:cs="Arial"/>
                <w:color w:val="000000"/>
                <w:sz w:val="22"/>
                <w:szCs w:val="22"/>
                <w:lang w:eastAsia="pt-BR"/>
              </w:rPr>
              <w:t xml:space="preserve"> </w:t>
            </w:r>
            <w:r>
              <w:rPr>
                <w:rFonts w:hint="default" w:ascii="Arial" w:hAnsi="Arial" w:eastAsia="Times New Roman" w:cs="Arial"/>
                <w:color w:val="000000"/>
                <w:sz w:val="22"/>
                <w:szCs w:val="22"/>
                <w:lang w:val="en-US" w:eastAsia="pt-BR"/>
              </w:rPr>
              <w:t xml:space="preserve">até 6.3.11 </w:t>
            </w:r>
            <w:r>
              <w:rPr>
                <w:rFonts w:hint="default" w:ascii="Arial" w:hAnsi="Arial" w:eastAsia="Times New Roman" w:cs="Arial"/>
                <w:color w:val="000000"/>
                <w:sz w:val="22"/>
                <w:szCs w:val="22"/>
                <w:lang w:eastAsia="pt-BR"/>
              </w:rPr>
              <w:t>– Prazos e condições”;</w:t>
            </w:r>
          </w:p>
        </w:tc>
        <w:tc>
          <w:tcPr>
            <w:tcW w:w="788" w:type="dxa"/>
            <w:vMerge w:val="restart"/>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3F39D15C">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3</w:t>
            </w:r>
          </w:p>
        </w:tc>
      </w:tr>
      <w:tr w14:paraId="069EB57C">
        <w:tblPrEx>
          <w:tblCellMar>
            <w:top w:w="0" w:type="dxa"/>
            <w:left w:w="70" w:type="dxa"/>
            <w:bottom w:w="0" w:type="dxa"/>
            <w:right w:w="70" w:type="dxa"/>
          </w:tblCellMar>
        </w:tblPrEx>
        <w:trPr>
          <w:trHeight w:val="330" w:hRule="atLeast"/>
        </w:trPr>
        <w:tc>
          <w:tcPr>
            <w:tcW w:w="424" w:type="dxa"/>
            <w:vMerge w:val="continue"/>
            <w:tcBorders>
              <w:top w:val="single" w:color="auto" w:sz="4" w:space="0"/>
              <w:left w:val="single" w:color="auto" w:sz="4" w:space="0"/>
              <w:bottom w:val="single" w:color="auto" w:sz="4" w:space="0"/>
              <w:right w:val="single" w:color="auto" w:sz="4" w:space="0"/>
            </w:tcBorders>
            <w:noWrap w:val="0"/>
            <w:vAlign w:val="center"/>
          </w:tcPr>
          <w:p w14:paraId="6A619EF2">
            <w:pPr>
              <w:spacing w:after="0"/>
              <w:jc w:val="center"/>
              <w:rPr>
                <w:rFonts w:hint="default" w:ascii="Arial" w:hAnsi="Arial" w:eastAsia="Times New Roman" w:cs="Arial"/>
                <w:b/>
                <w:bCs/>
                <w:color w:val="000000"/>
                <w:sz w:val="22"/>
                <w:szCs w:val="22"/>
                <w:lang w:eastAsia="pt-BR"/>
              </w:rPr>
            </w:pP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77A35F9B">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 xml:space="preserve">Unidade Temporal: </w:t>
            </w:r>
            <w:r>
              <w:rPr>
                <w:rFonts w:hint="default" w:ascii="Arial" w:hAnsi="Arial" w:eastAsia="Times New Roman" w:cs="Arial"/>
                <w:color w:val="000000"/>
                <w:sz w:val="22"/>
                <w:szCs w:val="22"/>
                <w:lang w:eastAsia="pt-BR"/>
              </w:rPr>
              <w:t>% do GRAU de INFRAÇÃO por dia de atraso, limitado a 2,5%.</w:t>
            </w:r>
          </w:p>
        </w:tc>
        <w:tc>
          <w:tcPr>
            <w:tcW w:w="788" w:type="dxa"/>
            <w:vMerge w:val="continue"/>
            <w:tcBorders>
              <w:top w:val="single" w:color="auto" w:sz="4" w:space="0"/>
              <w:left w:val="single" w:color="auto" w:sz="4" w:space="0"/>
              <w:bottom w:val="single" w:color="auto" w:sz="4" w:space="0"/>
              <w:right w:val="single" w:color="auto" w:sz="4" w:space="0"/>
            </w:tcBorders>
            <w:noWrap w:val="0"/>
            <w:vAlign w:val="center"/>
          </w:tcPr>
          <w:p w14:paraId="2B8B97F6">
            <w:pPr>
              <w:spacing w:after="0"/>
              <w:jc w:val="center"/>
              <w:rPr>
                <w:rFonts w:hint="default" w:ascii="Arial" w:hAnsi="Arial" w:eastAsia="Times New Roman" w:cs="Arial"/>
                <w:b/>
                <w:bCs/>
                <w:color w:val="000000"/>
                <w:sz w:val="22"/>
                <w:szCs w:val="22"/>
                <w:lang w:eastAsia="pt-BR"/>
              </w:rPr>
            </w:pPr>
          </w:p>
        </w:tc>
      </w:tr>
      <w:tr w14:paraId="7C89A09F">
        <w:tblPrEx>
          <w:tblCellMar>
            <w:top w:w="0" w:type="dxa"/>
            <w:left w:w="70" w:type="dxa"/>
            <w:bottom w:w="0" w:type="dxa"/>
            <w:right w:w="70" w:type="dxa"/>
          </w:tblCellMar>
        </w:tblPrEx>
        <w:trPr>
          <w:trHeight w:val="330" w:hRule="atLeast"/>
        </w:trPr>
        <w:tc>
          <w:tcPr>
            <w:tcW w:w="424" w:type="dxa"/>
            <w:vMerge w:val="continue"/>
            <w:tcBorders>
              <w:top w:val="single" w:color="auto" w:sz="4" w:space="0"/>
              <w:left w:val="single" w:color="auto" w:sz="4" w:space="0"/>
              <w:bottom w:val="single" w:color="auto" w:sz="4" w:space="0"/>
              <w:right w:val="single" w:color="auto" w:sz="4" w:space="0"/>
            </w:tcBorders>
            <w:noWrap w:val="0"/>
            <w:vAlign w:val="center"/>
          </w:tcPr>
          <w:p w14:paraId="4B822A1C">
            <w:pPr>
              <w:spacing w:after="0"/>
              <w:jc w:val="center"/>
              <w:rPr>
                <w:rFonts w:hint="default" w:ascii="Arial" w:hAnsi="Arial" w:eastAsia="Times New Roman" w:cs="Arial"/>
                <w:b/>
                <w:bCs/>
                <w:color w:val="000000"/>
                <w:sz w:val="22"/>
                <w:szCs w:val="22"/>
                <w:lang w:eastAsia="pt-BR"/>
              </w:rPr>
            </w:pP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1C9E8D22">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 xml:space="preserve">Correspondência: </w:t>
            </w:r>
            <w:r>
              <w:rPr>
                <w:rFonts w:hint="default" w:ascii="Arial" w:hAnsi="Arial" w:eastAsia="Times New Roman" w:cs="Arial"/>
                <w:color w:val="000000"/>
                <w:sz w:val="22"/>
                <w:szCs w:val="22"/>
                <w:lang w:eastAsia="pt-BR"/>
              </w:rPr>
              <w:t>sobre o valor do Item.</w:t>
            </w:r>
          </w:p>
        </w:tc>
        <w:tc>
          <w:tcPr>
            <w:tcW w:w="788" w:type="dxa"/>
            <w:vMerge w:val="continue"/>
            <w:tcBorders>
              <w:top w:val="single" w:color="auto" w:sz="4" w:space="0"/>
              <w:left w:val="single" w:color="auto" w:sz="4" w:space="0"/>
              <w:bottom w:val="single" w:color="auto" w:sz="4" w:space="0"/>
              <w:right w:val="single" w:color="auto" w:sz="4" w:space="0"/>
            </w:tcBorders>
            <w:noWrap w:val="0"/>
            <w:vAlign w:val="center"/>
          </w:tcPr>
          <w:p w14:paraId="63D4F836">
            <w:pPr>
              <w:spacing w:after="0"/>
              <w:jc w:val="center"/>
              <w:rPr>
                <w:rFonts w:hint="default" w:ascii="Arial" w:hAnsi="Arial" w:eastAsia="Times New Roman" w:cs="Arial"/>
                <w:b/>
                <w:bCs/>
                <w:color w:val="000000"/>
                <w:sz w:val="22"/>
                <w:szCs w:val="22"/>
                <w:lang w:eastAsia="pt-BR"/>
              </w:rPr>
            </w:pPr>
          </w:p>
        </w:tc>
      </w:tr>
      <w:tr w14:paraId="02F6573C">
        <w:tblPrEx>
          <w:tblCellMar>
            <w:top w:w="0" w:type="dxa"/>
            <w:left w:w="70" w:type="dxa"/>
            <w:bottom w:w="0" w:type="dxa"/>
            <w:right w:w="70" w:type="dxa"/>
          </w:tblCellMar>
        </w:tblPrEx>
        <w:trPr>
          <w:trHeight w:val="930" w:hRule="atLeast"/>
        </w:trPr>
        <w:tc>
          <w:tcPr>
            <w:tcW w:w="424" w:type="dxa"/>
            <w:vMerge w:val="restart"/>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487D928A">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5</w:t>
            </w: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58546B97">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Descrição:</w:t>
            </w:r>
            <w:r>
              <w:rPr>
                <w:rFonts w:hint="default" w:ascii="Arial" w:hAnsi="Arial" w:eastAsia="Times New Roman" w:cs="Arial"/>
                <w:color w:val="000000"/>
                <w:sz w:val="22"/>
                <w:szCs w:val="22"/>
                <w:lang w:eastAsia="pt-BR"/>
              </w:rPr>
              <w:t xml:space="preserve"> Descumprimento do prazo de entrega dos documentos (atas, projeto executivo, </w:t>
            </w:r>
            <w:r>
              <w:rPr>
                <w:rFonts w:hint="default" w:ascii="Arial" w:hAnsi="Arial" w:eastAsia="Times New Roman" w:cs="Arial"/>
                <w:i/>
                <w:iCs/>
                <w:color w:val="000000"/>
                <w:sz w:val="22"/>
                <w:szCs w:val="22"/>
                <w:lang w:eastAsia="pt-BR"/>
              </w:rPr>
              <w:t>as-built</w:t>
            </w:r>
            <w:r>
              <w:rPr>
                <w:rFonts w:hint="default" w:ascii="Arial" w:hAnsi="Arial" w:eastAsia="Times New Roman" w:cs="Arial"/>
                <w:color w:val="000000"/>
                <w:sz w:val="22"/>
                <w:szCs w:val="22"/>
                <w:lang w:eastAsia="pt-BR"/>
              </w:rPr>
              <w:t xml:space="preserve"> etc.) com a qualidade, justificadamente, inaceitável pela equipe técnica da PREFEITURA.</w:t>
            </w:r>
          </w:p>
        </w:tc>
        <w:tc>
          <w:tcPr>
            <w:tcW w:w="788" w:type="dxa"/>
            <w:vMerge w:val="restart"/>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73E1CE5E">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1</w:t>
            </w:r>
          </w:p>
        </w:tc>
      </w:tr>
      <w:tr w14:paraId="2981AAA5">
        <w:tblPrEx>
          <w:tblCellMar>
            <w:top w:w="0" w:type="dxa"/>
            <w:left w:w="70" w:type="dxa"/>
            <w:bottom w:w="0" w:type="dxa"/>
            <w:right w:w="70" w:type="dxa"/>
          </w:tblCellMar>
        </w:tblPrEx>
        <w:trPr>
          <w:trHeight w:val="630" w:hRule="atLeast"/>
        </w:trPr>
        <w:tc>
          <w:tcPr>
            <w:tcW w:w="424" w:type="dxa"/>
            <w:vMerge w:val="continue"/>
            <w:tcBorders>
              <w:top w:val="single" w:color="auto" w:sz="4" w:space="0"/>
              <w:left w:val="single" w:color="auto" w:sz="4" w:space="0"/>
              <w:bottom w:val="single" w:color="auto" w:sz="4" w:space="0"/>
              <w:right w:val="single" w:color="auto" w:sz="4" w:space="0"/>
            </w:tcBorders>
            <w:noWrap w:val="0"/>
            <w:vAlign w:val="center"/>
          </w:tcPr>
          <w:p w14:paraId="53E667F9">
            <w:pPr>
              <w:spacing w:after="0"/>
              <w:jc w:val="center"/>
              <w:rPr>
                <w:rFonts w:hint="default" w:ascii="Arial" w:hAnsi="Arial" w:eastAsia="Times New Roman" w:cs="Arial"/>
                <w:b/>
                <w:bCs/>
                <w:color w:val="000000"/>
                <w:sz w:val="22"/>
                <w:szCs w:val="22"/>
                <w:lang w:eastAsia="pt-BR"/>
              </w:rPr>
            </w:pP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46708A3B">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Unidade Temporal:</w:t>
            </w:r>
            <w:r>
              <w:rPr>
                <w:rFonts w:hint="default" w:ascii="Arial" w:hAnsi="Arial" w:eastAsia="Times New Roman" w:cs="Arial"/>
                <w:color w:val="000000"/>
                <w:sz w:val="22"/>
                <w:szCs w:val="22"/>
                <w:lang w:eastAsia="pt-BR"/>
              </w:rPr>
              <w:t xml:space="preserve"> % do GRAU de INFRAÇÃO por dia de retrabalho da CONTRATADA, limitado a 1,25%.</w:t>
            </w:r>
          </w:p>
        </w:tc>
        <w:tc>
          <w:tcPr>
            <w:tcW w:w="788" w:type="dxa"/>
            <w:vMerge w:val="continue"/>
            <w:tcBorders>
              <w:top w:val="single" w:color="auto" w:sz="4" w:space="0"/>
              <w:left w:val="single" w:color="auto" w:sz="4" w:space="0"/>
              <w:bottom w:val="single" w:color="auto" w:sz="4" w:space="0"/>
              <w:right w:val="single" w:color="auto" w:sz="4" w:space="0"/>
            </w:tcBorders>
            <w:noWrap w:val="0"/>
            <w:vAlign w:val="center"/>
          </w:tcPr>
          <w:p w14:paraId="66498FFA">
            <w:pPr>
              <w:spacing w:after="0"/>
              <w:jc w:val="center"/>
              <w:rPr>
                <w:rFonts w:hint="default" w:ascii="Arial" w:hAnsi="Arial" w:eastAsia="Times New Roman" w:cs="Arial"/>
                <w:b/>
                <w:bCs/>
                <w:color w:val="000000"/>
                <w:sz w:val="22"/>
                <w:szCs w:val="22"/>
                <w:lang w:eastAsia="pt-BR"/>
              </w:rPr>
            </w:pPr>
          </w:p>
        </w:tc>
      </w:tr>
      <w:tr w14:paraId="5EF00DB9">
        <w:tblPrEx>
          <w:tblCellMar>
            <w:top w:w="0" w:type="dxa"/>
            <w:left w:w="70" w:type="dxa"/>
            <w:bottom w:w="0" w:type="dxa"/>
            <w:right w:w="70" w:type="dxa"/>
          </w:tblCellMar>
        </w:tblPrEx>
        <w:trPr>
          <w:trHeight w:val="330" w:hRule="atLeast"/>
        </w:trPr>
        <w:tc>
          <w:tcPr>
            <w:tcW w:w="424" w:type="dxa"/>
            <w:vMerge w:val="continue"/>
            <w:tcBorders>
              <w:top w:val="single" w:color="auto" w:sz="4" w:space="0"/>
              <w:left w:val="single" w:color="auto" w:sz="4" w:space="0"/>
              <w:bottom w:val="single" w:color="auto" w:sz="4" w:space="0"/>
              <w:right w:val="single" w:color="auto" w:sz="4" w:space="0"/>
            </w:tcBorders>
            <w:noWrap w:val="0"/>
            <w:vAlign w:val="center"/>
          </w:tcPr>
          <w:p w14:paraId="0C70A6C6">
            <w:pPr>
              <w:spacing w:after="0"/>
              <w:jc w:val="center"/>
              <w:rPr>
                <w:rFonts w:hint="default" w:ascii="Arial" w:hAnsi="Arial" w:eastAsia="Times New Roman" w:cs="Arial"/>
                <w:b/>
                <w:bCs/>
                <w:color w:val="000000"/>
                <w:sz w:val="22"/>
                <w:szCs w:val="22"/>
                <w:lang w:eastAsia="pt-BR"/>
              </w:rPr>
            </w:pP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5CF4D3C5">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Correspondência:</w:t>
            </w:r>
            <w:r>
              <w:rPr>
                <w:rFonts w:hint="default" w:ascii="Arial" w:hAnsi="Arial" w:eastAsia="Times New Roman" w:cs="Arial"/>
                <w:color w:val="000000"/>
                <w:sz w:val="22"/>
                <w:szCs w:val="22"/>
                <w:lang w:eastAsia="pt-BR"/>
              </w:rPr>
              <w:t xml:space="preserve"> sobre o valor do Item.</w:t>
            </w:r>
          </w:p>
        </w:tc>
        <w:tc>
          <w:tcPr>
            <w:tcW w:w="788" w:type="dxa"/>
            <w:vMerge w:val="continue"/>
            <w:tcBorders>
              <w:top w:val="single" w:color="auto" w:sz="4" w:space="0"/>
              <w:left w:val="single" w:color="auto" w:sz="4" w:space="0"/>
              <w:bottom w:val="single" w:color="auto" w:sz="4" w:space="0"/>
              <w:right w:val="single" w:color="auto" w:sz="4" w:space="0"/>
            </w:tcBorders>
            <w:noWrap w:val="0"/>
            <w:vAlign w:val="center"/>
          </w:tcPr>
          <w:p w14:paraId="6CC2B7D3">
            <w:pPr>
              <w:spacing w:after="0"/>
              <w:jc w:val="center"/>
              <w:rPr>
                <w:rFonts w:hint="default" w:ascii="Arial" w:hAnsi="Arial" w:eastAsia="Times New Roman" w:cs="Arial"/>
                <w:b/>
                <w:bCs/>
                <w:color w:val="000000"/>
                <w:sz w:val="22"/>
                <w:szCs w:val="22"/>
                <w:lang w:eastAsia="pt-BR"/>
              </w:rPr>
            </w:pPr>
          </w:p>
        </w:tc>
      </w:tr>
      <w:tr w14:paraId="161171DC">
        <w:tblPrEx>
          <w:tblCellMar>
            <w:top w:w="0" w:type="dxa"/>
            <w:left w:w="70" w:type="dxa"/>
            <w:bottom w:w="0" w:type="dxa"/>
            <w:right w:w="70" w:type="dxa"/>
          </w:tblCellMar>
        </w:tblPrEx>
        <w:trPr>
          <w:trHeight w:val="630" w:hRule="atLeast"/>
        </w:trPr>
        <w:tc>
          <w:tcPr>
            <w:tcW w:w="424" w:type="dxa"/>
            <w:vMerge w:val="restart"/>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5E9387B1">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6</w:t>
            </w: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75C8B8CF">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 xml:space="preserve">Descrição: </w:t>
            </w:r>
            <w:r>
              <w:rPr>
                <w:rFonts w:hint="default" w:ascii="Arial" w:hAnsi="Arial" w:eastAsia="Times New Roman" w:cs="Arial"/>
                <w:color w:val="000000"/>
                <w:sz w:val="22"/>
                <w:szCs w:val="22"/>
                <w:lang w:eastAsia="pt-BR"/>
              </w:rPr>
              <w:t>Descumprimento do prazo de atendimento de suporte técnico, conforme estabelecido no ite</w:t>
            </w:r>
            <w:r>
              <w:rPr>
                <w:rFonts w:hint="default" w:ascii="Arial" w:hAnsi="Arial" w:eastAsia="Times New Roman" w:cs="Arial"/>
                <w:color w:val="000000"/>
                <w:sz w:val="22"/>
                <w:szCs w:val="22"/>
                <w:lang w:val="en-US" w:eastAsia="pt-BR"/>
              </w:rPr>
              <w:t>m 6.6.3</w:t>
            </w:r>
            <w:r>
              <w:rPr>
                <w:rFonts w:hint="default" w:ascii="Arial" w:hAnsi="Arial" w:eastAsia="Times New Roman" w:cs="Arial"/>
                <w:color w:val="000000"/>
                <w:sz w:val="22"/>
                <w:szCs w:val="22"/>
                <w:lang w:eastAsia="pt-BR"/>
              </w:rPr>
              <w:t xml:space="preserve"> na resolução do problema.</w:t>
            </w:r>
          </w:p>
        </w:tc>
        <w:tc>
          <w:tcPr>
            <w:tcW w:w="788" w:type="dxa"/>
            <w:vMerge w:val="restart"/>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20B47E7B">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1</w:t>
            </w:r>
          </w:p>
        </w:tc>
      </w:tr>
      <w:tr w14:paraId="08EE452B">
        <w:tblPrEx>
          <w:tblCellMar>
            <w:top w:w="0" w:type="dxa"/>
            <w:left w:w="70" w:type="dxa"/>
            <w:bottom w:w="0" w:type="dxa"/>
            <w:right w:w="70" w:type="dxa"/>
          </w:tblCellMar>
        </w:tblPrEx>
        <w:trPr>
          <w:trHeight w:val="330" w:hRule="atLeast"/>
        </w:trPr>
        <w:tc>
          <w:tcPr>
            <w:tcW w:w="424" w:type="dxa"/>
            <w:vMerge w:val="continue"/>
            <w:tcBorders>
              <w:top w:val="single" w:color="auto" w:sz="4" w:space="0"/>
              <w:left w:val="single" w:color="auto" w:sz="4" w:space="0"/>
              <w:bottom w:val="single" w:color="auto" w:sz="4" w:space="0"/>
              <w:right w:val="single" w:color="auto" w:sz="4" w:space="0"/>
            </w:tcBorders>
            <w:noWrap w:val="0"/>
            <w:vAlign w:val="center"/>
          </w:tcPr>
          <w:p w14:paraId="22B43271">
            <w:pPr>
              <w:spacing w:after="0"/>
              <w:jc w:val="both"/>
              <w:rPr>
                <w:rFonts w:hint="default" w:ascii="Arial" w:hAnsi="Arial" w:eastAsia="Times New Roman" w:cs="Arial"/>
                <w:b/>
                <w:bCs/>
                <w:color w:val="000000"/>
                <w:sz w:val="22"/>
                <w:szCs w:val="22"/>
                <w:lang w:eastAsia="pt-BR"/>
              </w:rPr>
            </w:pP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74965439">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Unidade Temporal:</w:t>
            </w:r>
            <w:r>
              <w:rPr>
                <w:rFonts w:hint="default" w:ascii="Arial" w:hAnsi="Arial" w:eastAsia="Times New Roman" w:cs="Arial"/>
                <w:color w:val="000000"/>
                <w:sz w:val="22"/>
                <w:szCs w:val="22"/>
                <w:lang w:eastAsia="pt-BR"/>
              </w:rPr>
              <w:t xml:space="preserve"> % do GRAU de INFRAÇÃO por hora de atraso, limitado a 1%.</w:t>
            </w:r>
          </w:p>
        </w:tc>
        <w:tc>
          <w:tcPr>
            <w:tcW w:w="788" w:type="dxa"/>
            <w:vMerge w:val="continue"/>
            <w:tcBorders>
              <w:top w:val="single" w:color="auto" w:sz="4" w:space="0"/>
              <w:left w:val="single" w:color="auto" w:sz="4" w:space="0"/>
              <w:bottom w:val="single" w:color="auto" w:sz="4" w:space="0"/>
              <w:right w:val="single" w:color="auto" w:sz="4" w:space="0"/>
            </w:tcBorders>
            <w:noWrap w:val="0"/>
            <w:vAlign w:val="center"/>
          </w:tcPr>
          <w:p w14:paraId="37CFD680">
            <w:pPr>
              <w:spacing w:after="0"/>
              <w:jc w:val="both"/>
              <w:rPr>
                <w:rFonts w:hint="default" w:ascii="Arial" w:hAnsi="Arial" w:eastAsia="Times New Roman" w:cs="Arial"/>
                <w:b/>
                <w:bCs/>
                <w:color w:val="000000"/>
                <w:sz w:val="22"/>
                <w:szCs w:val="22"/>
                <w:lang w:eastAsia="pt-BR"/>
              </w:rPr>
            </w:pPr>
          </w:p>
        </w:tc>
      </w:tr>
      <w:tr w14:paraId="35E575B8">
        <w:tblPrEx>
          <w:tblCellMar>
            <w:top w:w="0" w:type="dxa"/>
            <w:left w:w="70" w:type="dxa"/>
            <w:bottom w:w="0" w:type="dxa"/>
            <w:right w:w="70" w:type="dxa"/>
          </w:tblCellMar>
        </w:tblPrEx>
        <w:trPr>
          <w:trHeight w:val="330" w:hRule="atLeast"/>
        </w:trPr>
        <w:tc>
          <w:tcPr>
            <w:tcW w:w="424" w:type="dxa"/>
            <w:vMerge w:val="continue"/>
            <w:tcBorders>
              <w:top w:val="single" w:color="auto" w:sz="4" w:space="0"/>
              <w:left w:val="single" w:color="auto" w:sz="4" w:space="0"/>
              <w:bottom w:val="single" w:color="auto" w:sz="4" w:space="0"/>
              <w:right w:val="single" w:color="auto" w:sz="4" w:space="0"/>
            </w:tcBorders>
            <w:noWrap w:val="0"/>
            <w:vAlign w:val="center"/>
          </w:tcPr>
          <w:p w14:paraId="1A8C8051">
            <w:pPr>
              <w:spacing w:after="0"/>
              <w:jc w:val="both"/>
              <w:rPr>
                <w:rFonts w:hint="default" w:ascii="Arial" w:hAnsi="Arial" w:eastAsia="Times New Roman" w:cs="Arial"/>
                <w:b/>
                <w:bCs/>
                <w:color w:val="000000"/>
                <w:sz w:val="22"/>
                <w:szCs w:val="22"/>
                <w:lang w:eastAsia="pt-BR"/>
              </w:rPr>
            </w:pP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5F001EDD">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Correspondência:</w:t>
            </w:r>
            <w:r>
              <w:rPr>
                <w:rFonts w:hint="default" w:ascii="Arial" w:hAnsi="Arial" w:eastAsia="Times New Roman" w:cs="Arial"/>
                <w:color w:val="000000"/>
                <w:sz w:val="22"/>
                <w:szCs w:val="22"/>
                <w:lang w:eastAsia="pt-BR"/>
              </w:rPr>
              <w:t xml:space="preserve"> sobre o valor do serviço.</w:t>
            </w:r>
          </w:p>
        </w:tc>
        <w:tc>
          <w:tcPr>
            <w:tcW w:w="788" w:type="dxa"/>
            <w:vMerge w:val="continue"/>
            <w:tcBorders>
              <w:top w:val="single" w:color="auto" w:sz="4" w:space="0"/>
              <w:left w:val="single" w:color="auto" w:sz="4" w:space="0"/>
              <w:bottom w:val="single" w:color="auto" w:sz="4" w:space="0"/>
              <w:right w:val="single" w:color="auto" w:sz="4" w:space="0"/>
            </w:tcBorders>
            <w:noWrap w:val="0"/>
            <w:vAlign w:val="center"/>
          </w:tcPr>
          <w:p w14:paraId="068484A0">
            <w:pPr>
              <w:spacing w:after="0"/>
              <w:jc w:val="both"/>
              <w:rPr>
                <w:rFonts w:hint="default" w:ascii="Arial" w:hAnsi="Arial" w:eastAsia="Times New Roman" w:cs="Arial"/>
                <w:b/>
                <w:bCs/>
                <w:color w:val="000000"/>
                <w:sz w:val="22"/>
                <w:szCs w:val="22"/>
                <w:lang w:eastAsia="pt-BR"/>
              </w:rPr>
            </w:pPr>
          </w:p>
        </w:tc>
      </w:tr>
    </w:tbl>
    <w:p w14:paraId="4CAAE7D5">
      <w:pPr>
        <w:pStyle w:val="134"/>
        <w:numPr>
          <w:ilvl w:val="0"/>
          <w:numId w:val="0"/>
        </w:numPr>
        <w:spacing w:line="360" w:lineRule="auto"/>
        <w:ind w:leftChars="0"/>
        <w:rPr>
          <w:rFonts w:hint="default" w:eastAsia="Arial" w:cs="Arial"/>
          <w:color w:val="auto"/>
          <w:sz w:val="22"/>
          <w:szCs w:val="22"/>
          <w:highlight w:val="yellow"/>
          <w:lang w:val="pt-BR"/>
        </w:rPr>
      </w:pPr>
    </w:p>
    <w:p w14:paraId="321A4AD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rPr>
        <w:t>Entende-se por dia de retrabalho, aqueles dias em que o documento ou atividade desaprovada pela CONTRATANTE ficou em re-execução pela CONTRATADA até a aprovação pela comissão gestora do contrato, diante da qualidade dos trabalhos.</w:t>
      </w:r>
    </w:p>
    <w:p w14:paraId="3098AFC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17.4.2.</w:t>
      </w:r>
      <w:r>
        <w:rPr>
          <w:rFonts w:hint="default" w:ascii="Arial" w:hAnsi="Arial" w:cs="Arial"/>
          <w:sz w:val="22"/>
          <w:szCs w:val="22"/>
          <w:lang w:val="pt-BR"/>
        </w:rPr>
        <w:t xml:space="preserve"> </w:t>
      </w:r>
      <w:r>
        <w:rPr>
          <w:rFonts w:hint="default" w:ascii="Arial" w:hAnsi="Arial" w:cs="Arial"/>
          <w:sz w:val="22"/>
          <w:szCs w:val="22"/>
        </w:rPr>
        <w:t>Para fins de comprovação de tempo para aplicação das multas referente às infrações do item anterior, considera-se como 1 (uma) hora inteira a fração igual ou superior 30 minutos;</w:t>
      </w:r>
    </w:p>
    <w:p w14:paraId="72CDEE2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17.4.3. </w:t>
      </w:r>
      <w:r>
        <w:rPr>
          <w:rFonts w:hint="default" w:ascii="Arial" w:hAnsi="Arial" w:cs="Arial"/>
          <w:sz w:val="22"/>
          <w:szCs w:val="22"/>
        </w:rPr>
        <w:t xml:space="preserve">Caso a CONTRATADA não cumpra integralmente as obrigações assumidas, garantida a prévia defesa, fica sujeita as sanções previstas no Decreto nº </w:t>
      </w:r>
      <w:r>
        <w:rPr>
          <w:rFonts w:hint="default" w:ascii="Arial" w:hAnsi="Arial" w:cs="Arial"/>
          <w:sz w:val="22"/>
          <w:szCs w:val="22"/>
          <w:lang w:val="pt-BR"/>
        </w:rPr>
        <w:t xml:space="preserve">360/2023 e </w:t>
      </w:r>
      <w:r>
        <w:rPr>
          <w:rFonts w:hint="default" w:ascii="Arial" w:hAnsi="Arial" w:cs="Arial"/>
          <w:b w:val="0"/>
          <w:bCs/>
          <w:sz w:val="22"/>
          <w:szCs w:val="22"/>
          <w:highlight w:val="none"/>
          <w:lang w:val="pt-BR"/>
        </w:rPr>
        <w:t>descritas nos Art. 155 a 163 da Lei 14.133/2021</w:t>
      </w:r>
      <w:r>
        <w:rPr>
          <w:rFonts w:hint="default" w:ascii="Arial" w:hAnsi="Arial" w:cs="Arial"/>
          <w:sz w:val="22"/>
          <w:szCs w:val="22"/>
        </w:rPr>
        <w:t>.</w:t>
      </w:r>
    </w:p>
    <w:p w14:paraId="526AF84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lang w:val="pt-BR"/>
        </w:rPr>
      </w:pPr>
      <w:r>
        <w:rPr>
          <w:rFonts w:hint="default" w:ascii="Arial" w:hAnsi="Arial" w:cs="Arial"/>
          <w:b/>
          <w:bCs/>
          <w:sz w:val="22"/>
          <w:szCs w:val="22"/>
          <w:lang w:val="pt-BR"/>
        </w:rPr>
        <w:t>17.4.4.</w:t>
      </w:r>
      <w:r>
        <w:rPr>
          <w:rFonts w:hint="default" w:ascii="Arial" w:hAnsi="Arial" w:cs="Arial"/>
          <w:sz w:val="22"/>
          <w:szCs w:val="22"/>
          <w:lang w:val="pt-BR"/>
        </w:rPr>
        <w:t xml:space="preserve"> </w:t>
      </w:r>
      <w:r>
        <w:rPr>
          <w:rFonts w:hint="default" w:ascii="Arial" w:hAnsi="Arial" w:cs="Arial"/>
          <w:sz w:val="22"/>
          <w:szCs w:val="22"/>
        </w:rPr>
        <w:t>Advertência por escrito quando do descumprimento de qualquer um dos r</w:t>
      </w:r>
      <w:r>
        <w:rPr>
          <w:rFonts w:hint="default" w:ascii="Arial" w:hAnsi="Arial" w:cs="Arial"/>
          <w:sz w:val="22"/>
          <w:szCs w:val="22"/>
          <w:highlight w:val="none"/>
        </w:rPr>
        <w:t>equisitos constantes deste termo de referência;</w:t>
      </w:r>
    </w:p>
    <w:p w14:paraId="33FE462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3"/>
          <w:rFonts w:hint="default" w:ascii="Arial" w:hAnsi="Arial" w:eastAsia="Calibri" w:cs="Arial"/>
          <w:sz w:val="22"/>
          <w:szCs w:val="22"/>
          <w:highlight w:val="none"/>
        </w:rPr>
      </w:pPr>
      <w:r>
        <w:rPr>
          <w:rStyle w:val="153"/>
          <w:rFonts w:hint="default" w:ascii="Arial" w:hAnsi="Arial" w:eastAsia="Calibri" w:cs="Arial"/>
          <w:b/>
          <w:bCs/>
          <w:sz w:val="22"/>
          <w:szCs w:val="22"/>
          <w:highlight w:val="none"/>
        </w:rPr>
        <w:t>17.</w:t>
      </w:r>
      <w:r>
        <w:rPr>
          <w:rStyle w:val="153"/>
          <w:rFonts w:hint="default" w:ascii="Arial" w:hAnsi="Arial" w:eastAsia="Calibri" w:cs="Arial"/>
          <w:b/>
          <w:bCs/>
          <w:sz w:val="22"/>
          <w:szCs w:val="22"/>
          <w:highlight w:val="none"/>
          <w:lang w:val="pt-BR"/>
        </w:rPr>
        <w:t>5.</w:t>
      </w:r>
      <w:r>
        <w:rPr>
          <w:rStyle w:val="153"/>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3"/>
          <w:rFonts w:hint="default" w:ascii="Arial" w:hAnsi="Arial" w:eastAsia="Calibri" w:cs="Arial"/>
          <w:sz w:val="22"/>
          <w:szCs w:val="22"/>
          <w:highlight w:val="none"/>
          <w:lang w:val="pt-BR"/>
        </w:rPr>
        <w:t>2 (dois)</w:t>
      </w:r>
      <w:r>
        <w:rPr>
          <w:rStyle w:val="153"/>
          <w:rFonts w:hint="default" w:ascii="Arial" w:hAnsi="Arial" w:eastAsia="Calibri" w:cs="Arial"/>
          <w:sz w:val="22"/>
          <w:szCs w:val="22"/>
          <w:highlight w:val="none"/>
        </w:rPr>
        <w:t xml:space="preserve"> anos, quando não se justificar a imposição de penalidade mais grave, </w:t>
      </w:r>
      <w:r>
        <w:rPr>
          <w:rStyle w:val="153"/>
          <w:rFonts w:hint="default" w:ascii="Arial" w:hAnsi="Arial" w:eastAsia="Calibri" w:cs="Arial"/>
          <w:color w:val="auto"/>
          <w:sz w:val="22"/>
          <w:szCs w:val="22"/>
          <w:highlight w:val="none"/>
        </w:rPr>
        <w:t xml:space="preserve">conforme </w:t>
      </w:r>
      <w:r>
        <w:rPr>
          <w:rStyle w:val="153"/>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3"/>
          <w:rFonts w:hint="default" w:ascii="Arial" w:hAnsi="Arial" w:eastAsia="Calibri" w:cs="Arial"/>
          <w:color w:val="auto"/>
          <w:sz w:val="22"/>
          <w:szCs w:val="22"/>
          <w:highlight w:val="none"/>
        </w:rPr>
        <w:t>.</w:t>
      </w:r>
      <w:r>
        <w:rPr>
          <w:rStyle w:val="153"/>
          <w:rFonts w:hint="default" w:ascii="Arial" w:hAnsi="Arial" w:eastAsia="Calibri" w:cs="Arial"/>
          <w:sz w:val="22"/>
          <w:szCs w:val="22"/>
          <w:highlight w:val="none"/>
        </w:rPr>
        <w:t xml:space="preserve"> </w:t>
      </w:r>
    </w:p>
    <w:p w14:paraId="7D342BF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3"/>
          <w:rFonts w:hint="default" w:ascii="Arial" w:hAnsi="Arial" w:eastAsia="Calibri" w:cs="Arial"/>
          <w:sz w:val="22"/>
          <w:szCs w:val="22"/>
          <w:highlight w:val="none"/>
        </w:rPr>
      </w:pPr>
      <w:r>
        <w:rPr>
          <w:rStyle w:val="153"/>
          <w:rFonts w:hint="default" w:ascii="Arial" w:hAnsi="Arial" w:eastAsia="Calibri" w:cs="Arial"/>
          <w:b/>
          <w:bCs/>
          <w:sz w:val="22"/>
          <w:szCs w:val="22"/>
          <w:highlight w:val="none"/>
        </w:rPr>
        <w:t>17.</w:t>
      </w:r>
      <w:r>
        <w:rPr>
          <w:rStyle w:val="153"/>
          <w:rFonts w:hint="default" w:ascii="Arial" w:hAnsi="Arial" w:eastAsia="Calibri" w:cs="Arial"/>
          <w:b/>
          <w:bCs/>
          <w:sz w:val="22"/>
          <w:szCs w:val="22"/>
          <w:highlight w:val="none"/>
          <w:lang w:val="pt-BR"/>
        </w:rPr>
        <w:t>6.</w:t>
      </w:r>
      <w:r>
        <w:rPr>
          <w:rStyle w:val="153"/>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3"/>
          <w:rFonts w:hint="default" w:ascii="Arial" w:hAnsi="Arial" w:eastAsia="Calibri" w:cs="Arial"/>
          <w:sz w:val="22"/>
          <w:szCs w:val="22"/>
          <w:highlight w:val="none"/>
        </w:rPr>
        <w:t xml:space="preserve">pelo prazo mínimo de </w:t>
      </w:r>
      <w:r>
        <w:rPr>
          <w:rStyle w:val="153"/>
          <w:rFonts w:hint="default" w:ascii="Arial" w:hAnsi="Arial" w:eastAsia="Calibri" w:cs="Arial"/>
          <w:sz w:val="22"/>
          <w:szCs w:val="22"/>
          <w:highlight w:val="none"/>
          <w:lang w:val="pt-BR"/>
        </w:rPr>
        <w:t>3 (</w:t>
      </w:r>
      <w:r>
        <w:rPr>
          <w:rStyle w:val="153"/>
          <w:rFonts w:hint="default" w:ascii="Arial" w:hAnsi="Arial" w:eastAsia="Calibri" w:cs="Arial"/>
          <w:sz w:val="22"/>
          <w:szCs w:val="22"/>
          <w:highlight w:val="none"/>
        </w:rPr>
        <w:t>três</w:t>
      </w:r>
      <w:r>
        <w:rPr>
          <w:rStyle w:val="153"/>
          <w:rFonts w:hint="default" w:ascii="Arial" w:hAnsi="Arial" w:eastAsia="Calibri" w:cs="Arial"/>
          <w:sz w:val="22"/>
          <w:szCs w:val="22"/>
          <w:highlight w:val="none"/>
          <w:lang w:val="pt-BR"/>
        </w:rPr>
        <w:t>)</w:t>
      </w:r>
      <w:r>
        <w:rPr>
          <w:rStyle w:val="153"/>
          <w:rFonts w:hint="default" w:ascii="Arial" w:hAnsi="Arial" w:eastAsia="Calibri" w:cs="Arial"/>
          <w:sz w:val="22"/>
          <w:szCs w:val="22"/>
          <w:highlight w:val="none"/>
        </w:rPr>
        <w:t xml:space="preserve"> anos e máximo de </w:t>
      </w:r>
      <w:r>
        <w:rPr>
          <w:rStyle w:val="153"/>
          <w:rFonts w:hint="default" w:ascii="Arial" w:hAnsi="Arial" w:eastAsia="Calibri" w:cs="Arial"/>
          <w:sz w:val="22"/>
          <w:szCs w:val="22"/>
          <w:highlight w:val="none"/>
          <w:lang w:val="pt-BR"/>
        </w:rPr>
        <w:t>6 (</w:t>
      </w:r>
      <w:r>
        <w:rPr>
          <w:rStyle w:val="153"/>
          <w:rFonts w:hint="default" w:ascii="Arial" w:hAnsi="Arial" w:eastAsia="Calibri" w:cs="Arial"/>
          <w:sz w:val="22"/>
          <w:szCs w:val="22"/>
          <w:highlight w:val="none"/>
        </w:rPr>
        <w:t>seis</w:t>
      </w:r>
      <w:r>
        <w:rPr>
          <w:rStyle w:val="153"/>
          <w:rFonts w:hint="default" w:ascii="Arial" w:hAnsi="Arial" w:eastAsia="Calibri" w:cs="Arial"/>
          <w:sz w:val="22"/>
          <w:szCs w:val="22"/>
          <w:highlight w:val="none"/>
          <w:lang w:val="pt-BR"/>
        </w:rPr>
        <w:t>)</w:t>
      </w:r>
      <w:r>
        <w:rPr>
          <w:rStyle w:val="153"/>
          <w:rFonts w:hint="default" w:ascii="Arial" w:hAnsi="Arial" w:eastAsia="Calibri" w:cs="Arial"/>
          <w:sz w:val="22"/>
          <w:szCs w:val="22"/>
          <w:highlight w:val="none"/>
        </w:rPr>
        <w:t xml:space="preserve"> anos, </w:t>
      </w:r>
      <w:r>
        <w:rPr>
          <w:rStyle w:val="153"/>
          <w:rFonts w:hint="default" w:ascii="Arial" w:hAnsi="Arial" w:eastAsia="Calibri" w:cs="Arial"/>
          <w:color w:val="auto"/>
          <w:sz w:val="22"/>
          <w:szCs w:val="22"/>
          <w:highlight w:val="none"/>
        </w:rPr>
        <w:t xml:space="preserve">conforme </w:t>
      </w:r>
      <w:r>
        <w:rPr>
          <w:rStyle w:val="153"/>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3"/>
          <w:rFonts w:hint="default" w:ascii="Arial" w:hAnsi="Arial" w:eastAsia="Calibri" w:cs="Arial"/>
          <w:color w:val="auto"/>
          <w:sz w:val="22"/>
          <w:szCs w:val="22"/>
          <w:highlight w:val="none"/>
        </w:rPr>
        <w:t>.</w:t>
      </w:r>
      <w:r>
        <w:rPr>
          <w:rStyle w:val="153"/>
          <w:rFonts w:hint="default" w:ascii="Arial" w:hAnsi="Arial" w:eastAsia="Calibri" w:cs="Arial"/>
          <w:sz w:val="22"/>
          <w:szCs w:val="22"/>
          <w:highlight w:val="none"/>
        </w:rPr>
        <w:t xml:space="preserve"> </w:t>
      </w:r>
    </w:p>
    <w:p w14:paraId="0228765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7.</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3"/>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3"/>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5E2B57B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w:t>
      </w:r>
      <w:r>
        <w:rPr>
          <w:rFonts w:hint="default" w:ascii="Arial" w:hAnsi="Arial" w:eastAsia="Arial" w:cs="Arial"/>
          <w:b/>
          <w:bCs/>
          <w:color w:val="000000"/>
          <w:sz w:val="22"/>
          <w:szCs w:val="22"/>
          <w:highlight w:val="none"/>
          <w:lang w:val="pt-BR"/>
        </w:rPr>
        <w:t>9.</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4163E72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17.1</w:t>
      </w:r>
      <w:r>
        <w:rPr>
          <w:rFonts w:hint="default" w:ascii="Arial" w:hAnsi="Arial" w:eastAsia="Arial" w:cs="Arial"/>
          <w:b/>
          <w:bCs/>
          <w:color w:val="000000"/>
          <w:sz w:val="22"/>
          <w:szCs w:val="22"/>
          <w:highlight w:val="none"/>
          <w:lang w:val="pt-BR"/>
        </w:rPr>
        <w:t>0.</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672088B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17.1</w:t>
      </w:r>
      <w:r>
        <w:rPr>
          <w:rFonts w:hint="default" w:ascii="Arial" w:hAnsi="Arial" w:cs="Arial"/>
          <w:b/>
          <w:bCs/>
          <w:sz w:val="22"/>
          <w:szCs w:val="22"/>
          <w:highlight w:val="none"/>
          <w:lang w:val="pt-BR"/>
        </w:rPr>
        <w:t>1.</w:t>
      </w:r>
      <w:r>
        <w:rPr>
          <w:rFonts w:hint="default" w:ascii="Arial" w:hAnsi="Arial" w:cs="Arial"/>
          <w:sz w:val="22"/>
          <w:szCs w:val="22"/>
          <w:highlight w:val="none"/>
        </w:rPr>
        <w:t xml:space="preserve"> A aplicação das sanções previstas no item 17.</w:t>
      </w:r>
      <w:r>
        <w:rPr>
          <w:rFonts w:hint="default" w:ascii="Arial" w:hAnsi="Arial" w:cs="Arial"/>
          <w:sz w:val="22"/>
          <w:szCs w:val="22"/>
          <w:highlight w:val="none"/>
          <w:lang w:val="pt-BR"/>
        </w:rPr>
        <w:t>4., 17.5., e 17.6.</w:t>
      </w:r>
      <w:r>
        <w:rPr>
          <w:rFonts w:hint="default" w:ascii="Arial" w:hAnsi="Arial" w:cs="Arial"/>
          <w:sz w:val="22"/>
          <w:szCs w:val="22"/>
          <w:highlight w:val="none"/>
        </w:rPr>
        <w:t xml:space="preserve"> admitem a reabilitação da licitante/contratada perante a própria autoridade que aplicou a penalidade, exigidos e poderá ser requerida pela parte, quando couber:</w:t>
      </w:r>
    </w:p>
    <w:p w14:paraId="242268A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0D6769DD">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46A16EE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3AA32869">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05BC64C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528125A2">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hint="default" w:ascii="Arial" w:hAnsi="Arial" w:cs="Arial"/>
          <w:b/>
          <w:sz w:val="22"/>
          <w:szCs w:val="22"/>
          <w:lang w:val="pt-BR"/>
        </w:rPr>
      </w:pPr>
      <w:r>
        <w:rPr>
          <w:rFonts w:hint="default" w:ascii="Arial" w:hAnsi="Arial" w:cs="Arial"/>
          <w:b/>
          <w:sz w:val="22"/>
          <w:szCs w:val="22"/>
          <w:lang w:val="pt-BR"/>
        </w:rPr>
        <w:t xml:space="preserve">18. </w:t>
      </w:r>
      <w:r>
        <w:rPr>
          <w:rFonts w:ascii="Arial" w:hAnsi="Arial" w:cs="Arial"/>
          <w:b/>
          <w:sz w:val="22"/>
          <w:szCs w:val="22"/>
        </w:rPr>
        <w:t>D</w:t>
      </w:r>
      <w:r>
        <w:rPr>
          <w:rFonts w:hint="default" w:ascii="Arial" w:hAnsi="Arial" w:cs="Arial"/>
          <w:b/>
          <w:sz w:val="22"/>
          <w:szCs w:val="22"/>
          <w:lang w:val="pt-BR"/>
        </w:rPr>
        <w:t xml:space="preserve">O CONTROLE E FISCALIZAÇÃO DO CONTRATO </w:t>
      </w:r>
    </w:p>
    <w:p w14:paraId="1B0D61EE">
      <w:pPr>
        <w:pStyle w:val="128"/>
        <w:spacing w:line="360" w:lineRule="auto"/>
        <w:ind w:left="0" w:leftChars="0" w:firstLine="0" w:firstLineChars="0"/>
        <w:contextualSpacing w:val="0"/>
        <w:jc w:val="both"/>
        <w:rPr>
          <w:rFonts w:hint="default" w:ascii="Arial" w:hAnsi="Arial" w:cs="Arial"/>
          <w:b/>
          <w:sz w:val="22"/>
          <w:szCs w:val="22"/>
          <w:highlight w:val="none"/>
        </w:rPr>
      </w:pPr>
      <w:bookmarkStart w:id="56" w:name="_Hlk132036137"/>
      <w:r>
        <w:rPr>
          <w:rFonts w:hint="default" w:ascii="Arial" w:hAnsi="Arial" w:cs="Arial"/>
          <w:b/>
          <w:bCs/>
          <w:sz w:val="22"/>
          <w:szCs w:val="22"/>
          <w:highlight w:val="none"/>
          <w:lang w:val="pt-BR"/>
        </w:rPr>
        <w:t>18.1</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w:t>
      </w:r>
      <w:r>
        <w:rPr>
          <w:rFonts w:hint="default" w:ascii="Arial" w:hAnsi="Arial" w:cs="Arial"/>
          <w:sz w:val="22"/>
          <w:szCs w:val="22"/>
          <w:highlight w:val="none"/>
          <w:lang w:val="pt-BR"/>
        </w:rPr>
        <w:t xml:space="preserve">do </w:t>
      </w:r>
      <w:r>
        <w:rPr>
          <w:rFonts w:hint="default" w:ascii="Arial" w:hAnsi="Arial" w:cs="Arial"/>
          <w:color w:val="auto"/>
          <w:sz w:val="22"/>
          <w:szCs w:val="22"/>
          <w:highlight w:val="none"/>
        </w:rPr>
        <w:t xml:space="preserve"> </w:t>
      </w:r>
      <w:r>
        <w:rPr>
          <w:rFonts w:hint="default" w:ascii="Arial" w:hAnsi="Arial" w:cs="Arial"/>
          <w:i w:val="0"/>
          <w:iCs w:val="0"/>
          <w:caps w:val="0"/>
          <w:color w:val="auto"/>
          <w:spacing w:val="0"/>
          <w:sz w:val="22"/>
          <w:szCs w:val="22"/>
          <w:highlight w:val="none"/>
        </w:rPr>
        <w:t>Art. 117</w:t>
      </w:r>
      <w:r>
        <w:rPr>
          <w:rFonts w:hint="default" w:ascii="Arial" w:hAnsi="Arial" w:cs="Arial"/>
          <w:i w:val="0"/>
          <w:iCs w:val="0"/>
          <w:caps w:val="0"/>
          <w:color w:val="auto"/>
          <w:spacing w:val="0"/>
          <w:sz w:val="22"/>
          <w:szCs w:val="22"/>
          <w:highlight w:val="none"/>
          <w:lang w:val="pt-BR"/>
        </w:rPr>
        <w:t xml:space="preserve"> da lei 14.133/2021</w:t>
      </w:r>
      <w:r>
        <w:rPr>
          <w:rFonts w:hint="default" w:ascii="Arial" w:hAnsi="Arial" w:cs="Arial"/>
          <w:sz w:val="22"/>
          <w:szCs w:val="22"/>
          <w:highlight w:val="none"/>
        </w:rPr>
        <w:t>;</w:t>
      </w:r>
    </w:p>
    <w:p w14:paraId="2F84BD01">
      <w:pPr>
        <w:pStyle w:val="128"/>
        <w:numPr>
          <w:ilvl w:val="0"/>
          <w:numId w:val="0"/>
        </w:numPr>
        <w:spacing w:line="360" w:lineRule="auto"/>
        <w:ind w:leftChars="0" w:right="0" w:rightChars="0"/>
        <w:contextualSpacing w:val="0"/>
        <w:jc w:val="both"/>
        <w:rPr>
          <w:rFonts w:hint="default" w:ascii="Arial" w:hAnsi="Arial" w:cs="Arial"/>
          <w:color w:val="000000"/>
          <w:sz w:val="22"/>
          <w:szCs w:val="22"/>
          <w:highlight w:val="none"/>
        </w:rPr>
      </w:pPr>
      <w:r>
        <w:rPr>
          <w:rFonts w:hint="default" w:ascii="Arial" w:hAnsi="Arial" w:cs="Arial"/>
          <w:b/>
          <w:bCs/>
          <w:sz w:val="22"/>
          <w:szCs w:val="22"/>
          <w:highlight w:val="none"/>
          <w:lang w:val="pt-BR"/>
        </w:rPr>
        <w:t>18.2</w:t>
      </w:r>
      <w:r>
        <w:rPr>
          <w:rFonts w:hint="default" w:ascii="Arial" w:hAnsi="Arial" w:cs="Arial"/>
          <w:sz w:val="22"/>
          <w:szCs w:val="22"/>
          <w:highlight w:val="none"/>
          <w:lang w:val="pt-BR"/>
        </w:rPr>
        <w:t xml:space="preserve"> </w:t>
      </w:r>
      <w:r>
        <w:rPr>
          <w:rFonts w:hint="default" w:ascii="Arial" w:hAnsi="Arial" w:cs="Arial"/>
          <w:sz w:val="22"/>
          <w:szCs w:val="22"/>
          <w:highlight w:val="none"/>
        </w:rPr>
        <w:t>O representante da CONTRATANTE deverá ter a qualificação necessária para o acompanhamento e controle da execução dos serviços e do contrato;</w:t>
      </w:r>
    </w:p>
    <w:p w14:paraId="16B51321">
      <w:pPr>
        <w:pStyle w:val="128"/>
        <w:numPr>
          <w:ilvl w:val="0"/>
          <w:numId w:val="0"/>
        </w:numPr>
        <w:spacing w:line="360" w:lineRule="auto"/>
        <w:ind w:leftChars="0" w:right="0" w:rightChars="0"/>
        <w:contextualSpacing w:val="0"/>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18.3 </w:t>
      </w:r>
      <w:r>
        <w:rPr>
          <w:rFonts w:hint="default" w:ascii="Arial" w:hAnsi="Arial" w:cs="Arial"/>
          <w:sz w:val="22"/>
          <w:szCs w:val="22"/>
          <w:highlight w:val="none"/>
        </w:rPr>
        <w:t>A verificação da adequação da prestação do serviço deverá ser realizada com base nos critérios previstos neste Termo de Referência;</w:t>
      </w:r>
    </w:p>
    <w:p w14:paraId="336516F9">
      <w:pPr>
        <w:pStyle w:val="128"/>
        <w:numPr>
          <w:ilvl w:val="0"/>
          <w:numId w:val="0"/>
        </w:numPr>
        <w:spacing w:line="360" w:lineRule="auto"/>
        <w:ind w:leftChars="0" w:right="0" w:rightChars="0"/>
        <w:contextualSpacing w:val="0"/>
        <w:jc w:val="both"/>
        <w:rPr>
          <w:rFonts w:hint="default" w:ascii="Arial" w:hAnsi="Arial" w:cs="Arial"/>
          <w:sz w:val="22"/>
          <w:szCs w:val="22"/>
          <w:highlight w:val="none"/>
          <w:lang w:val="pt-BR"/>
        </w:rPr>
      </w:pPr>
      <w:r>
        <w:rPr>
          <w:rFonts w:hint="default" w:ascii="Arial" w:hAnsi="Arial" w:cs="Arial"/>
          <w:b/>
          <w:bCs/>
          <w:sz w:val="22"/>
          <w:szCs w:val="22"/>
          <w:highlight w:val="none"/>
          <w:lang w:val="pt-BR"/>
        </w:rPr>
        <w:t>18.4</w:t>
      </w:r>
      <w:r>
        <w:rPr>
          <w:rFonts w:hint="default" w:ascii="Arial" w:hAnsi="Arial" w:cs="Arial"/>
          <w:sz w:val="22"/>
          <w:szCs w:val="22"/>
          <w:highlight w:val="none"/>
          <w:lang w:val="pt-BR"/>
        </w:rPr>
        <w:t xml:space="preserve"> </w:t>
      </w:r>
      <w:r>
        <w:rPr>
          <w:rFonts w:hint="default" w:ascii="Arial" w:hAnsi="Arial" w:cs="Arial"/>
          <w:sz w:val="22"/>
          <w:szCs w:val="22"/>
        </w:rPr>
        <w:t>A conformidade do material a ser utilizado na execução dos serviços deverá ser verificada juntamente com a Contratada que contenha a relação detalhada dos mesmos, de acordo com o estabelecido neste Termo de Referência e na proposta, informando as respectivas quantidades e especificações técnicas, tais como: marca, qualidade e forma de uso.</w:t>
      </w:r>
    </w:p>
    <w:p w14:paraId="51D94189">
      <w:pPr>
        <w:pStyle w:val="128"/>
        <w:numPr>
          <w:ilvl w:val="0"/>
          <w:numId w:val="0"/>
        </w:numPr>
        <w:spacing w:line="360" w:lineRule="auto"/>
        <w:ind w:leftChars="0" w:right="0" w:rightChars="0"/>
        <w:contextualSpacing w:val="0"/>
        <w:jc w:val="both"/>
        <w:rPr>
          <w:rFonts w:hint="default" w:ascii="Arial" w:hAnsi="Arial" w:cs="Arial"/>
          <w:sz w:val="22"/>
          <w:szCs w:val="22"/>
          <w:highlight w:val="none"/>
        </w:rPr>
      </w:pPr>
      <w:r>
        <w:rPr>
          <w:rFonts w:hint="default" w:ascii="Arial" w:hAnsi="Arial" w:cs="Arial"/>
          <w:b/>
          <w:bCs/>
          <w:sz w:val="22"/>
          <w:szCs w:val="22"/>
          <w:highlight w:val="none"/>
          <w:lang w:val="pt-BR"/>
        </w:rPr>
        <w:t>18.5</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O representante da Contratante deverá promover o registro das ocorrências verificadas, adotando as providências necessárias ao fiel cumprimento das cláusulas contratuais, conforme o disposto </w:t>
      </w:r>
      <w:r>
        <w:rPr>
          <w:rFonts w:hint="default" w:ascii="Arial" w:hAnsi="Arial" w:cs="Arial"/>
          <w:sz w:val="22"/>
          <w:szCs w:val="22"/>
          <w:highlight w:val="none"/>
          <w:lang w:val="pt-BR"/>
        </w:rPr>
        <w:t>nos §§ 1° e 2º do art. 117 da Lei nº 14.133/2021</w:t>
      </w:r>
      <w:r>
        <w:rPr>
          <w:rFonts w:hint="default" w:ascii="Arial" w:hAnsi="Arial" w:cs="Arial"/>
          <w:sz w:val="22"/>
          <w:szCs w:val="22"/>
          <w:highlight w:val="none"/>
        </w:rPr>
        <w:t>;</w:t>
      </w:r>
    </w:p>
    <w:p w14:paraId="78C654C8">
      <w:pPr>
        <w:pStyle w:val="128"/>
        <w:numPr>
          <w:ilvl w:val="0"/>
          <w:numId w:val="0"/>
        </w:numPr>
        <w:spacing w:line="360" w:lineRule="auto"/>
        <w:ind w:leftChars="0" w:right="0" w:rightChars="0"/>
        <w:contextualSpacing w:val="0"/>
        <w:jc w:val="both"/>
        <w:rPr>
          <w:rFonts w:hint="default" w:ascii="Arial" w:hAnsi="Arial" w:cs="Arial"/>
          <w:sz w:val="22"/>
          <w:szCs w:val="22"/>
          <w:highlight w:val="none"/>
        </w:rPr>
      </w:pPr>
      <w:r>
        <w:rPr>
          <w:rFonts w:hint="default" w:ascii="Arial" w:hAnsi="Arial" w:cs="Arial"/>
          <w:b/>
          <w:bCs/>
          <w:sz w:val="22"/>
          <w:szCs w:val="22"/>
          <w:highlight w:val="none"/>
          <w:lang w:val="pt-BR"/>
        </w:rPr>
        <w:t>18.6</w:t>
      </w:r>
      <w:r>
        <w:rPr>
          <w:rFonts w:hint="default" w:ascii="Arial" w:hAnsi="Arial" w:cs="Arial"/>
          <w:sz w:val="22"/>
          <w:szCs w:val="22"/>
          <w:highlight w:val="none"/>
          <w:lang w:val="pt-BR"/>
        </w:rPr>
        <w:t xml:space="preserve"> </w:t>
      </w:r>
      <w:r>
        <w:rPr>
          <w:rFonts w:hint="default" w:ascii="Arial" w:hAnsi="Arial" w:cs="Arial"/>
          <w:sz w:val="22"/>
          <w:szCs w:val="22"/>
          <w:highlight w:val="none"/>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w:t>
      </w:r>
      <w:r>
        <w:rPr>
          <w:rFonts w:hint="default" w:ascii="Arial" w:hAnsi="Arial" w:cs="Arial"/>
          <w:sz w:val="22"/>
          <w:szCs w:val="22"/>
          <w:highlight w:val="none"/>
          <w:lang w:val="pt-BR"/>
        </w:rPr>
        <w:t xml:space="preserve"> inferior e, na ocorrência desta, não implica em corresponsabilidade da CONTRATANTE ou de seus agentes e prepostos, de conformidade com o art. 120 da Lei nº 14.133/2021.</w:t>
      </w:r>
    </w:p>
    <w:p w14:paraId="327C3D3B">
      <w:pPr>
        <w:pStyle w:val="128"/>
        <w:numPr>
          <w:ilvl w:val="0"/>
          <w:numId w:val="0"/>
        </w:numPr>
        <w:spacing w:line="360" w:lineRule="auto"/>
        <w:ind w:leftChars="0" w:right="0" w:rightChars="0"/>
        <w:contextualSpacing w:val="0"/>
        <w:jc w:val="both"/>
        <w:rPr>
          <w:rFonts w:hint="default" w:ascii="Arial" w:hAnsi="Arial" w:cs="Arial"/>
          <w:sz w:val="22"/>
          <w:szCs w:val="22"/>
          <w:highlight w:val="none"/>
        </w:rPr>
      </w:pPr>
      <w:r>
        <w:rPr>
          <w:rFonts w:hint="default" w:ascii="Arial" w:hAnsi="Arial" w:cs="Arial"/>
          <w:b/>
          <w:bCs/>
          <w:color w:val="000000"/>
          <w:sz w:val="22"/>
          <w:szCs w:val="22"/>
          <w:highlight w:val="none"/>
          <w:lang w:val="pt-BR"/>
        </w:rPr>
        <w:t>18.7</w:t>
      </w:r>
      <w:r>
        <w:rPr>
          <w:rFonts w:hint="default" w:ascii="Arial" w:hAnsi="Arial" w:cs="Arial"/>
          <w:color w:val="000000"/>
          <w:sz w:val="22"/>
          <w:szCs w:val="22"/>
          <w:highlight w:val="none"/>
          <w:lang w:val="pt-BR"/>
        </w:rPr>
        <w:t xml:space="preserve"> </w:t>
      </w:r>
      <w:r>
        <w:rPr>
          <w:rFonts w:hint="default" w:ascii="Arial" w:hAnsi="Arial" w:cs="Arial"/>
          <w:sz w:val="22"/>
          <w:szCs w:val="22"/>
          <w:highlight w:val="none"/>
        </w:rPr>
        <w:t>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p>
    <w:p w14:paraId="1173B18B">
      <w:pPr>
        <w:pStyle w:val="154"/>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highlight w:val="none"/>
          <w:lang w:val="pt-BR"/>
        </w:rPr>
        <w:t xml:space="preserve">18.8 </w:t>
      </w:r>
      <w:r>
        <w:rPr>
          <w:rFonts w:hint="default" w:ascii="Arial" w:hAnsi="Arial" w:cs="Arial"/>
          <w:sz w:val="22"/>
          <w:szCs w:val="22"/>
          <w:lang w:val="pt-BR"/>
        </w:rPr>
        <w:t xml:space="preserve">A </w:t>
      </w:r>
      <w:r>
        <w:rPr>
          <w:rFonts w:hint="default" w:ascii="Arial" w:hAnsi="Arial" w:cs="Arial"/>
          <w:sz w:val="22"/>
          <w:szCs w:val="22"/>
        </w:rPr>
        <w:t>gestão e acompanhamento da entrega do objeto serão feitos pela Secretaria Municipal solicitante, através do servidor responsável pelo recebimento do mesmo, bem como o Termo de Aceite e posterior atesto em Nota Fiscal que será remetida para pagamento.</w:t>
      </w:r>
    </w:p>
    <w:p w14:paraId="31EBE3D8">
      <w:pPr>
        <w:pStyle w:val="154"/>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 xml:space="preserve">18.9 </w:t>
      </w:r>
      <w:r>
        <w:rPr>
          <w:rFonts w:hint="default" w:ascii="Arial" w:hAnsi="Arial" w:cs="Arial"/>
          <w:sz w:val="22"/>
          <w:szCs w:val="22"/>
          <w:lang w:val="pt-BR"/>
        </w:rPr>
        <w:t xml:space="preserve">A </w:t>
      </w:r>
      <w:r>
        <w:rPr>
          <w:rFonts w:hint="default" w:ascii="Arial" w:hAnsi="Arial" w:cs="Arial"/>
          <w:sz w:val="22"/>
          <w:szCs w:val="22"/>
        </w:rPr>
        <w:t>Contratante deverá monitorar constantemente o nível de qualidade dos serviços para evitar a sua degeneração, devendo intervir para corrigir ou aplicar sanções quando verificar desconformidades da prestação do serviço com a qualidade exigida.</w:t>
      </w:r>
    </w:p>
    <w:p w14:paraId="6D245363">
      <w:pPr>
        <w:pStyle w:val="154"/>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sz w:val="22"/>
          <w:szCs w:val="22"/>
        </w:rPr>
      </w:pPr>
      <w:r>
        <w:rPr>
          <w:rFonts w:hint="default" w:ascii="Arial" w:hAnsi="Arial" w:cs="Arial"/>
          <w:b/>
          <w:bCs/>
          <w:sz w:val="22"/>
          <w:szCs w:val="22"/>
        </w:rPr>
        <w:t>A fiscalização da execução dos serviços abrange, ainda, as seguintes rotinas:</w:t>
      </w:r>
    </w:p>
    <w:p w14:paraId="3F2FFFED">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18.10</w:t>
      </w:r>
      <w:r>
        <w:rPr>
          <w:rFonts w:hint="default" w:ascii="Arial" w:hAnsi="Arial" w:cs="Arial"/>
          <w:sz w:val="22"/>
          <w:szCs w:val="22"/>
          <w:lang w:val="pt-BR"/>
        </w:rPr>
        <w:t xml:space="preserve"> </w:t>
      </w:r>
      <w:r>
        <w:rPr>
          <w:rFonts w:hint="default" w:ascii="Arial" w:hAnsi="Arial" w:cs="Arial"/>
          <w:sz w:val="22"/>
          <w:szCs w:val="22"/>
        </w:rPr>
        <w:t>Após a assinatura do contrato, será realizada uma reunião inicial entre a CONTRATANTE e a CONTRATADA com o objetivo de identificar as expectativas, nivelar os entendimentos acerca das condições estabelecidas neste Termo de Referência e no Contrato, e esclarecer possíveis dúvidas acerca da entrega, instalação e configuração do sistema de infraestrutura de alta eficiência e disponibilidade. A CONTRATADA deverá fornecer nesta reunião os seguintes documentos:</w:t>
      </w:r>
    </w:p>
    <w:p w14:paraId="20AE536D">
      <w:pPr>
        <w:pStyle w:val="165"/>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18.10.1</w:t>
      </w:r>
      <w:r>
        <w:rPr>
          <w:rFonts w:hint="default" w:ascii="Arial" w:hAnsi="Arial" w:cs="Arial"/>
          <w:sz w:val="22"/>
          <w:szCs w:val="22"/>
          <w:lang w:val="pt-BR"/>
        </w:rPr>
        <w:t xml:space="preserve"> </w:t>
      </w:r>
      <w:r>
        <w:rPr>
          <w:rFonts w:hint="default" w:ascii="Arial" w:hAnsi="Arial" w:cs="Arial"/>
          <w:sz w:val="22"/>
          <w:szCs w:val="22"/>
        </w:rPr>
        <w:t>Carta de apresentação do Preposto, contendo no mínimo o nome completo e CPF do funcionário da empresa designado para acompanhar a execução do contrato e atuar como interlocutor principal junto à contratante, incumbido de receber, diligenciar, encaminhar e responder as principais questões técnicas, legais e administrativas referentes ao andamento contratual;</w:t>
      </w:r>
    </w:p>
    <w:p w14:paraId="2CBA21E9">
      <w:pPr>
        <w:pStyle w:val="165"/>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18.10.2</w:t>
      </w:r>
      <w:r>
        <w:rPr>
          <w:rFonts w:hint="default" w:ascii="Arial" w:hAnsi="Arial" w:cs="Arial"/>
          <w:sz w:val="22"/>
          <w:szCs w:val="22"/>
          <w:lang w:val="pt-BR"/>
        </w:rPr>
        <w:t xml:space="preserve"> </w:t>
      </w:r>
      <w:r>
        <w:rPr>
          <w:rFonts w:hint="default" w:ascii="Arial" w:hAnsi="Arial" w:cs="Arial"/>
          <w:sz w:val="22"/>
          <w:szCs w:val="22"/>
        </w:rPr>
        <w:t>Termo de Manutenção de Ciência da Declaração de Manutenção de Sigilo e das Normas de Segurança Vigentes no Órgão.</w:t>
      </w:r>
    </w:p>
    <w:p w14:paraId="3A8DEE96">
      <w:pPr>
        <w:pStyle w:val="165"/>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18.10.3</w:t>
      </w:r>
      <w:r>
        <w:rPr>
          <w:rFonts w:hint="default" w:ascii="Arial" w:hAnsi="Arial" w:cs="Arial"/>
          <w:sz w:val="22"/>
          <w:szCs w:val="22"/>
          <w:lang w:val="pt-BR"/>
        </w:rPr>
        <w:t xml:space="preserve"> </w:t>
      </w:r>
      <w:r>
        <w:rPr>
          <w:rFonts w:hint="default" w:ascii="Arial" w:hAnsi="Arial" w:cs="Arial"/>
          <w:sz w:val="22"/>
          <w:szCs w:val="22"/>
        </w:rPr>
        <w:t>Deverão participar principalmente da reunião inicial o Gestor e Fiscal da contratação e o Preposto da CONTRATADA.</w:t>
      </w:r>
    </w:p>
    <w:p w14:paraId="30B46330">
      <w:pPr>
        <w:pStyle w:val="165"/>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18.10.4</w:t>
      </w:r>
      <w:r>
        <w:rPr>
          <w:rFonts w:hint="default" w:ascii="Arial" w:hAnsi="Arial" w:cs="Arial"/>
          <w:sz w:val="22"/>
          <w:szCs w:val="22"/>
          <w:lang w:val="pt-BR"/>
        </w:rPr>
        <w:t xml:space="preserve"> </w:t>
      </w:r>
      <w:r>
        <w:rPr>
          <w:rFonts w:hint="default" w:ascii="Arial" w:hAnsi="Arial" w:cs="Arial"/>
          <w:sz w:val="22"/>
          <w:szCs w:val="22"/>
        </w:rPr>
        <w:t>A ata da reunião inicial contendo o detalhamento das informações e esclarecimentos expostos nesta reunião deverá ser assinado pelos representantes da CONTRATANTE e da CONTRATADA.</w:t>
      </w:r>
    </w:p>
    <w:p w14:paraId="7696C02E">
      <w:pPr>
        <w:pStyle w:val="165"/>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18.10.5</w:t>
      </w:r>
      <w:r>
        <w:rPr>
          <w:rFonts w:hint="default" w:ascii="Arial" w:hAnsi="Arial" w:cs="Arial"/>
          <w:sz w:val="22"/>
          <w:szCs w:val="22"/>
          <w:lang w:val="pt-BR"/>
        </w:rPr>
        <w:t xml:space="preserve"> </w:t>
      </w:r>
      <w:r>
        <w:rPr>
          <w:rFonts w:hint="default" w:ascii="Arial" w:hAnsi="Arial" w:cs="Arial"/>
          <w:sz w:val="22"/>
          <w:szCs w:val="22"/>
        </w:rPr>
        <w:t>As etapas de execução do objeto deste Termo de Referência serão definidas pela CONTRATANTE e serão demandas via Ordem de Serviço pelo Gestor do Contrato ao Preposto da CONTRATADA.</w:t>
      </w:r>
    </w:p>
    <w:p w14:paraId="1716C001">
      <w:pPr>
        <w:pStyle w:val="165"/>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18.10.6</w:t>
      </w:r>
      <w:r>
        <w:rPr>
          <w:rFonts w:hint="default" w:ascii="Arial" w:hAnsi="Arial" w:cs="Arial"/>
          <w:sz w:val="22"/>
          <w:szCs w:val="22"/>
          <w:lang w:val="pt-BR"/>
        </w:rPr>
        <w:t xml:space="preserve"> </w:t>
      </w:r>
      <w:r>
        <w:rPr>
          <w:rFonts w:hint="default" w:ascii="Arial" w:hAnsi="Arial" w:cs="Arial"/>
          <w:sz w:val="22"/>
          <w:szCs w:val="22"/>
        </w:rPr>
        <w:t>O transporte dos materiais e equipamentos ofertados deverá ser realizado pela CONTRATADA ou por serviço de transporte especializado, a cargo da CONTRATADA.</w:t>
      </w:r>
    </w:p>
    <w:p w14:paraId="6A2E72E7">
      <w:pPr>
        <w:pStyle w:val="165"/>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18.10.7</w:t>
      </w:r>
      <w:r>
        <w:rPr>
          <w:rFonts w:hint="default" w:ascii="Arial" w:hAnsi="Arial" w:cs="Arial"/>
          <w:sz w:val="22"/>
          <w:szCs w:val="22"/>
          <w:lang w:val="pt-BR"/>
        </w:rPr>
        <w:t xml:space="preserve"> </w:t>
      </w:r>
      <w:r>
        <w:rPr>
          <w:rFonts w:hint="default" w:ascii="Arial" w:hAnsi="Arial" w:cs="Arial"/>
          <w:sz w:val="22"/>
          <w:szCs w:val="22"/>
        </w:rPr>
        <w:t>No momento da entrega de equipamentos o representante da CONTRATANTE receberá os produtos e recolherá uma via da Guia de Transporte ou similar.</w:t>
      </w:r>
    </w:p>
    <w:p w14:paraId="58AA110E">
      <w:pPr>
        <w:pStyle w:val="165"/>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18.10.8</w:t>
      </w:r>
      <w:r>
        <w:rPr>
          <w:rFonts w:hint="default" w:ascii="Arial" w:hAnsi="Arial" w:cs="Arial"/>
          <w:sz w:val="22"/>
          <w:szCs w:val="22"/>
          <w:lang w:val="pt-BR"/>
        </w:rPr>
        <w:t xml:space="preserve"> </w:t>
      </w:r>
      <w:r>
        <w:rPr>
          <w:rFonts w:hint="default" w:ascii="Arial" w:hAnsi="Arial" w:cs="Arial"/>
          <w:sz w:val="22"/>
          <w:szCs w:val="22"/>
        </w:rPr>
        <w:t>No ato de fornecimento do objeto, a CONTRATADA deverá entregar a seguinte documentação mínima:</w:t>
      </w:r>
    </w:p>
    <w:p w14:paraId="63815F05">
      <w:pPr>
        <w:pStyle w:val="165"/>
        <w:keepNext w:val="0"/>
        <w:keepLines w:val="0"/>
        <w:pageBreakBefore w:val="0"/>
        <w:widowControl/>
        <w:numPr>
          <w:ilvl w:val="0"/>
          <w:numId w:val="14"/>
        </w:numPr>
        <w:tabs>
          <w:tab w:val="clear" w:pos="420"/>
        </w:tabs>
        <w:kinsoku/>
        <w:wordWrap/>
        <w:overflowPunct/>
        <w:topLinePunct w:val="0"/>
        <w:autoSpaceDE/>
        <w:autoSpaceDN/>
        <w:bidi w:val="0"/>
        <w:adjustRightInd/>
        <w:snapToGrid/>
        <w:spacing w:line="360" w:lineRule="auto"/>
        <w:ind w:left="420" w:leftChars="0" w:firstLine="60" w:firstLineChars="0"/>
        <w:jc w:val="both"/>
        <w:textAlignment w:val="auto"/>
        <w:rPr>
          <w:rFonts w:hint="default" w:ascii="Arial" w:hAnsi="Arial" w:cs="Arial"/>
          <w:sz w:val="22"/>
          <w:szCs w:val="22"/>
        </w:rPr>
      </w:pPr>
      <w:r>
        <w:rPr>
          <w:rFonts w:hint="default" w:ascii="Arial" w:hAnsi="Arial" w:cs="Arial"/>
          <w:sz w:val="22"/>
          <w:szCs w:val="22"/>
        </w:rPr>
        <w:t>O manual do usuário do equipamento, que contemple no mínimo o uso das funcionalidades constantes do prospecto do fabricante.</w:t>
      </w:r>
    </w:p>
    <w:p w14:paraId="4D63D886">
      <w:pPr>
        <w:pStyle w:val="165"/>
        <w:keepNext w:val="0"/>
        <w:keepLines w:val="0"/>
        <w:pageBreakBefore w:val="0"/>
        <w:widowControl/>
        <w:numPr>
          <w:ilvl w:val="0"/>
          <w:numId w:val="15"/>
        </w:numPr>
        <w:tabs>
          <w:tab w:val="clear" w:pos="420"/>
        </w:tabs>
        <w:kinsoku/>
        <w:wordWrap/>
        <w:overflowPunct/>
        <w:topLinePunct w:val="0"/>
        <w:autoSpaceDE/>
        <w:autoSpaceDN/>
        <w:bidi w:val="0"/>
        <w:adjustRightInd/>
        <w:snapToGrid/>
        <w:spacing w:line="360" w:lineRule="auto"/>
        <w:ind w:left="420" w:leftChars="0" w:firstLine="60" w:firstLineChars="0"/>
        <w:jc w:val="both"/>
        <w:textAlignment w:val="auto"/>
        <w:rPr>
          <w:rFonts w:hint="default" w:ascii="Arial" w:hAnsi="Arial" w:cs="Arial"/>
          <w:sz w:val="22"/>
          <w:szCs w:val="22"/>
        </w:rPr>
      </w:pPr>
      <w:r>
        <w:rPr>
          <w:rFonts w:hint="default" w:ascii="Arial" w:hAnsi="Arial" w:cs="Arial"/>
          <w:sz w:val="22"/>
          <w:szCs w:val="22"/>
        </w:rPr>
        <w:t>O termo de garantia, que deve esclarecer, de maneira adequada em que consiste a mesma garantia, bem como a forma, o prazo e o lugar em que pode ser exercitada e os ônus a cargo da CONTRATANTE, nos termos do art. 50 da Lei nº 8.078, de 11 de setembro de 1990.</w:t>
      </w:r>
    </w:p>
    <w:p w14:paraId="6AE8C6B4">
      <w:pPr>
        <w:pStyle w:val="165"/>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18.10.9</w:t>
      </w:r>
      <w:r>
        <w:rPr>
          <w:rFonts w:hint="default" w:ascii="Arial" w:hAnsi="Arial" w:cs="Arial"/>
          <w:sz w:val="22"/>
          <w:szCs w:val="22"/>
          <w:lang w:val="pt-BR"/>
        </w:rPr>
        <w:t xml:space="preserve"> </w:t>
      </w:r>
      <w:r>
        <w:rPr>
          <w:rFonts w:hint="default" w:ascii="Arial" w:hAnsi="Arial" w:cs="Arial"/>
          <w:sz w:val="22"/>
          <w:szCs w:val="22"/>
        </w:rPr>
        <w:t>Em casos de identificação de não conformidade com os termos contratuais, os Fiscais da CONTRATANTE encaminharão ao Gestor do Contrato para que ele, por sua vez, tome as medidas pertinentes.</w:t>
      </w:r>
    </w:p>
    <w:p w14:paraId="3F4A205F">
      <w:pPr>
        <w:pStyle w:val="165"/>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18.10.10</w:t>
      </w:r>
      <w:r>
        <w:rPr>
          <w:rFonts w:hint="default" w:ascii="Arial" w:hAnsi="Arial" w:cs="Arial"/>
          <w:sz w:val="22"/>
          <w:szCs w:val="22"/>
          <w:lang w:val="pt-BR"/>
        </w:rPr>
        <w:t xml:space="preserve"> </w:t>
      </w:r>
      <w:r>
        <w:rPr>
          <w:rFonts w:hint="default" w:ascii="Arial" w:hAnsi="Arial" w:cs="Arial"/>
          <w:sz w:val="22"/>
          <w:szCs w:val="22"/>
        </w:rPr>
        <w:t>Após a emissão do Termo de Recebimento Definitivo, o Gestor autorizará, por escrito, a emissão da nota fiscal do produto pela CONTRATADA após a constatação de entrega efetiva da solução e apuração dos indicadores de níveis mínimos de qualidade.</w:t>
      </w:r>
    </w:p>
    <w:p w14:paraId="7B627240">
      <w:pPr>
        <w:pStyle w:val="165"/>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18.10.11</w:t>
      </w:r>
      <w:r>
        <w:rPr>
          <w:rFonts w:hint="default" w:ascii="Arial" w:hAnsi="Arial" w:cs="Arial"/>
          <w:sz w:val="22"/>
          <w:szCs w:val="22"/>
          <w:lang w:val="pt-BR"/>
        </w:rPr>
        <w:t xml:space="preserve"> </w:t>
      </w:r>
      <w:r>
        <w:rPr>
          <w:rFonts w:hint="default" w:ascii="Arial" w:hAnsi="Arial" w:cs="Arial"/>
          <w:sz w:val="22"/>
          <w:szCs w:val="22"/>
        </w:rPr>
        <w:t>Após emissão da nota fiscal, a área administrativa realizará a verificação das regularidades fiscais, trabalhistas e previdenciárias para fins de pagamento.</w:t>
      </w:r>
    </w:p>
    <w:p w14:paraId="0EE36F51">
      <w:pPr>
        <w:pStyle w:val="165"/>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18.10.12</w:t>
      </w:r>
      <w:r>
        <w:rPr>
          <w:rFonts w:hint="default" w:ascii="Arial" w:hAnsi="Arial" w:cs="Arial"/>
          <w:sz w:val="22"/>
          <w:szCs w:val="22"/>
          <w:lang w:val="pt-BR"/>
        </w:rPr>
        <w:t xml:space="preserve"> </w:t>
      </w:r>
      <w:r>
        <w:rPr>
          <w:rFonts w:hint="default" w:ascii="Arial" w:hAnsi="Arial" w:cs="Arial"/>
          <w:sz w:val="22"/>
          <w:szCs w:val="22"/>
        </w:rPr>
        <w:t>Durante a vigência do contrato existirão os seguintes papéis:</w:t>
      </w:r>
    </w:p>
    <w:p w14:paraId="5FBDE614">
      <w:pPr>
        <w:pStyle w:val="165"/>
        <w:keepNext w:val="0"/>
        <w:keepLines w:val="0"/>
        <w:pageBreakBefore w:val="0"/>
        <w:widowControl/>
        <w:numPr>
          <w:ilvl w:val="0"/>
          <w:numId w:val="16"/>
        </w:numPr>
        <w:tabs>
          <w:tab w:val="left" w:pos="1276"/>
          <w:tab w:val="clear" w:pos="420"/>
        </w:tabs>
        <w:kinsoku/>
        <w:wordWrap/>
        <w:overflowPunct/>
        <w:topLinePunct w:val="0"/>
        <w:autoSpaceDE/>
        <w:autoSpaceDN/>
        <w:bidi w:val="0"/>
        <w:adjustRightInd/>
        <w:snapToGrid/>
        <w:spacing w:line="360" w:lineRule="auto"/>
        <w:ind w:left="420" w:leftChars="0" w:hanging="420" w:firstLineChars="0"/>
        <w:jc w:val="both"/>
        <w:textAlignment w:val="auto"/>
        <w:rPr>
          <w:rFonts w:hint="default" w:ascii="Arial" w:hAnsi="Arial" w:cs="Arial"/>
          <w:sz w:val="22"/>
          <w:szCs w:val="22"/>
        </w:rPr>
      </w:pPr>
      <w:r>
        <w:rPr>
          <w:rFonts w:hint="default" w:ascii="Arial" w:hAnsi="Arial" w:cs="Arial"/>
          <w:sz w:val="22"/>
          <w:szCs w:val="22"/>
        </w:rPr>
        <w:t>Preposto: representante da contratada, responsável por acompanhar a execução do contrato e atuar como interlocutor principal junto à contratante, incumbido de receber, diligenciar, encaminhar e responder as principais questões técnicas, legais e administrativas referentes ao andamento contratual;</w:t>
      </w:r>
    </w:p>
    <w:p w14:paraId="76FCEF1A">
      <w:pPr>
        <w:pStyle w:val="165"/>
        <w:keepNext w:val="0"/>
        <w:keepLines w:val="0"/>
        <w:pageBreakBefore w:val="0"/>
        <w:widowControl/>
        <w:numPr>
          <w:ilvl w:val="0"/>
          <w:numId w:val="16"/>
        </w:numPr>
        <w:tabs>
          <w:tab w:val="left" w:pos="1276"/>
          <w:tab w:val="clear" w:pos="420"/>
        </w:tabs>
        <w:kinsoku/>
        <w:wordWrap/>
        <w:overflowPunct/>
        <w:topLinePunct w:val="0"/>
        <w:autoSpaceDE/>
        <w:autoSpaceDN/>
        <w:bidi w:val="0"/>
        <w:adjustRightInd/>
        <w:snapToGrid/>
        <w:spacing w:line="360" w:lineRule="auto"/>
        <w:ind w:left="420" w:leftChars="0" w:hanging="420" w:firstLineChars="0"/>
        <w:jc w:val="both"/>
        <w:textAlignment w:val="auto"/>
        <w:rPr>
          <w:rFonts w:hint="default" w:ascii="Arial" w:hAnsi="Arial" w:cs="Arial"/>
          <w:sz w:val="22"/>
          <w:szCs w:val="22"/>
        </w:rPr>
      </w:pPr>
      <w:r>
        <w:rPr>
          <w:rFonts w:hint="default" w:ascii="Arial" w:hAnsi="Arial" w:cs="Arial"/>
          <w:sz w:val="22"/>
          <w:szCs w:val="22"/>
        </w:rPr>
        <w:t>Fiscal Requisitante do Contrato: servidor representante da Área Requisitante da Solução, indicado pela autoridade competente dessa área para fiscalizar o contrato do ponto de vista funcional da Solução de Tecnologia da Informação;</w:t>
      </w:r>
    </w:p>
    <w:p w14:paraId="1378BA8C">
      <w:pPr>
        <w:pStyle w:val="165"/>
        <w:keepNext w:val="0"/>
        <w:keepLines w:val="0"/>
        <w:pageBreakBefore w:val="0"/>
        <w:widowControl/>
        <w:numPr>
          <w:ilvl w:val="0"/>
          <w:numId w:val="16"/>
        </w:numPr>
        <w:tabs>
          <w:tab w:val="left" w:pos="1276"/>
          <w:tab w:val="clear" w:pos="420"/>
        </w:tabs>
        <w:kinsoku/>
        <w:wordWrap/>
        <w:overflowPunct/>
        <w:topLinePunct w:val="0"/>
        <w:autoSpaceDE/>
        <w:autoSpaceDN/>
        <w:bidi w:val="0"/>
        <w:adjustRightInd/>
        <w:snapToGrid/>
        <w:spacing w:line="360" w:lineRule="auto"/>
        <w:ind w:left="420" w:leftChars="0" w:hanging="420" w:firstLineChars="0"/>
        <w:jc w:val="both"/>
        <w:textAlignment w:val="auto"/>
        <w:rPr>
          <w:rFonts w:hint="default" w:ascii="Arial" w:hAnsi="Arial" w:cs="Arial"/>
          <w:sz w:val="22"/>
          <w:szCs w:val="22"/>
        </w:rPr>
      </w:pPr>
      <w:r>
        <w:rPr>
          <w:rFonts w:hint="default" w:ascii="Arial" w:hAnsi="Arial" w:cs="Arial"/>
          <w:sz w:val="22"/>
          <w:szCs w:val="22"/>
        </w:rPr>
        <w:t>Fiscal Administrativo do Contrato: servidor representante da Área Administrativa, indicado pela autoridade competente dessa área para fiscalizar o contrato quanto aos aspectos administrativos;</w:t>
      </w:r>
    </w:p>
    <w:p w14:paraId="0EAA9A78">
      <w:pPr>
        <w:pStyle w:val="165"/>
        <w:keepNext w:val="0"/>
        <w:keepLines w:val="0"/>
        <w:pageBreakBefore w:val="0"/>
        <w:widowControl/>
        <w:numPr>
          <w:ilvl w:val="0"/>
          <w:numId w:val="16"/>
        </w:numPr>
        <w:tabs>
          <w:tab w:val="left" w:pos="1276"/>
          <w:tab w:val="clear" w:pos="420"/>
        </w:tabs>
        <w:kinsoku/>
        <w:wordWrap/>
        <w:overflowPunct/>
        <w:topLinePunct w:val="0"/>
        <w:autoSpaceDE/>
        <w:autoSpaceDN/>
        <w:bidi w:val="0"/>
        <w:adjustRightInd/>
        <w:snapToGrid/>
        <w:spacing w:line="360" w:lineRule="auto"/>
        <w:ind w:left="420" w:leftChars="0" w:hanging="420" w:firstLineChars="0"/>
        <w:jc w:val="both"/>
        <w:textAlignment w:val="auto"/>
        <w:rPr>
          <w:rFonts w:hint="default" w:ascii="Arial" w:hAnsi="Arial" w:cs="Arial"/>
          <w:sz w:val="22"/>
          <w:szCs w:val="22"/>
        </w:rPr>
      </w:pPr>
      <w:r>
        <w:rPr>
          <w:rFonts w:hint="default" w:ascii="Arial" w:hAnsi="Arial" w:cs="Arial"/>
          <w:sz w:val="22"/>
          <w:szCs w:val="22"/>
        </w:rPr>
        <w:t>Fiscal Técnico do Contrato: servidor representante da Área de Tecnologia da Informação, indicado pela autoridade competente dessa área para fiscalizar tecnicamente o contrato;</w:t>
      </w:r>
    </w:p>
    <w:p w14:paraId="51CAD155">
      <w:pPr>
        <w:pStyle w:val="165"/>
        <w:keepNext w:val="0"/>
        <w:keepLines w:val="0"/>
        <w:pageBreakBefore w:val="0"/>
        <w:widowControl/>
        <w:numPr>
          <w:ilvl w:val="0"/>
          <w:numId w:val="16"/>
        </w:numPr>
        <w:tabs>
          <w:tab w:val="left" w:pos="1276"/>
          <w:tab w:val="clear" w:pos="420"/>
        </w:tabs>
        <w:kinsoku/>
        <w:wordWrap/>
        <w:overflowPunct/>
        <w:topLinePunct w:val="0"/>
        <w:autoSpaceDE/>
        <w:autoSpaceDN/>
        <w:bidi w:val="0"/>
        <w:adjustRightInd/>
        <w:snapToGrid/>
        <w:spacing w:line="360" w:lineRule="auto"/>
        <w:ind w:left="420" w:leftChars="0" w:hanging="420" w:firstLineChars="0"/>
        <w:jc w:val="both"/>
        <w:textAlignment w:val="auto"/>
        <w:rPr>
          <w:rFonts w:hint="default" w:ascii="Arial" w:hAnsi="Arial" w:cs="Arial"/>
          <w:sz w:val="22"/>
          <w:szCs w:val="22"/>
        </w:rPr>
      </w:pPr>
      <w:r>
        <w:rPr>
          <w:rFonts w:hint="default" w:ascii="Arial" w:hAnsi="Arial" w:cs="Arial"/>
          <w:sz w:val="22"/>
          <w:szCs w:val="22"/>
        </w:rPr>
        <w:t>Gestor do Contrato: servidor com atribuições gerenciais, designado para coordenar e comandar o processo de gestão e fiscalização da execução contratual, indicado por autoridade competente;</w:t>
      </w:r>
    </w:p>
    <w:p w14:paraId="5B93B1A2">
      <w:pPr>
        <w:pStyle w:val="165"/>
        <w:keepNext w:val="0"/>
        <w:keepLines w:val="0"/>
        <w:pageBreakBefore w:val="0"/>
        <w:widowControl/>
        <w:numPr>
          <w:ilvl w:val="0"/>
          <w:numId w:val="16"/>
        </w:numPr>
        <w:tabs>
          <w:tab w:val="left" w:pos="1276"/>
          <w:tab w:val="clear" w:pos="420"/>
        </w:tabs>
        <w:kinsoku/>
        <w:wordWrap/>
        <w:overflowPunct/>
        <w:topLinePunct w:val="0"/>
        <w:autoSpaceDE/>
        <w:autoSpaceDN/>
        <w:bidi w:val="0"/>
        <w:adjustRightInd/>
        <w:snapToGrid/>
        <w:spacing w:line="360" w:lineRule="auto"/>
        <w:ind w:left="420" w:leftChars="0" w:hanging="420" w:firstLineChars="0"/>
        <w:jc w:val="both"/>
        <w:textAlignment w:val="auto"/>
        <w:rPr>
          <w:rFonts w:hint="default" w:ascii="Arial" w:hAnsi="Arial" w:cs="Arial"/>
          <w:b/>
          <w:bCs w:val="0"/>
          <w:sz w:val="22"/>
          <w:szCs w:val="22"/>
          <w:highlight w:val="yellow"/>
          <w:lang w:val="pt-BR"/>
        </w:rPr>
      </w:pPr>
      <w:r>
        <w:rPr>
          <w:rFonts w:hint="default" w:ascii="Arial" w:hAnsi="Arial" w:cs="Arial"/>
          <w:color w:val="auto"/>
          <w:sz w:val="22"/>
          <w:szCs w:val="22"/>
          <w:highlight w:val="none"/>
        </w:rPr>
        <w:t xml:space="preserve">Autoridade competente da área administrativa da PREFEITURA: Servidor superior hierarquicamente ao gestor da contratação, a qual cabe tomar decisões e providências que ultrapassem a competência do responsável, de acordo com o art. </w:t>
      </w:r>
      <w:r>
        <w:rPr>
          <w:rFonts w:hint="default" w:ascii="Arial" w:hAnsi="Arial" w:cs="Arial"/>
          <w:color w:val="auto"/>
          <w:sz w:val="22"/>
          <w:szCs w:val="22"/>
          <w:highlight w:val="none"/>
          <w:lang w:val="pt-BR"/>
        </w:rPr>
        <w:t>117</w:t>
      </w:r>
      <w:r>
        <w:rPr>
          <w:rFonts w:hint="default" w:ascii="Arial" w:hAnsi="Arial" w:cs="Arial"/>
          <w:color w:val="auto"/>
          <w:sz w:val="22"/>
          <w:szCs w:val="22"/>
          <w:highlight w:val="none"/>
        </w:rPr>
        <w:t xml:space="preserve">, §2°, da Lei </w:t>
      </w:r>
      <w:r>
        <w:rPr>
          <w:rFonts w:hint="default" w:ascii="Arial" w:hAnsi="Arial" w:cs="Arial"/>
          <w:color w:val="auto"/>
          <w:sz w:val="22"/>
          <w:szCs w:val="22"/>
          <w:highlight w:val="none"/>
          <w:lang w:val="pt-BR"/>
        </w:rPr>
        <w:t>14.133/21</w:t>
      </w:r>
      <w:r>
        <w:rPr>
          <w:rFonts w:hint="default" w:ascii="Arial" w:hAnsi="Arial" w:cs="Arial"/>
          <w:color w:val="auto"/>
          <w:sz w:val="22"/>
          <w:szCs w:val="22"/>
          <w:highlight w:val="none"/>
        </w:rPr>
        <w:t>.</w:t>
      </w:r>
    </w:p>
    <w:p w14:paraId="17127A9B">
      <w:pPr>
        <w:pStyle w:val="155"/>
        <w:spacing w:line="275" w:lineRule="exact"/>
        <w:ind w:left="414"/>
        <w:jc w:val="center"/>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DO FISCAL DO CONTRATO</w:t>
      </w:r>
    </w:p>
    <w:p w14:paraId="2A260C2A">
      <w:pPr>
        <w:numPr>
          <w:ilvl w:val="0"/>
          <w:numId w:val="0"/>
        </w:numPr>
        <w:ind w:leftChars="0"/>
        <w:jc w:val="center"/>
        <w:rPr>
          <w:rFonts w:hint="default" w:ascii="Arial" w:hAnsi="Arial" w:cs="Arial"/>
          <w:color w:val="000000"/>
          <w:sz w:val="22"/>
          <w:szCs w:val="22"/>
          <w:highlight w:val="green"/>
          <w:lang w:val="pt-BR"/>
        </w:rPr>
      </w:pP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73"/>
        <w:gridCol w:w="2995"/>
        <w:gridCol w:w="2952"/>
      </w:tblGrid>
      <w:tr w14:paraId="51080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61FE8543">
            <w:pPr>
              <w:numPr>
                <w:ilvl w:val="0"/>
                <w:numId w:val="0"/>
              </w:numPr>
              <w:jc w:val="center"/>
              <w:rPr>
                <w:rFonts w:hint="default" w:ascii="Arial" w:hAnsi="Arial" w:cs="Arial"/>
                <w:b/>
                <w:bCs/>
                <w:color w:val="000000" w:themeColor="text1"/>
                <w:sz w:val="22"/>
                <w:szCs w:val="22"/>
                <w:highlight w:val="none"/>
                <w:vertAlign w:val="baseline"/>
                <w:lang w:val="pt-BR"/>
                <w14:textFill>
                  <w14:solidFill>
                    <w14:schemeClr w14:val="tx1"/>
                  </w14:solidFill>
                </w14:textFill>
              </w:rPr>
            </w:pPr>
            <w:r>
              <w:rPr>
                <w:rFonts w:hint="default" w:ascii="Arial" w:hAnsi="Arial" w:cs="Arial"/>
                <w:b/>
                <w:bCs/>
                <w:color w:val="000000" w:themeColor="text1"/>
                <w:sz w:val="22"/>
                <w:szCs w:val="22"/>
                <w:highlight w:val="none"/>
                <w:vertAlign w:val="baseline"/>
                <w:lang w:val="pt-BR"/>
                <w14:textFill>
                  <w14:solidFill>
                    <w14:schemeClr w14:val="tx1"/>
                  </w14:solidFill>
                </w14:textFill>
              </w:rPr>
              <w:t>SECRETARIA</w:t>
            </w:r>
          </w:p>
        </w:tc>
        <w:tc>
          <w:tcPr>
            <w:tcW w:w="3204" w:type="dxa"/>
            <w:vAlign w:val="center"/>
          </w:tcPr>
          <w:p w14:paraId="121A6EA6">
            <w:pPr>
              <w:numPr>
                <w:ilvl w:val="0"/>
                <w:numId w:val="0"/>
              </w:numPr>
              <w:jc w:val="center"/>
              <w:rPr>
                <w:rFonts w:hint="default" w:ascii="Arial" w:hAnsi="Arial" w:cs="Arial"/>
                <w:b/>
                <w:bCs/>
                <w:color w:val="000000" w:themeColor="text1"/>
                <w:sz w:val="22"/>
                <w:szCs w:val="22"/>
                <w:highlight w:val="none"/>
                <w:vertAlign w:val="baseline"/>
                <w:lang w:val="pt-BR"/>
                <w14:textFill>
                  <w14:solidFill>
                    <w14:schemeClr w14:val="tx1"/>
                  </w14:solidFill>
                </w14:textFill>
              </w:rPr>
            </w:pPr>
            <w:r>
              <w:rPr>
                <w:rFonts w:hint="default" w:ascii="Arial" w:hAnsi="Arial" w:cs="Arial"/>
                <w:b/>
                <w:bCs/>
                <w:color w:val="000000" w:themeColor="text1"/>
                <w:sz w:val="22"/>
                <w:szCs w:val="22"/>
                <w:highlight w:val="none"/>
                <w:vertAlign w:val="baseline"/>
                <w:lang w:val="pt-BR"/>
                <w14:textFill>
                  <w14:solidFill>
                    <w14:schemeClr w14:val="tx1"/>
                  </w14:solidFill>
                </w14:textFill>
              </w:rPr>
              <w:t>FISCAL DO CONTRATO</w:t>
            </w:r>
          </w:p>
        </w:tc>
        <w:tc>
          <w:tcPr>
            <w:tcW w:w="3165" w:type="dxa"/>
            <w:vAlign w:val="center"/>
          </w:tcPr>
          <w:p w14:paraId="44CEA9BC">
            <w:pPr>
              <w:numPr>
                <w:ilvl w:val="0"/>
                <w:numId w:val="0"/>
              </w:numPr>
              <w:jc w:val="center"/>
              <w:rPr>
                <w:rFonts w:hint="default" w:ascii="Arial" w:hAnsi="Arial" w:cs="Arial"/>
                <w:b/>
                <w:bCs/>
                <w:color w:val="000000" w:themeColor="text1"/>
                <w:sz w:val="22"/>
                <w:szCs w:val="22"/>
                <w:highlight w:val="none"/>
                <w:vertAlign w:val="baseline"/>
                <w:lang w:val="pt-BR"/>
                <w14:textFill>
                  <w14:solidFill>
                    <w14:schemeClr w14:val="tx1"/>
                  </w14:solidFill>
                </w14:textFill>
              </w:rPr>
            </w:pPr>
            <w:r>
              <w:rPr>
                <w:rFonts w:hint="default" w:ascii="Arial" w:hAnsi="Arial" w:cs="Arial"/>
                <w:b/>
                <w:bCs/>
                <w:color w:val="000000" w:themeColor="text1"/>
                <w:sz w:val="22"/>
                <w:szCs w:val="22"/>
                <w:highlight w:val="none"/>
                <w:vertAlign w:val="baseline"/>
                <w:lang w:val="pt-BR"/>
                <w14:textFill>
                  <w14:solidFill>
                    <w14:schemeClr w14:val="tx1"/>
                  </w14:solidFill>
                </w14:textFill>
              </w:rPr>
              <w:t>SUPLENTE</w:t>
            </w:r>
          </w:p>
        </w:tc>
      </w:tr>
      <w:tr w14:paraId="41FD0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5" w:hRule="atLeast"/>
        </w:trPr>
        <w:tc>
          <w:tcPr>
            <w:tcW w:w="2872" w:type="dxa"/>
            <w:vAlign w:val="center"/>
          </w:tcPr>
          <w:p w14:paraId="28FF974F">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lang w:val="pt-BR" w:eastAsia="zh-CN" w:bidi="ar-SA"/>
                <w14:textFill>
                  <w14:solidFill>
                    <w14:schemeClr w14:val="tx1"/>
                  </w14:solidFill>
                </w14:textFill>
              </w:rPr>
              <w:t>SECRETARIA DE ADMINISTRAÇÃO E MODERNIZAÇÃO</w:t>
            </w:r>
          </w:p>
        </w:tc>
        <w:tc>
          <w:tcPr>
            <w:tcW w:w="3204" w:type="dxa"/>
            <w:vAlign w:val="center"/>
          </w:tcPr>
          <w:p w14:paraId="2DFA8BD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auto"/>
                <w:sz w:val="22"/>
                <w:szCs w:val="22"/>
                <w:highlight w:val="none"/>
              </w:rPr>
            </w:pPr>
            <w:r>
              <w:rPr>
                <w:rFonts w:hint="default" w:ascii="Arial" w:hAnsi="Arial" w:cs="Arial"/>
                <w:b w:val="0"/>
                <w:bCs/>
                <w:color w:val="auto"/>
                <w:sz w:val="22"/>
                <w:szCs w:val="22"/>
                <w:highlight w:val="none"/>
                <w:lang w:val="pt-BR"/>
              </w:rPr>
              <w:t>Fiscal</w:t>
            </w:r>
            <w:r>
              <w:rPr>
                <w:rFonts w:hint="default" w:ascii="Arial" w:hAnsi="Arial" w:cs="Arial"/>
                <w:b w:val="0"/>
                <w:bCs/>
                <w:color w:val="auto"/>
                <w:sz w:val="22"/>
                <w:szCs w:val="22"/>
                <w:highlight w:val="none"/>
              </w:rPr>
              <w:t xml:space="preserve">: </w:t>
            </w:r>
            <w:r>
              <w:rPr>
                <w:rFonts w:hint="default" w:ascii="Arial" w:hAnsi="Arial" w:cs="Arial"/>
                <w:b w:val="0"/>
                <w:bCs/>
                <w:color w:val="auto"/>
                <w:sz w:val="22"/>
                <w:szCs w:val="22"/>
                <w:highlight w:val="none"/>
                <w:lang w:val="pt-BR"/>
              </w:rPr>
              <w:t>Daniel José Sepi de Lima</w:t>
            </w:r>
            <w:r>
              <w:rPr>
                <w:rFonts w:hint="default" w:ascii="Arial" w:hAnsi="Arial" w:eastAsia="Times New Roman" w:cs="Arial"/>
                <w:b w:val="0"/>
                <w:bCs/>
                <w:color w:val="auto"/>
                <w:sz w:val="22"/>
                <w:szCs w:val="22"/>
                <w:highlight w:val="none"/>
              </w:rPr>
              <w:t xml:space="preserve"> </w:t>
            </w:r>
          </w:p>
          <w:p w14:paraId="112A4B7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auto"/>
                <w:sz w:val="22"/>
                <w:szCs w:val="22"/>
                <w:highlight w:val="none"/>
                <w:lang w:val="pt-BR"/>
              </w:rPr>
            </w:pPr>
            <w:r>
              <w:rPr>
                <w:rFonts w:hint="default" w:ascii="Arial" w:hAnsi="Arial" w:cs="Arial"/>
                <w:b w:val="0"/>
                <w:bCs/>
                <w:color w:val="auto"/>
                <w:sz w:val="22"/>
                <w:szCs w:val="22"/>
                <w:highlight w:val="none"/>
              </w:rPr>
              <w:t>Cargo:</w:t>
            </w:r>
            <w:r>
              <w:rPr>
                <w:rFonts w:hint="default" w:ascii="Arial" w:hAnsi="Arial" w:cs="Arial"/>
                <w:b w:val="0"/>
                <w:bCs/>
                <w:color w:val="auto"/>
                <w:sz w:val="22"/>
                <w:szCs w:val="22"/>
                <w:highlight w:val="none"/>
                <w:lang w:val="pt-BR"/>
              </w:rPr>
              <w:t xml:space="preserve"> Diretor de Gestão Digital</w:t>
            </w:r>
          </w:p>
          <w:p w14:paraId="4513E95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color w:val="auto"/>
                <w:sz w:val="22"/>
                <w:szCs w:val="22"/>
                <w:highlight w:val="none"/>
                <w:vertAlign w:val="baseline"/>
                <w:lang w:val="pt-BR"/>
              </w:rPr>
            </w:pPr>
            <w:r>
              <w:rPr>
                <w:rFonts w:hint="default" w:ascii="Arial" w:hAnsi="Arial" w:cs="Arial"/>
                <w:b w:val="0"/>
                <w:bCs/>
                <w:color w:val="auto"/>
                <w:sz w:val="22"/>
                <w:szCs w:val="22"/>
                <w:highlight w:val="none"/>
              </w:rPr>
              <w:t xml:space="preserve">Matrícula: </w:t>
            </w:r>
            <w:r>
              <w:rPr>
                <w:rFonts w:hint="default" w:ascii="Arial" w:hAnsi="Arial" w:cs="Arial"/>
                <w:b w:val="0"/>
                <w:bCs/>
                <w:color w:val="auto"/>
                <w:sz w:val="22"/>
                <w:szCs w:val="22"/>
                <w:highlight w:val="none"/>
                <w:lang w:val="pt-BR"/>
              </w:rPr>
              <w:t>7230-1</w:t>
            </w:r>
          </w:p>
        </w:tc>
        <w:tc>
          <w:tcPr>
            <w:tcW w:w="3165" w:type="dxa"/>
            <w:vAlign w:val="center"/>
          </w:tcPr>
          <w:p w14:paraId="7F8F1A6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auto"/>
                <w:sz w:val="22"/>
                <w:szCs w:val="22"/>
                <w:highlight w:val="none"/>
                <w:lang w:val="pt-BR"/>
              </w:rPr>
            </w:pPr>
            <w:r>
              <w:rPr>
                <w:rFonts w:hint="default" w:ascii="Arial" w:hAnsi="Arial" w:cs="Arial"/>
                <w:b w:val="0"/>
                <w:bCs/>
                <w:color w:val="auto"/>
                <w:sz w:val="22"/>
                <w:szCs w:val="22"/>
                <w:highlight w:val="none"/>
                <w:lang w:val="pt-BR"/>
              </w:rPr>
              <w:t>Suplente</w:t>
            </w:r>
            <w:r>
              <w:rPr>
                <w:rFonts w:hint="default" w:ascii="Arial" w:hAnsi="Arial" w:cs="Arial"/>
                <w:b w:val="0"/>
                <w:bCs/>
                <w:color w:val="auto"/>
                <w:sz w:val="22"/>
                <w:szCs w:val="22"/>
                <w:highlight w:val="none"/>
              </w:rPr>
              <w:t xml:space="preserve">: </w:t>
            </w:r>
            <w:r>
              <w:rPr>
                <w:rFonts w:hint="default" w:ascii="Arial" w:hAnsi="Arial" w:cs="Arial"/>
                <w:b w:val="0"/>
                <w:bCs/>
                <w:color w:val="auto"/>
                <w:sz w:val="22"/>
                <w:szCs w:val="22"/>
                <w:highlight w:val="none"/>
                <w:lang w:val="pt-BR"/>
              </w:rPr>
              <w:t>Luis Fernando de Oliveira Gomes</w:t>
            </w:r>
          </w:p>
          <w:p w14:paraId="73C5FB0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auto"/>
                <w:sz w:val="22"/>
                <w:szCs w:val="22"/>
                <w:highlight w:val="none"/>
                <w:lang w:val="pt-BR"/>
              </w:rPr>
            </w:pPr>
            <w:r>
              <w:rPr>
                <w:rFonts w:hint="default" w:ascii="Arial" w:hAnsi="Arial" w:cs="Arial"/>
                <w:b w:val="0"/>
                <w:bCs/>
                <w:color w:val="auto"/>
                <w:sz w:val="22"/>
                <w:szCs w:val="22"/>
                <w:highlight w:val="none"/>
              </w:rPr>
              <w:t>Cargo:</w:t>
            </w:r>
            <w:r>
              <w:rPr>
                <w:rFonts w:hint="default" w:ascii="Arial" w:hAnsi="Arial" w:cs="Arial"/>
                <w:b w:val="0"/>
                <w:bCs/>
                <w:color w:val="auto"/>
                <w:sz w:val="22"/>
                <w:szCs w:val="22"/>
                <w:highlight w:val="none"/>
                <w:lang w:val="pt-BR"/>
              </w:rPr>
              <w:t xml:space="preserve"> Gerente II</w:t>
            </w:r>
          </w:p>
          <w:p w14:paraId="7EB5A7C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color w:val="auto"/>
                <w:sz w:val="22"/>
                <w:szCs w:val="22"/>
                <w:highlight w:val="none"/>
                <w:vertAlign w:val="baseline"/>
                <w:lang w:val="pt-BR"/>
              </w:rPr>
            </w:pPr>
            <w:r>
              <w:rPr>
                <w:rFonts w:hint="default" w:ascii="Arial" w:hAnsi="Arial" w:cs="Arial"/>
                <w:b w:val="0"/>
                <w:bCs/>
                <w:color w:val="auto"/>
                <w:sz w:val="22"/>
                <w:szCs w:val="22"/>
                <w:highlight w:val="none"/>
              </w:rPr>
              <w:t xml:space="preserve">Matrícula: </w:t>
            </w:r>
            <w:r>
              <w:rPr>
                <w:rFonts w:hint="default" w:ascii="Arial" w:hAnsi="Arial" w:cs="Arial"/>
                <w:b w:val="0"/>
                <w:bCs/>
                <w:color w:val="auto"/>
                <w:sz w:val="22"/>
                <w:szCs w:val="22"/>
                <w:highlight w:val="none"/>
                <w:lang w:val="pt-BR"/>
              </w:rPr>
              <w:t>15831-1</w:t>
            </w:r>
          </w:p>
        </w:tc>
      </w:tr>
    </w:tbl>
    <w:p w14:paraId="6E1BC379">
      <w:pPr>
        <w:pStyle w:val="154"/>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sz w:val="22"/>
          <w:szCs w:val="22"/>
          <w:lang w:val="pt-BR"/>
        </w:rPr>
      </w:pPr>
    </w:p>
    <w:bookmarkEnd w:id="56"/>
    <w:p w14:paraId="0FE1469F">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ascii="Arial" w:hAnsi="Arial" w:cs="Arial"/>
          <w:b/>
          <w:sz w:val="22"/>
          <w:szCs w:val="22"/>
        </w:rPr>
      </w:pPr>
      <w:r>
        <w:rPr>
          <w:rFonts w:hint="default" w:ascii="Arial" w:hAnsi="Arial" w:cs="Arial"/>
          <w:b/>
          <w:sz w:val="22"/>
          <w:szCs w:val="22"/>
          <w:lang w:val="pt-BR"/>
        </w:rPr>
        <w:t xml:space="preserve">19. </w:t>
      </w:r>
      <w:r>
        <w:rPr>
          <w:rFonts w:ascii="Arial" w:hAnsi="Arial" w:cs="Arial"/>
          <w:b/>
          <w:sz w:val="22"/>
          <w:szCs w:val="22"/>
        </w:rPr>
        <w:t>DAS DISPOSIÇ</w:t>
      </w:r>
      <w:r>
        <w:rPr>
          <w:rFonts w:hint="default" w:ascii="Arial" w:hAnsi="Arial" w:cs="Arial"/>
          <w:b/>
          <w:sz w:val="22"/>
          <w:szCs w:val="22"/>
          <w:lang w:val="pt-BR"/>
        </w:rPr>
        <w:t>Õ</w:t>
      </w:r>
      <w:r>
        <w:rPr>
          <w:rFonts w:ascii="Arial" w:hAnsi="Arial" w:cs="Arial"/>
          <w:b/>
          <w:sz w:val="22"/>
          <w:szCs w:val="22"/>
        </w:rPr>
        <w:t>ES FINAIS</w:t>
      </w:r>
    </w:p>
    <w:p w14:paraId="1F3C1DD9">
      <w:pPr>
        <w:spacing w:before="240" w:after="240" w:line="360" w:lineRule="auto"/>
        <w:jc w:val="both"/>
        <w:rPr>
          <w:rFonts w:ascii="Arial" w:hAnsi="Arial" w:cs="Arial"/>
          <w:color w:val="000000"/>
          <w:sz w:val="22"/>
          <w:szCs w:val="22"/>
        </w:rPr>
      </w:pPr>
      <w:r>
        <w:rPr>
          <w:rFonts w:hint="default" w:ascii="Arial" w:hAnsi="Arial" w:cs="Arial"/>
          <w:b/>
          <w:color w:val="000000"/>
          <w:sz w:val="22"/>
          <w:szCs w:val="22"/>
          <w:lang w:val="pt-BR"/>
        </w:rPr>
        <w:t>19</w:t>
      </w:r>
      <w:r>
        <w:rPr>
          <w:rFonts w:ascii="Arial" w:hAnsi="Arial" w:cs="Arial"/>
          <w:b/>
          <w:color w:val="000000"/>
          <w:sz w:val="22"/>
          <w:szCs w:val="22"/>
        </w:rPr>
        <w:t>.</w:t>
      </w:r>
      <w:r>
        <w:rPr>
          <w:rFonts w:hint="default" w:ascii="Arial" w:hAnsi="Arial" w:cs="Arial"/>
          <w:b/>
          <w:color w:val="000000"/>
          <w:sz w:val="22"/>
          <w:szCs w:val="22"/>
          <w:lang w:val="pt-BR"/>
        </w:rPr>
        <w:t>1</w:t>
      </w:r>
      <w:r>
        <w:rPr>
          <w:rFonts w:ascii="Arial" w:hAnsi="Arial" w:cs="Arial"/>
          <w:b/>
          <w:color w:val="000000"/>
          <w:sz w:val="22"/>
          <w:szCs w:val="22"/>
        </w:rPr>
        <w:t>.</w:t>
      </w:r>
      <w:r>
        <w:rPr>
          <w:rFonts w:ascii="Arial" w:hAnsi="Arial" w:cs="Arial"/>
          <w:color w:val="000000"/>
          <w:sz w:val="22"/>
          <w:szCs w:val="22"/>
        </w:rPr>
        <w:t xml:space="preserve"> O resultado da licitação será lavrado em </w:t>
      </w:r>
      <w:r>
        <w:rPr>
          <w:rFonts w:hint="default" w:ascii="Arial" w:hAnsi="Arial" w:cs="Arial"/>
          <w:color w:val="000000"/>
          <w:sz w:val="22"/>
          <w:szCs w:val="22"/>
          <w:lang w:val="pt-BR"/>
        </w:rPr>
        <w:t>a</w:t>
      </w:r>
      <w:r>
        <w:rPr>
          <w:rFonts w:ascii="Arial" w:hAnsi="Arial" w:cs="Arial"/>
          <w:color w:val="000000"/>
          <w:sz w:val="22"/>
          <w:szCs w:val="22"/>
        </w:rPr>
        <w:t>ta</w:t>
      </w:r>
      <w:r>
        <w:rPr>
          <w:rFonts w:hint="default" w:ascii="Arial" w:hAnsi="Arial" w:cs="Arial"/>
          <w:color w:val="000000"/>
          <w:sz w:val="22"/>
          <w:szCs w:val="22"/>
          <w:lang w:val="pt-BR"/>
        </w:rPr>
        <w:t xml:space="preserve"> da sessão pública do sistema eletrônico</w:t>
      </w:r>
      <w:r>
        <w:rPr>
          <w:rFonts w:ascii="Arial" w:hAnsi="Arial" w:cs="Arial"/>
          <w:color w:val="000000"/>
          <w:sz w:val="22"/>
          <w:szCs w:val="22"/>
        </w:rPr>
        <w:t>, a qual será assinada pelo Pregoeiro e Equipe de Apoio.</w:t>
      </w:r>
    </w:p>
    <w:p w14:paraId="7CD475BE">
      <w:pPr>
        <w:pStyle w:val="134"/>
        <w:numPr>
          <w:ilvl w:val="0"/>
          <w:numId w:val="0"/>
        </w:numPr>
        <w:tabs>
          <w:tab w:val="left" w:pos="480"/>
        </w:tabs>
        <w:spacing w:line="360" w:lineRule="auto"/>
        <w:ind w:leftChars="0"/>
        <w:rPr>
          <w:sz w:val="22"/>
          <w:szCs w:val="22"/>
        </w:rPr>
      </w:pPr>
      <w:r>
        <w:rPr>
          <w:rFonts w:hint="default"/>
          <w:b/>
          <w:bCs/>
          <w:sz w:val="22"/>
          <w:szCs w:val="22"/>
          <w:lang w:val="pt-BR"/>
        </w:rPr>
        <w:t>19.2.</w:t>
      </w:r>
      <w:r>
        <w:rPr>
          <w:rFonts w:hint="default"/>
          <w:sz w:val="22"/>
          <w:szCs w:val="22"/>
          <w:lang w:val="pt-BR"/>
        </w:rPr>
        <w:t xml:space="preserve"> </w:t>
      </w:r>
      <w:r>
        <w:rPr>
          <w:sz w:val="22"/>
          <w:szCs w:val="22"/>
        </w:rPr>
        <w:t>Todas as referências de tempo no Edital, no aviso e durante a sessão pública observarão o horário de Brasília</w:t>
      </w:r>
      <w:r>
        <w:rPr>
          <w:rFonts w:hint="default"/>
          <w:sz w:val="22"/>
          <w:szCs w:val="22"/>
          <w:lang w:val="pt-BR"/>
        </w:rPr>
        <w:t>/</w:t>
      </w:r>
      <w:r>
        <w:rPr>
          <w:sz w:val="22"/>
          <w:szCs w:val="22"/>
        </w:rPr>
        <w:t>DF.</w:t>
      </w:r>
    </w:p>
    <w:p w14:paraId="44DADEFE">
      <w:pPr>
        <w:pStyle w:val="134"/>
        <w:numPr>
          <w:ilvl w:val="0"/>
          <w:numId w:val="0"/>
        </w:numPr>
        <w:spacing w:line="360" w:lineRule="auto"/>
        <w:ind w:leftChars="0"/>
        <w:rPr>
          <w:sz w:val="22"/>
          <w:szCs w:val="22"/>
        </w:rPr>
      </w:pPr>
      <w:r>
        <w:rPr>
          <w:rFonts w:hint="default"/>
          <w:b/>
          <w:bCs/>
          <w:sz w:val="22"/>
          <w:szCs w:val="22"/>
          <w:lang w:val="pt-BR"/>
        </w:rPr>
        <w:t xml:space="preserve">19.3. </w:t>
      </w:r>
      <w:r>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2066C7A">
      <w:pPr>
        <w:pStyle w:val="134"/>
        <w:numPr>
          <w:ilvl w:val="0"/>
          <w:numId w:val="0"/>
        </w:numPr>
        <w:spacing w:line="360" w:lineRule="auto"/>
        <w:ind w:leftChars="0"/>
        <w:rPr>
          <w:sz w:val="22"/>
          <w:szCs w:val="22"/>
        </w:rPr>
      </w:pPr>
      <w:r>
        <w:rPr>
          <w:rFonts w:hint="default"/>
          <w:b/>
          <w:bCs/>
          <w:sz w:val="22"/>
          <w:szCs w:val="22"/>
          <w:lang w:val="pt-BR"/>
        </w:rPr>
        <w:t xml:space="preserve">19.4. </w:t>
      </w:r>
      <w:r>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AF315EC">
      <w:pPr>
        <w:pStyle w:val="134"/>
        <w:numPr>
          <w:ilvl w:val="0"/>
          <w:numId w:val="0"/>
        </w:numPr>
        <w:spacing w:line="360" w:lineRule="auto"/>
        <w:ind w:leftChars="0"/>
        <w:rPr>
          <w:sz w:val="22"/>
          <w:szCs w:val="22"/>
        </w:rPr>
      </w:pPr>
      <w:r>
        <w:rPr>
          <w:rFonts w:hint="default"/>
          <w:b/>
          <w:bCs/>
          <w:sz w:val="22"/>
          <w:szCs w:val="22"/>
          <w:lang w:val="pt-BR"/>
        </w:rPr>
        <w:t xml:space="preserve">19.5. </w:t>
      </w:r>
      <w:r>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AC2377E">
      <w:pPr>
        <w:pStyle w:val="134"/>
        <w:numPr>
          <w:ilvl w:val="0"/>
          <w:numId w:val="0"/>
        </w:numPr>
        <w:spacing w:line="360" w:lineRule="auto"/>
        <w:ind w:leftChars="0"/>
        <w:rPr>
          <w:sz w:val="22"/>
          <w:szCs w:val="22"/>
        </w:rPr>
      </w:pPr>
      <w:r>
        <w:rPr>
          <w:rFonts w:hint="default"/>
          <w:b/>
          <w:bCs/>
          <w:sz w:val="22"/>
          <w:szCs w:val="22"/>
          <w:lang w:val="pt-BR"/>
        </w:rPr>
        <w:t xml:space="preserve">19.6. </w:t>
      </w:r>
      <w:r>
        <w:rPr>
          <w:sz w:val="22"/>
          <w:szCs w:val="22"/>
        </w:rPr>
        <w:t>Na contagem dos prazos estabelecidos neste Edital e seus Anexos, excluir-se-á o dia do início e incluir-se-á o do vencimento. Só se iniciam e vencem os prazos em dias de expediente na Administração.</w:t>
      </w:r>
    </w:p>
    <w:p w14:paraId="1E350273">
      <w:pPr>
        <w:pStyle w:val="134"/>
        <w:numPr>
          <w:ilvl w:val="0"/>
          <w:numId w:val="0"/>
        </w:numPr>
        <w:spacing w:line="360" w:lineRule="auto"/>
        <w:ind w:leftChars="0"/>
        <w:rPr>
          <w:sz w:val="22"/>
          <w:szCs w:val="22"/>
        </w:rPr>
      </w:pPr>
      <w:r>
        <w:rPr>
          <w:rFonts w:hint="default"/>
          <w:b/>
          <w:bCs/>
          <w:sz w:val="22"/>
          <w:szCs w:val="22"/>
          <w:lang w:val="pt-BR"/>
        </w:rPr>
        <w:t xml:space="preserve">19.7. </w:t>
      </w:r>
      <w:r>
        <w:rPr>
          <w:sz w:val="22"/>
          <w:szCs w:val="22"/>
        </w:rPr>
        <w:t>O desatendimento de exigências formais não essenciais não importará o afastamento do licitante, desde que seja possível o aproveitamento do ato, observados os princípios da isonomia e do interesse público.</w:t>
      </w:r>
    </w:p>
    <w:p w14:paraId="43027777">
      <w:pPr>
        <w:pStyle w:val="134"/>
        <w:numPr>
          <w:ilvl w:val="0"/>
          <w:numId w:val="0"/>
        </w:numPr>
        <w:spacing w:line="360" w:lineRule="auto"/>
        <w:ind w:leftChars="0"/>
        <w:rPr>
          <w:sz w:val="22"/>
          <w:szCs w:val="22"/>
        </w:rPr>
      </w:pPr>
      <w:r>
        <w:rPr>
          <w:rFonts w:hint="default"/>
          <w:b/>
          <w:bCs/>
          <w:sz w:val="22"/>
          <w:szCs w:val="22"/>
          <w:lang w:val="pt-BR"/>
        </w:rPr>
        <w:t xml:space="preserve">19.8. </w:t>
      </w:r>
      <w:r>
        <w:rPr>
          <w:sz w:val="22"/>
          <w:szCs w:val="22"/>
        </w:rPr>
        <w:t xml:space="preserve">Em caso de divergência entre disposições deste Edital e de seus </w:t>
      </w:r>
      <w:r>
        <w:rPr>
          <w:rFonts w:hint="default"/>
          <w:sz w:val="22"/>
          <w:szCs w:val="22"/>
          <w:lang w:val="pt-BR"/>
        </w:rPr>
        <w:t>A</w:t>
      </w:r>
      <w:r>
        <w:rPr>
          <w:sz w:val="22"/>
          <w:szCs w:val="22"/>
        </w:rPr>
        <w:t>nexos ou demais peças que compõem o processo, prevalecerá as deste Edital.</w:t>
      </w:r>
    </w:p>
    <w:p w14:paraId="0FFA329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9.</w:t>
      </w:r>
      <w:r>
        <w:rPr>
          <w:rFonts w:hint="default" w:ascii="Arial" w:hAnsi="Arial" w:cs="Arial"/>
          <w:sz w:val="22"/>
          <w:szCs w:val="22"/>
        </w:rPr>
        <w:t xml:space="preserve"> É facultado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796A5C9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sz w:val="22"/>
          <w:szCs w:val="22"/>
        </w:rPr>
      </w:pPr>
      <w:r>
        <w:rPr>
          <w:rFonts w:hint="default" w:ascii="Arial" w:hAnsi="Arial" w:eastAsia="Arial" w:cs="Arial"/>
          <w:b/>
          <w:bCs/>
          <w:color w:val="000000"/>
          <w:sz w:val="22"/>
          <w:szCs w:val="22"/>
        </w:rPr>
        <w:t>19.</w:t>
      </w:r>
      <w:r>
        <w:rPr>
          <w:rFonts w:hint="default" w:ascii="Arial" w:hAnsi="Arial" w:eastAsia="Arial" w:cs="Arial"/>
          <w:b/>
          <w:bCs/>
          <w:color w:val="000000"/>
          <w:sz w:val="22"/>
          <w:szCs w:val="22"/>
          <w:lang w:val="pt-BR"/>
        </w:rPr>
        <w:t>10.</w:t>
      </w:r>
      <w:r>
        <w:rPr>
          <w:rFonts w:hint="default" w:ascii="Arial" w:hAnsi="Arial" w:eastAsia="Arial" w:cs="Arial"/>
          <w:color w:val="000000"/>
          <w:sz w:val="22"/>
          <w:szCs w:val="22"/>
        </w:rPr>
        <w:t xml:space="preserve"> A homologação do resultado desta licitação será feita pela Autoridade Superior.</w:t>
      </w:r>
    </w:p>
    <w:p w14:paraId="502F381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11.</w:t>
      </w:r>
      <w:r>
        <w:rPr>
          <w:rFonts w:hint="default" w:ascii="Arial" w:hAnsi="Arial" w:cs="Arial"/>
          <w:sz w:val="22"/>
          <w:szCs w:val="22"/>
        </w:rPr>
        <w:t xml:space="preserve"> A Autoridade Superior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042628D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12.</w:t>
      </w:r>
      <w:r>
        <w:rPr>
          <w:rFonts w:hint="default" w:ascii="Arial" w:hAnsi="Arial" w:cs="Arial"/>
          <w:sz w:val="22"/>
          <w:szCs w:val="22"/>
        </w:rPr>
        <w:t xml:space="preserve"> As licitantes não terão direito à indenização em decorrência da anulação do procedimento licitatório, ressalvado o direito do contratado de boa-fé de ser ressarcido pelos encargos que tiver suportado no cumprimento das obrigações constantes </w:t>
      </w:r>
      <w:r>
        <w:rPr>
          <w:rFonts w:hint="default" w:ascii="Arial" w:hAnsi="Arial" w:cs="Arial"/>
          <w:sz w:val="22"/>
          <w:szCs w:val="22"/>
          <w:lang w:val="pt-BR"/>
        </w:rPr>
        <w:t>n</w:t>
      </w:r>
      <w:r>
        <w:rPr>
          <w:rFonts w:hint="default" w:ascii="Arial" w:hAnsi="Arial" w:cs="Arial"/>
          <w:color w:val="auto"/>
          <w:sz w:val="22"/>
          <w:szCs w:val="22"/>
          <w:lang w:val="pt-BR"/>
        </w:rPr>
        <w:t>o Contrato</w:t>
      </w:r>
      <w:r>
        <w:rPr>
          <w:rFonts w:hint="default" w:ascii="Arial" w:hAnsi="Arial" w:cs="Arial"/>
          <w:sz w:val="22"/>
          <w:szCs w:val="22"/>
        </w:rPr>
        <w:t xml:space="preserve">. </w:t>
      </w:r>
    </w:p>
    <w:p w14:paraId="5B436AE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b/>
          <w:bCs/>
          <w:color w:val="000000"/>
          <w:sz w:val="22"/>
          <w:szCs w:val="22"/>
        </w:rPr>
      </w:pPr>
      <w:r>
        <w:rPr>
          <w:rFonts w:hint="default" w:ascii="Arial" w:hAnsi="Arial" w:cs="Arial"/>
          <w:b/>
          <w:bCs/>
          <w:sz w:val="22"/>
          <w:szCs w:val="22"/>
        </w:rPr>
        <w:t>19.</w:t>
      </w:r>
      <w:r>
        <w:rPr>
          <w:rFonts w:hint="default" w:ascii="Arial" w:hAnsi="Arial" w:cs="Arial"/>
          <w:b/>
          <w:bCs/>
          <w:sz w:val="22"/>
          <w:szCs w:val="22"/>
          <w:lang w:val="pt-BR"/>
        </w:rPr>
        <w:t>13.</w:t>
      </w:r>
      <w:r>
        <w:rPr>
          <w:rFonts w:hint="default" w:ascii="Arial" w:hAnsi="Arial" w:cs="Arial"/>
          <w:sz w:val="22"/>
          <w:szCs w:val="22"/>
        </w:rPr>
        <w:t xml:space="preserve"> As licitantes são responsáveis pela fidelidade e legitimidade das informações e dos documentos apresentados em qualquer fase da licitação, assumindo ainda, todos os custos de preparação e apresentação de sua proposta, uma vez que o Município não será, em nenhum caso, responsável por esses custos, independentemente da condução ou do resultado do processo licitatório.</w:t>
      </w:r>
    </w:p>
    <w:p w14:paraId="58356DBF">
      <w:pPr>
        <w:pStyle w:val="134"/>
        <w:numPr>
          <w:ilvl w:val="0"/>
          <w:numId w:val="0"/>
        </w:numPr>
        <w:spacing w:line="360" w:lineRule="auto"/>
        <w:ind w:leftChars="0"/>
        <w:rPr>
          <w:rFonts w:hint="default" w:ascii="Arial" w:hAnsi="Arial" w:eastAsia="Times New Roman" w:cs="Arial"/>
          <w:sz w:val="22"/>
          <w:szCs w:val="22"/>
          <w:lang w:val="pt-BR"/>
        </w:rPr>
      </w:pPr>
      <w:r>
        <w:rPr>
          <w:rFonts w:hint="default"/>
          <w:b/>
          <w:bCs/>
          <w:sz w:val="22"/>
          <w:szCs w:val="22"/>
          <w:lang w:val="pt-BR"/>
        </w:rPr>
        <w:t xml:space="preserve">19.14. </w:t>
      </w:r>
      <w:r>
        <w:rPr>
          <w:rFonts w:hint="default" w:ascii="Arial" w:hAnsi="Arial" w:cs="Arial"/>
          <w:sz w:val="22"/>
          <w:szCs w:val="22"/>
        </w:rPr>
        <w:t xml:space="preserve">O Edital e seus </w:t>
      </w:r>
      <w:r>
        <w:rPr>
          <w:rFonts w:hint="default" w:ascii="Arial" w:hAnsi="Arial" w:cs="Arial"/>
          <w:sz w:val="22"/>
          <w:szCs w:val="22"/>
          <w:lang w:val="pt-BR"/>
        </w:rPr>
        <w:t>A</w:t>
      </w:r>
      <w:r>
        <w:rPr>
          <w:rFonts w:hint="default" w:ascii="Arial" w:hAnsi="Arial" w:cs="Arial"/>
          <w:sz w:val="22"/>
          <w:szCs w:val="22"/>
        </w:rPr>
        <w:t>nexos estão disponíveis, na íntegra, no Portal Nacional de Contratações Públicas (PNCP)</w:t>
      </w:r>
      <w:r>
        <w:rPr>
          <w:rFonts w:hint="default" w:ascii="Arial" w:hAnsi="Arial" w:cs="Arial"/>
          <w:sz w:val="22"/>
          <w:szCs w:val="22"/>
          <w:lang w:val="pt-BR"/>
        </w:rPr>
        <w:t xml:space="preserve">, no endereço eletrônico </w:t>
      </w:r>
      <w:r>
        <w:rPr>
          <w:rFonts w:hint="default" w:ascii="Arial" w:hAnsi="Arial" w:cs="Arial"/>
          <w:b w:val="0"/>
          <w:bCs w:val="0"/>
          <w:color w:val="auto"/>
          <w:sz w:val="22"/>
          <w:szCs w:val="22"/>
          <w:u w:val="single"/>
          <w:lang w:val="pt-BR"/>
        </w:rPr>
        <w:fldChar w:fldCharType="begin"/>
      </w:r>
      <w:r>
        <w:rPr>
          <w:rFonts w:hint="default" w:ascii="Arial" w:hAnsi="Arial" w:cs="Arial"/>
          <w:b w:val="0"/>
          <w:bCs w:val="0"/>
          <w:color w:val="auto"/>
          <w:sz w:val="22"/>
          <w:szCs w:val="22"/>
          <w:u w:val="single"/>
          <w:lang w:val="pt-BR"/>
        </w:rPr>
        <w:instrText xml:space="preserve"> HYPERLINK "http://www.gov.br/pncp/pt-br" </w:instrText>
      </w:r>
      <w:r>
        <w:rPr>
          <w:rFonts w:hint="default" w:ascii="Arial" w:hAnsi="Arial" w:cs="Arial"/>
          <w:b w:val="0"/>
          <w:bCs w:val="0"/>
          <w:color w:val="auto"/>
          <w:sz w:val="22"/>
          <w:szCs w:val="22"/>
          <w:u w:val="single"/>
          <w:lang w:val="pt-BR"/>
        </w:rPr>
        <w:fldChar w:fldCharType="separate"/>
      </w:r>
      <w:r>
        <w:rPr>
          <w:rStyle w:val="15"/>
          <w:rFonts w:hint="default" w:ascii="Arial" w:hAnsi="Arial" w:cs="Arial"/>
          <w:b w:val="0"/>
          <w:bCs w:val="0"/>
          <w:sz w:val="22"/>
          <w:szCs w:val="22"/>
          <w:lang w:val="pt-BR"/>
        </w:rPr>
        <w:t>www.gov.br/pncp/pt-br</w:t>
      </w:r>
      <w:r>
        <w:rPr>
          <w:rFonts w:hint="default" w:ascii="Arial" w:hAnsi="Arial" w:cs="Arial"/>
          <w:b w:val="0"/>
          <w:bCs w:val="0"/>
          <w:color w:val="auto"/>
          <w:sz w:val="22"/>
          <w:szCs w:val="22"/>
          <w:u w:val="single"/>
          <w:lang w:val="pt-BR"/>
        </w:rPr>
        <w:fldChar w:fldCharType="end"/>
      </w:r>
      <w:r>
        <w:rPr>
          <w:rFonts w:hint="default" w:ascii="Arial" w:hAnsi="Arial" w:cs="Arial"/>
          <w:b w:val="0"/>
          <w:bCs w:val="0"/>
          <w:color w:val="auto"/>
          <w:sz w:val="22"/>
          <w:szCs w:val="22"/>
          <w:u w:val="single"/>
          <w:lang w:val="pt-BR"/>
        </w:rPr>
        <w:t>,</w:t>
      </w:r>
      <w:r>
        <w:rPr>
          <w:rFonts w:hint="default" w:ascii="Arial" w:hAnsi="Arial" w:cs="Arial"/>
          <w:b w:val="0"/>
          <w:bCs w:val="0"/>
          <w:color w:val="auto"/>
          <w:sz w:val="22"/>
          <w:szCs w:val="22"/>
          <w:u w:val="none"/>
          <w:lang w:val="pt-BR"/>
        </w:rPr>
        <w:t xml:space="preserve"> no Portal de Compras Públicas, no endereço</w:t>
      </w:r>
      <w:r>
        <w:rPr>
          <w:rFonts w:hint="default" w:ascii="Arial" w:hAnsi="Arial" w:cs="Arial"/>
          <w:sz w:val="22"/>
          <w:szCs w:val="22"/>
        </w:rPr>
        <w:t xml:space="preserve"> eletrônico </w:t>
      </w:r>
      <w:r>
        <w:rPr>
          <w:rFonts w:hint="default" w:ascii="Arial" w:hAnsi="Arial" w:cs="Arial"/>
          <w:bCs/>
          <w:iCs/>
          <w:snapToGrid w:val="0"/>
          <w:color w:val="000000"/>
          <w:sz w:val="22"/>
          <w:szCs w:val="22"/>
        </w:rPr>
        <w:fldChar w:fldCharType="begin"/>
      </w:r>
      <w:r>
        <w:rPr>
          <w:rFonts w:hint="default" w:ascii="Arial" w:hAnsi="Arial" w:cs="Arial"/>
          <w:bCs/>
          <w:iCs/>
          <w:snapToGrid w:val="0"/>
          <w:color w:val="000000"/>
          <w:sz w:val="22"/>
          <w:szCs w:val="22"/>
        </w:rPr>
        <w:instrText xml:space="preserve"> HYPERLINK "http://www.portaldecompraspublicas.com.br" </w:instrText>
      </w:r>
      <w:r>
        <w:rPr>
          <w:rFonts w:hint="default" w:ascii="Arial" w:hAnsi="Arial" w:cs="Arial"/>
          <w:bCs/>
          <w:iCs/>
          <w:snapToGrid w:val="0"/>
          <w:color w:val="000000"/>
          <w:sz w:val="22"/>
          <w:szCs w:val="22"/>
        </w:rPr>
        <w:fldChar w:fldCharType="separate"/>
      </w:r>
      <w:r>
        <w:rPr>
          <w:rStyle w:val="15"/>
          <w:rFonts w:hint="default" w:ascii="Arial" w:hAnsi="Arial" w:cs="Arial"/>
          <w:bCs/>
          <w:iCs/>
          <w:snapToGrid w:val="0"/>
          <w:sz w:val="22"/>
          <w:szCs w:val="22"/>
        </w:rPr>
        <w:t>www.portaldecompraspublicas.com.br</w:t>
      </w:r>
      <w:r>
        <w:rPr>
          <w:rFonts w:hint="default" w:ascii="Arial" w:hAnsi="Arial" w:cs="Arial"/>
          <w:bCs/>
          <w:iCs/>
          <w:snapToGrid w:val="0"/>
          <w:color w:val="000000"/>
          <w:sz w:val="22"/>
          <w:szCs w:val="22"/>
        </w:rPr>
        <w:fldChar w:fldCharType="end"/>
      </w:r>
      <w:r>
        <w:rPr>
          <w:rFonts w:hint="default" w:ascii="Arial" w:hAnsi="Arial" w:cs="Arial"/>
          <w:bCs/>
          <w:iCs/>
          <w:snapToGrid w:val="0"/>
          <w:color w:val="000000"/>
          <w:sz w:val="22"/>
          <w:szCs w:val="22"/>
          <w:lang w:val="pt-BR"/>
        </w:rPr>
        <w:t xml:space="preserve"> e no Portal da </w:t>
      </w:r>
      <w:r>
        <w:rPr>
          <w:rFonts w:hint="default" w:cs="Arial"/>
          <w:bCs/>
          <w:iCs/>
          <w:snapToGrid w:val="0"/>
          <w:color w:val="000000"/>
          <w:sz w:val="22"/>
          <w:szCs w:val="22"/>
          <w:lang w:val="pt-BR"/>
        </w:rPr>
        <w:t xml:space="preserve">Prefeitura Municipal </w:t>
      </w:r>
      <w:r>
        <w:rPr>
          <w:rFonts w:hint="default" w:ascii="Arial" w:hAnsi="Arial" w:cs="Arial"/>
          <w:bCs/>
          <w:iCs/>
          <w:snapToGrid w:val="0"/>
          <w:color w:val="000000"/>
          <w:sz w:val="22"/>
          <w:szCs w:val="22"/>
          <w:lang w:val="pt-BR"/>
        </w:rPr>
        <w:t xml:space="preserve">de Sinop, no endereço eletrônico </w:t>
      </w:r>
      <w:r>
        <w:rPr>
          <w:rFonts w:hint="default" w:ascii="Arial" w:hAnsi="Arial"/>
          <w:bCs/>
          <w:iCs/>
          <w:snapToGrid w:val="0"/>
          <w:color w:val="000000"/>
          <w:sz w:val="22"/>
          <w:szCs w:val="22"/>
          <w:lang w:val="pt-BR"/>
        </w:rPr>
        <w:fldChar w:fldCharType="begin"/>
      </w:r>
      <w:r>
        <w:rPr>
          <w:rFonts w:hint="default" w:ascii="Arial" w:hAnsi="Arial"/>
          <w:bCs/>
          <w:iCs/>
          <w:snapToGrid w:val="0"/>
          <w:color w:val="000000"/>
          <w:sz w:val="22"/>
          <w:szCs w:val="22"/>
          <w:lang w:val="pt-BR"/>
        </w:rPr>
        <w:instrText xml:space="preserve"> HYPERLINK "https://www.sinop.mt.gov.br/portal/editais/1" </w:instrText>
      </w:r>
      <w:r>
        <w:rPr>
          <w:rFonts w:hint="default" w:ascii="Arial" w:hAnsi="Arial"/>
          <w:bCs/>
          <w:iCs/>
          <w:snapToGrid w:val="0"/>
          <w:color w:val="000000"/>
          <w:sz w:val="22"/>
          <w:szCs w:val="22"/>
          <w:lang w:val="pt-BR"/>
        </w:rPr>
        <w:fldChar w:fldCharType="separate"/>
      </w:r>
      <w:r>
        <w:rPr>
          <w:rStyle w:val="15"/>
          <w:rFonts w:hint="default" w:ascii="Arial" w:hAnsi="Arial"/>
          <w:bCs/>
          <w:iCs/>
          <w:snapToGrid w:val="0"/>
          <w:color w:val="000000"/>
          <w:sz w:val="22"/>
          <w:szCs w:val="22"/>
          <w:lang w:val="pt-BR"/>
        </w:rPr>
        <w:t>https://www.sinop.mt.gov.br/portal/editais/1</w:t>
      </w:r>
      <w:r>
        <w:rPr>
          <w:rFonts w:hint="default" w:ascii="Arial" w:hAnsi="Arial"/>
          <w:bCs/>
          <w:iCs/>
          <w:snapToGrid w:val="0"/>
          <w:color w:val="000000"/>
          <w:sz w:val="22"/>
          <w:szCs w:val="22"/>
          <w:lang w:val="pt-BR"/>
        </w:rPr>
        <w:fldChar w:fldCharType="end"/>
      </w:r>
    </w:p>
    <w:p w14:paraId="69E7D854">
      <w:pPr>
        <w:pStyle w:val="123"/>
        <w:tabs>
          <w:tab w:val="left" w:pos="1701"/>
        </w:tabs>
        <w:spacing w:before="240" w:after="240" w:line="360" w:lineRule="auto"/>
        <w:rPr>
          <w:rFonts w:hint="default" w:ascii="Arial" w:hAnsi="Arial" w:cs="Arial"/>
          <w:szCs w:val="22"/>
        </w:rPr>
      </w:pPr>
      <w:r>
        <w:rPr>
          <w:rFonts w:hint="default" w:ascii="Arial" w:hAnsi="Arial" w:cs="Arial"/>
          <w:b/>
          <w:color w:val="000000"/>
          <w:szCs w:val="22"/>
        </w:rPr>
        <w:t>1</w:t>
      </w:r>
      <w:r>
        <w:rPr>
          <w:rFonts w:hint="default" w:ascii="Arial" w:hAnsi="Arial" w:cs="Arial"/>
          <w:b/>
          <w:color w:val="000000"/>
          <w:szCs w:val="22"/>
          <w:lang w:val="pt-BR"/>
        </w:rPr>
        <w:t>9.15.</w:t>
      </w:r>
      <w:r>
        <w:rPr>
          <w:rFonts w:hint="default" w:ascii="Arial" w:hAnsi="Arial" w:cs="Arial"/>
          <w:color w:val="000000"/>
          <w:szCs w:val="22"/>
        </w:rPr>
        <w:t xml:space="preserve"> </w:t>
      </w:r>
      <w:r>
        <w:rPr>
          <w:rFonts w:hint="default" w:ascii="Arial" w:hAnsi="Arial" w:cs="Arial"/>
          <w:szCs w:val="22"/>
        </w:rPr>
        <w:t xml:space="preserve">Os casos omissos serão resolvidos de acordo com </w:t>
      </w:r>
      <w:r>
        <w:rPr>
          <w:rFonts w:hint="default" w:ascii="Arial" w:hAnsi="Arial" w:cs="Arial"/>
          <w:szCs w:val="22"/>
          <w:highlight w:val="none"/>
        </w:rPr>
        <w:t>a Lei Federal n</w:t>
      </w:r>
      <w:r>
        <w:rPr>
          <w:rFonts w:hint="default" w:ascii="Arial" w:hAnsi="Arial" w:cs="Arial"/>
          <w:szCs w:val="22"/>
          <w:highlight w:val="none"/>
          <w:lang w:val="pt-BR"/>
        </w:rPr>
        <w:t>.</w:t>
      </w:r>
      <w:r>
        <w:rPr>
          <w:rFonts w:hint="default" w:ascii="Arial" w:hAnsi="Arial" w:cs="Arial"/>
          <w:szCs w:val="22"/>
          <w:highlight w:val="none"/>
        </w:rPr>
        <w:t xml:space="preserve">º </w:t>
      </w:r>
      <w:r>
        <w:rPr>
          <w:rFonts w:hint="default" w:ascii="Arial" w:hAnsi="Arial" w:cs="Arial"/>
          <w:szCs w:val="22"/>
          <w:highlight w:val="none"/>
          <w:lang w:val="pt-BR"/>
        </w:rPr>
        <w:t>14.133/2021 e</w:t>
      </w:r>
      <w:r>
        <w:rPr>
          <w:rFonts w:hint="default" w:ascii="Arial" w:hAnsi="Arial" w:cs="Arial"/>
          <w:szCs w:val="22"/>
          <w:highlight w:val="none"/>
        </w:rPr>
        <w:t xml:space="preserve"> o Decreto Municipa</w:t>
      </w:r>
      <w:r>
        <w:rPr>
          <w:rFonts w:hint="default" w:ascii="Arial" w:hAnsi="Arial" w:cs="Arial"/>
          <w:szCs w:val="22"/>
          <w:highlight w:val="none"/>
          <w:lang w:val="pt-BR"/>
        </w:rPr>
        <w:t>l</w:t>
      </w:r>
      <w:r>
        <w:rPr>
          <w:rFonts w:hint="default" w:ascii="Arial" w:hAnsi="Arial" w:cs="Arial"/>
          <w:szCs w:val="22"/>
          <w:highlight w:val="none"/>
        </w:rPr>
        <w:t xml:space="preserve"> n</w:t>
      </w:r>
      <w:r>
        <w:rPr>
          <w:rFonts w:hint="default" w:ascii="Arial" w:hAnsi="Arial" w:cs="Arial"/>
          <w:szCs w:val="22"/>
          <w:highlight w:val="none"/>
          <w:lang w:val="pt-BR"/>
        </w:rPr>
        <w:t>.</w:t>
      </w:r>
      <w:r>
        <w:rPr>
          <w:rFonts w:hint="default" w:ascii="Arial" w:hAnsi="Arial" w:cs="Arial"/>
          <w:szCs w:val="22"/>
          <w:highlight w:val="none"/>
        </w:rPr>
        <w:t xml:space="preserve">° </w:t>
      </w:r>
      <w:r>
        <w:rPr>
          <w:rFonts w:hint="default" w:ascii="Arial" w:hAnsi="Arial" w:cs="Arial"/>
          <w:szCs w:val="22"/>
          <w:highlight w:val="none"/>
          <w:lang w:val="pt-BR"/>
        </w:rPr>
        <w:t>359/2023,</w:t>
      </w:r>
      <w:r>
        <w:rPr>
          <w:rFonts w:hint="default" w:ascii="Arial" w:hAnsi="Arial" w:cs="Arial"/>
          <w:szCs w:val="22"/>
          <w:highlight w:val="none"/>
        </w:rPr>
        <w:t xml:space="preserve"> n</w:t>
      </w:r>
      <w:r>
        <w:rPr>
          <w:rFonts w:hint="default" w:ascii="Arial" w:hAnsi="Arial" w:cs="Arial"/>
          <w:szCs w:val="22"/>
        </w:rPr>
        <w:t xml:space="preserve">o que não colidir com a primeira e as demais normas aplicáveis. Subsidiariamente, aplicar-se-ão os </w:t>
      </w:r>
      <w:r>
        <w:rPr>
          <w:rFonts w:hint="default" w:ascii="Arial" w:hAnsi="Arial" w:cs="Arial"/>
          <w:szCs w:val="22"/>
          <w:lang w:val="pt-BR"/>
        </w:rPr>
        <w:t>P</w:t>
      </w:r>
      <w:r>
        <w:rPr>
          <w:rFonts w:hint="default" w:ascii="Arial" w:hAnsi="Arial" w:cs="Arial"/>
          <w:szCs w:val="22"/>
        </w:rPr>
        <w:t xml:space="preserve">rincípios </w:t>
      </w:r>
      <w:r>
        <w:rPr>
          <w:rFonts w:hint="default" w:ascii="Arial" w:hAnsi="Arial" w:cs="Arial"/>
          <w:szCs w:val="22"/>
          <w:lang w:val="pt-BR"/>
        </w:rPr>
        <w:t>G</w:t>
      </w:r>
      <w:r>
        <w:rPr>
          <w:rFonts w:hint="default" w:ascii="Arial" w:hAnsi="Arial" w:cs="Arial"/>
          <w:szCs w:val="22"/>
        </w:rPr>
        <w:t xml:space="preserve">erais de </w:t>
      </w:r>
      <w:r>
        <w:rPr>
          <w:rFonts w:hint="default" w:ascii="Arial" w:hAnsi="Arial" w:cs="Arial"/>
          <w:szCs w:val="22"/>
          <w:lang w:val="pt-BR"/>
        </w:rPr>
        <w:t>D</w:t>
      </w:r>
      <w:r>
        <w:rPr>
          <w:rFonts w:hint="default" w:ascii="Arial" w:hAnsi="Arial" w:cs="Arial"/>
          <w:szCs w:val="22"/>
        </w:rPr>
        <w:t>ireito.</w:t>
      </w:r>
    </w:p>
    <w:p w14:paraId="18A2224D">
      <w:pPr>
        <w:tabs>
          <w:tab w:val="left" w:pos="1080"/>
        </w:tabs>
        <w:spacing w:before="240" w:after="240" w:line="360" w:lineRule="auto"/>
        <w:jc w:val="both"/>
        <w:rPr>
          <w:rFonts w:hint="default" w:ascii="Arial" w:hAnsi="Arial" w:cs="Arial"/>
          <w:color w:val="000000"/>
          <w:sz w:val="22"/>
          <w:szCs w:val="22"/>
        </w:rPr>
      </w:pPr>
      <w:r>
        <w:rPr>
          <w:rFonts w:hint="default" w:ascii="Arial" w:hAnsi="Arial" w:cs="Arial"/>
          <w:b/>
          <w:color w:val="000000"/>
          <w:sz w:val="22"/>
          <w:szCs w:val="22"/>
        </w:rPr>
        <w:t>1</w:t>
      </w:r>
      <w:r>
        <w:rPr>
          <w:rFonts w:hint="default" w:ascii="Arial" w:hAnsi="Arial" w:cs="Arial"/>
          <w:b/>
          <w:color w:val="000000"/>
          <w:sz w:val="22"/>
          <w:szCs w:val="22"/>
          <w:lang w:val="pt-BR"/>
        </w:rPr>
        <w:t>9.16</w:t>
      </w:r>
      <w:r>
        <w:rPr>
          <w:rFonts w:hint="default" w:ascii="Arial" w:hAnsi="Arial" w:cs="Arial"/>
          <w:b/>
          <w:color w:val="000000"/>
          <w:sz w:val="22"/>
          <w:szCs w:val="22"/>
        </w:rPr>
        <w:t>.</w:t>
      </w:r>
      <w:r>
        <w:rPr>
          <w:rFonts w:hint="default" w:ascii="Arial" w:hAnsi="Arial" w:cs="Arial"/>
          <w:color w:val="000000"/>
          <w:sz w:val="22"/>
          <w:szCs w:val="22"/>
        </w:rPr>
        <w:t xml:space="preserve"> Para dirimir quaisquer questões decorrentes do procedimento licitatório, fica eleito o foro da comarca de Sinop</w:t>
      </w:r>
      <w:r>
        <w:rPr>
          <w:rFonts w:hint="default" w:ascii="Arial" w:hAnsi="Arial" w:cs="Arial"/>
          <w:color w:val="000000"/>
          <w:sz w:val="22"/>
          <w:szCs w:val="22"/>
          <w:lang w:val="pt-BR"/>
        </w:rPr>
        <w:t>/MT</w:t>
      </w:r>
      <w:r>
        <w:rPr>
          <w:rFonts w:hint="default" w:ascii="Arial" w:hAnsi="Arial" w:cs="Arial"/>
          <w:color w:val="000000"/>
          <w:sz w:val="22"/>
          <w:szCs w:val="22"/>
        </w:rPr>
        <w:t>, com renúncia expressa a qualquer outro por mais privilegiado que seja.</w:t>
      </w:r>
    </w:p>
    <w:p w14:paraId="3BDF1158">
      <w:pPr>
        <w:tabs>
          <w:tab w:val="left" w:pos="1080"/>
        </w:tabs>
        <w:spacing w:before="240" w:after="240" w:line="360" w:lineRule="auto"/>
        <w:jc w:val="both"/>
        <w:rPr>
          <w:rFonts w:hint="default" w:ascii="Arial" w:hAnsi="Arial" w:cs="Arial"/>
          <w:color w:val="000000"/>
          <w:sz w:val="22"/>
          <w:szCs w:val="22"/>
        </w:rPr>
      </w:pPr>
      <w:r>
        <w:rPr>
          <w:rFonts w:hint="default" w:ascii="Arial" w:hAnsi="Arial" w:cs="Arial"/>
          <w:b/>
          <w:color w:val="000000"/>
          <w:sz w:val="22"/>
          <w:szCs w:val="22"/>
        </w:rPr>
        <w:t>1</w:t>
      </w:r>
      <w:r>
        <w:rPr>
          <w:rFonts w:hint="default" w:ascii="Arial" w:hAnsi="Arial" w:cs="Arial"/>
          <w:b/>
          <w:color w:val="000000"/>
          <w:sz w:val="22"/>
          <w:szCs w:val="22"/>
          <w:lang w:val="pt-BR"/>
        </w:rPr>
        <w:t>9.17</w:t>
      </w:r>
      <w:r>
        <w:rPr>
          <w:rFonts w:hint="default" w:ascii="Arial" w:hAnsi="Arial" w:cs="Arial"/>
          <w:b/>
          <w:color w:val="000000"/>
          <w:sz w:val="22"/>
          <w:szCs w:val="22"/>
        </w:rPr>
        <w:t>.</w:t>
      </w:r>
      <w:r>
        <w:rPr>
          <w:rFonts w:hint="default" w:ascii="Arial" w:hAnsi="Arial" w:cs="Arial"/>
          <w:color w:val="000000"/>
          <w:sz w:val="22"/>
          <w:szCs w:val="22"/>
        </w:rPr>
        <w:t xml:space="preserve"> </w:t>
      </w:r>
      <w:r>
        <w:rPr>
          <w:rFonts w:hint="default" w:ascii="Arial" w:hAnsi="Arial" w:cs="Arial"/>
          <w:sz w:val="22"/>
          <w:szCs w:val="22"/>
        </w:rPr>
        <w:t xml:space="preserve">Integram este Edital, para todos os fins e efeitos, os seguintes </w:t>
      </w:r>
      <w:r>
        <w:rPr>
          <w:rFonts w:hint="default" w:ascii="Arial" w:hAnsi="Arial" w:cs="Arial"/>
          <w:sz w:val="22"/>
          <w:szCs w:val="22"/>
          <w:lang w:val="pt-BR"/>
        </w:rPr>
        <w:t>A</w:t>
      </w:r>
      <w:r>
        <w:rPr>
          <w:rFonts w:hint="default" w:ascii="Arial" w:hAnsi="Arial" w:cs="Arial"/>
          <w:sz w:val="22"/>
          <w:szCs w:val="22"/>
        </w:rPr>
        <w:t>nexos</w:t>
      </w:r>
      <w:r>
        <w:rPr>
          <w:rFonts w:hint="default" w:ascii="Arial" w:hAnsi="Arial" w:cs="Arial"/>
          <w:color w:val="000000"/>
          <w:sz w:val="22"/>
          <w:szCs w:val="22"/>
        </w:rPr>
        <w:t>:</w:t>
      </w:r>
    </w:p>
    <w:p w14:paraId="25511421">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sz w:val="22"/>
          <w:szCs w:val="22"/>
          <w:highlight w:val="none"/>
        </w:rPr>
      </w:pPr>
      <w:r>
        <w:rPr>
          <w:rFonts w:hint="default" w:ascii="Arial" w:hAnsi="Arial" w:cs="Arial"/>
          <w:b/>
          <w:sz w:val="22"/>
          <w:szCs w:val="22"/>
          <w:highlight w:val="none"/>
        </w:rPr>
        <w:t>Anexo I</w:t>
      </w:r>
      <w:r>
        <w:rPr>
          <w:rFonts w:hint="default" w:ascii="Arial" w:hAnsi="Arial" w:cs="Arial"/>
          <w:sz w:val="22"/>
          <w:szCs w:val="22"/>
          <w:highlight w:val="none"/>
        </w:rPr>
        <w:t xml:space="preserve"> – Termo de Referência;</w:t>
      </w:r>
    </w:p>
    <w:p w14:paraId="7D0833B7">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sz w:val="22"/>
          <w:szCs w:val="22"/>
          <w:highlight w:val="none"/>
        </w:rPr>
      </w:pPr>
      <w:r>
        <w:rPr>
          <w:rFonts w:hint="default" w:ascii="Arial" w:hAnsi="Arial" w:cs="Arial"/>
          <w:b/>
          <w:sz w:val="22"/>
          <w:szCs w:val="22"/>
          <w:highlight w:val="none"/>
        </w:rPr>
        <w:t>Anexo II</w:t>
      </w:r>
      <w:r>
        <w:rPr>
          <w:rFonts w:hint="default" w:ascii="Arial" w:hAnsi="Arial" w:cs="Arial"/>
          <w:sz w:val="22"/>
          <w:szCs w:val="22"/>
          <w:highlight w:val="none"/>
        </w:rPr>
        <w:t xml:space="preserve"> – Modelo de </w:t>
      </w:r>
      <w:r>
        <w:rPr>
          <w:rFonts w:hint="default" w:ascii="Arial" w:hAnsi="Arial" w:cs="Arial"/>
          <w:sz w:val="22"/>
          <w:szCs w:val="22"/>
          <w:highlight w:val="none"/>
          <w:lang w:val="pt-BR"/>
        </w:rPr>
        <w:t>P</w:t>
      </w:r>
      <w:r>
        <w:rPr>
          <w:rFonts w:hint="default" w:ascii="Arial" w:hAnsi="Arial" w:cs="Arial"/>
          <w:sz w:val="22"/>
          <w:szCs w:val="22"/>
          <w:highlight w:val="none"/>
        </w:rPr>
        <w:t xml:space="preserve">roposta de </w:t>
      </w:r>
      <w:r>
        <w:rPr>
          <w:rFonts w:hint="default" w:ascii="Arial" w:hAnsi="Arial" w:cs="Arial"/>
          <w:sz w:val="22"/>
          <w:szCs w:val="22"/>
          <w:highlight w:val="none"/>
          <w:lang w:val="pt-BR"/>
        </w:rPr>
        <w:t>P</w:t>
      </w:r>
      <w:r>
        <w:rPr>
          <w:rFonts w:hint="default" w:ascii="Arial" w:hAnsi="Arial" w:cs="Arial"/>
          <w:sz w:val="22"/>
          <w:szCs w:val="22"/>
          <w:highlight w:val="none"/>
        </w:rPr>
        <w:t>reços</w:t>
      </w:r>
      <w:r>
        <w:rPr>
          <w:rFonts w:hint="default" w:ascii="Arial" w:hAnsi="Arial" w:cs="Arial"/>
          <w:sz w:val="22"/>
          <w:szCs w:val="22"/>
          <w:highlight w:val="none"/>
          <w:lang w:val="pt-BR"/>
        </w:rPr>
        <w:t xml:space="preserve"> Readequada</w:t>
      </w:r>
      <w:r>
        <w:rPr>
          <w:rFonts w:hint="default" w:ascii="Arial" w:hAnsi="Arial" w:cs="Arial"/>
          <w:sz w:val="22"/>
          <w:szCs w:val="22"/>
          <w:highlight w:val="none"/>
        </w:rPr>
        <w:t>;</w:t>
      </w:r>
    </w:p>
    <w:p w14:paraId="2653F30C">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sz w:val="22"/>
          <w:szCs w:val="22"/>
          <w:highlight w:val="none"/>
          <w:lang w:val="pt-BR"/>
        </w:rPr>
      </w:pPr>
      <w:r>
        <w:rPr>
          <w:rFonts w:hint="default" w:ascii="Arial" w:hAnsi="Arial" w:cs="Arial"/>
          <w:b/>
          <w:sz w:val="22"/>
          <w:szCs w:val="22"/>
          <w:highlight w:val="none"/>
        </w:rPr>
        <w:t>Anexo III</w:t>
      </w:r>
      <w:r>
        <w:rPr>
          <w:rFonts w:hint="default" w:ascii="Arial" w:hAnsi="Arial" w:cs="Arial"/>
          <w:sz w:val="22"/>
          <w:szCs w:val="22"/>
          <w:highlight w:val="none"/>
        </w:rPr>
        <w:t xml:space="preserve"> – </w:t>
      </w:r>
      <w:r>
        <w:rPr>
          <w:rFonts w:hint="default" w:ascii="Arial" w:hAnsi="Arial" w:cs="Arial"/>
          <w:sz w:val="22"/>
          <w:szCs w:val="22"/>
          <w:highlight w:val="none"/>
          <w:lang w:val="pt-BR"/>
        </w:rPr>
        <w:t>Estimativa de Custos;</w:t>
      </w:r>
    </w:p>
    <w:p w14:paraId="30709939">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sz w:val="22"/>
          <w:szCs w:val="22"/>
          <w:highlight w:val="none"/>
          <w:lang w:val="pt-BR"/>
        </w:rPr>
      </w:pPr>
      <w:r>
        <w:rPr>
          <w:rFonts w:hint="default" w:ascii="Arial" w:hAnsi="Arial" w:cs="Arial"/>
          <w:b/>
          <w:bCs/>
          <w:sz w:val="22"/>
          <w:szCs w:val="22"/>
          <w:highlight w:val="none"/>
          <w:lang w:val="pt-BR"/>
        </w:rPr>
        <w:t>Anexo IV</w:t>
      </w:r>
      <w:r>
        <w:rPr>
          <w:rFonts w:hint="default" w:ascii="Arial" w:hAnsi="Arial" w:cs="Arial"/>
          <w:sz w:val="22"/>
          <w:szCs w:val="22"/>
          <w:highlight w:val="none"/>
          <w:lang w:val="pt-BR"/>
        </w:rPr>
        <w:t xml:space="preserve"> - Modelo de Termo de Recebimento Definitivo;</w:t>
      </w:r>
    </w:p>
    <w:p w14:paraId="25F0CF2A">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sz w:val="22"/>
          <w:szCs w:val="22"/>
          <w:highlight w:val="none"/>
          <w:lang w:val="pt-BR"/>
        </w:rPr>
      </w:pPr>
      <w:r>
        <w:rPr>
          <w:rFonts w:hint="default" w:ascii="Arial" w:hAnsi="Arial" w:cs="Arial"/>
          <w:b/>
          <w:bCs/>
          <w:sz w:val="22"/>
          <w:szCs w:val="22"/>
          <w:highlight w:val="none"/>
          <w:lang w:val="pt-BR"/>
        </w:rPr>
        <w:t>Anexo V</w:t>
      </w:r>
      <w:r>
        <w:rPr>
          <w:rFonts w:hint="default" w:ascii="Arial" w:hAnsi="Arial" w:cs="Arial"/>
          <w:sz w:val="22"/>
          <w:szCs w:val="22"/>
          <w:highlight w:val="none"/>
          <w:lang w:val="pt-BR"/>
        </w:rPr>
        <w:t xml:space="preserve"> - Modelo de Declaração de Vistoria Técnica;</w:t>
      </w:r>
    </w:p>
    <w:p w14:paraId="01152CE2">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sz w:val="22"/>
          <w:szCs w:val="22"/>
          <w:highlight w:val="none"/>
          <w:lang w:val="pt-BR"/>
        </w:rPr>
      </w:pPr>
      <w:r>
        <w:rPr>
          <w:rFonts w:hint="default" w:ascii="Arial" w:hAnsi="Arial" w:cs="Arial"/>
          <w:b/>
          <w:bCs/>
          <w:sz w:val="22"/>
          <w:szCs w:val="22"/>
          <w:highlight w:val="none"/>
          <w:lang w:val="pt-BR"/>
        </w:rPr>
        <w:t>Anexo VI</w:t>
      </w:r>
      <w:r>
        <w:rPr>
          <w:rFonts w:hint="default" w:ascii="Arial" w:hAnsi="Arial" w:cs="Arial"/>
          <w:sz w:val="22"/>
          <w:szCs w:val="22"/>
          <w:highlight w:val="none"/>
          <w:lang w:val="pt-BR"/>
        </w:rPr>
        <w:t xml:space="preserve"> - Modelo de Declaração de Desistência de Vistoria Técnica;</w:t>
      </w:r>
    </w:p>
    <w:p w14:paraId="0FABA746">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sz w:val="22"/>
          <w:szCs w:val="22"/>
          <w:highlight w:val="none"/>
          <w:lang w:val="pt-BR"/>
        </w:rPr>
      </w:pPr>
      <w:r>
        <w:rPr>
          <w:rFonts w:hint="default" w:ascii="Arial" w:hAnsi="Arial" w:cs="Arial"/>
          <w:b/>
          <w:bCs/>
          <w:sz w:val="22"/>
          <w:szCs w:val="22"/>
          <w:highlight w:val="none"/>
          <w:lang w:val="pt-BR"/>
        </w:rPr>
        <w:t>Anexo VII</w:t>
      </w:r>
      <w:r>
        <w:rPr>
          <w:rFonts w:hint="default" w:ascii="Arial" w:hAnsi="Arial" w:cs="Arial"/>
          <w:sz w:val="22"/>
          <w:szCs w:val="22"/>
          <w:highlight w:val="none"/>
          <w:lang w:val="pt-BR"/>
        </w:rPr>
        <w:t xml:space="preserve"> - Modelo de Termo de Confidencialidade;</w:t>
      </w:r>
    </w:p>
    <w:p w14:paraId="2756578E">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sz w:val="22"/>
          <w:szCs w:val="22"/>
          <w:highlight w:val="none"/>
          <w:lang w:val="pt-BR"/>
        </w:rPr>
      </w:pPr>
      <w:r>
        <w:rPr>
          <w:rFonts w:hint="default" w:ascii="Arial" w:hAnsi="Arial" w:cs="Arial"/>
          <w:b/>
          <w:bCs/>
          <w:sz w:val="22"/>
          <w:szCs w:val="22"/>
          <w:highlight w:val="none"/>
          <w:lang w:val="pt-BR"/>
        </w:rPr>
        <w:t>Anexo VIII</w:t>
      </w:r>
      <w:r>
        <w:rPr>
          <w:rFonts w:hint="default" w:ascii="Arial" w:hAnsi="Arial" w:cs="Arial"/>
          <w:sz w:val="22"/>
          <w:szCs w:val="22"/>
          <w:highlight w:val="none"/>
          <w:lang w:val="pt-BR"/>
        </w:rPr>
        <w:t xml:space="preserve"> - Minuta de Cessão de Propriedade Intelectual;</w:t>
      </w:r>
    </w:p>
    <w:p w14:paraId="7AF52A85">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hint="default" w:ascii="Arial" w:hAnsi="Arial" w:cs="Arial"/>
          <w:b/>
          <w:bCs/>
          <w:sz w:val="22"/>
          <w:szCs w:val="22"/>
          <w:highlight w:val="none"/>
          <w:lang w:val="pt-BR"/>
        </w:rPr>
        <w:t>Anexo IX</w:t>
      </w:r>
      <w:r>
        <w:rPr>
          <w:rFonts w:hint="default" w:ascii="Arial" w:hAnsi="Arial" w:cs="Arial"/>
          <w:sz w:val="22"/>
          <w:szCs w:val="22"/>
          <w:highlight w:val="none"/>
          <w:lang w:val="pt-BR"/>
        </w:rPr>
        <w:t xml:space="preserve"> - Modelo de Conjuntas (</w:t>
      </w:r>
      <w:r>
        <w:rPr>
          <w:rFonts w:hint="default" w:ascii="Arial" w:hAnsi="Arial" w:cs="Arial"/>
          <w:bCs/>
          <w:sz w:val="22"/>
          <w:szCs w:val="22"/>
          <w:highlight w:val="none"/>
        </w:rPr>
        <w:t xml:space="preserve">Modelo de </w:t>
      </w:r>
      <w:r>
        <w:rPr>
          <w:rFonts w:hint="default" w:ascii="Arial" w:hAnsi="Arial" w:cs="Arial"/>
          <w:bCs/>
          <w:sz w:val="22"/>
          <w:szCs w:val="22"/>
          <w:highlight w:val="none"/>
          <w:lang w:val="pt-BR"/>
        </w:rPr>
        <w:t>d</w:t>
      </w:r>
      <w:r>
        <w:rPr>
          <w:rFonts w:hint="default" w:ascii="Arial" w:hAnsi="Arial" w:cs="Arial"/>
          <w:bCs/>
          <w:sz w:val="22"/>
          <w:szCs w:val="22"/>
          <w:highlight w:val="none"/>
        </w:rPr>
        <w:t xml:space="preserve">eclaração de </w:t>
      </w:r>
      <w:r>
        <w:rPr>
          <w:rFonts w:hint="default" w:ascii="Arial" w:hAnsi="Arial" w:cs="Arial"/>
          <w:bCs/>
          <w:sz w:val="22"/>
          <w:szCs w:val="22"/>
          <w:highlight w:val="none"/>
          <w:lang w:val="pt-BR"/>
        </w:rPr>
        <w:t>e</w:t>
      </w:r>
      <w:r>
        <w:rPr>
          <w:rFonts w:hint="default" w:ascii="Arial" w:hAnsi="Arial" w:cs="Arial"/>
          <w:bCs/>
          <w:sz w:val="22"/>
          <w:szCs w:val="22"/>
          <w:highlight w:val="none"/>
        </w:rPr>
        <w:t xml:space="preserve">nquadramento como </w:t>
      </w:r>
      <w:r>
        <w:rPr>
          <w:rFonts w:hint="default" w:ascii="Arial" w:hAnsi="Arial" w:cs="Arial"/>
          <w:bCs/>
          <w:sz w:val="22"/>
          <w:szCs w:val="22"/>
          <w:highlight w:val="none"/>
          <w:lang w:val="pt-BR"/>
        </w:rPr>
        <w:t>b</w:t>
      </w:r>
      <w:r>
        <w:rPr>
          <w:rFonts w:hint="default" w:ascii="Arial" w:hAnsi="Arial" w:cs="Arial"/>
          <w:bCs/>
          <w:sz w:val="22"/>
          <w:szCs w:val="22"/>
          <w:highlight w:val="none"/>
        </w:rPr>
        <w:t xml:space="preserve">eneficiária da Lei Complementar nº 123/2006; </w:t>
      </w:r>
      <w:r>
        <w:rPr>
          <w:rFonts w:hint="default"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hint="default"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 xml:space="preserve">de conhecimento do edital e dos requisitos </w:t>
      </w:r>
      <w:r>
        <w:rPr>
          <w:rFonts w:hint="default" w:ascii="Arial" w:hAnsi="Arial" w:cs="Arial"/>
          <w:color w:val="000000"/>
          <w:sz w:val="22"/>
          <w:szCs w:val="22"/>
          <w:highlight w:val="none"/>
        </w:rPr>
        <w:t xml:space="preserve">de </w:t>
      </w:r>
      <w:r>
        <w:rPr>
          <w:rFonts w:hint="default" w:ascii="Arial" w:hAnsi="Arial" w:cs="Arial"/>
          <w:color w:val="000000"/>
          <w:sz w:val="22"/>
          <w:szCs w:val="22"/>
          <w:highlight w:val="none"/>
          <w:lang w:val="pt-BR"/>
        </w:rPr>
        <w:t>h</w:t>
      </w:r>
      <w:r>
        <w:rPr>
          <w:rFonts w:hint="default" w:ascii="Arial" w:hAnsi="Arial" w:cs="Arial"/>
          <w:color w:val="000000"/>
          <w:sz w:val="22"/>
          <w:szCs w:val="22"/>
          <w:highlight w:val="none"/>
        </w:rPr>
        <w:t xml:space="preserve">abilitação; </w:t>
      </w:r>
      <w:r>
        <w:rPr>
          <w:rFonts w:hint="default" w:ascii="Arial" w:hAnsi="Arial" w:cs="Arial"/>
          <w:sz w:val="22"/>
          <w:szCs w:val="22"/>
          <w:highlight w:val="none"/>
        </w:rPr>
        <w:t xml:space="preserve">Modelo de </w:t>
      </w:r>
      <w:r>
        <w:rPr>
          <w:rFonts w:hint="default" w:ascii="Arial" w:hAnsi="Arial" w:cs="Arial"/>
          <w:sz w:val="22"/>
          <w:szCs w:val="22"/>
          <w:highlight w:val="none"/>
          <w:lang w:val="pt-BR"/>
        </w:rPr>
        <w:t>d</w:t>
      </w:r>
      <w:r>
        <w:rPr>
          <w:rFonts w:hint="default" w:ascii="Arial" w:hAnsi="Arial" w:cs="Arial"/>
          <w:sz w:val="22"/>
          <w:szCs w:val="22"/>
          <w:highlight w:val="none"/>
        </w:rPr>
        <w:t xml:space="preserve">eclaração de </w:t>
      </w:r>
      <w:r>
        <w:rPr>
          <w:rFonts w:hint="default" w:ascii="Arial" w:hAnsi="Arial" w:cs="Arial"/>
          <w:sz w:val="22"/>
          <w:szCs w:val="22"/>
          <w:highlight w:val="none"/>
          <w:lang w:val="pt-BR"/>
        </w:rPr>
        <w:t>reserva de cargos e de trabalho não degradante</w:t>
      </w:r>
      <w:r>
        <w:rPr>
          <w:rFonts w:hint="default" w:ascii="Arial" w:hAnsi="Arial" w:cs="Arial"/>
          <w:sz w:val="22"/>
          <w:szCs w:val="22"/>
          <w:highlight w:val="none"/>
        </w:rPr>
        <w:t>;</w:t>
      </w:r>
      <w:r>
        <w:rPr>
          <w:rFonts w:hint="default" w:ascii="Arial" w:hAnsi="Arial" w:cs="Arial"/>
          <w:sz w:val="22"/>
          <w:szCs w:val="22"/>
          <w:highlight w:val="none"/>
          <w:lang w:val="pt-BR"/>
        </w:rPr>
        <w:t xml:space="preserve"> </w:t>
      </w:r>
      <w:r>
        <w:rPr>
          <w:rFonts w:hint="default"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hint="default" w:ascii="Arial" w:hAnsi="Arial" w:cs="Arial"/>
          <w:color w:val="000000"/>
          <w:sz w:val="22"/>
          <w:szCs w:val="22"/>
          <w:highlight w:val="none"/>
        </w:rPr>
        <w:t xml:space="preserve">eclaração de </w:t>
      </w:r>
      <w:r>
        <w:rPr>
          <w:rFonts w:hint="default" w:ascii="Arial" w:hAnsi="Arial" w:cs="Arial"/>
          <w:color w:val="000000"/>
          <w:sz w:val="22"/>
          <w:szCs w:val="22"/>
          <w:highlight w:val="none"/>
          <w:lang w:val="pt-BR"/>
        </w:rPr>
        <w:t>n</w:t>
      </w:r>
      <w:r>
        <w:rPr>
          <w:rFonts w:hint="default" w:ascii="Arial" w:hAnsi="Arial" w:cs="Arial"/>
          <w:color w:val="000000"/>
          <w:sz w:val="22"/>
          <w:szCs w:val="22"/>
          <w:highlight w:val="none"/>
        </w:rPr>
        <w:t xml:space="preserve">ão </w:t>
      </w:r>
      <w:r>
        <w:rPr>
          <w:rFonts w:hint="default" w:ascii="Arial" w:hAnsi="Arial" w:cs="Arial"/>
          <w:color w:val="000000"/>
          <w:sz w:val="22"/>
          <w:szCs w:val="22"/>
          <w:highlight w:val="none"/>
          <w:lang w:val="pt-BR"/>
        </w:rPr>
        <w:t>p</w:t>
      </w:r>
      <w:r>
        <w:rPr>
          <w:rFonts w:hint="default" w:ascii="Arial" w:hAnsi="Arial" w:cs="Arial"/>
          <w:color w:val="000000"/>
          <w:sz w:val="22"/>
          <w:szCs w:val="22"/>
          <w:highlight w:val="none"/>
        </w:rPr>
        <w:t>arentesco;</w:t>
      </w:r>
      <w:r>
        <w:rPr>
          <w:rFonts w:hint="default" w:ascii="Arial" w:hAnsi="Arial" w:cs="Arial"/>
          <w:color w:val="000000"/>
          <w:sz w:val="22"/>
          <w:szCs w:val="22"/>
          <w:highlight w:val="none"/>
          <w:lang w:val="pt-BR"/>
        </w:rPr>
        <w:t xml:space="preserve"> </w:t>
      </w:r>
      <w:r>
        <w:rPr>
          <w:rFonts w:hint="default"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hint="default"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de que não emprega menor de idade</w:t>
      </w:r>
      <w:r>
        <w:rPr>
          <w:rFonts w:hint="default" w:ascii="Arial" w:hAnsi="Arial" w:cs="Arial"/>
          <w:color w:val="000000"/>
          <w:sz w:val="22"/>
          <w:szCs w:val="22"/>
          <w:highlight w:val="none"/>
        </w:rPr>
        <w:t>;</w:t>
      </w:r>
      <w:r>
        <w:rPr>
          <w:rFonts w:hint="default" w:ascii="Arial" w:hAnsi="Arial" w:cs="Arial"/>
          <w:color w:val="000000"/>
          <w:sz w:val="22"/>
          <w:szCs w:val="22"/>
          <w:highlight w:val="none"/>
          <w:lang w:val="pt-BR"/>
        </w:rPr>
        <w:t xml:space="preserve"> </w:t>
      </w:r>
    </w:p>
    <w:p w14:paraId="1A5D58F9">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hint="default" w:ascii="Arial" w:hAnsi="Arial" w:cs="Arial"/>
          <w:b/>
          <w:color w:val="000000"/>
          <w:sz w:val="22"/>
          <w:szCs w:val="22"/>
          <w:highlight w:val="none"/>
        </w:rPr>
        <w:t xml:space="preserve">Anexo </w:t>
      </w:r>
      <w:r>
        <w:rPr>
          <w:rFonts w:hint="default" w:ascii="Arial" w:hAnsi="Arial" w:cs="Arial"/>
          <w:b/>
          <w:color w:val="000000"/>
          <w:sz w:val="22"/>
          <w:szCs w:val="22"/>
          <w:highlight w:val="none"/>
          <w:lang w:val="pt-BR"/>
        </w:rPr>
        <w:t xml:space="preserve">X </w:t>
      </w:r>
      <w:r>
        <w:rPr>
          <w:rFonts w:hint="default" w:ascii="Arial" w:hAnsi="Arial" w:cs="Arial"/>
          <w:color w:val="000000"/>
          <w:sz w:val="22"/>
          <w:szCs w:val="22"/>
          <w:highlight w:val="none"/>
        </w:rPr>
        <w:t xml:space="preserve">– </w:t>
      </w:r>
      <w:r>
        <w:rPr>
          <w:rFonts w:hint="default" w:ascii="Arial" w:hAnsi="Arial" w:cs="Arial"/>
          <w:color w:val="000000"/>
          <w:sz w:val="22"/>
          <w:szCs w:val="22"/>
          <w:highlight w:val="none"/>
          <w:lang w:val="pt-BR"/>
        </w:rPr>
        <w:t>Minuta do Contrato.</w:t>
      </w:r>
    </w:p>
    <w:p w14:paraId="43D154B2">
      <w:pPr>
        <w:tabs>
          <w:tab w:val="left" w:pos="1080"/>
        </w:tabs>
        <w:spacing w:line="360" w:lineRule="auto"/>
        <w:jc w:val="both"/>
        <w:rPr>
          <w:rFonts w:hint="default" w:ascii="Arial" w:hAnsi="Arial" w:cs="Arial"/>
          <w:color w:val="000000"/>
          <w:sz w:val="22"/>
          <w:szCs w:val="22"/>
        </w:rPr>
      </w:pPr>
      <w:r>
        <w:rPr>
          <w:rFonts w:hint="default" w:ascii="Arial" w:hAnsi="Arial" w:cs="Arial"/>
          <w:color w:val="000000"/>
          <w:sz w:val="22"/>
          <w:szCs w:val="22"/>
        </w:rPr>
        <w:t xml:space="preserve">Sinop/MT, </w:t>
      </w:r>
      <w:r>
        <w:rPr>
          <w:rFonts w:hint="default" w:ascii="Arial" w:hAnsi="Arial" w:cs="Arial"/>
          <w:color w:val="000000"/>
          <w:sz w:val="22"/>
          <w:szCs w:val="22"/>
          <w:lang w:val="pt-BR"/>
        </w:rPr>
        <w:t>02</w:t>
      </w:r>
      <w:r>
        <w:rPr>
          <w:rFonts w:hint="default" w:ascii="Arial" w:hAnsi="Arial" w:cs="Arial"/>
          <w:color w:val="000000"/>
          <w:sz w:val="22"/>
          <w:szCs w:val="22"/>
        </w:rPr>
        <w:t xml:space="preserve"> de</w:t>
      </w:r>
      <w:r>
        <w:rPr>
          <w:rFonts w:hint="default" w:ascii="Arial" w:hAnsi="Arial" w:cs="Arial"/>
          <w:color w:val="000000"/>
          <w:sz w:val="22"/>
          <w:szCs w:val="22"/>
          <w:lang w:val="pt-BR"/>
        </w:rPr>
        <w:t xml:space="preserve"> setembro</w:t>
      </w:r>
      <w:r>
        <w:rPr>
          <w:rFonts w:hint="default" w:ascii="Arial" w:hAnsi="Arial" w:cs="Arial"/>
          <w:color w:val="000000"/>
          <w:sz w:val="22"/>
          <w:szCs w:val="22"/>
        </w:rPr>
        <w:t xml:space="preserve"> de </w:t>
      </w:r>
      <w:r>
        <w:rPr>
          <w:rFonts w:hint="default" w:ascii="Arial" w:hAnsi="Arial" w:cs="Arial"/>
          <w:color w:val="000000"/>
          <w:sz w:val="22"/>
          <w:szCs w:val="22"/>
          <w:lang w:val="pt-BR"/>
        </w:rPr>
        <w:t>2024</w:t>
      </w:r>
      <w:r>
        <w:rPr>
          <w:rFonts w:hint="default" w:ascii="Arial" w:hAnsi="Arial" w:cs="Arial"/>
          <w:color w:val="000000"/>
          <w:sz w:val="22"/>
          <w:szCs w:val="22"/>
        </w:rPr>
        <w:t>.</w:t>
      </w:r>
    </w:p>
    <w:p w14:paraId="04902A18">
      <w:pPr>
        <w:tabs>
          <w:tab w:val="left" w:pos="1080"/>
        </w:tabs>
        <w:jc w:val="center"/>
        <w:rPr>
          <w:rFonts w:hint="default" w:ascii="Arial" w:hAnsi="Arial" w:cs="Arial"/>
          <w:b/>
          <w:color w:val="000000"/>
          <w:sz w:val="22"/>
          <w:szCs w:val="22"/>
          <w:lang w:val="pt-BR"/>
        </w:rPr>
      </w:pPr>
    </w:p>
    <w:p w14:paraId="664099AF">
      <w:pPr>
        <w:tabs>
          <w:tab w:val="left" w:pos="1080"/>
        </w:tabs>
        <w:jc w:val="center"/>
        <w:rPr>
          <w:rFonts w:hint="default" w:ascii="Arial" w:hAnsi="Arial" w:cs="Arial"/>
          <w:b/>
          <w:color w:val="000000"/>
          <w:sz w:val="22"/>
          <w:szCs w:val="22"/>
          <w:lang w:val="pt-BR"/>
        </w:rPr>
      </w:pPr>
    </w:p>
    <w:p w14:paraId="0BB0EAA4">
      <w:pPr>
        <w:tabs>
          <w:tab w:val="left" w:pos="1080"/>
        </w:tabs>
        <w:jc w:val="center"/>
        <w:rPr>
          <w:rFonts w:hint="default" w:ascii="Arial" w:hAnsi="Arial" w:cs="Arial"/>
          <w:b/>
          <w:color w:val="000000"/>
          <w:sz w:val="22"/>
          <w:szCs w:val="22"/>
          <w:lang w:val="pt-BR"/>
        </w:rPr>
      </w:pPr>
    </w:p>
    <w:p w14:paraId="64FACE2D">
      <w:pPr>
        <w:tabs>
          <w:tab w:val="left" w:pos="1080"/>
        </w:tabs>
        <w:jc w:val="center"/>
        <w:rPr>
          <w:rFonts w:hint="default" w:ascii="Arial" w:hAnsi="Arial" w:cs="Arial"/>
          <w:b/>
          <w:color w:val="000000"/>
          <w:sz w:val="22"/>
          <w:szCs w:val="22"/>
          <w:lang w:val="pt-BR"/>
        </w:rPr>
      </w:pPr>
    </w:p>
    <w:p w14:paraId="385934E9">
      <w:pPr>
        <w:tabs>
          <w:tab w:val="left" w:pos="1080"/>
        </w:tabs>
        <w:jc w:val="center"/>
        <w:rPr>
          <w:rFonts w:hint="default" w:ascii="Arial" w:hAnsi="Arial" w:cs="Arial"/>
          <w:b/>
          <w:color w:val="000000"/>
          <w:sz w:val="22"/>
          <w:szCs w:val="22"/>
          <w:lang w:val="pt-BR"/>
        </w:rPr>
      </w:pPr>
    </w:p>
    <w:p w14:paraId="4906A137">
      <w:pPr>
        <w:tabs>
          <w:tab w:val="left" w:pos="1080"/>
        </w:tabs>
        <w:jc w:val="center"/>
        <w:rPr>
          <w:rFonts w:hint="default" w:ascii="Arial" w:hAnsi="Arial" w:cs="Arial"/>
          <w:b/>
          <w:color w:val="000000"/>
          <w:sz w:val="22"/>
          <w:szCs w:val="22"/>
          <w:lang w:val="pt-BR"/>
        </w:rPr>
      </w:pPr>
      <w:r>
        <w:rPr>
          <w:rFonts w:hint="default" w:ascii="Arial" w:hAnsi="Arial" w:cs="Arial"/>
          <w:b/>
          <w:color w:val="000000"/>
          <w:sz w:val="22"/>
          <w:szCs w:val="22"/>
          <w:lang w:val="pt-BR"/>
        </w:rPr>
        <w:t>SILVIA CRISTINA VILLAR BORGES DE OLIVEIRA</w:t>
      </w:r>
    </w:p>
    <w:p w14:paraId="1B74AA2A">
      <w:pPr>
        <w:tabs>
          <w:tab w:val="left" w:pos="1080"/>
        </w:tabs>
        <w:jc w:val="center"/>
        <w:rPr>
          <w:rFonts w:hint="default" w:ascii="Arial" w:hAnsi="Arial" w:cs="Arial"/>
          <w:b/>
          <w:color w:val="000000"/>
          <w:sz w:val="22"/>
          <w:szCs w:val="22"/>
          <w:lang w:val="pt-BR"/>
        </w:rPr>
      </w:pPr>
      <w:r>
        <w:rPr>
          <w:rFonts w:hint="default" w:ascii="Arial" w:hAnsi="Arial" w:cs="Arial"/>
          <w:b/>
          <w:color w:val="000000"/>
          <w:sz w:val="22"/>
          <w:szCs w:val="22"/>
          <w:lang w:val="pt-BR"/>
        </w:rPr>
        <w:t>Secretária Municipal de Administração e Modernização</w:t>
      </w:r>
    </w:p>
    <w:p w14:paraId="38405906">
      <w:pPr>
        <w:rPr>
          <w:rFonts w:hint="default" w:ascii="Arial" w:hAnsi="Arial" w:cs="Arial"/>
          <w:b/>
          <w:color w:val="000000"/>
          <w:sz w:val="22"/>
          <w:szCs w:val="22"/>
          <w:lang w:val="pt-BR"/>
        </w:rPr>
      </w:pPr>
      <w:r>
        <w:rPr>
          <w:rFonts w:hint="default" w:ascii="Arial" w:hAnsi="Arial" w:cs="Arial"/>
          <w:b/>
          <w:color w:val="000000"/>
          <w:sz w:val="22"/>
          <w:szCs w:val="22"/>
          <w:lang w:val="pt-BR"/>
        </w:rPr>
        <w:br w:type="page"/>
      </w:r>
    </w:p>
    <w:p w14:paraId="47E7B52F">
      <w:pPr>
        <w:jc w:val="both"/>
        <w:rPr>
          <w:rFonts w:hint="default" w:ascii="Arial" w:hAnsi="Arial" w:cs="Arial"/>
          <w:b/>
          <w:sz w:val="22"/>
          <w:szCs w:val="22"/>
        </w:rPr>
      </w:pPr>
      <w:bookmarkStart w:id="57" w:name="_bookmark322"/>
      <w:bookmarkEnd w:id="57"/>
    </w:p>
    <w:p w14:paraId="6811E8A8">
      <w:pPr>
        <w:jc w:val="center"/>
        <w:rPr>
          <w:rFonts w:hint="default" w:ascii="Arial" w:hAnsi="Arial" w:cs="Arial"/>
          <w:b/>
          <w:sz w:val="22"/>
          <w:szCs w:val="22"/>
          <w:lang w:val="pt-BR"/>
        </w:rPr>
      </w:pPr>
      <w:r>
        <w:rPr>
          <w:rFonts w:hint="default" w:ascii="Arial" w:hAnsi="Arial" w:cs="Arial"/>
          <w:b/>
          <w:sz w:val="22"/>
          <w:szCs w:val="22"/>
          <w:lang w:val="pt-BR"/>
        </w:rPr>
        <w:t>ANEXO I</w:t>
      </w:r>
    </w:p>
    <w:p w14:paraId="020DABA5">
      <w:pPr>
        <w:jc w:val="both"/>
        <w:rPr>
          <w:rFonts w:hint="default" w:ascii="Arial" w:hAnsi="Arial" w:cs="Arial"/>
          <w:b/>
          <w:sz w:val="21"/>
          <w:szCs w:val="21"/>
        </w:rPr>
      </w:pP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Layout w:type="autofit"/>
        <w:tblCellMar>
          <w:top w:w="0" w:type="dxa"/>
          <w:left w:w="108" w:type="dxa"/>
          <w:bottom w:w="0" w:type="dxa"/>
          <w:right w:w="108" w:type="dxa"/>
        </w:tblCellMar>
      </w:tblPr>
      <w:tblGrid>
        <w:gridCol w:w="8720"/>
      </w:tblGrid>
      <w:tr w14:paraId="76762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9892" w:type="dxa"/>
            <w:shd w:val="clear" w:color="auto" w:fill="D7D7D7" w:themeFill="background1" w:themeFillShade="D8"/>
            <w:vAlign w:val="center"/>
          </w:tcPr>
          <w:p w14:paraId="1DFF2C08">
            <w:pPr>
              <w:jc w:val="center"/>
              <w:rPr>
                <w:rFonts w:hint="default" w:ascii="Arial" w:hAnsi="Arial" w:cs="Arial"/>
                <w:b/>
                <w:sz w:val="22"/>
                <w:szCs w:val="22"/>
                <w:vertAlign w:val="baseline"/>
              </w:rPr>
            </w:pPr>
            <w:r>
              <w:rPr>
                <w:rFonts w:hint="default" w:ascii="Arial" w:hAnsi="Arial" w:cs="Arial"/>
                <w:b/>
                <w:sz w:val="22"/>
                <w:szCs w:val="22"/>
              </w:rPr>
              <w:t>TERMO</w:t>
            </w:r>
            <w:r>
              <w:rPr>
                <w:rFonts w:hint="default" w:ascii="Arial" w:hAnsi="Arial" w:cs="Arial"/>
                <w:b/>
                <w:spacing w:val="-12"/>
                <w:sz w:val="22"/>
                <w:szCs w:val="22"/>
              </w:rPr>
              <w:t xml:space="preserve"> </w:t>
            </w:r>
            <w:r>
              <w:rPr>
                <w:rFonts w:hint="default" w:ascii="Arial" w:hAnsi="Arial" w:cs="Arial"/>
                <w:b/>
                <w:sz w:val="22"/>
                <w:szCs w:val="22"/>
              </w:rPr>
              <w:t>DE</w:t>
            </w:r>
            <w:r>
              <w:rPr>
                <w:rFonts w:hint="default" w:ascii="Arial" w:hAnsi="Arial" w:cs="Arial"/>
                <w:b/>
                <w:spacing w:val="-12"/>
                <w:sz w:val="22"/>
                <w:szCs w:val="22"/>
              </w:rPr>
              <w:t xml:space="preserve"> </w:t>
            </w:r>
            <w:r>
              <w:rPr>
                <w:rFonts w:hint="default" w:ascii="Arial" w:hAnsi="Arial" w:cs="Arial"/>
                <w:b/>
                <w:sz w:val="22"/>
                <w:szCs w:val="22"/>
              </w:rPr>
              <w:t>REFERÊNCIA</w:t>
            </w:r>
            <w:r>
              <w:rPr>
                <w:rFonts w:hint="default" w:ascii="Arial" w:hAnsi="Arial" w:cs="Arial"/>
                <w:b/>
                <w:sz w:val="22"/>
                <w:szCs w:val="22"/>
                <w:lang w:val="pt-BR"/>
              </w:rPr>
              <w:t>/PROJETO BÁSICO</w:t>
            </w:r>
          </w:p>
        </w:tc>
      </w:tr>
    </w:tbl>
    <w:p w14:paraId="0D1D7416">
      <w:pPr>
        <w:jc w:val="both"/>
        <w:rPr>
          <w:rFonts w:hint="default" w:ascii="Arial" w:hAnsi="Arial" w:cs="Arial"/>
          <w:b/>
          <w:sz w:val="22"/>
          <w:szCs w:val="22"/>
          <w:lang w:val="pt-BR"/>
        </w:rPr>
      </w:pPr>
    </w:p>
    <w:p w14:paraId="63DE59D3">
      <w:pPr>
        <w:tabs>
          <w:tab w:val="left" w:pos="1637"/>
          <w:tab w:val="left" w:pos="1956"/>
          <w:tab w:val="left" w:pos="3029"/>
          <w:tab w:val="left" w:pos="3348"/>
          <w:tab w:val="left" w:pos="3541"/>
          <w:tab w:val="left" w:pos="4813"/>
          <w:tab w:val="left" w:pos="5134"/>
          <w:tab w:val="left" w:pos="6122"/>
        </w:tabs>
        <w:spacing w:before="0" w:line="360" w:lineRule="auto"/>
        <w:ind w:left="0" w:leftChars="0" w:right="787" w:hanging="3" w:firstLineChars="0"/>
        <w:jc w:val="left"/>
        <w:rPr>
          <w:rFonts w:hint="default" w:ascii="Arial" w:hAnsi="Arial" w:cs="Arial"/>
          <w:b/>
          <w:sz w:val="22"/>
          <w:szCs w:val="22"/>
        </w:rPr>
      </w:pPr>
      <w:r>
        <w:rPr>
          <w:rFonts w:hint="default" w:ascii="Arial" w:hAnsi="Arial" w:cs="Arial"/>
          <w:b/>
          <w:spacing w:val="-2"/>
          <w:sz w:val="22"/>
          <w:szCs w:val="22"/>
        </w:rPr>
        <w:t>SIGILO:</w:t>
      </w:r>
      <w:r>
        <w:rPr>
          <w:rFonts w:hint="default" w:ascii="Arial" w:hAnsi="Arial" w:cs="Arial"/>
          <w:b/>
          <w:spacing w:val="-2"/>
          <w:sz w:val="22"/>
          <w:szCs w:val="22"/>
          <w:lang w:val="pt-BR"/>
        </w:rPr>
        <w:t xml:space="preserve"> </w:t>
      </w:r>
      <w:r>
        <w:rPr>
          <w:rFonts w:hint="default" w:ascii="Arial" w:hAnsi="Arial" w:cs="Arial"/>
          <w:b/>
          <w:spacing w:val="-10"/>
          <w:sz w:val="22"/>
          <w:szCs w:val="22"/>
        </w:rPr>
        <w:t>(</w:t>
      </w:r>
      <w:r>
        <w:rPr>
          <w:rFonts w:hint="default" w:ascii="Arial" w:hAnsi="Arial" w:cs="Arial"/>
          <w:b/>
          <w:spacing w:val="-10"/>
          <w:sz w:val="22"/>
          <w:szCs w:val="22"/>
          <w:lang w:val="pt-BR"/>
        </w:rPr>
        <w:t xml:space="preserve">   </w:t>
      </w:r>
      <w:r>
        <w:rPr>
          <w:rFonts w:hint="default" w:ascii="Arial" w:hAnsi="Arial" w:cs="Arial"/>
          <w:b/>
          <w:sz w:val="22"/>
          <w:szCs w:val="22"/>
        </w:rPr>
        <w:t>) SIM</w:t>
      </w:r>
      <w:r>
        <w:rPr>
          <w:rFonts w:hint="default" w:ascii="Arial" w:hAnsi="Arial" w:cs="Arial"/>
          <w:b/>
          <w:sz w:val="22"/>
          <w:szCs w:val="22"/>
        </w:rPr>
        <w:tab/>
      </w:r>
      <w:r>
        <w:rPr>
          <w:rFonts w:hint="default" w:ascii="Arial" w:hAnsi="Arial" w:cs="Arial"/>
          <w:b/>
          <w:sz w:val="22"/>
          <w:szCs w:val="22"/>
          <w:lang w:val="pt-BR"/>
        </w:rPr>
        <w:t xml:space="preserve"> </w:t>
      </w:r>
      <w:r>
        <w:rPr>
          <w:rFonts w:hint="default" w:ascii="Arial" w:hAnsi="Arial" w:cs="Arial"/>
          <w:b/>
          <w:spacing w:val="-10"/>
          <w:sz w:val="22"/>
          <w:szCs w:val="22"/>
        </w:rPr>
        <w:t>(</w:t>
      </w:r>
      <w:r>
        <w:rPr>
          <w:rFonts w:hint="default" w:ascii="Arial" w:hAnsi="Arial" w:cs="Arial"/>
          <w:b/>
          <w:spacing w:val="-10"/>
          <w:sz w:val="22"/>
          <w:szCs w:val="22"/>
          <w:lang w:val="pt-BR"/>
        </w:rPr>
        <w:t xml:space="preserve"> x </w:t>
      </w:r>
      <w:r>
        <w:rPr>
          <w:rFonts w:hint="default" w:ascii="Arial" w:hAnsi="Arial" w:cs="Arial"/>
          <w:b/>
          <w:sz w:val="22"/>
          <w:szCs w:val="22"/>
        </w:rPr>
        <w:t>) NÃO</w:t>
      </w:r>
    </w:p>
    <w:p w14:paraId="60A825E8">
      <w:pPr>
        <w:tabs>
          <w:tab w:val="left" w:pos="1637"/>
          <w:tab w:val="left" w:pos="1956"/>
          <w:tab w:val="left" w:pos="3029"/>
          <w:tab w:val="left" w:pos="3348"/>
          <w:tab w:val="left" w:pos="3541"/>
          <w:tab w:val="left" w:pos="4813"/>
          <w:tab w:val="left" w:pos="5134"/>
          <w:tab w:val="left" w:pos="6122"/>
        </w:tabs>
        <w:spacing w:before="0" w:line="360" w:lineRule="auto"/>
        <w:ind w:left="0" w:leftChars="0" w:right="-200" w:rightChars="0" w:hanging="3" w:firstLineChars="0"/>
        <w:jc w:val="left"/>
        <w:rPr>
          <w:rFonts w:hint="default" w:ascii="Arial" w:hAnsi="Arial" w:cs="Arial"/>
          <w:b/>
          <w:sz w:val="22"/>
          <w:szCs w:val="22"/>
        </w:rPr>
      </w:pPr>
      <w:r>
        <w:rPr>
          <w:rFonts w:hint="default" w:ascii="Arial" w:hAnsi="Arial" w:cs="Arial"/>
          <w:b/>
          <w:sz w:val="22"/>
          <w:szCs w:val="22"/>
        </w:rPr>
        <w:t>PREVISÃO</w:t>
      </w:r>
      <w:r>
        <w:rPr>
          <w:rFonts w:hint="default" w:ascii="Arial" w:hAnsi="Arial" w:cs="Arial"/>
          <w:b/>
          <w:spacing w:val="-11"/>
          <w:sz w:val="22"/>
          <w:szCs w:val="22"/>
        </w:rPr>
        <w:t xml:space="preserve"> </w:t>
      </w:r>
      <w:r>
        <w:rPr>
          <w:rFonts w:hint="default" w:ascii="Arial" w:hAnsi="Arial" w:cs="Arial"/>
          <w:b/>
          <w:sz w:val="22"/>
          <w:szCs w:val="22"/>
        </w:rPr>
        <w:t>NO</w:t>
      </w:r>
      <w:r>
        <w:rPr>
          <w:rFonts w:hint="default" w:ascii="Arial" w:hAnsi="Arial" w:cs="Arial"/>
          <w:b/>
          <w:spacing w:val="-11"/>
          <w:sz w:val="22"/>
          <w:szCs w:val="22"/>
        </w:rPr>
        <w:t xml:space="preserve"> </w:t>
      </w:r>
      <w:r>
        <w:rPr>
          <w:rFonts w:hint="default" w:ascii="Arial" w:hAnsi="Arial" w:cs="Arial"/>
          <w:b/>
          <w:sz w:val="22"/>
          <w:szCs w:val="22"/>
        </w:rPr>
        <w:t>PLANO</w:t>
      </w:r>
      <w:r>
        <w:rPr>
          <w:rFonts w:hint="default" w:ascii="Arial" w:hAnsi="Arial" w:cs="Arial"/>
          <w:b/>
          <w:spacing w:val="-11"/>
          <w:sz w:val="22"/>
          <w:szCs w:val="22"/>
        </w:rPr>
        <w:t xml:space="preserve"> </w:t>
      </w:r>
      <w:r>
        <w:rPr>
          <w:rFonts w:hint="default" w:ascii="Arial" w:hAnsi="Arial" w:cs="Arial"/>
          <w:b/>
          <w:sz w:val="22"/>
          <w:szCs w:val="22"/>
        </w:rPr>
        <w:t>DE CONTRATAÇÃO ANUAL:</w:t>
      </w:r>
      <w:r>
        <w:rPr>
          <w:rFonts w:hint="default" w:ascii="Arial" w:hAnsi="Arial" w:cs="Arial"/>
          <w:b/>
          <w:sz w:val="22"/>
          <w:szCs w:val="22"/>
          <w:lang w:val="pt-BR"/>
        </w:rPr>
        <w:t xml:space="preserve"> </w:t>
      </w:r>
      <w:r>
        <w:rPr>
          <w:rFonts w:hint="default" w:ascii="Arial" w:hAnsi="Arial" w:cs="Arial"/>
          <w:b/>
          <w:sz w:val="22"/>
          <w:szCs w:val="22"/>
        </w:rPr>
        <w:t>(</w:t>
      </w:r>
      <w:r>
        <w:rPr>
          <w:rFonts w:hint="default" w:ascii="Arial" w:hAnsi="Arial" w:cs="Arial"/>
          <w:b/>
          <w:sz w:val="22"/>
          <w:szCs w:val="22"/>
          <w:lang w:val="pt-BR"/>
        </w:rPr>
        <w:t>x</w:t>
      </w:r>
      <w:r>
        <w:rPr>
          <w:rFonts w:hint="default" w:ascii="Arial" w:hAnsi="Arial" w:cs="Arial"/>
          <w:b/>
          <w:sz w:val="22"/>
          <w:szCs w:val="22"/>
        </w:rPr>
        <w:t>) SIM</w:t>
      </w:r>
      <w:r>
        <w:rPr>
          <w:rFonts w:hint="default" w:ascii="Arial" w:hAnsi="Arial" w:cs="Arial"/>
          <w:b/>
          <w:sz w:val="22"/>
          <w:szCs w:val="22"/>
          <w:lang w:val="pt-BR"/>
        </w:rPr>
        <w:t xml:space="preserve"> </w:t>
      </w:r>
      <w:r>
        <w:rPr>
          <w:rFonts w:hint="default" w:ascii="Arial" w:hAnsi="Arial" w:cs="Arial"/>
          <w:b/>
          <w:spacing w:val="-10"/>
          <w:sz w:val="22"/>
          <w:szCs w:val="22"/>
        </w:rPr>
        <w:t>(</w:t>
      </w:r>
      <w:r>
        <w:rPr>
          <w:rFonts w:hint="default" w:ascii="Arial" w:hAnsi="Arial" w:cs="Arial"/>
          <w:b/>
          <w:spacing w:val="-10"/>
          <w:sz w:val="22"/>
          <w:szCs w:val="22"/>
          <w:lang w:val="pt-BR"/>
        </w:rPr>
        <w:t xml:space="preserve">   </w:t>
      </w:r>
      <w:r>
        <w:rPr>
          <w:rFonts w:hint="default" w:ascii="Arial" w:hAnsi="Arial" w:cs="Arial"/>
          <w:b/>
          <w:sz w:val="22"/>
          <w:szCs w:val="22"/>
        </w:rPr>
        <w:t>) NÃO</w:t>
      </w:r>
    </w:p>
    <w:p w14:paraId="6328B02C">
      <w:pPr>
        <w:jc w:val="center"/>
        <w:rPr>
          <w:rFonts w:hint="default" w:ascii="Arial" w:hAnsi="Arial" w:cs="Arial"/>
          <w:b/>
          <w:sz w:val="22"/>
          <w:szCs w:val="22"/>
          <w:lang w:val="pt-BR"/>
        </w:rPr>
      </w:pP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20"/>
      </w:tblGrid>
      <w:tr w14:paraId="1B5A1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877" w:type="dxa"/>
            <w:shd w:val="clear" w:color="auto" w:fill="D7D7D7" w:themeFill="background1" w:themeFillShade="D8"/>
            <w:vAlign w:val="center"/>
          </w:tcPr>
          <w:p w14:paraId="596C67A4">
            <w:pPr>
              <w:numPr>
                <w:ilvl w:val="0"/>
                <w:numId w:val="17"/>
              </w:numPr>
              <w:ind w:left="0" w:leftChars="0" w:firstLine="0" w:firstLineChars="0"/>
              <w:jc w:val="center"/>
              <w:rPr>
                <w:rFonts w:hint="default" w:ascii="Arial" w:hAnsi="Arial" w:cs="Arial"/>
                <w:b/>
                <w:sz w:val="22"/>
                <w:szCs w:val="22"/>
                <w:highlight w:val="lightGray"/>
                <w:vertAlign w:val="baseline"/>
                <w:lang w:val="pt-BR"/>
              </w:rPr>
            </w:pPr>
            <w:r>
              <w:rPr>
                <w:rFonts w:hint="default" w:ascii="Arial" w:hAnsi="Arial" w:cs="Arial"/>
                <w:b/>
                <w:sz w:val="22"/>
                <w:szCs w:val="22"/>
                <w:highlight w:val="none"/>
                <w:shd w:val="clear" w:fill="D7D7D7" w:themeFill="background1" w:themeFillShade="D8"/>
                <w:vertAlign w:val="baseline"/>
                <w:lang w:val="pt-BR"/>
              </w:rPr>
              <w:t>ÁREA DEMANDANTE</w:t>
            </w:r>
          </w:p>
        </w:tc>
      </w:tr>
    </w:tbl>
    <w:p w14:paraId="46816FA8">
      <w:pPr>
        <w:jc w:val="center"/>
        <w:rPr>
          <w:rFonts w:hint="default" w:ascii="Arial" w:hAnsi="Arial" w:cs="Arial"/>
          <w:b/>
          <w:sz w:val="22"/>
          <w:szCs w:val="22"/>
          <w:lang w:val="pt-BR"/>
        </w:rPr>
      </w:pPr>
    </w:p>
    <w:p w14:paraId="596C1561">
      <w:pPr>
        <w:spacing w:line="360" w:lineRule="auto"/>
        <w:jc w:val="left"/>
        <w:rPr>
          <w:rFonts w:hint="default" w:ascii="Arial" w:hAnsi="Arial" w:cs="Arial"/>
          <w:b w:val="0"/>
          <w:bCs/>
          <w:sz w:val="22"/>
          <w:szCs w:val="22"/>
          <w:lang w:val="pt-BR"/>
        </w:rPr>
      </w:pPr>
      <w:r>
        <w:rPr>
          <w:rFonts w:hint="default" w:ascii="Arial" w:hAnsi="Arial" w:cs="Arial"/>
          <w:b/>
          <w:sz w:val="22"/>
          <w:szCs w:val="22"/>
          <w:lang w:val="pt-BR"/>
        </w:rPr>
        <w:t xml:space="preserve">Secretaria Demandante: </w:t>
      </w:r>
      <w:r>
        <w:rPr>
          <w:rFonts w:hint="default" w:ascii="Arial" w:hAnsi="Arial" w:cs="Arial"/>
          <w:b w:val="0"/>
          <w:bCs/>
          <w:sz w:val="22"/>
          <w:szCs w:val="22"/>
          <w:lang w:val="pt-BR"/>
        </w:rPr>
        <w:t>Secretaria de Administração e Modernização</w:t>
      </w:r>
    </w:p>
    <w:p w14:paraId="409E9196">
      <w:pPr>
        <w:spacing w:line="360" w:lineRule="auto"/>
        <w:jc w:val="left"/>
        <w:rPr>
          <w:rFonts w:hint="default" w:ascii="Arial" w:hAnsi="Arial" w:cs="Arial"/>
          <w:b w:val="0"/>
          <w:bCs/>
          <w:sz w:val="22"/>
          <w:szCs w:val="22"/>
          <w:highlight w:val="none"/>
        </w:rPr>
      </w:pPr>
      <w:r>
        <w:rPr>
          <w:rFonts w:hint="default" w:ascii="Arial" w:hAnsi="Arial" w:cs="Arial"/>
          <w:b/>
          <w:bCs w:val="0"/>
          <w:sz w:val="22"/>
          <w:szCs w:val="22"/>
          <w:lang w:val="pt-BR"/>
        </w:rPr>
        <w:t xml:space="preserve">Secretária: </w:t>
      </w:r>
      <w:r>
        <w:rPr>
          <w:rFonts w:hint="default" w:ascii="Arial" w:hAnsi="Arial" w:cs="Arial"/>
          <w:b w:val="0"/>
          <w:bCs/>
          <w:sz w:val="22"/>
          <w:szCs w:val="22"/>
          <w:highlight w:val="none"/>
        </w:rPr>
        <w:t>Silvia Cristina Villar Borges De Oliveira</w:t>
      </w:r>
    </w:p>
    <w:p w14:paraId="07206964">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Email</w:t>
      </w:r>
      <w:r>
        <w:rPr>
          <w:rFonts w:hint="default" w:ascii="Arial" w:hAnsi="Arial" w:cs="Arial"/>
          <w:b w:val="0"/>
          <w:bCs/>
          <w:sz w:val="22"/>
          <w:szCs w:val="22"/>
          <w:highlight w:val="none"/>
          <w:lang w:val="pt-BR"/>
        </w:rPr>
        <w:t xml:space="preserve"> </w:t>
      </w:r>
      <w:r>
        <w:rPr>
          <w:rFonts w:hint="default" w:ascii="Arial" w:hAnsi="Arial" w:cs="Arial"/>
          <w:b/>
          <w:bCs w:val="0"/>
          <w:sz w:val="22"/>
          <w:szCs w:val="22"/>
          <w:highlight w:val="none"/>
          <w:lang w:val="pt-BR"/>
        </w:rPr>
        <w:t>(institucional):</w:t>
      </w:r>
      <w:r>
        <w:rPr>
          <w:rFonts w:hint="default" w:ascii="Arial" w:hAnsi="Arial" w:cs="Arial"/>
          <w:b w:val="0"/>
          <w:bCs/>
          <w:sz w:val="22"/>
          <w:szCs w:val="22"/>
          <w:highlight w:val="none"/>
          <w:lang w:val="pt-BR"/>
        </w:rPr>
        <w:t xml:space="preserve"> </w:t>
      </w:r>
      <w:r>
        <w:rPr>
          <w:rFonts w:hint="default" w:ascii="Arial" w:hAnsi="Arial" w:cs="Arial"/>
          <w:b w:val="0"/>
          <w:bCs/>
          <w:sz w:val="22"/>
          <w:szCs w:val="22"/>
          <w:highlight w:val="none"/>
          <w:lang w:val="pt-BR"/>
        </w:rPr>
        <w:fldChar w:fldCharType="begin"/>
      </w:r>
      <w:r>
        <w:rPr>
          <w:rFonts w:hint="default" w:ascii="Arial" w:hAnsi="Arial" w:cs="Arial"/>
          <w:b w:val="0"/>
          <w:bCs/>
          <w:sz w:val="22"/>
          <w:szCs w:val="22"/>
          <w:highlight w:val="none"/>
          <w:lang w:val="pt-BR"/>
        </w:rPr>
        <w:instrText xml:space="preserve"> HYPERLINK "mailto:sinopcompras@gmail.com" </w:instrText>
      </w:r>
      <w:r>
        <w:rPr>
          <w:rFonts w:hint="default" w:ascii="Arial" w:hAnsi="Arial" w:cs="Arial"/>
          <w:b w:val="0"/>
          <w:bCs/>
          <w:sz w:val="22"/>
          <w:szCs w:val="22"/>
          <w:highlight w:val="none"/>
          <w:lang w:val="pt-BR"/>
        </w:rPr>
        <w:fldChar w:fldCharType="separate"/>
      </w:r>
      <w:r>
        <w:rPr>
          <w:rStyle w:val="15"/>
          <w:rFonts w:hint="default" w:ascii="Arial" w:hAnsi="Arial" w:cs="Arial"/>
          <w:b w:val="0"/>
          <w:bCs/>
          <w:sz w:val="22"/>
          <w:szCs w:val="22"/>
          <w:highlight w:val="none"/>
          <w:lang w:val="pt-BR"/>
        </w:rPr>
        <w:t>sinopcompras@gmail.com</w:t>
      </w:r>
      <w:r>
        <w:rPr>
          <w:rFonts w:hint="default" w:ascii="Arial" w:hAnsi="Arial" w:cs="Arial"/>
          <w:b w:val="0"/>
          <w:bCs/>
          <w:sz w:val="22"/>
          <w:szCs w:val="22"/>
          <w:highlight w:val="none"/>
          <w:lang w:val="pt-BR"/>
        </w:rPr>
        <w:fldChar w:fldCharType="end"/>
      </w:r>
    </w:p>
    <w:p w14:paraId="6896B3AA">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rPr>
      </w:pPr>
      <w:r>
        <w:rPr>
          <w:rFonts w:hint="default" w:ascii="Arial" w:hAnsi="Arial" w:cs="Arial"/>
          <w:b w:val="0"/>
          <w:bCs/>
          <w:sz w:val="22"/>
          <w:szCs w:val="22"/>
          <w:highlight w:val="none"/>
          <w:lang w:val="pt-BR"/>
        </w:rPr>
        <w:t xml:space="preserve">Telefone </w:t>
      </w:r>
      <w:r>
        <w:rPr>
          <w:rFonts w:hint="default" w:ascii="Arial" w:hAnsi="Arial" w:cs="Arial"/>
          <w:b/>
          <w:bCs w:val="0"/>
          <w:sz w:val="22"/>
          <w:szCs w:val="22"/>
          <w:highlight w:val="none"/>
          <w:lang w:val="pt-BR"/>
        </w:rPr>
        <w:t>(institucional): 066.3520.7256</w:t>
      </w:r>
    </w:p>
    <w:p w14:paraId="5C4CD1AF">
      <w:pPr>
        <w:jc w:val="left"/>
        <w:rPr>
          <w:rFonts w:hint="default" w:ascii="Arial" w:hAnsi="Arial" w:cs="Arial"/>
          <w:b w:val="0"/>
          <w:bCs/>
          <w:sz w:val="22"/>
          <w:szCs w:val="22"/>
          <w:highlight w:val="none"/>
        </w:rPr>
      </w:pP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Layout w:type="autofit"/>
        <w:tblCellMar>
          <w:top w:w="0" w:type="dxa"/>
          <w:left w:w="108" w:type="dxa"/>
          <w:bottom w:w="0" w:type="dxa"/>
          <w:right w:w="108" w:type="dxa"/>
        </w:tblCellMar>
      </w:tblPr>
      <w:tblGrid>
        <w:gridCol w:w="8720"/>
      </w:tblGrid>
      <w:tr w14:paraId="66F6B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75" w:hRule="atLeast"/>
        </w:trPr>
        <w:tc>
          <w:tcPr>
            <w:tcW w:w="9892" w:type="dxa"/>
            <w:shd w:val="clear" w:color="auto" w:fill="D7D7D7" w:themeFill="background1" w:themeFillShade="D8"/>
            <w:vAlign w:val="center"/>
          </w:tcPr>
          <w:p w14:paraId="2A45AC29">
            <w:pPr>
              <w:numPr>
                <w:ilvl w:val="0"/>
                <w:numId w:val="17"/>
              </w:numPr>
              <w:ind w:left="0" w:leftChars="0" w:firstLine="0" w:firstLineChars="0"/>
              <w:jc w:val="center"/>
              <w:rPr>
                <w:rFonts w:hint="default" w:ascii="Arial" w:hAnsi="Arial" w:cs="Arial"/>
                <w:b/>
                <w:sz w:val="22"/>
                <w:szCs w:val="22"/>
                <w:highlight w:val="lightGray"/>
                <w:vertAlign w:val="baseline"/>
                <w:lang w:val="pt-BR"/>
              </w:rPr>
            </w:pPr>
            <w:r>
              <w:rPr>
                <w:rFonts w:hint="default" w:ascii="Arial" w:hAnsi="Arial" w:cs="Arial"/>
                <w:b/>
                <w:sz w:val="22"/>
                <w:szCs w:val="22"/>
                <w:highlight w:val="none"/>
                <w:shd w:val="clear"/>
                <w:vertAlign w:val="baseline"/>
                <w:lang w:val="pt-BR"/>
              </w:rPr>
              <w:t>OBJETO</w:t>
            </w:r>
          </w:p>
        </w:tc>
      </w:tr>
    </w:tbl>
    <w:p w14:paraId="4465BB61">
      <w:pPr>
        <w:jc w:val="left"/>
        <w:rPr>
          <w:rFonts w:hint="default" w:ascii="Arial" w:hAnsi="Arial" w:cs="Arial"/>
          <w:b w:val="0"/>
          <w:bCs/>
          <w:sz w:val="22"/>
          <w:szCs w:val="22"/>
          <w:highlight w:val="none"/>
          <w:lang w:val="pt-BR"/>
        </w:rPr>
      </w:pPr>
    </w:p>
    <w:p w14:paraId="38427D39">
      <w:pPr>
        <w:numPr>
          <w:ilvl w:val="1"/>
          <w:numId w:val="17"/>
        </w:numPr>
        <w:spacing w:line="360" w:lineRule="auto"/>
        <w:ind w:left="0" w:leftChars="0" w:firstLine="0" w:firstLineChars="0"/>
        <w:contextualSpacing/>
        <w:jc w:val="both"/>
        <w:rPr>
          <w:rFonts w:hint="default" w:ascii="Arial" w:hAnsi="Arial" w:cs="Arial"/>
          <w:sz w:val="22"/>
          <w:szCs w:val="22"/>
          <w:highlight w:val="none"/>
        </w:rPr>
      </w:pPr>
      <w:r>
        <w:rPr>
          <w:rFonts w:hint="default" w:ascii="Arial" w:hAnsi="Arial" w:cs="Arial"/>
          <w:b w:val="0"/>
          <w:bCs/>
          <w:color w:val="000000" w:themeColor="text1"/>
          <w:spacing w:val="-2"/>
          <w:sz w:val="22"/>
          <w:szCs w:val="22"/>
          <w:highlight w:val="none"/>
          <w:lang w:val="pt-BR"/>
          <w14:textFill>
            <w14:solidFill>
              <w14:schemeClr w14:val="tx1"/>
            </w14:solidFill>
          </w14:textFill>
        </w:rPr>
        <w:t>A presente licitação tem por objetivo a seleção das propostas mais vantajosas para a  Administração, visando o processo na modalidade de Pregão Eletrônico</w:t>
      </w:r>
      <w:r>
        <w:rPr>
          <w:rFonts w:hint="default" w:ascii="Arial" w:hAnsi="Arial" w:cs="Arial"/>
          <w:color w:val="000000" w:themeColor="text1"/>
          <w:sz w:val="22"/>
          <w:szCs w:val="22"/>
          <w:highlight w:val="none"/>
          <w14:textFill>
            <w14:solidFill>
              <w14:schemeClr w14:val="tx1"/>
            </w14:solidFill>
          </w14:textFill>
        </w:rPr>
        <w:t xml:space="preserve"> para </w:t>
      </w:r>
      <w:r>
        <w:rPr>
          <w:rFonts w:hint="default" w:ascii="Arial" w:hAnsi="Arial" w:eastAsia="SimSun" w:cs="Arial"/>
          <w:sz w:val="22"/>
          <w:szCs w:val="22"/>
          <w:highlight w:val="none"/>
        </w:rPr>
        <w:t xml:space="preserve">Contratação de empresa especializada para locação de sistema de Data Center para sistemas críticos computacionais e de telecomunicações, contemplando serviços de manutenção preditiva, preventiva e corretiva, </w:t>
      </w:r>
      <w:r>
        <w:rPr>
          <w:rFonts w:hint="default" w:ascii="Arial" w:hAnsi="Arial" w:eastAsia="SimSun" w:cs="Arial"/>
          <w:sz w:val="22"/>
          <w:szCs w:val="22"/>
          <w:highlight w:val="none"/>
          <w:lang w:val="pt-BR"/>
        </w:rPr>
        <w:t xml:space="preserve">compreendendo a locação de container, com fornecimento de ambientes de alta disponibilidade para sistemas críticos computacionais e de telecomunicações, </w:t>
      </w:r>
      <w:r>
        <w:rPr>
          <w:rFonts w:hint="default" w:ascii="Arial" w:hAnsi="Arial" w:eastAsia="SimSun" w:cs="Arial"/>
          <w:sz w:val="22"/>
          <w:szCs w:val="22"/>
          <w:highlight w:val="none"/>
        </w:rPr>
        <w:t>conforme condições estabelecidas neste Termo de Referência. A solução deverá incluir o fornecimento, instalação e testes de dispositivos elétrico-eletrônicos, mecânicos e lógicos, com passivos: organizados, identificados e certificados</w:t>
      </w:r>
      <w:r>
        <w:rPr>
          <w:rFonts w:hint="default" w:ascii="Arial" w:hAnsi="Arial" w:eastAsia="SimSun" w:cs="Arial"/>
          <w:sz w:val="22"/>
          <w:szCs w:val="22"/>
          <w:highlight w:val="none"/>
          <w:lang w:val="pt-BR"/>
        </w:rPr>
        <w:t xml:space="preserve"> e S</w:t>
      </w:r>
      <w:r>
        <w:rPr>
          <w:rFonts w:hint="default" w:ascii="Arial" w:hAnsi="Arial" w:eastAsia="SimSun" w:cs="Arial"/>
          <w:i w:val="0"/>
          <w:iCs w:val="0"/>
          <w:color w:val="000000"/>
          <w:kern w:val="0"/>
          <w:sz w:val="22"/>
          <w:szCs w:val="22"/>
          <w:highlight w:val="none"/>
          <w:u w:val="none"/>
          <w:lang w:val="en-US" w:eastAsia="zh-CN" w:bidi="ar"/>
        </w:rPr>
        <w:t xml:space="preserve">erviço de </w:t>
      </w:r>
      <w:r>
        <w:rPr>
          <w:rFonts w:hint="default" w:ascii="Arial" w:hAnsi="Arial" w:eastAsia="SimSun" w:cs="Arial"/>
          <w:i w:val="0"/>
          <w:iCs w:val="0"/>
          <w:color w:val="000000"/>
          <w:kern w:val="0"/>
          <w:sz w:val="22"/>
          <w:szCs w:val="22"/>
          <w:highlight w:val="none"/>
          <w:u w:val="none"/>
          <w:lang w:val="pt-BR" w:eastAsia="zh-CN" w:bidi="ar"/>
        </w:rPr>
        <w:t>M</w:t>
      </w:r>
      <w:r>
        <w:rPr>
          <w:rFonts w:hint="default" w:ascii="Arial" w:hAnsi="Arial" w:eastAsia="SimSun" w:cs="Arial"/>
          <w:i w:val="0"/>
          <w:iCs w:val="0"/>
          <w:color w:val="000000"/>
          <w:kern w:val="0"/>
          <w:sz w:val="22"/>
          <w:szCs w:val="22"/>
          <w:highlight w:val="none"/>
          <w:u w:val="none"/>
          <w:lang w:val="en-US" w:eastAsia="zh-CN" w:bidi="ar"/>
        </w:rPr>
        <w:t xml:space="preserve">ovimentação de </w:t>
      </w:r>
      <w:r>
        <w:rPr>
          <w:rFonts w:hint="default" w:ascii="Arial" w:hAnsi="Arial" w:eastAsia="SimSun" w:cs="Arial"/>
          <w:i w:val="0"/>
          <w:iCs w:val="0"/>
          <w:color w:val="000000"/>
          <w:kern w:val="0"/>
          <w:sz w:val="22"/>
          <w:szCs w:val="22"/>
          <w:highlight w:val="none"/>
          <w:u w:val="none"/>
          <w:lang w:val="pt-BR" w:eastAsia="zh-CN" w:bidi="ar"/>
        </w:rPr>
        <w:t>E</w:t>
      </w:r>
      <w:r>
        <w:rPr>
          <w:rFonts w:hint="default" w:ascii="Arial" w:hAnsi="Arial" w:eastAsia="SimSun" w:cs="Arial"/>
          <w:i w:val="0"/>
          <w:iCs w:val="0"/>
          <w:color w:val="000000"/>
          <w:kern w:val="0"/>
          <w:sz w:val="22"/>
          <w:szCs w:val="22"/>
          <w:highlight w:val="none"/>
          <w:u w:val="none"/>
          <w:lang w:val="en-US" w:eastAsia="zh-CN" w:bidi="ar"/>
        </w:rPr>
        <w:t>quipamentos (MOVING)</w:t>
      </w:r>
      <w:r>
        <w:rPr>
          <w:rFonts w:hint="default" w:ascii="Arial" w:hAnsi="Arial" w:eastAsia="SimSun" w:cs="Arial"/>
          <w:i w:val="0"/>
          <w:iCs w:val="0"/>
          <w:color w:val="000000"/>
          <w:kern w:val="0"/>
          <w:sz w:val="18"/>
          <w:szCs w:val="18"/>
          <w:highlight w:val="none"/>
          <w:u w:val="none"/>
          <w:lang w:val="pt-BR" w:eastAsia="zh-CN" w:bidi="ar"/>
        </w:rPr>
        <w:t xml:space="preserve">, </w:t>
      </w:r>
      <w:r>
        <w:rPr>
          <w:rFonts w:ascii="Arial" w:hAnsi="Arial" w:cs="Arial"/>
          <w:b w:val="0"/>
          <w:bCs/>
          <w:sz w:val="22"/>
          <w:szCs w:val="22"/>
          <w:highlight w:val="none"/>
        </w:rPr>
        <w:t xml:space="preserve">para atender </w:t>
      </w:r>
      <w:r>
        <w:rPr>
          <w:rFonts w:hint="default" w:ascii="Arial" w:hAnsi="Arial" w:cs="Arial"/>
          <w:b w:val="0"/>
          <w:bCs/>
          <w:sz w:val="22"/>
          <w:szCs w:val="22"/>
          <w:highlight w:val="none"/>
          <w:lang w:val="pt-BR"/>
        </w:rPr>
        <w:t>a Prefeitura Municipal de Sinop/MT,</w:t>
      </w:r>
      <w:r>
        <w:rPr>
          <w:rFonts w:hint="default" w:ascii="Arial" w:hAnsi="Arial" w:cs="Arial"/>
          <w:b w:val="0"/>
          <w:bCs/>
          <w:color w:val="000000" w:themeColor="text1"/>
          <w:sz w:val="22"/>
          <w:szCs w:val="22"/>
          <w:highlight w:val="none"/>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conforme condições, quantidades e exigências estabelecidas neste instrumento e no Estudo Técnico Preliminar.</w:t>
      </w:r>
    </w:p>
    <w:p w14:paraId="36E18B3C">
      <w:pPr>
        <w:pStyle w:val="21"/>
        <w:keepNext w:val="0"/>
        <w:keepLines w:val="0"/>
        <w:pageBreakBefore w:val="0"/>
        <w:widowControl/>
        <w:numPr>
          <w:ilvl w:val="2"/>
          <w:numId w:val="17"/>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auto"/>
        <w:rPr>
          <w:rFonts w:hint="default" w:ascii="Arial" w:hAnsi="Arial" w:eastAsia="sans-serif" w:cs="Arial"/>
          <w:i w:val="0"/>
          <w:iCs w:val="0"/>
          <w:caps w:val="0"/>
          <w:color w:val="auto"/>
          <w:spacing w:val="0"/>
          <w:sz w:val="22"/>
          <w:szCs w:val="22"/>
          <w:shd w:val="clear" w:fill="FFFFFF"/>
          <w:lang w:val="pt-BR"/>
        </w:rPr>
      </w:pPr>
      <w:r>
        <w:rPr>
          <w:rFonts w:hint="default" w:ascii="Arial" w:hAnsi="Arial" w:eastAsia="SimSun" w:cs="Arial"/>
          <w:color w:val="auto"/>
          <w:sz w:val="22"/>
          <w:szCs w:val="22"/>
        </w:rPr>
        <w:t>Considerando a limitação de espaço físico do prédio d</w:t>
      </w:r>
      <w:r>
        <w:rPr>
          <w:rFonts w:hint="default" w:ascii="Arial" w:hAnsi="Arial" w:cs="Arial"/>
          <w:color w:val="auto"/>
          <w:sz w:val="22"/>
          <w:szCs w:val="22"/>
          <w:lang w:val="pt-BR"/>
        </w:rPr>
        <w:t xml:space="preserve">a Secretaria Municipal de Administração; considerando a reforma no prédio da Secretaria de Administração e </w:t>
      </w:r>
      <w:r>
        <w:rPr>
          <w:rFonts w:hint="default" w:ascii="Arial" w:hAnsi="Arial" w:eastAsia="SimSun" w:cs="Arial"/>
          <w:color w:val="auto"/>
          <w:sz w:val="22"/>
          <w:szCs w:val="22"/>
        </w:rPr>
        <w:t xml:space="preserve"> do Sistema de climatização e de capacidade energética do atual Datacenter que impossibilita a instalação de novos equipamentos servidores e serviços de TI, o plano de contingência e redundância de serviços é necessária a aquisição e instalação de um novo Datacenter de TI, pois o atual a ambiente não suporta abrigar de forma segura (equipamentos) servidores, sistemas de armazenamento (storages) e seus serviços de comunicação. A escolha da solução em contêiner justifica-se pela necessidade de espaço para ampliar a capacidade de processamento d</w:t>
      </w:r>
      <w:r>
        <w:rPr>
          <w:rFonts w:hint="default" w:ascii="Arial" w:hAnsi="Arial" w:cs="Arial"/>
          <w:color w:val="auto"/>
          <w:sz w:val="22"/>
          <w:szCs w:val="22"/>
          <w:lang w:val="pt-BR"/>
        </w:rPr>
        <w:t>a</w:t>
      </w:r>
      <w:r>
        <w:rPr>
          <w:rFonts w:hint="default" w:ascii="Arial" w:hAnsi="Arial" w:eastAsia="SimSun" w:cs="Arial"/>
          <w:color w:val="auto"/>
          <w:sz w:val="22"/>
          <w:szCs w:val="22"/>
        </w:rPr>
        <w:t xml:space="preserve"> </w:t>
      </w:r>
      <w:r>
        <w:rPr>
          <w:rFonts w:hint="default" w:ascii="Arial" w:hAnsi="Arial" w:cs="Arial"/>
          <w:color w:val="auto"/>
          <w:sz w:val="22"/>
          <w:szCs w:val="22"/>
          <w:lang w:val="pt-BR"/>
        </w:rPr>
        <w:t>Secretaria Municipal de Administração</w:t>
      </w:r>
      <w:r>
        <w:rPr>
          <w:rFonts w:hint="default" w:ascii="Arial" w:hAnsi="Arial" w:eastAsia="SimSun" w:cs="Arial"/>
          <w:color w:val="auto"/>
          <w:sz w:val="22"/>
          <w:szCs w:val="22"/>
        </w:rPr>
        <w:t xml:space="preserve">. Este tipo de solução tem como conceito de Datacenters modulares. Ao invés de construir enormes instalações para acomodar racks de servidores e storage, utiliza-se o contêiner como um módulo completo de processamento e expandido conforme a necessidade da </w:t>
      </w:r>
      <w:r>
        <w:rPr>
          <w:rFonts w:hint="default" w:ascii="Arial" w:hAnsi="Arial" w:cs="Arial"/>
          <w:color w:val="auto"/>
          <w:sz w:val="22"/>
          <w:szCs w:val="22"/>
          <w:lang w:val="pt-BR"/>
        </w:rPr>
        <w:t>Prefeitura e Sinop-MT.</w:t>
      </w:r>
    </w:p>
    <w:p w14:paraId="6A40EC13">
      <w:pPr>
        <w:pStyle w:val="21"/>
        <w:keepNext w:val="0"/>
        <w:keepLines w:val="0"/>
        <w:pageBreakBefore w:val="0"/>
        <w:widowControl/>
        <w:numPr>
          <w:ilvl w:val="2"/>
          <w:numId w:val="17"/>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auto"/>
        <w:rPr>
          <w:rFonts w:hint="default" w:ascii="Arial" w:hAnsi="Arial" w:cs="Arial"/>
          <w:color w:val="auto"/>
          <w:sz w:val="22"/>
          <w:szCs w:val="22"/>
        </w:rPr>
      </w:pPr>
      <w:r>
        <w:rPr>
          <w:rFonts w:hint="default" w:ascii="Arial" w:hAnsi="Arial" w:eastAsia="sans-serif" w:cs="Arial"/>
          <w:i w:val="0"/>
          <w:iCs w:val="0"/>
          <w:caps w:val="0"/>
          <w:color w:val="auto"/>
          <w:spacing w:val="0"/>
          <w:sz w:val="22"/>
          <w:szCs w:val="22"/>
          <w:shd w:val="clear" w:fill="FFFFFF"/>
        </w:rPr>
        <w:t>Com o aumento exponencial da quantidade de dados gerados e processados pelas empresas, é essencial contar com uma infraestrutura de TI capaz de lidar com essa demanda de forma eficiente. Empresas que possuem data centers próprios precisam investir fortemente na segurança desses equipamentos, sabendo do alto valor de toda a informação que armazenam. </w:t>
      </w:r>
    </w:p>
    <w:p w14:paraId="3C30F415">
      <w:pPr>
        <w:pStyle w:val="21"/>
        <w:keepNext w:val="0"/>
        <w:keepLines w:val="0"/>
        <w:pageBreakBefore w:val="0"/>
        <w:widowControl/>
        <w:numPr>
          <w:ilvl w:val="2"/>
          <w:numId w:val="17"/>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auto"/>
        <w:rPr>
          <w:rFonts w:hint="default" w:ascii="Arial" w:hAnsi="Arial" w:cs="Arial"/>
          <w:color w:val="auto"/>
          <w:sz w:val="22"/>
          <w:szCs w:val="22"/>
        </w:rPr>
      </w:pPr>
      <w:r>
        <w:rPr>
          <w:rFonts w:hint="default" w:ascii="Arial" w:hAnsi="Arial" w:eastAsia="sans-serif" w:cs="Arial"/>
          <w:i w:val="0"/>
          <w:iCs w:val="0"/>
          <w:caps w:val="0"/>
          <w:color w:val="auto"/>
          <w:spacing w:val="0"/>
          <w:sz w:val="22"/>
          <w:szCs w:val="22"/>
          <w:shd w:val="clear" w:fill="FFFFFF"/>
          <w:lang w:val="pt-BR"/>
        </w:rPr>
        <w:t xml:space="preserve">Data Center em Containers são </w:t>
      </w:r>
      <w:r>
        <w:rPr>
          <w:rFonts w:hint="default" w:ascii="Arial" w:hAnsi="Arial" w:eastAsia="sans-serif" w:cs="Arial"/>
          <w:i w:val="0"/>
          <w:iCs w:val="0"/>
          <w:caps w:val="0"/>
          <w:color w:val="auto"/>
          <w:spacing w:val="0"/>
          <w:sz w:val="22"/>
          <w:szCs w:val="22"/>
          <w:shd w:val="clear" w:fill="FFFFFF"/>
        </w:rPr>
        <w:t>ambientes seguros para diversas situações. Entre tantas formas de ambientes seguros para data centers, o container é uma das soluções que tem grande demanda por ser inovadora e por seu projeto de mobilidade. </w:t>
      </w:r>
    </w:p>
    <w:p w14:paraId="7E964EF6">
      <w:pPr>
        <w:pStyle w:val="21"/>
        <w:keepNext w:val="0"/>
        <w:keepLines w:val="0"/>
        <w:pageBreakBefore w:val="0"/>
        <w:widowControl/>
        <w:numPr>
          <w:ilvl w:val="2"/>
          <w:numId w:val="17"/>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auto"/>
        <w:rPr>
          <w:rFonts w:hint="default" w:ascii="Arial" w:hAnsi="Arial" w:cs="Arial"/>
          <w:sz w:val="22"/>
          <w:szCs w:val="22"/>
          <w:highlight w:val="none"/>
        </w:rPr>
      </w:pPr>
      <w:r>
        <w:rPr>
          <w:rFonts w:hint="default" w:ascii="Arial" w:hAnsi="Arial" w:eastAsia="sans-serif" w:cs="Arial"/>
          <w:i w:val="0"/>
          <w:iCs w:val="0"/>
          <w:caps w:val="0"/>
          <w:color w:val="auto"/>
          <w:spacing w:val="0"/>
          <w:sz w:val="22"/>
          <w:szCs w:val="22"/>
          <w:shd w:val="clear" w:fill="FFFFFF"/>
        </w:rPr>
        <w:t>Os </w:t>
      </w:r>
      <w:r>
        <w:rPr>
          <w:rFonts w:hint="default" w:ascii="Arial" w:hAnsi="Arial" w:eastAsia="sans-serif" w:cs="Arial"/>
          <w:i w:val="0"/>
          <w:iCs w:val="0"/>
          <w:caps w:val="0"/>
          <w:color w:val="auto"/>
          <w:spacing w:val="0"/>
          <w:sz w:val="22"/>
          <w:szCs w:val="22"/>
          <w:u w:val="none"/>
          <w:shd w:val="clear" w:fill="FFFFFF"/>
        </w:rPr>
        <w:fldChar w:fldCharType="begin"/>
      </w:r>
      <w:r>
        <w:rPr>
          <w:rFonts w:hint="default" w:ascii="Arial" w:hAnsi="Arial" w:eastAsia="sans-serif" w:cs="Arial"/>
          <w:i w:val="0"/>
          <w:iCs w:val="0"/>
          <w:caps w:val="0"/>
          <w:color w:val="auto"/>
          <w:spacing w:val="0"/>
          <w:sz w:val="22"/>
          <w:szCs w:val="22"/>
          <w:u w:val="none"/>
          <w:shd w:val="clear" w:fill="FFFFFF"/>
        </w:rPr>
        <w:instrText xml:space="preserve"> HYPERLINK "https://www.envolvebr.com/blog/blog/2022/09/27/beneficios-data-center-container" \t "https://www.envolvebr.com/blog/blog/2023/06/20/_blank" </w:instrText>
      </w:r>
      <w:r>
        <w:rPr>
          <w:rFonts w:hint="default" w:ascii="Arial" w:hAnsi="Arial" w:eastAsia="sans-serif" w:cs="Arial"/>
          <w:i w:val="0"/>
          <w:iCs w:val="0"/>
          <w:caps w:val="0"/>
          <w:color w:val="auto"/>
          <w:spacing w:val="0"/>
          <w:sz w:val="22"/>
          <w:szCs w:val="22"/>
          <w:u w:val="none"/>
          <w:shd w:val="clear" w:fill="FFFFFF"/>
        </w:rPr>
        <w:fldChar w:fldCharType="separate"/>
      </w:r>
      <w:r>
        <w:rPr>
          <w:rStyle w:val="15"/>
          <w:rFonts w:hint="default" w:ascii="Arial" w:hAnsi="Arial" w:eastAsia="sans-serif" w:cs="Arial"/>
          <w:i w:val="0"/>
          <w:iCs w:val="0"/>
          <w:caps w:val="0"/>
          <w:color w:val="auto"/>
          <w:spacing w:val="0"/>
          <w:sz w:val="22"/>
          <w:szCs w:val="22"/>
          <w:u w:val="none"/>
          <w:shd w:val="clear" w:fill="FFFFFF"/>
        </w:rPr>
        <w:t>data centers containers</w:t>
      </w:r>
      <w:r>
        <w:rPr>
          <w:rFonts w:hint="default" w:ascii="Arial" w:hAnsi="Arial" w:eastAsia="sans-serif" w:cs="Arial"/>
          <w:i w:val="0"/>
          <w:iCs w:val="0"/>
          <w:caps w:val="0"/>
          <w:color w:val="auto"/>
          <w:spacing w:val="0"/>
          <w:sz w:val="22"/>
          <w:szCs w:val="22"/>
          <w:u w:val="none"/>
          <w:shd w:val="clear" w:fill="FFFFFF"/>
        </w:rPr>
        <w:fldChar w:fldCharType="end"/>
      </w:r>
      <w:r>
        <w:rPr>
          <w:rFonts w:hint="default" w:ascii="Arial" w:hAnsi="Arial" w:eastAsia="sans-serif" w:cs="Arial"/>
          <w:i w:val="0"/>
          <w:iCs w:val="0"/>
          <w:caps w:val="0"/>
          <w:color w:val="auto"/>
          <w:spacing w:val="0"/>
          <w:sz w:val="22"/>
          <w:szCs w:val="22"/>
          <w:shd w:val="clear" w:fill="FFFFFF"/>
        </w:rPr>
        <w:t> são projetados para serem facilmente transportados, permitindo a implantação rápida e flexível em qualquer local necessário. Seja para atender a demandas emergenciais, expandir a infraestrutura da corporação ou levar capacidade de processamento a áreas remotas, os data centers containers podem ser rapidamente instalados e configurados, garantindo a continuidade dos serviços de TI sem interrupções significativas. </w:t>
      </w:r>
    </w:p>
    <w:p w14:paraId="451DD137">
      <w:pPr>
        <w:numPr>
          <w:ilvl w:val="2"/>
          <w:numId w:val="17"/>
        </w:numPr>
        <w:spacing w:line="360" w:lineRule="auto"/>
        <w:ind w:left="0" w:leftChars="0" w:firstLine="0" w:firstLineChars="0"/>
        <w:contextualSpacing/>
        <w:jc w:val="both"/>
        <w:rPr>
          <w:rFonts w:hint="default" w:ascii="Arial" w:hAnsi="Arial" w:cs="Arial"/>
          <w:color w:val="auto"/>
          <w:sz w:val="22"/>
          <w:szCs w:val="22"/>
        </w:rPr>
      </w:pPr>
      <w:r>
        <w:rPr>
          <w:rFonts w:hint="default" w:ascii="Arial" w:hAnsi="Arial" w:cs="Arial"/>
          <w:color w:val="auto"/>
          <w:sz w:val="22"/>
          <w:szCs w:val="22"/>
        </w:rPr>
        <w:t>A padronização de descrições de itens de compra estimula a ampla concorrência entre produtos equivalentes nas licitações públicas e possibilita o estabelecimento de banco de dados confiável para análises e estudos de preços praticados nas compras públicas realizadas no estado de Mato Grosso.</w:t>
      </w:r>
      <w:r>
        <w:rPr>
          <w:rFonts w:hint="default" w:ascii="Arial" w:hAnsi="Arial" w:cs="Arial"/>
          <w:color w:val="auto"/>
          <w:sz w:val="22"/>
          <w:szCs w:val="22"/>
          <w:lang w:val="pt-BR"/>
        </w:rPr>
        <w:t xml:space="preserve"> </w:t>
      </w:r>
      <w:r>
        <w:rPr>
          <w:rFonts w:hint="default" w:ascii="Arial" w:hAnsi="Arial" w:cs="Arial"/>
          <w:color w:val="auto"/>
          <w:sz w:val="22"/>
          <w:szCs w:val="22"/>
        </w:rPr>
        <w:t>O catálogo abrange desde alimentos, produtos de higiene, artigos de vestuário, produtos químicos, armamentos, maquinários, material de expediente, medicamentos e demais materiais ou serviços.</w:t>
      </w:r>
    </w:p>
    <w:p w14:paraId="7D5FAD3F">
      <w:pPr>
        <w:numPr>
          <w:ilvl w:val="2"/>
          <w:numId w:val="17"/>
        </w:numPr>
        <w:spacing w:line="360" w:lineRule="auto"/>
        <w:ind w:left="0" w:leftChars="0" w:firstLine="0" w:firstLineChars="0"/>
        <w:contextualSpacing/>
        <w:jc w:val="both"/>
        <w:rPr>
          <w:rFonts w:hint="default" w:ascii="Arial" w:hAnsi="Arial" w:cs="Arial"/>
          <w:b w:val="0"/>
          <w:bCs/>
          <w:color w:val="auto"/>
          <w:sz w:val="22"/>
          <w:szCs w:val="22"/>
          <w:highlight w:val="none"/>
          <w:lang w:val="pt-BR"/>
        </w:rPr>
      </w:pPr>
      <w:r>
        <w:rPr>
          <w:rFonts w:hint="default" w:ascii="Arial" w:hAnsi="Arial" w:cs="Arial"/>
          <w:color w:val="auto"/>
          <w:sz w:val="22"/>
          <w:szCs w:val="22"/>
          <w:lang w:val="pt-BR"/>
        </w:rPr>
        <w:t>I</w:t>
      </w:r>
      <w:r>
        <w:rPr>
          <w:rFonts w:hint="default" w:ascii="Arial" w:hAnsi="Arial" w:cs="Arial"/>
          <w:color w:val="auto"/>
          <w:sz w:val="22"/>
          <w:szCs w:val="22"/>
        </w:rPr>
        <w:t xml:space="preserve">mportante destacar que o TCE/MT desenvolveu e mantém o Catálogo de Materiais e Serviços que é um banco de especificações de </w:t>
      </w:r>
      <w:r>
        <w:rPr>
          <w:rFonts w:hint="default" w:ascii="Arial" w:hAnsi="Arial" w:cs="Arial"/>
          <w:color w:val="auto"/>
          <w:sz w:val="22"/>
          <w:szCs w:val="22"/>
          <w:u w:val="single"/>
        </w:rPr>
        <w:t>itens licitáveis de uso obrigatório para todos os órgãos sob a jurisdição do TCE/MT</w:t>
      </w:r>
      <w:r>
        <w:rPr>
          <w:rFonts w:hint="default" w:ascii="Arial" w:hAnsi="Arial" w:cs="Arial"/>
          <w:color w:val="auto"/>
          <w:sz w:val="22"/>
          <w:szCs w:val="22"/>
        </w:rPr>
        <w:t>. Dessa forma, o município de Sinop utiliza desse catálogo eletrônico desde 2017.</w:t>
      </w:r>
    </w:p>
    <w:p w14:paraId="152075E6">
      <w:pPr>
        <w:jc w:val="left"/>
        <w:rPr>
          <w:rFonts w:hint="default" w:ascii="Arial" w:hAnsi="Arial" w:cs="Arial"/>
          <w:b w:val="0"/>
          <w:bCs/>
          <w:sz w:val="22"/>
          <w:szCs w:val="22"/>
          <w:highlight w:val="none"/>
          <w:lang w:val="pt-BR"/>
        </w:rPr>
      </w:pPr>
    </w:p>
    <w:p w14:paraId="2A949761">
      <w:pPr>
        <w:jc w:val="left"/>
        <w:rPr>
          <w:rFonts w:hint="default" w:ascii="Arial" w:hAnsi="Arial" w:cs="Arial"/>
          <w:b w:val="0"/>
          <w:bCs/>
          <w:sz w:val="22"/>
          <w:szCs w:val="22"/>
          <w:highlight w:val="none"/>
          <w:lang w:val="pt-BR"/>
        </w:rPr>
      </w:pPr>
    </w:p>
    <w:p w14:paraId="38BF39CE">
      <w:pPr>
        <w:jc w:val="left"/>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2.2. Descrição e quantidades:</w:t>
      </w:r>
    </w:p>
    <w:p w14:paraId="37571E90">
      <w:pPr>
        <w:jc w:val="left"/>
        <w:rPr>
          <w:rFonts w:hint="default" w:ascii="Arial" w:hAnsi="Arial" w:cs="Arial"/>
          <w:b/>
          <w:bCs w:val="0"/>
          <w:sz w:val="22"/>
          <w:szCs w:val="22"/>
          <w:highlight w:val="yellow"/>
          <w:lang w:val="pt-BR"/>
        </w:rPr>
      </w:pPr>
    </w:p>
    <w:p w14:paraId="28FA4A96">
      <w:pPr>
        <w:jc w:val="left"/>
        <w:rPr>
          <w:rFonts w:hint="default" w:ascii="Arial" w:hAnsi="Arial" w:cs="Arial"/>
          <w:b/>
          <w:bCs w:val="0"/>
          <w:sz w:val="22"/>
          <w:szCs w:val="22"/>
          <w:highlight w:val="yellow"/>
          <w:lang w:val="pt-BR"/>
        </w:rPr>
      </w:pPr>
    </w:p>
    <w:tbl>
      <w:tblPr>
        <w:tblStyle w:val="10"/>
        <w:tblpPr w:leftFromText="180" w:rightFromText="180" w:vertAnchor="text" w:horzAnchor="page" w:tblpX="467" w:tblpY="345"/>
        <w:tblOverlap w:val="never"/>
        <w:tblW w:w="1101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49"/>
        <w:gridCol w:w="610"/>
        <w:gridCol w:w="836"/>
        <w:gridCol w:w="979"/>
        <w:gridCol w:w="3378"/>
        <w:gridCol w:w="702"/>
        <w:gridCol w:w="861"/>
        <w:gridCol w:w="1470"/>
        <w:gridCol w:w="1326"/>
      </w:tblGrid>
      <w:tr w14:paraId="0E2439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4" w:hRule="atLeast"/>
        </w:trPr>
        <w:tc>
          <w:tcPr>
            <w:tcW w:w="849" w:type="dxa"/>
            <w:tcBorders>
              <w:top w:val="single" w:color="000000" w:sz="2" w:space="0"/>
              <w:left w:val="single" w:color="000000" w:sz="2" w:space="0"/>
              <w:bottom w:val="single" w:color="auto" w:sz="4" w:space="0"/>
              <w:right w:val="single" w:color="000000" w:sz="2" w:space="0"/>
            </w:tcBorders>
            <w:shd w:val="clear" w:color="auto" w:fill="BFBFBF"/>
            <w:vAlign w:val="center"/>
          </w:tcPr>
          <w:p w14:paraId="66A1CDD7">
            <w:pPr>
              <w:rPr>
                <w:rFonts w:hint="default" w:ascii="Arial" w:hAnsi="Arial" w:cs="Arial"/>
                <w:sz w:val="16"/>
                <w:szCs w:val="16"/>
              </w:rPr>
            </w:pPr>
            <w:r>
              <w:rPr>
                <w:rFonts w:hint="default" w:ascii="Arial" w:hAnsi="Arial" w:cs="Arial"/>
                <w:sz w:val="16"/>
                <w:szCs w:val="16"/>
                <w:lang w:val="en-US" w:eastAsia="zh-CN"/>
              </w:rPr>
              <w:t>GRUPO</w:t>
            </w:r>
          </w:p>
        </w:tc>
        <w:tc>
          <w:tcPr>
            <w:tcW w:w="610" w:type="dxa"/>
            <w:tcBorders>
              <w:top w:val="single" w:color="000000" w:sz="2" w:space="0"/>
              <w:left w:val="single" w:color="000000" w:sz="2" w:space="0"/>
              <w:bottom w:val="single" w:color="000000" w:sz="2" w:space="0"/>
              <w:right w:val="single" w:color="000000" w:sz="2" w:space="0"/>
            </w:tcBorders>
            <w:shd w:val="clear" w:color="auto" w:fill="BFBFBF"/>
            <w:vAlign w:val="center"/>
          </w:tcPr>
          <w:p w14:paraId="68B5D12A">
            <w:pPr>
              <w:rPr>
                <w:rFonts w:hint="default" w:ascii="Arial" w:hAnsi="Arial" w:cs="Arial"/>
                <w:sz w:val="16"/>
                <w:szCs w:val="16"/>
              </w:rPr>
            </w:pPr>
            <w:r>
              <w:rPr>
                <w:rFonts w:hint="default" w:ascii="Arial" w:hAnsi="Arial" w:cs="Arial"/>
                <w:sz w:val="16"/>
                <w:szCs w:val="16"/>
                <w:lang w:val="en-US" w:eastAsia="zh-CN"/>
              </w:rPr>
              <w:t>ITEM</w:t>
            </w:r>
          </w:p>
        </w:tc>
        <w:tc>
          <w:tcPr>
            <w:tcW w:w="836" w:type="dxa"/>
            <w:tcBorders>
              <w:top w:val="single" w:color="000000" w:sz="2" w:space="0"/>
              <w:left w:val="single" w:color="000000" w:sz="2" w:space="0"/>
              <w:bottom w:val="single" w:color="000000" w:sz="2" w:space="0"/>
              <w:right w:val="single" w:color="000000" w:sz="2" w:space="0"/>
            </w:tcBorders>
            <w:shd w:val="clear" w:color="auto" w:fill="BFBFBF"/>
            <w:vAlign w:val="center"/>
          </w:tcPr>
          <w:p w14:paraId="395155FC">
            <w:pPr>
              <w:rPr>
                <w:rFonts w:hint="default" w:ascii="Arial" w:hAnsi="Arial" w:cs="Arial"/>
                <w:sz w:val="16"/>
                <w:szCs w:val="16"/>
              </w:rPr>
            </w:pPr>
            <w:r>
              <w:rPr>
                <w:rFonts w:hint="default" w:ascii="Arial" w:hAnsi="Arial" w:cs="Arial"/>
                <w:sz w:val="16"/>
                <w:szCs w:val="16"/>
                <w:lang w:val="en-US" w:eastAsia="zh-CN"/>
              </w:rPr>
              <w:t>CÓD. PMS</w:t>
            </w:r>
          </w:p>
        </w:tc>
        <w:tc>
          <w:tcPr>
            <w:tcW w:w="979" w:type="dxa"/>
            <w:tcBorders>
              <w:top w:val="single" w:color="000000" w:sz="2" w:space="0"/>
              <w:left w:val="single" w:color="000000" w:sz="2" w:space="0"/>
              <w:bottom w:val="single" w:color="000000" w:sz="2" w:space="0"/>
              <w:right w:val="single" w:color="000000" w:sz="2" w:space="0"/>
            </w:tcBorders>
            <w:shd w:val="clear" w:color="auto" w:fill="BFBFBF"/>
            <w:vAlign w:val="center"/>
          </w:tcPr>
          <w:p w14:paraId="6BB51F2E">
            <w:pPr>
              <w:rPr>
                <w:rFonts w:hint="default" w:ascii="Arial" w:hAnsi="Arial" w:cs="Arial"/>
                <w:sz w:val="16"/>
                <w:szCs w:val="16"/>
              </w:rPr>
            </w:pPr>
            <w:r>
              <w:rPr>
                <w:rFonts w:hint="default" w:ascii="Arial" w:hAnsi="Arial" w:cs="Arial"/>
                <w:sz w:val="16"/>
                <w:szCs w:val="16"/>
                <w:lang w:val="en-US" w:eastAsia="zh-CN"/>
              </w:rPr>
              <w:t>CÓD. TCE</w:t>
            </w:r>
          </w:p>
        </w:tc>
        <w:tc>
          <w:tcPr>
            <w:tcW w:w="3378" w:type="dxa"/>
            <w:tcBorders>
              <w:top w:val="single" w:color="000000" w:sz="2" w:space="0"/>
              <w:left w:val="single" w:color="000000" w:sz="2" w:space="0"/>
              <w:bottom w:val="single" w:color="000000" w:sz="2" w:space="0"/>
              <w:right w:val="single" w:color="000000" w:sz="2" w:space="0"/>
            </w:tcBorders>
            <w:shd w:val="clear" w:color="auto" w:fill="BFBFBF"/>
            <w:vAlign w:val="center"/>
          </w:tcPr>
          <w:p w14:paraId="3DD159AC">
            <w:pPr>
              <w:rPr>
                <w:rFonts w:hint="default" w:ascii="Arial" w:hAnsi="Arial" w:cs="Arial"/>
                <w:sz w:val="16"/>
                <w:szCs w:val="16"/>
              </w:rPr>
            </w:pPr>
            <w:r>
              <w:rPr>
                <w:rFonts w:hint="default" w:ascii="Arial" w:hAnsi="Arial" w:cs="Arial"/>
                <w:sz w:val="16"/>
                <w:szCs w:val="16"/>
                <w:lang w:val="en-US" w:eastAsia="zh-CN"/>
              </w:rPr>
              <w:t>DESCRIÇÃO</w:t>
            </w:r>
          </w:p>
        </w:tc>
        <w:tc>
          <w:tcPr>
            <w:tcW w:w="702" w:type="dxa"/>
            <w:tcBorders>
              <w:top w:val="single" w:color="000000" w:sz="2" w:space="0"/>
              <w:left w:val="single" w:color="000000" w:sz="2" w:space="0"/>
              <w:bottom w:val="single" w:color="000000" w:sz="2" w:space="0"/>
              <w:right w:val="single" w:color="000000" w:sz="2" w:space="0"/>
            </w:tcBorders>
            <w:shd w:val="clear" w:color="auto" w:fill="BFBFBF"/>
            <w:vAlign w:val="center"/>
          </w:tcPr>
          <w:p w14:paraId="7183C30D">
            <w:pPr>
              <w:rPr>
                <w:rFonts w:hint="default" w:ascii="Arial" w:hAnsi="Arial" w:cs="Arial"/>
                <w:sz w:val="16"/>
                <w:szCs w:val="16"/>
              </w:rPr>
            </w:pPr>
            <w:r>
              <w:rPr>
                <w:rFonts w:hint="default" w:ascii="Arial" w:hAnsi="Arial" w:cs="Arial"/>
                <w:sz w:val="16"/>
                <w:szCs w:val="16"/>
                <w:lang w:val="en-US" w:eastAsia="zh-CN"/>
              </w:rPr>
              <w:t>UNID.</w:t>
            </w:r>
          </w:p>
        </w:tc>
        <w:tc>
          <w:tcPr>
            <w:tcW w:w="861" w:type="dxa"/>
            <w:tcBorders>
              <w:top w:val="single" w:color="000000" w:sz="2" w:space="0"/>
              <w:left w:val="single" w:color="000000" w:sz="2" w:space="0"/>
              <w:bottom w:val="single" w:color="000000" w:sz="2" w:space="0"/>
              <w:right w:val="single" w:color="000000" w:sz="2" w:space="0"/>
            </w:tcBorders>
            <w:shd w:val="clear" w:color="auto" w:fill="BFBFBF"/>
            <w:vAlign w:val="center"/>
          </w:tcPr>
          <w:p w14:paraId="61A57D7E">
            <w:pPr>
              <w:rPr>
                <w:rFonts w:hint="default" w:ascii="Arial" w:hAnsi="Arial" w:cs="Arial"/>
                <w:sz w:val="16"/>
                <w:szCs w:val="16"/>
              </w:rPr>
            </w:pPr>
            <w:r>
              <w:rPr>
                <w:rFonts w:hint="default" w:ascii="Arial" w:hAnsi="Arial" w:cs="Arial"/>
                <w:sz w:val="16"/>
                <w:szCs w:val="16"/>
                <w:lang w:val="en-US" w:eastAsia="zh-CN"/>
              </w:rPr>
              <w:t>QUANT.</w:t>
            </w:r>
          </w:p>
        </w:tc>
        <w:tc>
          <w:tcPr>
            <w:tcW w:w="1470" w:type="dxa"/>
            <w:tcBorders>
              <w:top w:val="single" w:color="000000" w:sz="2" w:space="0"/>
              <w:left w:val="single" w:color="000000" w:sz="2" w:space="0"/>
              <w:bottom w:val="single" w:color="000000" w:sz="2" w:space="0"/>
              <w:right w:val="single" w:color="000000" w:sz="2" w:space="0"/>
            </w:tcBorders>
            <w:shd w:val="clear" w:color="auto" w:fill="BFBFBF"/>
            <w:vAlign w:val="center"/>
          </w:tcPr>
          <w:p w14:paraId="53C841F7">
            <w:pPr>
              <w:rPr>
                <w:rFonts w:hint="default" w:ascii="Arial" w:hAnsi="Arial" w:cs="Arial"/>
                <w:sz w:val="16"/>
                <w:szCs w:val="16"/>
              </w:rPr>
            </w:pPr>
            <w:r>
              <w:rPr>
                <w:rFonts w:hint="default" w:ascii="Arial" w:hAnsi="Arial" w:cs="Arial"/>
                <w:sz w:val="16"/>
                <w:szCs w:val="16"/>
                <w:lang w:val="en-US" w:eastAsia="zh-CN"/>
              </w:rPr>
              <w:t>VALOR DE REFERÊNCIA</w:t>
            </w:r>
          </w:p>
        </w:tc>
        <w:tc>
          <w:tcPr>
            <w:tcW w:w="1326" w:type="dxa"/>
            <w:tcBorders>
              <w:top w:val="single" w:color="000000" w:sz="2" w:space="0"/>
              <w:left w:val="single" w:color="000000" w:sz="2" w:space="0"/>
              <w:bottom w:val="single" w:color="000000" w:sz="2" w:space="0"/>
              <w:right w:val="single" w:color="000000" w:sz="2" w:space="0"/>
            </w:tcBorders>
            <w:shd w:val="clear" w:color="auto" w:fill="BFBFBF"/>
            <w:vAlign w:val="center"/>
          </w:tcPr>
          <w:p w14:paraId="2FAF83D5">
            <w:pPr>
              <w:rPr>
                <w:rFonts w:hint="default" w:ascii="Arial" w:hAnsi="Arial" w:cs="Arial"/>
                <w:sz w:val="16"/>
                <w:szCs w:val="16"/>
              </w:rPr>
            </w:pPr>
            <w:r>
              <w:rPr>
                <w:rFonts w:hint="default" w:ascii="Arial" w:hAnsi="Arial" w:cs="Arial"/>
                <w:sz w:val="16"/>
                <w:szCs w:val="16"/>
                <w:lang w:val="en-US" w:eastAsia="zh-CN"/>
              </w:rPr>
              <w:t>TOTAL</w:t>
            </w:r>
          </w:p>
        </w:tc>
      </w:tr>
      <w:tr w14:paraId="62DBB7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10" w:hRule="atLeast"/>
        </w:trPr>
        <w:tc>
          <w:tcPr>
            <w:tcW w:w="849" w:type="dxa"/>
            <w:vMerge w:val="restart"/>
            <w:tcBorders>
              <w:top w:val="single" w:color="auto" w:sz="4" w:space="0"/>
              <w:left w:val="single" w:color="000000" w:sz="2" w:space="0"/>
              <w:bottom w:val="single" w:color="auto" w:sz="4" w:space="0"/>
              <w:right w:val="single" w:color="000000" w:sz="2" w:space="0"/>
            </w:tcBorders>
            <w:shd w:val="clear" w:color="auto" w:fill="auto"/>
            <w:vAlign w:val="center"/>
          </w:tcPr>
          <w:p w14:paraId="0702DC7F">
            <w:pPr>
              <w:jc w:val="center"/>
              <w:rPr>
                <w:rFonts w:hint="default" w:ascii="Arial" w:hAnsi="Arial" w:cs="Arial"/>
                <w:sz w:val="16"/>
                <w:szCs w:val="16"/>
                <w:lang w:val="pt-BR"/>
              </w:rPr>
            </w:pPr>
            <w:r>
              <w:rPr>
                <w:rFonts w:hint="default" w:ascii="Arial" w:hAnsi="Arial" w:cs="Arial"/>
                <w:sz w:val="16"/>
                <w:szCs w:val="16"/>
                <w:lang w:val="en-US" w:eastAsia="zh-CN"/>
              </w:rPr>
              <w:t>GRUP</w:t>
            </w:r>
            <w:r>
              <w:rPr>
                <w:rFonts w:hint="default" w:ascii="Arial" w:hAnsi="Arial" w:cs="Arial"/>
                <w:sz w:val="16"/>
                <w:szCs w:val="16"/>
                <w:lang w:val="pt-BR" w:eastAsia="zh-CN"/>
              </w:rPr>
              <w:t>O1</w:t>
            </w:r>
          </w:p>
        </w:tc>
        <w:tc>
          <w:tcPr>
            <w:tcW w:w="61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D34C1ED">
            <w:pPr>
              <w:jc w:val="center"/>
              <w:rPr>
                <w:rFonts w:hint="default" w:ascii="Arial" w:hAnsi="Arial" w:cs="Arial"/>
                <w:sz w:val="16"/>
                <w:szCs w:val="16"/>
              </w:rPr>
            </w:pPr>
            <w:r>
              <w:rPr>
                <w:rFonts w:hint="default" w:ascii="Arial" w:hAnsi="Arial" w:cs="Arial"/>
                <w:sz w:val="16"/>
                <w:szCs w:val="16"/>
                <w:lang w:val="en-US" w:eastAsia="zh-CN"/>
              </w:rPr>
              <w:t>1</w:t>
            </w:r>
          </w:p>
        </w:tc>
        <w:tc>
          <w:tcPr>
            <w:tcW w:w="8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B8043B">
            <w:pPr>
              <w:jc w:val="both"/>
              <w:rPr>
                <w:rFonts w:hint="default" w:ascii="Arial" w:hAnsi="Arial" w:cs="Arial"/>
                <w:sz w:val="16"/>
                <w:szCs w:val="16"/>
                <w:lang w:val="pt-BR"/>
              </w:rPr>
            </w:pPr>
            <w:r>
              <w:rPr>
                <w:rFonts w:hint="default" w:ascii="Arial" w:hAnsi="Arial" w:cs="Arial"/>
                <w:sz w:val="16"/>
                <w:szCs w:val="16"/>
                <w:lang w:val="en-US" w:eastAsia="zh-CN"/>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635" cy="0"/>
                  <wp:effectExtent l="0" t="0" r="0" b="0"/>
                  <wp:wrapNone/>
                  <wp:docPr id="15" name="Imagem_1"/>
                  <wp:cNvGraphicFramePr/>
                  <a:graphic xmlns:a="http://schemas.openxmlformats.org/drawingml/2006/main">
                    <a:graphicData uri="http://schemas.openxmlformats.org/drawingml/2006/picture">
                      <pic:pic xmlns:pic="http://schemas.openxmlformats.org/drawingml/2006/picture">
                        <pic:nvPicPr>
                          <pic:cNvPr id="15" name="Imagem_1"/>
                          <pic:cNvPicPr/>
                        </pic:nvPicPr>
                        <pic:blipFill>
                          <a:blip r:embed="rId9"/>
                          <a:stretch>
                            <a:fillRect/>
                          </a:stretch>
                        </pic:blipFill>
                        <pic:spPr>
                          <a:xfrm>
                            <a:off x="0" y="0"/>
                            <a:ext cx="635" cy="0"/>
                          </a:xfrm>
                          <a:prstGeom prst="rect">
                            <a:avLst/>
                          </a:prstGeom>
                          <a:noFill/>
                          <a:ln>
                            <a:noFill/>
                          </a:ln>
                        </pic:spPr>
                      </pic:pic>
                    </a:graphicData>
                  </a:graphic>
                </wp:anchor>
              </w:drawing>
            </w:r>
            <w:r>
              <w:rPr>
                <w:rFonts w:hint="default" w:ascii="Arial" w:hAnsi="Arial" w:cs="Arial"/>
                <w:sz w:val="16"/>
                <w:szCs w:val="16"/>
                <w:lang w:val="pt-BR"/>
              </w:rPr>
              <w:t>404920</w:t>
            </w:r>
          </w:p>
        </w:tc>
        <w:tc>
          <w:tcPr>
            <w:tcW w:w="9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894782">
            <w:pPr>
              <w:jc w:val="center"/>
              <w:rPr>
                <w:rFonts w:hint="default" w:ascii="Arial" w:hAnsi="Arial" w:cs="Arial"/>
                <w:sz w:val="16"/>
                <w:szCs w:val="16"/>
                <w:lang w:val="pt-BR"/>
              </w:rPr>
            </w:pPr>
            <w:r>
              <w:rPr>
                <w:rFonts w:hint="default" w:ascii="Arial" w:hAnsi="Arial" w:cs="Arial"/>
                <w:sz w:val="16"/>
                <w:szCs w:val="16"/>
                <w:lang w:val="pt-BR"/>
              </w:rPr>
              <w:t>00086082</w:t>
            </w:r>
          </w:p>
        </w:tc>
        <w:tc>
          <w:tcPr>
            <w:tcW w:w="33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A69402">
            <w:pPr>
              <w:jc w:val="both"/>
              <w:rPr>
                <w:rFonts w:hint="default" w:ascii="Arial" w:hAnsi="Arial" w:cs="Arial"/>
                <w:sz w:val="16"/>
                <w:szCs w:val="16"/>
              </w:rPr>
            </w:pPr>
            <w:r>
              <w:rPr>
                <w:rFonts w:hint="default" w:ascii="Arial" w:hAnsi="Arial" w:cs="Arial"/>
                <w:sz w:val="16"/>
                <w:szCs w:val="16"/>
                <w:lang w:val="en-US" w:eastAsia="zh-CN"/>
              </w:rPr>
              <w:t>CONTRATAÇÃO DE EMPRESA ESPECIALIZADA PARA LOCAÇÃO DE SISTEMA DE DATA CENTER PARA SISTEMAS CRÍTICOS COMPUTACIONAIS E DE TELECOMUNICAÇÕES, CONTEMPLANDO SERVIÇOS DE MANUTENÇÃO PREDITIVA, PREVENTIVA E CORRETIVA, COMPREENDENDO A LOCAÇÃO DE CONTAINER, COM FORNECIMENTO DE AMBIENTES DE ALTA DISPONIBILIDADE PARA SISTEMAS CRÍTICOS COMPUTACIONAIS E DE TELECOMUNICAÇÕES, CONFORME CONDIÇÕES ESTABELECIDAS NESTE TERMO DE REFERÊNCIA. A SOLUÇÃO DEVERÁ INCLUIR O FORNECIMENTO, INSTALAÇÃO E TESTES DE DISPOSITIVOS ELÉTRICO-ELETRÔNICOS, MECÂNICOS E LÓGICOS, COM PASSIVOS: ORGANIZADOS, IDENTIFICADOS E CERTIFICADOS.</w:t>
            </w:r>
          </w:p>
        </w:tc>
        <w:tc>
          <w:tcPr>
            <w:tcW w:w="70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0C0AAFE">
            <w:pPr>
              <w:jc w:val="center"/>
              <w:rPr>
                <w:rFonts w:hint="default" w:ascii="Arial" w:hAnsi="Arial" w:cs="Arial"/>
                <w:sz w:val="16"/>
                <w:szCs w:val="16"/>
              </w:rPr>
            </w:pPr>
            <w:r>
              <w:rPr>
                <w:rFonts w:hint="default" w:ascii="Arial" w:hAnsi="Arial" w:cs="Arial"/>
                <w:sz w:val="16"/>
                <w:szCs w:val="16"/>
                <w:lang w:val="en-US" w:eastAsia="zh-CN"/>
              </w:rPr>
              <w:t>MÊS</w:t>
            </w:r>
          </w:p>
        </w:tc>
        <w:tc>
          <w:tcPr>
            <w:tcW w:w="86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BFF35CE">
            <w:pPr>
              <w:jc w:val="center"/>
              <w:rPr>
                <w:rFonts w:hint="default" w:ascii="Arial" w:hAnsi="Arial" w:cs="Arial"/>
                <w:sz w:val="16"/>
                <w:szCs w:val="16"/>
              </w:rPr>
            </w:pPr>
            <w:r>
              <w:rPr>
                <w:rFonts w:hint="default" w:ascii="Arial" w:hAnsi="Arial" w:cs="Arial"/>
                <w:sz w:val="16"/>
                <w:szCs w:val="16"/>
                <w:lang w:val="en-US" w:eastAsia="zh-CN"/>
              </w:rPr>
              <w:t>12</w:t>
            </w:r>
          </w:p>
        </w:tc>
        <w:tc>
          <w:tcPr>
            <w:tcW w:w="147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518F9AD">
            <w:pPr>
              <w:jc w:val="center"/>
              <w:rPr>
                <w:rFonts w:hint="default" w:ascii="Arial" w:hAnsi="Arial" w:cs="Arial"/>
                <w:sz w:val="16"/>
                <w:szCs w:val="16"/>
                <w:lang w:val="pt-BR"/>
              </w:rPr>
            </w:pPr>
            <w:r>
              <w:rPr>
                <w:rFonts w:hint="default" w:ascii="Arial" w:hAnsi="Arial" w:cs="Arial"/>
                <w:sz w:val="16"/>
                <w:szCs w:val="16"/>
                <w:lang w:val="pt-BR"/>
              </w:rPr>
              <w:t>R$ 79.771,17</w:t>
            </w:r>
          </w:p>
        </w:tc>
        <w:tc>
          <w:tcPr>
            <w:tcW w:w="1326"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9595104">
            <w:pPr>
              <w:jc w:val="center"/>
              <w:rPr>
                <w:rFonts w:hint="default" w:ascii="Arial" w:hAnsi="Arial" w:cs="Arial"/>
                <w:sz w:val="16"/>
                <w:szCs w:val="16"/>
                <w:lang w:val="pt-BR"/>
              </w:rPr>
            </w:pPr>
            <w:r>
              <w:rPr>
                <w:rFonts w:hint="default" w:ascii="Arial" w:hAnsi="Arial" w:cs="Arial"/>
                <w:sz w:val="16"/>
                <w:szCs w:val="16"/>
                <w:lang w:val="pt-BR"/>
              </w:rPr>
              <w:t>R$ 957.254,04</w:t>
            </w:r>
          </w:p>
        </w:tc>
      </w:tr>
      <w:tr w14:paraId="45AF0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7" w:hRule="atLeast"/>
        </w:trPr>
        <w:tc>
          <w:tcPr>
            <w:tcW w:w="849" w:type="dxa"/>
            <w:vMerge w:val="continue"/>
            <w:tcBorders>
              <w:top w:val="single" w:color="auto" w:sz="4" w:space="0"/>
              <w:left w:val="single" w:color="000000" w:sz="2" w:space="0"/>
              <w:bottom w:val="single" w:color="auto" w:sz="4" w:space="0"/>
              <w:right w:val="single" w:color="000000" w:sz="2" w:space="0"/>
            </w:tcBorders>
            <w:shd w:val="clear" w:color="auto" w:fill="auto"/>
            <w:vAlign w:val="center"/>
          </w:tcPr>
          <w:p w14:paraId="7A8FCD35">
            <w:pPr>
              <w:rPr>
                <w:rFonts w:hint="default" w:ascii="Arial" w:hAnsi="Arial" w:cs="Arial"/>
                <w:sz w:val="16"/>
                <w:szCs w:val="16"/>
              </w:rPr>
            </w:pPr>
          </w:p>
        </w:tc>
        <w:tc>
          <w:tcPr>
            <w:tcW w:w="61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50E7ABE">
            <w:pPr>
              <w:jc w:val="center"/>
              <w:rPr>
                <w:rFonts w:hint="default" w:ascii="Arial" w:hAnsi="Arial" w:cs="Arial"/>
                <w:sz w:val="16"/>
                <w:szCs w:val="16"/>
              </w:rPr>
            </w:pPr>
            <w:r>
              <w:rPr>
                <w:rFonts w:hint="default" w:ascii="Arial" w:hAnsi="Arial" w:cs="Arial"/>
                <w:sz w:val="16"/>
                <w:szCs w:val="16"/>
                <w:lang w:val="en-US" w:eastAsia="zh-CN"/>
              </w:rPr>
              <w:t>2</w:t>
            </w:r>
          </w:p>
        </w:tc>
        <w:tc>
          <w:tcPr>
            <w:tcW w:w="836"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15D0799">
            <w:pPr>
              <w:jc w:val="center"/>
              <w:rPr>
                <w:rFonts w:hint="default" w:ascii="Arial" w:hAnsi="Arial" w:cs="Arial"/>
                <w:sz w:val="16"/>
                <w:szCs w:val="16"/>
                <w:lang w:val="pt-BR"/>
              </w:rPr>
            </w:pPr>
            <w:r>
              <w:rPr>
                <w:rFonts w:hint="default" w:ascii="Arial" w:hAnsi="Arial" w:cs="Arial"/>
                <w:sz w:val="16"/>
                <w:szCs w:val="16"/>
                <w:lang w:val="pt-BR"/>
              </w:rPr>
              <w:t>404921</w:t>
            </w:r>
          </w:p>
        </w:tc>
        <w:tc>
          <w:tcPr>
            <w:tcW w:w="9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83E370">
            <w:pPr>
              <w:jc w:val="center"/>
              <w:rPr>
                <w:rFonts w:hint="default" w:ascii="Arial" w:hAnsi="Arial" w:cs="Arial"/>
                <w:sz w:val="16"/>
                <w:szCs w:val="16"/>
                <w:lang w:val="pt-BR"/>
              </w:rPr>
            </w:pPr>
            <w:r>
              <w:rPr>
                <w:rFonts w:hint="default" w:ascii="Arial" w:hAnsi="Arial" w:cs="Arial"/>
                <w:sz w:val="16"/>
                <w:szCs w:val="16"/>
                <w:lang w:val="pt-BR"/>
              </w:rPr>
              <w:t>424487-7</w:t>
            </w:r>
          </w:p>
        </w:tc>
        <w:tc>
          <w:tcPr>
            <w:tcW w:w="33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3E6A90">
            <w:pPr>
              <w:jc w:val="both"/>
              <w:rPr>
                <w:rFonts w:hint="default" w:ascii="Arial" w:hAnsi="Arial" w:cs="Arial"/>
                <w:sz w:val="16"/>
                <w:szCs w:val="16"/>
              </w:rPr>
            </w:pPr>
            <w:r>
              <w:rPr>
                <w:rFonts w:hint="default" w:ascii="Arial" w:hAnsi="Arial" w:cs="Arial"/>
                <w:sz w:val="16"/>
                <w:szCs w:val="16"/>
                <w:lang w:val="en-US" w:eastAsia="zh-CN"/>
              </w:rPr>
              <w:t>SERVIÇO DE MOVIMENTAÇÃO DE EQUIPAMENTOS (MOVING)</w:t>
            </w:r>
          </w:p>
        </w:tc>
        <w:tc>
          <w:tcPr>
            <w:tcW w:w="70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955758F">
            <w:pPr>
              <w:jc w:val="center"/>
              <w:rPr>
                <w:rFonts w:hint="default" w:ascii="Arial" w:hAnsi="Arial" w:cs="Arial"/>
                <w:sz w:val="16"/>
                <w:szCs w:val="16"/>
              </w:rPr>
            </w:pPr>
            <w:r>
              <w:rPr>
                <w:rFonts w:hint="default" w:ascii="Arial" w:hAnsi="Arial" w:cs="Arial"/>
                <w:sz w:val="16"/>
                <w:szCs w:val="16"/>
                <w:lang w:val="en-US" w:eastAsia="zh-CN"/>
              </w:rPr>
              <w:t>UNID</w:t>
            </w:r>
          </w:p>
        </w:tc>
        <w:tc>
          <w:tcPr>
            <w:tcW w:w="86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8365C38">
            <w:pPr>
              <w:jc w:val="center"/>
              <w:rPr>
                <w:rFonts w:hint="default" w:ascii="Arial" w:hAnsi="Arial" w:cs="Arial"/>
                <w:sz w:val="16"/>
                <w:szCs w:val="16"/>
              </w:rPr>
            </w:pPr>
            <w:r>
              <w:rPr>
                <w:rFonts w:hint="default" w:ascii="Arial" w:hAnsi="Arial" w:cs="Arial"/>
                <w:sz w:val="16"/>
                <w:szCs w:val="16"/>
                <w:lang w:val="en-US" w:eastAsia="zh-CN"/>
              </w:rPr>
              <w:t>1</w:t>
            </w:r>
          </w:p>
        </w:tc>
        <w:tc>
          <w:tcPr>
            <w:tcW w:w="147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66BD36F">
            <w:pPr>
              <w:jc w:val="center"/>
              <w:rPr>
                <w:rFonts w:hint="default" w:ascii="Arial" w:hAnsi="Arial" w:cs="Arial"/>
                <w:sz w:val="16"/>
                <w:szCs w:val="16"/>
                <w:lang w:val="pt-BR"/>
              </w:rPr>
            </w:pPr>
            <w:r>
              <w:rPr>
                <w:rFonts w:hint="default" w:ascii="Arial" w:hAnsi="Arial" w:cs="Arial"/>
                <w:sz w:val="16"/>
                <w:szCs w:val="16"/>
                <w:lang w:val="pt-BR"/>
              </w:rPr>
              <w:t>R$ 45.911,56</w:t>
            </w:r>
          </w:p>
        </w:tc>
        <w:tc>
          <w:tcPr>
            <w:tcW w:w="1326"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78C5EFF">
            <w:pPr>
              <w:jc w:val="center"/>
              <w:rPr>
                <w:rFonts w:hint="default" w:ascii="Arial" w:hAnsi="Arial" w:cs="Arial"/>
                <w:sz w:val="16"/>
                <w:szCs w:val="16"/>
                <w:lang w:val="pt-BR"/>
              </w:rPr>
            </w:pPr>
            <w:r>
              <w:rPr>
                <w:rFonts w:hint="default" w:ascii="Arial" w:hAnsi="Arial" w:cs="Arial"/>
                <w:sz w:val="16"/>
                <w:szCs w:val="16"/>
                <w:lang w:val="pt-BR"/>
              </w:rPr>
              <w:t>R$ 45.911,56</w:t>
            </w:r>
          </w:p>
        </w:tc>
      </w:tr>
    </w:tbl>
    <w:p w14:paraId="54365686">
      <w:pPr>
        <w:jc w:val="left"/>
        <w:rPr>
          <w:rFonts w:hint="default" w:ascii="Arial" w:hAnsi="Arial" w:cs="Arial"/>
          <w:b/>
          <w:bCs w:val="0"/>
          <w:sz w:val="22"/>
          <w:szCs w:val="22"/>
          <w:highlight w:val="yellow"/>
          <w:lang w:val="pt-BR"/>
        </w:rPr>
      </w:pPr>
    </w:p>
    <w:p w14:paraId="35609E0C">
      <w:pPr>
        <w:jc w:val="left"/>
        <w:rPr>
          <w:rFonts w:hint="default" w:ascii="Arial" w:hAnsi="Arial" w:cs="Arial"/>
          <w:b/>
          <w:bCs w:val="0"/>
          <w:sz w:val="22"/>
          <w:szCs w:val="22"/>
          <w:highlight w:val="yellow"/>
          <w:lang w:val="pt-BR"/>
        </w:rPr>
      </w:pPr>
    </w:p>
    <w:p w14:paraId="2BFCDD7E">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right="0" w:rightChars="0"/>
        <w:jc w:val="both"/>
        <w:textAlignment w:val="auto"/>
        <w:rPr>
          <w:rFonts w:hint="default" w:ascii="Arial" w:hAnsi="Arial" w:cs="Arial"/>
          <w:b/>
          <w:bCs/>
          <w:color w:val="auto"/>
          <w:spacing w:val="-2"/>
          <w:sz w:val="22"/>
          <w:szCs w:val="22"/>
          <w:highlight w:val="none"/>
          <w:lang w:val="pt-BR"/>
        </w:rPr>
      </w:pPr>
      <w:r>
        <w:rPr>
          <w:rFonts w:hint="default" w:ascii="Arial" w:hAnsi="Arial" w:cs="Arial"/>
          <w:b/>
          <w:bCs w:val="0"/>
          <w:sz w:val="22"/>
          <w:szCs w:val="22"/>
          <w:highlight w:val="none"/>
          <w:lang w:val="pt-BR"/>
        </w:rPr>
        <w:t xml:space="preserve">2.2.1. </w:t>
      </w:r>
      <w:r>
        <w:rPr>
          <w:rFonts w:hint="default" w:ascii="Arial" w:hAnsi="Arial" w:cs="Arial"/>
          <w:b/>
          <w:bCs/>
          <w:color w:val="auto"/>
          <w:spacing w:val="-2"/>
          <w:sz w:val="22"/>
          <w:szCs w:val="22"/>
          <w:highlight w:val="none"/>
          <w:lang w:val="pt-BR"/>
        </w:rPr>
        <w:t>Valor estimado para a contratação: R$ 1.003.165,60 (um milhão e três mil e cento e sessenta e cinco reais e sessenta centavos)</w:t>
      </w:r>
    </w:p>
    <w:p w14:paraId="2FF8FBBA">
      <w:pPr>
        <w:jc w:val="left"/>
        <w:rPr>
          <w:rFonts w:hint="default" w:ascii="Arial" w:hAnsi="Arial" w:cs="Arial"/>
          <w:b/>
          <w:bCs w:val="0"/>
          <w:sz w:val="22"/>
          <w:szCs w:val="22"/>
          <w:highlight w:val="yellow"/>
          <w:lang w:val="pt-BR"/>
        </w:rPr>
      </w:pPr>
    </w:p>
    <w:p w14:paraId="4E81381F">
      <w:pPr>
        <w:pStyle w:val="155"/>
        <w:numPr>
          <w:ilvl w:val="0"/>
          <w:numId w:val="0"/>
        </w:numPr>
        <w:spacing w:line="360" w:lineRule="auto"/>
        <w:ind w:leftChars="0"/>
        <w:jc w:val="both"/>
        <w:rPr>
          <w:rFonts w:hint="default" w:ascii="Arial" w:hAnsi="Arial" w:cs="Arial"/>
          <w:b/>
          <w:spacing w:val="-2"/>
          <w:sz w:val="22"/>
          <w:szCs w:val="22"/>
        </w:rPr>
      </w:pPr>
      <w:r>
        <w:rPr>
          <w:rFonts w:hint="default" w:ascii="Arial" w:hAnsi="Arial" w:cs="Arial"/>
          <w:b/>
          <w:sz w:val="22"/>
          <w:szCs w:val="22"/>
          <w:lang w:val="pt-BR"/>
        </w:rPr>
        <w:t>2.3.</w:t>
      </w:r>
      <w:r>
        <w:rPr>
          <w:rFonts w:hint="default" w:ascii="Arial" w:hAnsi="Arial" w:cs="Arial"/>
          <w:b/>
          <w:sz w:val="22"/>
          <w:szCs w:val="22"/>
        </w:rPr>
        <w:t xml:space="preserve">Metodologia de levantamento de estimativa de quantidades (contratos anteriores p </w:t>
      </w:r>
      <w:r>
        <w:rPr>
          <w:rFonts w:hint="default" w:ascii="Arial" w:hAnsi="Arial" w:cs="Arial"/>
          <w:b/>
          <w:spacing w:val="-2"/>
          <w:sz w:val="22"/>
          <w:szCs w:val="22"/>
        </w:rPr>
        <w:t>exemplo):</w:t>
      </w:r>
    </w:p>
    <w:p w14:paraId="6C558082">
      <w:pPr>
        <w:pStyle w:val="155"/>
        <w:numPr>
          <w:ilvl w:val="0"/>
          <w:numId w:val="0"/>
        </w:numPr>
        <w:spacing w:line="360" w:lineRule="auto"/>
        <w:ind w:leftChars="0" w:right="0" w:rightChars="0"/>
        <w:jc w:val="both"/>
        <w:rPr>
          <w:rFonts w:hint="default" w:ascii="Arial" w:hAnsi="Arial" w:cs="Arial"/>
          <w:b w:val="0"/>
          <w:bCs/>
          <w:spacing w:val="-2"/>
          <w:sz w:val="22"/>
          <w:szCs w:val="22"/>
          <w:highlight w:val="none"/>
          <w:lang w:val="pt-BR"/>
        </w:rPr>
      </w:pPr>
      <w:r>
        <w:rPr>
          <w:rFonts w:hint="default" w:ascii="Arial" w:hAnsi="Arial" w:cs="Arial"/>
          <w:b/>
          <w:spacing w:val="-2"/>
          <w:sz w:val="22"/>
          <w:szCs w:val="22"/>
          <w:highlight w:val="none"/>
          <w:lang w:val="pt-BR"/>
        </w:rPr>
        <w:t xml:space="preserve">2.3.1. </w:t>
      </w:r>
      <w:r>
        <w:rPr>
          <w:rFonts w:hint="default" w:ascii="Arial" w:hAnsi="Arial" w:cs="Arial"/>
          <w:b w:val="0"/>
          <w:bCs/>
          <w:spacing w:val="-2"/>
          <w:sz w:val="22"/>
          <w:szCs w:val="22"/>
          <w:highlight w:val="none"/>
          <w:lang w:val="pt-BR"/>
        </w:rPr>
        <w:t>Conforme levantamento do Departamento de informática e levando em consideração os equipamentos existentes no Data Center hoje na Prefeitura de Sinop/MT.</w:t>
      </w:r>
    </w:p>
    <w:p w14:paraId="3E4C16C2">
      <w:pPr>
        <w:numPr>
          <w:ilvl w:val="0"/>
          <w:numId w:val="0"/>
        </w:numPr>
        <w:ind w:leftChars="0"/>
        <w:jc w:val="left"/>
        <w:rPr>
          <w:rFonts w:hint="default" w:ascii="Arial" w:hAnsi="Arial" w:cs="Arial"/>
          <w:b w:val="0"/>
          <w:bCs/>
          <w:sz w:val="22"/>
          <w:szCs w:val="22"/>
          <w:highlight w:val="none"/>
          <w:lang w:val="pt-BR"/>
        </w:rPr>
      </w:pP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34C94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75" w:hRule="atLeast"/>
        </w:trPr>
        <w:tc>
          <w:tcPr>
            <w:tcW w:w="8616" w:type="dxa"/>
            <w:shd w:val="clear" w:color="auto" w:fill="D7D7D7" w:themeFill="background1" w:themeFillShade="D8"/>
            <w:vAlign w:val="center"/>
          </w:tcPr>
          <w:p w14:paraId="6D9E6ED9">
            <w:pPr>
              <w:numPr>
                <w:ilvl w:val="0"/>
                <w:numId w:val="17"/>
              </w:numPr>
              <w:ind w:left="0" w:leftChars="0" w:firstLine="0" w:firstLineChars="0"/>
              <w:jc w:val="center"/>
              <w:rPr>
                <w:rFonts w:hint="default" w:ascii="Arial" w:hAnsi="Arial" w:cs="Arial"/>
                <w:b/>
                <w:sz w:val="22"/>
                <w:szCs w:val="22"/>
                <w:vertAlign w:val="baseline"/>
                <w:lang w:val="pt-BR"/>
              </w:rPr>
            </w:pPr>
            <w:r>
              <w:rPr>
                <w:rFonts w:hint="default" w:ascii="Arial" w:hAnsi="Arial" w:cs="Arial"/>
                <w:b/>
                <w:sz w:val="22"/>
                <w:szCs w:val="22"/>
              </w:rPr>
              <w:t>JUSTIFICATIVA/NECESSIDADE</w:t>
            </w:r>
            <w:r>
              <w:rPr>
                <w:rFonts w:hint="default" w:ascii="Arial" w:hAnsi="Arial" w:cs="Arial"/>
                <w:b/>
                <w:spacing w:val="-1"/>
                <w:sz w:val="22"/>
                <w:szCs w:val="22"/>
              </w:rPr>
              <w:t xml:space="preserve"> </w:t>
            </w:r>
            <w:r>
              <w:rPr>
                <w:rFonts w:hint="default" w:ascii="Arial" w:hAnsi="Arial" w:cs="Arial"/>
                <w:b/>
                <w:sz w:val="22"/>
                <w:szCs w:val="22"/>
              </w:rPr>
              <w:t>DA</w:t>
            </w:r>
            <w:r>
              <w:rPr>
                <w:rFonts w:hint="default" w:ascii="Arial" w:hAnsi="Arial" w:cs="Arial"/>
                <w:b/>
                <w:spacing w:val="-1"/>
                <w:sz w:val="22"/>
                <w:szCs w:val="22"/>
              </w:rPr>
              <w:t xml:space="preserve"> </w:t>
            </w:r>
            <w:r>
              <w:rPr>
                <w:rFonts w:hint="default" w:ascii="Arial" w:hAnsi="Arial" w:cs="Arial"/>
                <w:b/>
                <w:spacing w:val="-2"/>
                <w:sz w:val="22"/>
                <w:szCs w:val="22"/>
              </w:rPr>
              <w:t>CONTRATAÇÃO</w:t>
            </w:r>
          </w:p>
        </w:tc>
      </w:tr>
    </w:tbl>
    <w:p w14:paraId="611A2BAB">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eastAsia="SimSun" w:cs="Arial"/>
          <w:b/>
          <w:bCs/>
          <w:color w:val="auto"/>
          <w:sz w:val="22"/>
          <w:szCs w:val="22"/>
          <w:highlight w:val="none"/>
          <w:lang w:val="pt-BR"/>
        </w:rPr>
      </w:pPr>
    </w:p>
    <w:p w14:paraId="217152FE">
      <w:pPr>
        <w:pStyle w:val="128"/>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eastAsia="Times New Roman" w:cs="Arial"/>
          <w:sz w:val="22"/>
          <w:szCs w:val="22"/>
          <w:highlight w:val="none"/>
          <w:lang w:eastAsia="pt-BR"/>
        </w:rPr>
      </w:pPr>
      <w:r>
        <w:rPr>
          <w:rFonts w:hint="default" w:ascii="Arial" w:hAnsi="Arial" w:cs="Arial"/>
          <w:b/>
          <w:bCs/>
          <w:sz w:val="22"/>
          <w:szCs w:val="22"/>
          <w:highlight w:val="none"/>
          <w:lang w:val="en-US" w:eastAsia="pt-BR"/>
        </w:rPr>
        <w:t>3.1.1.</w:t>
      </w:r>
      <w:r>
        <w:rPr>
          <w:rFonts w:hint="default" w:ascii="Arial" w:hAnsi="Arial" w:eastAsia="Times New Roman" w:cs="Arial"/>
          <w:sz w:val="22"/>
          <w:szCs w:val="22"/>
          <w:highlight w:val="none"/>
          <w:lang w:eastAsia="pt-BR"/>
        </w:rPr>
        <w:t>A gestão de tecnologia da informação da Prefeitura de Sinop - MT se baseia na utilização eficaz de recursos de infraestrutura e na informatização estratégica de seus processos. Reconhecendo a necessidade de aprimoramento tecnológico para garantir a segurança e a disponibilidade das informações, a Administração Pública tem buscado melhorar continuamente a eficiência de suas operações. Esta busca enfrenta obstáculos, principalmente devido à falta de infraestrutura especializada que impede a realização plena das funções vitais, particularmente em serviços críticos de TI.</w:t>
      </w:r>
    </w:p>
    <w:p w14:paraId="226051E5">
      <w:pPr>
        <w:pStyle w:val="128"/>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eastAsia="Times New Roman" w:cs="Arial"/>
          <w:sz w:val="22"/>
          <w:szCs w:val="22"/>
          <w:highlight w:val="none"/>
          <w:lang w:eastAsia="pt-BR"/>
        </w:rPr>
      </w:pPr>
      <w:r>
        <w:rPr>
          <w:rFonts w:hint="default" w:ascii="Arial" w:hAnsi="Arial" w:cs="Arial"/>
          <w:b/>
          <w:bCs/>
          <w:sz w:val="22"/>
          <w:szCs w:val="22"/>
          <w:highlight w:val="none"/>
          <w:lang w:val="en-US" w:eastAsia="pt-BR"/>
        </w:rPr>
        <w:t>3.1.2.</w:t>
      </w:r>
      <w:r>
        <w:rPr>
          <w:rFonts w:hint="default" w:ascii="Arial" w:hAnsi="Arial" w:cs="Arial"/>
          <w:sz w:val="22"/>
          <w:szCs w:val="22"/>
          <w:highlight w:val="none"/>
          <w:lang w:val="en-US" w:eastAsia="pt-BR"/>
        </w:rPr>
        <w:t xml:space="preserve"> </w:t>
      </w:r>
      <w:r>
        <w:rPr>
          <w:rFonts w:hint="default" w:ascii="Arial" w:hAnsi="Arial" w:eastAsia="Times New Roman" w:cs="Arial"/>
          <w:sz w:val="22"/>
          <w:szCs w:val="22"/>
          <w:highlight w:val="none"/>
          <w:lang w:eastAsia="pt-BR"/>
        </w:rPr>
        <w:t>O Centro de Processamento de Dados (CPD) atual já dispõe de medidas de segurança, sistemas de fornecimento de energia e controle térmico, porém há desafios. A falta de um espaço físico adequado para o CPD reduz a eficácia dos sistemas de climatização e a disposição dos equipamentos, além de prejudicar a organização do cabeamento e a manutenção eficiente dos sistemas. Por outro lado, a redundância dos sistemas de energia com Nobreak e geradores a diesel existente no local assegura a continuidade energética.</w:t>
      </w:r>
    </w:p>
    <w:p w14:paraId="0076A936">
      <w:pPr>
        <w:pStyle w:val="128"/>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eastAsia="Times New Roman" w:cs="Arial"/>
          <w:sz w:val="22"/>
          <w:szCs w:val="22"/>
          <w:highlight w:val="none"/>
          <w:lang w:eastAsia="pt-BR"/>
        </w:rPr>
      </w:pPr>
      <w:r>
        <w:rPr>
          <w:rFonts w:hint="default" w:ascii="Arial" w:hAnsi="Arial" w:cs="Arial"/>
          <w:b/>
          <w:bCs/>
          <w:sz w:val="22"/>
          <w:szCs w:val="22"/>
          <w:highlight w:val="none"/>
          <w:lang w:val="en-US" w:eastAsia="pt-BR"/>
        </w:rPr>
        <w:t>3.1.3.</w:t>
      </w:r>
      <w:r>
        <w:rPr>
          <w:rFonts w:hint="default" w:ascii="Arial" w:hAnsi="Arial" w:cs="Arial"/>
          <w:sz w:val="22"/>
          <w:szCs w:val="22"/>
          <w:highlight w:val="none"/>
          <w:lang w:val="en-US" w:eastAsia="pt-BR"/>
        </w:rPr>
        <w:t xml:space="preserve"> </w:t>
      </w:r>
      <w:r>
        <w:rPr>
          <w:rFonts w:hint="default" w:ascii="Arial" w:hAnsi="Arial" w:eastAsia="Times New Roman" w:cs="Arial"/>
          <w:sz w:val="22"/>
          <w:szCs w:val="22"/>
          <w:highlight w:val="none"/>
          <w:lang w:eastAsia="pt-BR"/>
        </w:rPr>
        <w:t>Visando a sustentabilidade e a robustez operacional, é essencial a atualização e a aquisição de uma infraestrutura avançada que atenda às melhores práticas internacionais para data centers. Isso inclui a construção de um novo CPD que não interfira com o funcionamento do atual, e a compra de equipamentos de ponta para subsistemas como UPS dual, climatização e sistemas de segurança e monitoramento.</w:t>
      </w:r>
    </w:p>
    <w:p w14:paraId="03DB5AA1">
      <w:pPr>
        <w:pStyle w:val="128"/>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eastAsia="SimSun" w:cs="Arial"/>
          <w:b/>
          <w:bCs/>
          <w:color w:val="0000FF"/>
          <w:sz w:val="22"/>
          <w:szCs w:val="22"/>
          <w:highlight w:val="none"/>
          <w:lang w:val="pt-BR"/>
        </w:rPr>
      </w:pPr>
      <w:r>
        <w:rPr>
          <w:rFonts w:hint="default" w:ascii="Arial" w:hAnsi="Arial" w:cs="Arial"/>
          <w:b/>
          <w:bCs/>
          <w:sz w:val="22"/>
          <w:szCs w:val="22"/>
          <w:highlight w:val="none"/>
          <w:lang w:val="en-US" w:eastAsia="pt-BR"/>
        </w:rPr>
        <w:t>3.1.4.</w:t>
      </w:r>
      <w:r>
        <w:rPr>
          <w:rFonts w:hint="default" w:ascii="Arial" w:hAnsi="Arial" w:cs="Arial"/>
          <w:sz w:val="22"/>
          <w:szCs w:val="22"/>
          <w:highlight w:val="none"/>
          <w:lang w:val="en-US" w:eastAsia="pt-BR"/>
        </w:rPr>
        <w:t xml:space="preserve"> </w:t>
      </w:r>
      <w:r>
        <w:rPr>
          <w:rFonts w:hint="default" w:ascii="Arial" w:hAnsi="Arial" w:eastAsia="Times New Roman" w:cs="Arial"/>
          <w:sz w:val="22"/>
          <w:szCs w:val="22"/>
          <w:highlight w:val="none"/>
          <w:lang w:eastAsia="pt-BR"/>
        </w:rPr>
        <w:t>Evitando a contratação de serviços separados para estudos preliminares ou elaboração de projeto básico, conforme explicado na seção "Do Não Parcelamento de Objeto", a Prefeitura pretende garantir uma transição suave e eficaz para um novo CPD otimizado, assegurando assim a continuidade e a integridade dos serviços de TI municipais.</w:t>
      </w:r>
    </w:p>
    <w:p w14:paraId="120D0098">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s="Arial"/>
          <w:b/>
          <w:bCs/>
          <w:sz w:val="22"/>
          <w:szCs w:val="22"/>
          <w:highlight w:val="none"/>
        </w:rPr>
      </w:pPr>
      <w:r>
        <w:rPr>
          <w:rFonts w:hint="default" w:ascii="Arial" w:hAnsi="Arial" w:cs="Arial"/>
          <w:b/>
          <w:bCs/>
          <w:color w:val="000000" w:themeColor="text1"/>
          <w:sz w:val="22"/>
          <w:szCs w:val="22"/>
          <w:highlight w:val="none"/>
          <w:lang w:val="pt-BR"/>
          <w14:textFill>
            <w14:solidFill>
              <w14:schemeClr w14:val="tx1"/>
            </w14:solidFill>
          </w14:textFill>
        </w:rPr>
        <w:t>3.1.5.</w:t>
      </w:r>
      <w:r>
        <w:rPr>
          <w:rFonts w:hint="default" w:ascii="Arial" w:hAnsi="Arial" w:cs="Arial"/>
          <w:color w:val="000000" w:themeColor="text1"/>
          <w:sz w:val="22"/>
          <w:szCs w:val="22"/>
          <w:highlight w:val="none"/>
          <w:lang w:val="pt-BR"/>
          <w14:textFill>
            <w14:solidFill>
              <w14:schemeClr w14:val="tx1"/>
            </w14:solidFill>
          </w14:textFill>
        </w:rPr>
        <w:t xml:space="preserve"> As futuras contratações tiveram os valores e quantidades estimados pelo setor de TI, sendo de inteira responsabilidade dos mesmos. A estimativa e a necessidade do processo Licitatório por tanto foi justificado e redigido pelo mesmo setor.</w:t>
      </w:r>
    </w:p>
    <w:p w14:paraId="3D5AE774">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s="Arial"/>
          <w:b/>
          <w:bCs/>
          <w:sz w:val="22"/>
          <w:szCs w:val="22"/>
          <w:highlight w:val="none"/>
        </w:rPr>
      </w:pPr>
      <w:r>
        <w:rPr>
          <w:rFonts w:hint="default" w:ascii="Arial" w:hAnsi="Arial" w:cs="Arial"/>
          <w:b/>
          <w:bCs/>
          <w:sz w:val="22"/>
          <w:szCs w:val="22"/>
          <w:highlight w:val="none"/>
          <w:lang w:val="pt-BR"/>
        </w:rPr>
        <w:t xml:space="preserve">3.2. </w:t>
      </w:r>
      <w:r>
        <w:rPr>
          <w:rFonts w:hint="default" w:ascii="Arial" w:hAnsi="Arial" w:cs="Arial"/>
          <w:b/>
          <w:bCs/>
          <w:sz w:val="22"/>
          <w:szCs w:val="22"/>
          <w:highlight w:val="none"/>
        </w:rPr>
        <w:t>ATRIBUIÇÕES DO DEPARTAMENTO DE TECNOLOGIA DA PREFEITURA DE SINOP - MT</w:t>
      </w:r>
    </w:p>
    <w:p w14:paraId="15B1F5BC">
      <w:pPr>
        <w:pStyle w:val="128"/>
        <w:pageBreakBefore w:val="0"/>
        <w:widowControl/>
        <w:numPr>
          <w:ilvl w:val="0"/>
          <w:numId w:val="0"/>
        </w:numPr>
        <w:tabs>
          <w:tab w:val="left" w:pos="1276"/>
        </w:tabs>
        <w:kinsoku/>
        <w:wordWrap/>
        <w:overflowPunct/>
        <w:topLinePunct w:val="0"/>
        <w:autoSpaceDE/>
        <w:autoSpaceDN/>
        <w:bidi w:val="0"/>
        <w:adjustRightInd/>
        <w:snapToGrid/>
        <w:spacing w:line="360" w:lineRule="auto"/>
        <w:jc w:val="both"/>
        <w:textAlignment w:val="auto"/>
        <w:rPr>
          <w:rFonts w:hint="default" w:ascii="Arial" w:hAnsi="Arial" w:eastAsia="Times New Roman" w:cs="Arial"/>
          <w:sz w:val="22"/>
          <w:szCs w:val="22"/>
          <w:highlight w:val="none"/>
          <w:lang w:eastAsia="pt-BR"/>
        </w:rPr>
      </w:pPr>
      <w:r>
        <w:rPr>
          <w:rFonts w:hint="default" w:ascii="Arial" w:hAnsi="Arial" w:eastAsia="Times New Roman" w:cs="Arial"/>
          <w:sz w:val="22"/>
          <w:szCs w:val="22"/>
          <w:highlight w:val="none"/>
          <w:lang w:eastAsia="pt-BR"/>
        </w:rPr>
        <w:t>O Departamento de Tecnologia é encarregado de administrar e coordenar todas as atividades relacionadas à infraestrutura de TI, sistemas de informação, e serviços digitais da Prefeitura de Sinop - MT. Este departamento tem a responsabilidade de garantir a operacionalidade, segurança, e a atualização constante das tecnologias empregadas, visando a eficiência e a modernização da gestão pública. Adicionalmente, compete a este departamento o desenvolvimento e a implementação de políticas de TI, o apoio técnico às demais unidades administrativas e a gestão de projetos tecnológicos que visam a melhoria contínua dos serviços prestados ao cidadão.</w:t>
      </w:r>
    </w:p>
    <w:p w14:paraId="5BC06F1C">
      <w:pPr>
        <w:pStyle w:val="128"/>
        <w:pageBreakBefore w:val="0"/>
        <w:widowControl/>
        <w:numPr>
          <w:ilvl w:val="0"/>
          <w:numId w:val="0"/>
        </w:numPr>
        <w:tabs>
          <w:tab w:val="left" w:pos="1276"/>
        </w:tabs>
        <w:kinsoku/>
        <w:wordWrap/>
        <w:overflowPunct/>
        <w:topLinePunct w:val="0"/>
        <w:autoSpaceDE/>
        <w:autoSpaceDN/>
        <w:bidi w:val="0"/>
        <w:adjustRightInd/>
        <w:snapToGrid/>
        <w:spacing w:line="360" w:lineRule="auto"/>
        <w:jc w:val="both"/>
        <w:textAlignment w:val="auto"/>
        <w:rPr>
          <w:rFonts w:hint="default" w:ascii="Arial" w:hAnsi="Arial" w:eastAsia="Times New Roman" w:cs="Arial"/>
          <w:sz w:val="22"/>
          <w:szCs w:val="22"/>
          <w:highlight w:val="none"/>
          <w:lang w:val="pt-BR" w:eastAsia="pt-BR"/>
        </w:rPr>
      </w:pPr>
    </w:p>
    <w:p w14:paraId="3CD32F24">
      <w:pPr>
        <w:numPr>
          <w:ilvl w:val="0"/>
          <w:numId w:val="0"/>
        </w:numPr>
        <w:spacing w:line="360" w:lineRule="auto"/>
        <w:ind w:leftChars="0"/>
        <w:jc w:val="both"/>
        <w:rPr>
          <w:rFonts w:hint="default" w:ascii="Arial" w:hAnsi="Arial" w:cs="Arial"/>
          <w:sz w:val="22"/>
          <w:szCs w:val="22"/>
          <w:highlight w:val="none"/>
          <w:lang w:val="pt-BR"/>
        </w:rPr>
      </w:pPr>
      <w:r>
        <w:rPr>
          <w:rFonts w:hint="default" w:ascii="Arial" w:hAnsi="Arial" w:cs="Arial"/>
          <w:b/>
          <w:bCs/>
          <w:sz w:val="22"/>
          <w:szCs w:val="22"/>
          <w:highlight w:val="none"/>
          <w:lang w:val="pt-BR"/>
        </w:rPr>
        <w:t>3.3. Justificativa de não adoção de matriz de risco:</w:t>
      </w:r>
      <w:r>
        <w:rPr>
          <w:rFonts w:hint="default" w:ascii="Arial" w:hAnsi="Arial" w:cs="Arial"/>
          <w:sz w:val="22"/>
          <w:szCs w:val="22"/>
          <w:highlight w:val="none"/>
          <w:lang w:val="pt-BR"/>
        </w:rPr>
        <w:t xml:space="preserve"> A matriz de risco definida no inciso XXVII do art. 6° da </w:t>
      </w:r>
      <w:r>
        <w:rPr>
          <w:rFonts w:hint="default" w:ascii="Arial" w:hAnsi="Arial" w:cs="Arial"/>
          <w:b/>
          <w:bCs/>
          <w:sz w:val="22"/>
          <w:szCs w:val="22"/>
          <w:highlight w:val="none"/>
          <w:lang w:val="pt-BR"/>
        </w:rPr>
        <w:t xml:space="preserve">Lei 14.133/2021 </w:t>
      </w:r>
      <w:r>
        <w:rPr>
          <w:rFonts w:hint="default" w:ascii="Arial" w:hAnsi="Arial" w:cs="Arial"/>
          <w:b w:val="0"/>
          <w:bCs w:val="0"/>
          <w:sz w:val="22"/>
          <w:szCs w:val="22"/>
          <w:highlight w:val="none"/>
          <w:lang w:val="pt-BR"/>
        </w:rPr>
        <w:t>e necessária</w:t>
      </w:r>
      <w:r>
        <w:rPr>
          <w:rFonts w:hint="default" w:ascii="Arial" w:hAnsi="Arial" w:cs="Arial"/>
          <w:sz w:val="22"/>
          <w:szCs w:val="22"/>
          <w:highlight w:val="none"/>
          <w:lang w:val="pt-BR"/>
        </w:rPr>
        <w:t xml:space="preserve"> nos contratos administrativos, quando for o caso, de acordo com o art. 92, inciso IX da mesma lei, não será adotada neste processo, levando em consideração que em determinadas contratações, notadamente comuns e simples, tais como o processo em questão não é empregada. A matriz de risco é obrigatória, sobretudo em obras e serviços e fornecimentos de grande vulto, cujo valor estimado seja superior a R$ 200.000.000,00 (duzentos milhões) de reais, vejamos:</w:t>
      </w:r>
    </w:p>
    <w:p w14:paraId="0EA87F5E">
      <w:pPr>
        <w:ind w:left="2880" w:leftChars="1200" w:firstLine="0" w:firstLineChars="0"/>
        <w:jc w:val="both"/>
        <w:rPr>
          <w:rFonts w:hint="default" w:ascii="Arial" w:hAnsi="Arial" w:cs="Arial"/>
          <w:b w:val="0"/>
          <w:bCs w:val="0"/>
          <w:i w:val="0"/>
          <w:iCs w:val="0"/>
          <w:sz w:val="20"/>
          <w:szCs w:val="20"/>
          <w:highlight w:val="none"/>
          <w:lang w:val="pt-BR"/>
        </w:rPr>
      </w:pPr>
      <w:r>
        <w:rPr>
          <w:rFonts w:hint="default" w:ascii="Arial" w:hAnsi="Arial" w:cs="Arial"/>
          <w:i w:val="0"/>
          <w:iCs w:val="0"/>
          <w:sz w:val="20"/>
          <w:szCs w:val="20"/>
          <w:highlight w:val="none"/>
          <w:lang w:val="pt-BR"/>
        </w:rPr>
        <w:t xml:space="preserve"> </w:t>
      </w:r>
      <w:r>
        <w:rPr>
          <w:rFonts w:hint="default" w:ascii="Arial" w:hAnsi="Arial" w:cs="Arial"/>
          <w:b/>
          <w:bCs/>
          <w:i w:val="0"/>
          <w:iCs w:val="0"/>
          <w:sz w:val="20"/>
          <w:szCs w:val="20"/>
          <w:highlight w:val="none"/>
          <w:lang w:val="pt-BR"/>
        </w:rPr>
        <w:t xml:space="preserve">Art. 22, § 3°  </w:t>
      </w:r>
      <w:r>
        <w:rPr>
          <w:rFonts w:hint="default" w:ascii="Arial" w:hAnsi="Arial" w:cs="Arial"/>
          <w:b w:val="0"/>
          <w:bCs w:val="0"/>
          <w:i w:val="0"/>
          <w:iCs w:val="0"/>
          <w:sz w:val="20"/>
          <w:szCs w:val="20"/>
          <w:highlight w:val="none"/>
          <w:lang w:val="pt-BR"/>
        </w:rPr>
        <w:t>Quando a contratação se referir a obras e serviços de grande vulto ou forem adotados os regimes de contratação integrada e semi-integrada, o edital obrigatoriamente contemplará matriz de alocação de riscos entre o contratante e o contratado.</w:t>
      </w:r>
    </w:p>
    <w:p w14:paraId="265DFDDB">
      <w:pPr>
        <w:ind w:left="2880" w:leftChars="1200" w:firstLine="0" w:firstLineChars="0"/>
        <w:jc w:val="both"/>
        <w:rPr>
          <w:rFonts w:hint="default" w:ascii="Arial" w:hAnsi="Arial" w:cs="Arial"/>
          <w:b w:val="0"/>
          <w:bCs w:val="0"/>
          <w:i w:val="0"/>
          <w:iCs w:val="0"/>
          <w:sz w:val="20"/>
          <w:szCs w:val="20"/>
          <w:highlight w:val="none"/>
          <w:lang w:val="pt-BR"/>
        </w:rPr>
      </w:pPr>
    </w:p>
    <w:p w14:paraId="0D77646F">
      <w:pPr>
        <w:ind w:left="2880" w:leftChars="1200" w:firstLine="0" w:firstLineChars="0"/>
        <w:jc w:val="both"/>
        <w:rPr>
          <w:rFonts w:hint="default" w:ascii="Arial" w:hAnsi="Arial" w:eastAsia="SimSun" w:cs="Arial"/>
          <w:i w:val="0"/>
          <w:iCs w:val="0"/>
          <w:caps w:val="0"/>
          <w:color w:val="000000"/>
          <w:spacing w:val="0"/>
          <w:sz w:val="20"/>
          <w:szCs w:val="20"/>
          <w:highlight w:val="none"/>
          <w:lang w:val="pt-BR"/>
        </w:rPr>
      </w:pPr>
      <w:r>
        <w:rPr>
          <w:rFonts w:hint="default" w:ascii="Arial" w:hAnsi="Arial" w:eastAsia="SimSun" w:cs="Arial"/>
          <w:b/>
          <w:bCs/>
          <w:i w:val="0"/>
          <w:iCs w:val="0"/>
          <w:caps w:val="0"/>
          <w:color w:val="000000"/>
          <w:spacing w:val="0"/>
          <w:sz w:val="20"/>
          <w:szCs w:val="20"/>
          <w:highlight w:val="none"/>
          <w:lang w:val="pt-BR"/>
        </w:rPr>
        <w:t xml:space="preserve">Art. 6°, Inciso </w:t>
      </w:r>
      <w:r>
        <w:rPr>
          <w:rFonts w:hint="default" w:ascii="Arial" w:hAnsi="Arial" w:eastAsia="SimSun" w:cs="Arial"/>
          <w:b/>
          <w:bCs/>
          <w:i w:val="0"/>
          <w:iCs w:val="0"/>
          <w:caps w:val="0"/>
          <w:color w:val="000000"/>
          <w:spacing w:val="0"/>
          <w:sz w:val="20"/>
          <w:szCs w:val="20"/>
          <w:highlight w:val="none"/>
        </w:rPr>
        <w:t>XXII</w:t>
      </w:r>
      <w:r>
        <w:rPr>
          <w:rFonts w:hint="default" w:ascii="Arial" w:hAnsi="Arial" w:eastAsia="SimSun" w:cs="Arial"/>
          <w:i w:val="0"/>
          <w:iCs w:val="0"/>
          <w:caps w:val="0"/>
          <w:color w:val="000000"/>
          <w:spacing w:val="0"/>
          <w:sz w:val="20"/>
          <w:szCs w:val="20"/>
          <w:highlight w:val="none"/>
        </w:rPr>
        <w:t xml:space="preserve"> - obras, serviços e fornecimentos de grande vulto: aqueles cujo valor estimado supera R$ 200.000.000,00 (duzentos milhões de reais)</w:t>
      </w:r>
      <w:r>
        <w:rPr>
          <w:rFonts w:hint="default" w:ascii="Arial" w:hAnsi="Arial" w:eastAsia="SimSun" w:cs="Arial"/>
          <w:i w:val="0"/>
          <w:iCs w:val="0"/>
          <w:caps w:val="0"/>
          <w:color w:val="000000"/>
          <w:spacing w:val="0"/>
          <w:sz w:val="20"/>
          <w:szCs w:val="20"/>
          <w:highlight w:val="none"/>
          <w:lang w:val="pt-BR"/>
        </w:rPr>
        <w:t>.</w:t>
      </w:r>
    </w:p>
    <w:p w14:paraId="0524BFFD">
      <w:pPr>
        <w:ind w:left="2880" w:leftChars="1200" w:firstLine="0" w:firstLineChars="0"/>
        <w:jc w:val="both"/>
        <w:rPr>
          <w:rFonts w:hint="default" w:ascii="Arial" w:hAnsi="Arial" w:eastAsia="SimSun" w:cs="Arial"/>
          <w:i/>
          <w:iCs/>
          <w:caps w:val="0"/>
          <w:color w:val="000000"/>
          <w:spacing w:val="0"/>
          <w:sz w:val="22"/>
          <w:szCs w:val="22"/>
          <w:highlight w:val="none"/>
          <w:lang w:val="pt-BR"/>
        </w:rPr>
      </w:pPr>
    </w:p>
    <w:p w14:paraId="3B822CBB">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eastAsia="SimSun" w:cs="Arial"/>
          <w:i w:val="0"/>
          <w:iCs w:val="0"/>
          <w:caps w:val="0"/>
          <w:color w:val="000000"/>
          <w:spacing w:val="0"/>
          <w:sz w:val="22"/>
          <w:szCs w:val="22"/>
          <w:highlight w:val="none"/>
          <w:lang w:val="pt-BR"/>
        </w:rPr>
      </w:pPr>
      <w:r>
        <w:rPr>
          <w:rFonts w:hint="default" w:ascii="Arial" w:hAnsi="Arial" w:eastAsia="SimSun" w:cs="Arial"/>
          <w:i w:val="0"/>
          <w:iCs w:val="0"/>
          <w:caps w:val="0"/>
          <w:color w:val="000000"/>
          <w:spacing w:val="0"/>
          <w:sz w:val="22"/>
          <w:szCs w:val="22"/>
          <w:highlight w:val="none"/>
          <w:lang w:val="pt-BR"/>
        </w:rPr>
        <w:t>Sendo assim, vê-se que não é o caso da contratação em trâmite, de forma que o referido documento não constará neste processo.</w:t>
      </w:r>
    </w:p>
    <w:p w14:paraId="11E3E13E">
      <w:pPr>
        <w:keepNext w:val="0"/>
        <w:keepLines w:val="0"/>
        <w:pageBreakBefore w:val="0"/>
        <w:widowControl/>
        <w:kinsoku/>
        <w:wordWrap/>
        <w:overflowPunct/>
        <w:topLinePunct w:val="0"/>
        <w:autoSpaceDE/>
        <w:autoSpaceDN/>
        <w:bidi w:val="0"/>
        <w:adjustRightInd/>
        <w:snapToGrid/>
        <w:ind w:left="0" w:leftChars="0" w:firstLine="0" w:firstLineChars="0"/>
        <w:jc w:val="both"/>
        <w:textAlignment w:val="auto"/>
        <w:rPr>
          <w:rFonts w:hint="default" w:ascii="Arial" w:hAnsi="Arial" w:eastAsia="SimSun" w:cs="Arial"/>
          <w:i w:val="0"/>
          <w:iCs w:val="0"/>
          <w:caps w:val="0"/>
          <w:color w:val="000000"/>
          <w:spacing w:val="0"/>
          <w:sz w:val="22"/>
          <w:szCs w:val="22"/>
          <w:highlight w:val="none"/>
          <w:lang w:val="pt-BR"/>
        </w:rPr>
      </w:pPr>
    </w:p>
    <w:p w14:paraId="0A8E4B1B">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3.4. Da confecção de mapa/gerenciamento de risco: </w:t>
      </w:r>
      <w:r>
        <w:rPr>
          <w:rFonts w:hint="default" w:ascii="Arial" w:hAnsi="Arial" w:cs="Arial"/>
          <w:b w:val="0"/>
          <w:bCs w:val="0"/>
          <w:sz w:val="22"/>
          <w:szCs w:val="22"/>
          <w:highlight w:val="none"/>
          <w:lang w:val="pt-BR"/>
        </w:rPr>
        <w:t>Documento encontra-se em anexo ao processo.</w:t>
      </w:r>
    </w:p>
    <w:p w14:paraId="569138A1">
      <w:pPr>
        <w:numPr>
          <w:ilvl w:val="0"/>
          <w:numId w:val="0"/>
        </w:numPr>
        <w:ind w:leftChars="0"/>
        <w:jc w:val="left"/>
        <w:rPr>
          <w:rFonts w:hint="default" w:ascii="Arial" w:hAnsi="Arial" w:cs="Arial"/>
          <w:b w:val="0"/>
          <w:bCs/>
          <w:sz w:val="22"/>
          <w:szCs w:val="22"/>
          <w:highlight w:val="none"/>
          <w:lang w:val="pt-BR"/>
        </w:rPr>
      </w:pPr>
    </w:p>
    <w:p w14:paraId="26503177">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right="0" w:rightChars="0"/>
        <w:contextualSpacing/>
        <w:jc w:val="both"/>
        <w:textAlignment w:val="auto"/>
        <w:rPr>
          <w:rFonts w:ascii="Arial" w:hAnsi="Arial" w:cs="Arial"/>
          <w:b/>
          <w:color w:val="000000" w:themeColor="text1"/>
          <w:sz w:val="22"/>
          <w:szCs w:val="22"/>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 xml:space="preserve">3.5. Justificativa da licitação por Grupo: </w:t>
      </w:r>
      <w:r>
        <w:rPr>
          <w:rFonts w:hint="default" w:ascii="Arial" w:hAnsi="Arial" w:cs="Arial"/>
          <w:b w:val="0"/>
          <w:bCs w:val="0"/>
          <w:color w:val="000000"/>
          <w:sz w:val="22"/>
          <w:szCs w:val="22"/>
          <w:highlight w:val="none"/>
        </w:rPr>
        <w:t xml:space="preserve">A referida licitação </w:t>
      </w:r>
      <w:r>
        <w:rPr>
          <w:rFonts w:hint="default" w:ascii="Arial" w:hAnsi="Arial" w:cs="Arial"/>
          <w:b w:val="0"/>
          <w:bCs w:val="0"/>
          <w:color w:val="000000"/>
          <w:sz w:val="22"/>
          <w:szCs w:val="22"/>
          <w:highlight w:val="none"/>
          <w:lang w:val="pt-BR"/>
        </w:rPr>
        <w:t>deverá ser realizada por</w:t>
      </w:r>
      <w:r>
        <w:rPr>
          <w:rFonts w:hint="default" w:ascii="Arial" w:hAnsi="Arial" w:cs="Arial"/>
          <w:b w:val="0"/>
          <w:bCs w:val="0"/>
          <w:color w:val="000000"/>
          <w:sz w:val="22"/>
          <w:szCs w:val="22"/>
          <w:highlight w:val="none"/>
        </w:rPr>
        <w:t xml:space="preserve"> </w:t>
      </w:r>
      <w:r>
        <w:rPr>
          <w:rFonts w:hint="default" w:ascii="Arial" w:hAnsi="Arial" w:cs="Arial"/>
          <w:b w:val="0"/>
          <w:bCs w:val="0"/>
          <w:color w:val="000000"/>
          <w:sz w:val="22"/>
          <w:szCs w:val="22"/>
          <w:highlight w:val="none"/>
          <w:lang w:val="pt-BR"/>
        </w:rPr>
        <w:t xml:space="preserve">grupo </w:t>
      </w:r>
      <w:r>
        <w:rPr>
          <w:rFonts w:hint="default" w:ascii="Arial" w:hAnsi="Arial" w:cs="Arial"/>
          <w:b w:val="0"/>
          <w:bCs w:val="0"/>
          <w:color w:val="000000"/>
          <w:sz w:val="22"/>
          <w:szCs w:val="22"/>
          <w:highlight w:val="none"/>
        </w:rPr>
        <w:t xml:space="preserve">em razão da eficiência </w:t>
      </w:r>
      <w:r>
        <w:rPr>
          <w:rFonts w:hint="default" w:ascii="Arial" w:hAnsi="Arial" w:cs="Arial"/>
          <w:b w:val="0"/>
          <w:bCs w:val="0"/>
          <w:color w:val="000000"/>
          <w:sz w:val="22"/>
          <w:szCs w:val="22"/>
          <w:highlight w:val="none"/>
          <w:lang w:val="pt-BR"/>
        </w:rPr>
        <w:t>da prestação de serviço no</w:t>
      </w:r>
      <w:r>
        <w:rPr>
          <w:rFonts w:hint="default" w:ascii="Arial" w:hAnsi="Arial" w:cs="Arial"/>
          <w:b w:val="0"/>
          <w:bCs w:val="0"/>
          <w:color w:val="000000"/>
          <w:sz w:val="22"/>
          <w:szCs w:val="22"/>
          <w:highlight w:val="none"/>
        </w:rPr>
        <w:t xml:space="preserve"> agrupamento</w:t>
      </w:r>
      <w:r>
        <w:rPr>
          <w:rFonts w:hint="default" w:ascii="Arial" w:hAnsi="Arial" w:cs="Arial"/>
          <w:b w:val="0"/>
          <w:bCs w:val="0"/>
          <w:color w:val="000000"/>
          <w:sz w:val="22"/>
          <w:szCs w:val="22"/>
          <w:highlight w:val="none"/>
          <w:lang w:val="pt-BR"/>
        </w:rPr>
        <w:t xml:space="preserve">. </w:t>
      </w:r>
      <w:r>
        <w:rPr>
          <w:rFonts w:hint="default" w:ascii="Arial" w:hAnsi="Arial" w:eastAsia="SimSun" w:cs="Arial"/>
          <w:b w:val="0"/>
          <w:bCs w:val="0"/>
          <w:sz w:val="22"/>
          <w:szCs w:val="22"/>
          <w:highlight w:val="none"/>
          <w:lang w:val="pt-BR"/>
        </w:rPr>
        <w:t>N</w:t>
      </w:r>
      <w:r>
        <w:rPr>
          <w:rFonts w:hint="default" w:ascii="Arial" w:hAnsi="Arial" w:cs="Arial"/>
          <w:b w:val="0"/>
          <w:bCs w:val="0"/>
          <w:color w:val="000000"/>
          <w:sz w:val="22"/>
          <w:szCs w:val="22"/>
          <w:highlight w:val="none"/>
          <w:lang w:val="pt-BR"/>
        </w:rPr>
        <w:t xml:space="preserve">a licitação por grupo a contratada obriga-se a fornecer itens </w:t>
      </w:r>
      <w:r>
        <w:rPr>
          <w:rFonts w:hint="default" w:ascii="Arial" w:hAnsi="Arial" w:cs="Arial"/>
          <w:b w:val="0"/>
          <w:bCs w:val="0"/>
          <w:color w:val="000000"/>
          <w:sz w:val="22"/>
          <w:szCs w:val="22"/>
          <w:highlight w:val="none"/>
        </w:rPr>
        <w:t xml:space="preserve">compatíveis em sua maioria, sendo essenciais um ao outro, portanto, não havendo a possibilidade de serem </w:t>
      </w:r>
      <w:r>
        <w:rPr>
          <w:rFonts w:hint="default" w:ascii="Arial" w:hAnsi="Arial" w:cs="Arial"/>
          <w:b w:val="0"/>
          <w:bCs w:val="0"/>
          <w:color w:val="000000"/>
          <w:sz w:val="22"/>
          <w:szCs w:val="22"/>
          <w:highlight w:val="none"/>
          <w:lang w:val="pt-BR"/>
        </w:rPr>
        <w:t>sub</w:t>
      </w:r>
      <w:r>
        <w:rPr>
          <w:rFonts w:hint="default" w:ascii="Arial" w:hAnsi="Arial" w:cs="Arial"/>
          <w:b w:val="0"/>
          <w:bCs w:val="0"/>
          <w:color w:val="000000"/>
          <w:sz w:val="22"/>
          <w:szCs w:val="22"/>
          <w:highlight w:val="none"/>
        </w:rPr>
        <w:t>divididos entre mais de uma empresa.</w:t>
      </w:r>
      <w:r>
        <w:rPr>
          <w:rFonts w:hint="default" w:ascii="Arial" w:hAnsi="Arial" w:cs="Arial"/>
          <w:b w:val="0"/>
          <w:bCs w:val="0"/>
          <w:color w:val="000000"/>
          <w:sz w:val="22"/>
          <w:szCs w:val="22"/>
          <w:highlight w:val="none"/>
          <w:lang w:val="pt-BR"/>
        </w:rPr>
        <w:t xml:space="preserve"> </w:t>
      </w:r>
    </w:p>
    <w:p w14:paraId="6E7F3F4E">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eastAsia="SimSun" w:cs="Arial"/>
          <w:color w:val="auto"/>
          <w:sz w:val="22"/>
          <w:szCs w:val="22"/>
          <w:highlight w:val="none"/>
          <w:lang w:val="pt-BR"/>
        </w:rPr>
      </w:pPr>
      <w:r>
        <w:rPr>
          <w:rFonts w:hint="default" w:ascii="Arial" w:hAnsi="Arial" w:eastAsia="SimSun" w:cs="Arial"/>
          <w:sz w:val="22"/>
          <w:szCs w:val="22"/>
          <w:highlight w:val="none"/>
          <w:lang w:val="pt-BR"/>
        </w:rPr>
        <w:t>L</w:t>
      </w:r>
      <w:r>
        <w:rPr>
          <w:rFonts w:hint="default" w:ascii="Arial" w:hAnsi="Arial" w:eastAsia="SimSun" w:cs="Arial"/>
          <w:sz w:val="22"/>
          <w:szCs w:val="22"/>
          <w:highlight w:val="none"/>
        </w:rPr>
        <w:t xml:space="preserve">evando-se em consideração a viabilidade técnica </w:t>
      </w:r>
      <w:r>
        <w:rPr>
          <w:rFonts w:hint="default" w:ascii="Arial" w:hAnsi="Arial" w:eastAsia="SimSun" w:cs="Arial"/>
          <w:sz w:val="22"/>
          <w:szCs w:val="22"/>
          <w:highlight w:val="none"/>
          <w:lang w:val="pt-BR"/>
        </w:rPr>
        <w:t xml:space="preserve">e </w:t>
      </w:r>
      <w:r>
        <w:rPr>
          <w:rFonts w:hint="default" w:ascii="Arial" w:hAnsi="Arial" w:eastAsia="SimSun" w:cs="Arial"/>
          <w:sz w:val="22"/>
          <w:szCs w:val="22"/>
          <w:highlight w:val="none"/>
        </w:rPr>
        <w:t>a necessidade de aproveitar melhor as potencialidades do mercado sem perda de economia de escala</w:t>
      </w:r>
      <w:r>
        <w:rPr>
          <w:rFonts w:hint="default" w:ascii="Arial" w:hAnsi="Arial" w:eastAsia="SimSun" w:cs="Arial"/>
          <w:sz w:val="22"/>
          <w:szCs w:val="22"/>
          <w:highlight w:val="none"/>
          <w:lang w:val="pt-BR"/>
        </w:rPr>
        <w:t>; v</w:t>
      </w:r>
      <w:r>
        <w:rPr>
          <w:rFonts w:hint="default" w:ascii="Arial" w:hAnsi="Arial" w:eastAsia="SimSun" w:cs="Arial"/>
          <w:sz w:val="22"/>
          <w:szCs w:val="22"/>
          <w:highlight w:val="none"/>
        </w:rPr>
        <w:t>isando atender aos preceitos estabelecidos nas normativas vigentes</w:t>
      </w:r>
      <w:r>
        <w:rPr>
          <w:rFonts w:hint="default" w:ascii="Arial" w:hAnsi="Arial" w:eastAsia="SimSun" w:cs="Arial"/>
          <w:sz w:val="22"/>
          <w:szCs w:val="22"/>
          <w:highlight w:val="none"/>
          <w:lang w:val="pt-BR"/>
        </w:rPr>
        <w:t xml:space="preserve"> e, sobretudo ao atendimento das necessidades da Administração Municipal</w:t>
      </w:r>
      <w:r>
        <w:rPr>
          <w:rFonts w:hint="default" w:ascii="Arial" w:hAnsi="Arial" w:eastAsia="SimSun" w:cs="Arial"/>
          <w:sz w:val="22"/>
          <w:szCs w:val="22"/>
          <w:highlight w:val="none"/>
        </w:rPr>
        <w:t xml:space="preserve">, </w:t>
      </w:r>
      <w:r>
        <w:rPr>
          <w:rFonts w:hint="default" w:ascii="Arial" w:hAnsi="Arial" w:eastAsia="SimSun" w:cs="Arial"/>
          <w:color w:val="auto"/>
          <w:sz w:val="22"/>
          <w:szCs w:val="22"/>
          <w:highlight w:val="none"/>
        </w:rPr>
        <w:t xml:space="preserve">a solução </w:t>
      </w:r>
      <w:r>
        <w:rPr>
          <w:rFonts w:hint="default" w:ascii="Arial" w:hAnsi="Arial" w:eastAsia="SimSun" w:cs="Arial"/>
          <w:color w:val="auto"/>
          <w:sz w:val="22"/>
          <w:szCs w:val="22"/>
          <w:highlight w:val="none"/>
          <w:lang w:val="pt-BR"/>
        </w:rPr>
        <w:t xml:space="preserve">não </w:t>
      </w:r>
      <w:r>
        <w:rPr>
          <w:rFonts w:hint="default" w:ascii="Arial" w:hAnsi="Arial" w:eastAsia="SimSun" w:cs="Arial"/>
          <w:color w:val="auto"/>
          <w:sz w:val="22"/>
          <w:szCs w:val="22"/>
          <w:highlight w:val="none"/>
        </w:rPr>
        <w:t>deverá ser parcelada</w:t>
      </w:r>
      <w:r>
        <w:rPr>
          <w:rFonts w:hint="default" w:ascii="Arial" w:hAnsi="Arial" w:eastAsia="SimSun" w:cs="Arial"/>
          <w:color w:val="auto"/>
          <w:sz w:val="22"/>
          <w:szCs w:val="22"/>
          <w:highlight w:val="none"/>
          <w:lang w:val="pt-BR"/>
        </w:rPr>
        <w:t>, sendo composto por um único grupo a ser contratado</w:t>
      </w:r>
      <w:r>
        <w:rPr>
          <w:rFonts w:hint="default" w:ascii="Arial" w:hAnsi="Arial" w:eastAsia="SimSun" w:cs="Arial"/>
          <w:color w:val="auto"/>
          <w:sz w:val="22"/>
          <w:szCs w:val="22"/>
          <w:highlight w:val="none"/>
        </w:rPr>
        <w:t xml:space="preserve"> por uma </w:t>
      </w:r>
      <w:r>
        <w:rPr>
          <w:rFonts w:hint="default" w:ascii="Arial" w:hAnsi="Arial" w:eastAsia="SimSun" w:cs="Arial"/>
          <w:color w:val="auto"/>
          <w:sz w:val="22"/>
          <w:szCs w:val="22"/>
          <w:highlight w:val="none"/>
          <w:lang w:val="pt-BR"/>
        </w:rPr>
        <w:t xml:space="preserve">única </w:t>
      </w:r>
      <w:r>
        <w:rPr>
          <w:rFonts w:hint="default" w:ascii="Arial" w:hAnsi="Arial" w:eastAsia="SimSun" w:cs="Arial"/>
          <w:color w:val="auto"/>
          <w:sz w:val="22"/>
          <w:szCs w:val="22"/>
          <w:highlight w:val="none"/>
        </w:rPr>
        <w:t>empresa vencedora</w:t>
      </w:r>
      <w:r>
        <w:rPr>
          <w:rFonts w:hint="default" w:ascii="Arial" w:hAnsi="Arial" w:eastAsia="SimSun" w:cs="Arial"/>
          <w:color w:val="auto"/>
          <w:sz w:val="22"/>
          <w:szCs w:val="22"/>
          <w:highlight w:val="none"/>
          <w:lang w:val="pt-BR"/>
        </w:rPr>
        <w:t>.</w:t>
      </w:r>
    </w:p>
    <w:p w14:paraId="7F0EA28D">
      <w:pPr>
        <w:pStyle w:val="165"/>
        <w:keepNext w:val="0"/>
        <w:keepLines w:val="0"/>
        <w:pageBreakBefore w:val="0"/>
        <w:numPr>
          <w:ilvl w:val="0"/>
          <w:numId w:val="0"/>
        </w:numPr>
        <w:tabs>
          <w:tab w:val="left" w:pos="1276"/>
        </w:tabs>
        <w:kinsoku/>
        <w:wordWrap/>
        <w:overflowPunct/>
        <w:topLinePunct w:val="0"/>
        <w:bidi w:val="0"/>
        <w:adjustRightInd/>
        <w:snapToGrid/>
        <w:spacing w:line="360" w:lineRule="auto"/>
        <w:ind w:leftChars="0" w:right="0" w:rightChars="0"/>
        <w:jc w:val="both"/>
        <w:textAlignment w:val="auto"/>
        <w:rPr>
          <w:rFonts w:hint="default" w:ascii="Arial" w:hAnsi="Arial" w:cs="Arial"/>
          <w:b/>
          <w:bCs w:val="0"/>
          <w:color w:val="000000" w:themeColor="text1"/>
          <w:sz w:val="22"/>
          <w:szCs w:val="22"/>
          <w:lang w:val="pt-BR"/>
          <w14:textFill>
            <w14:solidFill>
              <w14:schemeClr w14:val="tx1"/>
            </w14:solidFill>
          </w14:textFill>
        </w:rPr>
      </w:pPr>
      <w:r>
        <w:rPr>
          <w:rFonts w:hint="default" w:ascii="Arial" w:hAnsi="Arial" w:eastAsia="Times New Roman" w:cs="Arial"/>
          <w:color w:val="auto"/>
          <w:sz w:val="22"/>
          <w:szCs w:val="22"/>
          <w:shd w:val="clear" w:color="auto" w:fill="auto"/>
          <w:lang w:eastAsia="pt-BR"/>
        </w:rPr>
        <w:t>A adjudicação do</w:t>
      </w:r>
      <w:r>
        <w:rPr>
          <w:rFonts w:hint="default" w:ascii="Arial" w:hAnsi="Arial" w:eastAsia="Times New Roman" w:cs="Arial"/>
          <w:color w:val="auto"/>
          <w:sz w:val="22"/>
          <w:szCs w:val="22"/>
          <w:shd w:val="clear" w:color="auto" w:fill="auto"/>
          <w:lang w:val="en-US" w:eastAsia="pt-BR"/>
        </w:rPr>
        <w:t xml:space="preserve"> GRUPO</w:t>
      </w:r>
      <w:r>
        <w:rPr>
          <w:rFonts w:hint="default" w:ascii="Arial" w:hAnsi="Arial" w:eastAsia="Times New Roman" w:cs="Arial"/>
          <w:color w:val="auto"/>
          <w:sz w:val="22"/>
          <w:szCs w:val="22"/>
          <w:shd w:val="clear" w:color="auto" w:fill="auto"/>
          <w:lang w:eastAsia="pt-BR"/>
        </w:rPr>
        <w:t xml:space="preserve"> 01 desta contratação a</w:t>
      </w:r>
      <w:r>
        <w:rPr>
          <w:rFonts w:hint="default" w:ascii="Arial" w:hAnsi="Arial" w:eastAsia="Times New Roman" w:cs="Arial"/>
          <w:color w:val="auto"/>
          <w:sz w:val="22"/>
          <w:szCs w:val="22"/>
          <w:shd w:val="clear" w:color="auto" w:fill="auto"/>
          <w:lang w:val="en-US" w:eastAsia="pt-BR"/>
        </w:rPr>
        <w:t>s</w:t>
      </w:r>
      <w:r>
        <w:rPr>
          <w:rFonts w:hint="default" w:ascii="Arial" w:hAnsi="Arial" w:eastAsia="Times New Roman" w:cs="Arial"/>
          <w:color w:val="auto"/>
          <w:sz w:val="22"/>
          <w:szCs w:val="22"/>
          <w:shd w:val="clear" w:color="auto" w:fill="auto"/>
          <w:lang w:eastAsia="pt-BR"/>
        </w:rPr>
        <w:t xml:space="preserve"> empresas distintas, além de aumentar seu custo administrativo, abre margem para que as empresas licitantes não entreguem equipamentos ou componentes 100% compatíveis entre si, ou deixem de prestar os serviços contratado</w:t>
      </w:r>
      <w:r>
        <w:rPr>
          <w:rFonts w:hint="default" w:ascii="Arial" w:hAnsi="Arial" w:eastAsia="Times New Roman" w:cs="Arial"/>
          <w:color w:val="auto"/>
          <w:sz w:val="22"/>
          <w:szCs w:val="22"/>
          <w:shd w:val="clear" w:color="auto" w:fill="auto"/>
          <w:lang w:val="en-US" w:eastAsia="pt-BR"/>
        </w:rPr>
        <w:t>s</w:t>
      </w:r>
      <w:r>
        <w:rPr>
          <w:rFonts w:hint="default" w:ascii="Arial" w:hAnsi="Arial" w:eastAsia="Times New Roman" w:cs="Arial"/>
          <w:color w:val="auto"/>
          <w:sz w:val="22"/>
          <w:szCs w:val="22"/>
          <w:shd w:val="clear" w:color="auto" w:fill="auto"/>
          <w:lang w:eastAsia="pt-BR"/>
        </w:rPr>
        <w:t>, alegando que a falha de um componente sob sua responsabilidade foi causada por falha de componente sob responsabilidade de outra empresa contratada.</w:t>
      </w:r>
      <w:r>
        <w:rPr>
          <w:rFonts w:hint="default" w:ascii="Arial" w:hAnsi="Arial" w:eastAsia="Times New Roman" w:cs="Arial"/>
          <w:color w:val="auto"/>
          <w:sz w:val="22"/>
          <w:szCs w:val="22"/>
          <w:shd w:val="clear" w:color="auto" w:fill="auto"/>
          <w:lang w:val="en-US" w:eastAsia="pt-BR"/>
        </w:rPr>
        <w:t xml:space="preserve"> Dessa forma</w:t>
      </w:r>
      <w:r>
        <w:rPr>
          <w:rFonts w:hint="default" w:ascii="Arial" w:hAnsi="Arial" w:cs="Arial"/>
          <w:color w:val="auto"/>
          <w:sz w:val="22"/>
          <w:szCs w:val="22"/>
          <w:shd w:val="clear" w:color="auto" w:fill="auto"/>
          <w:lang w:val="en-US" w:eastAsia="pt-BR"/>
        </w:rPr>
        <w:t xml:space="preserve"> </w:t>
      </w:r>
      <w:r>
        <w:rPr>
          <w:rFonts w:hint="default" w:ascii="Arial" w:hAnsi="Arial" w:eastAsia="Times New Roman" w:cs="Arial"/>
          <w:color w:val="auto"/>
          <w:sz w:val="22"/>
          <w:szCs w:val="22"/>
          <w:shd w:val="clear" w:color="auto" w:fill="auto"/>
          <w:lang w:val="en-US" w:eastAsia="pt-BR"/>
        </w:rPr>
        <w:t>igualmente o serviço “Moving” deverá ser prestado pela mesma empresa vencedora da locação do</w:t>
      </w:r>
      <w:r>
        <w:rPr>
          <w:rFonts w:hint="default" w:ascii="Arial" w:hAnsi="Arial" w:cs="Arial"/>
          <w:spacing w:val="-2"/>
          <w:sz w:val="24"/>
          <w:lang w:val="pt-BR"/>
        </w:rPr>
        <w:t xml:space="preserve"> </w:t>
      </w:r>
      <w:r>
        <w:rPr>
          <w:rFonts w:hint="default" w:ascii="Arial" w:hAnsi="Arial" w:eastAsia="Times New Roman" w:cs="Arial"/>
          <w:color w:val="auto"/>
          <w:sz w:val="22"/>
          <w:szCs w:val="22"/>
          <w:shd w:val="clear" w:color="auto" w:fill="auto"/>
          <w:lang w:val="en-US" w:eastAsia="pt-BR"/>
        </w:rPr>
        <w:t>container</w:t>
      </w:r>
      <w:r>
        <w:rPr>
          <w:rFonts w:hint="default" w:ascii="Arial" w:hAnsi="Arial" w:cs="Arial"/>
          <w:color w:val="auto"/>
          <w:sz w:val="22"/>
          <w:szCs w:val="22"/>
          <w:shd w:val="clear" w:color="auto" w:fill="auto"/>
          <w:lang w:val="en-US" w:eastAsia="pt-BR"/>
        </w:rPr>
        <w:t xml:space="preserve">, </w:t>
      </w:r>
      <w:r>
        <w:rPr>
          <w:rFonts w:hint="default" w:ascii="Arial" w:hAnsi="Arial" w:cs="Arial"/>
          <w:spacing w:val="-2"/>
          <w:sz w:val="24"/>
          <w:lang w:val="pt-BR"/>
        </w:rPr>
        <w:t xml:space="preserve">Data Center, </w:t>
      </w:r>
      <w:r>
        <w:rPr>
          <w:rFonts w:ascii="Arial" w:hAnsi="Arial" w:cs="Arial"/>
          <w:b w:val="0"/>
          <w:bCs/>
          <w:color w:val="000000" w:themeColor="text1"/>
          <w:sz w:val="22"/>
          <w:szCs w:val="22"/>
          <w14:textFill>
            <w14:solidFill>
              <w14:schemeClr w14:val="tx1"/>
            </w14:solidFill>
          </w14:textFill>
        </w:rPr>
        <w:t xml:space="preserve">portanto, não havendo a possibilidade de serem divididos entre mais de uma empresa. </w:t>
      </w:r>
    </w:p>
    <w:p w14:paraId="409D9E06">
      <w:pPr>
        <w:numPr>
          <w:ilvl w:val="0"/>
          <w:numId w:val="0"/>
        </w:numPr>
        <w:ind w:leftChars="0"/>
        <w:jc w:val="left"/>
        <w:rPr>
          <w:rFonts w:hint="default" w:ascii="Arial" w:hAnsi="Arial" w:cs="Arial"/>
          <w:b w:val="0"/>
          <w:bCs/>
          <w:sz w:val="22"/>
          <w:szCs w:val="22"/>
          <w:highlight w:val="yellow"/>
          <w:lang w:val="pt-BR"/>
        </w:rPr>
      </w:pPr>
    </w:p>
    <w:tbl>
      <w:tblPr>
        <w:tblStyle w:val="10"/>
        <w:tblW w:w="87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4111"/>
        <w:gridCol w:w="4678"/>
      </w:tblGrid>
      <w:tr w14:paraId="69245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5" w:hRule="atLeast"/>
        </w:trPr>
        <w:tc>
          <w:tcPr>
            <w:tcW w:w="8789" w:type="dxa"/>
            <w:gridSpan w:val="2"/>
            <w:shd w:val="clear" w:color="000000" w:fill="7F7F7F"/>
            <w:noWrap w:val="0"/>
            <w:vAlign w:val="center"/>
          </w:tcPr>
          <w:p w14:paraId="352F45AB">
            <w:pPr>
              <w:spacing w:after="0"/>
              <w:jc w:val="both"/>
              <w:rPr>
                <w:rFonts w:ascii="Times New Roman" w:hAnsi="Times New Roman" w:eastAsia="Times New Roman"/>
                <w:b/>
                <w:bCs/>
                <w:color w:val="FFFFFF"/>
                <w:sz w:val="24"/>
                <w:szCs w:val="24"/>
                <w:lang w:eastAsia="pt-BR"/>
              </w:rPr>
            </w:pPr>
            <w:r>
              <w:rPr>
                <w:rFonts w:ascii="Times New Roman" w:hAnsi="Times New Roman" w:eastAsia="Times New Roman"/>
                <w:b/>
                <w:bCs/>
                <w:color w:val="FFFFFF"/>
                <w:sz w:val="24"/>
                <w:szCs w:val="24"/>
                <w:lang w:eastAsia="pt-BR"/>
              </w:rPr>
              <w:t>TABELA DE CRITÉRIOS DE SELEÇÃO DO FORNECEDOR</w:t>
            </w:r>
          </w:p>
        </w:tc>
      </w:tr>
      <w:tr w14:paraId="40FB7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94" w:hRule="atLeast"/>
        </w:trPr>
        <w:tc>
          <w:tcPr>
            <w:tcW w:w="4111" w:type="dxa"/>
            <w:shd w:val="clear" w:color="000000" w:fill="F2F2F2"/>
            <w:noWrap w:val="0"/>
            <w:vAlign w:val="center"/>
          </w:tcPr>
          <w:p w14:paraId="27617912">
            <w:pPr>
              <w:spacing w:after="0"/>
              <w:jc w:val="both"/>
              <w:rPr>
                <w:rFonts w:ascii="Times New Roman" w:hAnsi="Times New Roman" w:eastAsia="Times New Roman"/>
                <w:b/>
                <w:bCs/>
                <w:color w:val="000000"/>
                <w:sz w:val="24"/>
                <w:szCs w:val="24"/>
                <w:lang w:eastAsia="pt-BR"/>
              </w:rPr>
            </w:pPr>
            <w:r>
              <w:rPr>
                <w:rFonts w:ascii="Times New Roman" w:hAnsi="Times New Roman" w:eastAsia="Times New Roman"/>
                <w:b/>
                <w:bCs/>
                <w:color w:val="000000"/>
                <w:sz w:val="24"/>
                <w:szCs w:val="24"/>
                <w:lang w:eastAsia="pt-BR"/>
              </w:rPr>
              <w:t>ADJUDICAÇÃO DO OBJETO</w:t>
            </w:r>
          </w:p>
        </w:tc>
        <w:tc>
          <w:tcPr>
            <w:tcW w:w="4678" w:type="dxa"/>
            <w:shd w:val="clear" w:color="000000" w:fill="F2F2F2"/>
            <w:noWrap w:val="0"/>
            <w:vAlign w:val="center"/>
          </w:tcPr>
          <w:p w14:paraId="588A19B1">
            <w:pPr>
              <w:spacing w:after="0"/>
              <w:jc w:val="both"/>
              <w:rPr>
                <w:rFonts w:ascii="Times New Roman" w:hAnsi="Times New Roman" w:eastAsia="Times New Roman"/>
                <w:b/>
                <w:bCs/>
                <w:color w:val="000000"/>
                <w:sz w:val="24"/>
                <w:szCs w:val="24"/>
                <w:lang w:eastAsia="pt-BR"/>
              </w:rPr>
            </w:pPr>
            <w:r>
              <w:rPr>
                <w:rFonts w:ascii="Times New Roman" w:hAnsi="Times New Roman" w:eastAsia="Times New Roman"/>
                <w:b/>
                <w:bCs/>
                <w:color w:val="000000"/>
                <w:sz w:val="24"/>
                <w:szCs w:val="24"/>
                <w:lang w:eastAsia="pt-BR"/>
              </w:rPr>
              <w:t>Por preço global.</w:t>
            </w:r>
          </w:p>
        </w:tc>
      </w:tr>
      <w:tr w14:paraId="3DE5C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5" w:hRule="atLeast"/>
        </w:trPr>
        <w:tc>
          <w:tcPr>
            <w:tcW w:w="4111" w:type="dxa"/>
            <w:shd w:val="clear" w:color="000000" w:fill="F2F2F2"/>
            <w:noWrap w:val="0"/>
            <w:vAlign w:val="center"/>
          </w:tcPr>
          <w:p w14:paraId="5C074953">
            <w:pPr>
              <w:spacing w:after="0"/>
              <w:jc w:val="both"/>
              <w:rPr>
                <w:rFonts w:ascii="Times New Roman" w:hAnsi="Times New Roman" w:eastAsia="Times New Roman"/>
                <w:b/>
                <w:bCs/>
                <w:color w:val="000000"/>
                <w:sz w:val="24"/>
                <w:szCs w:val="24"/>
                <w:lang w:eastAsia="pt-BR"/>
              </w:rPr>
            </w:pPr>
            <w:r>
              <w:rPr>
                <w:rFonts w:ascii="Times New Roman" w:hAnsi="Times New Roman" w:eastAsia="Times New Roman"/>
                <w:b/>
                <w:bCs/>
                <w:color w:val="000000"/>
                <w:sz w:val="24"/>
                <w:szCs w:val="24"/>
                <w:lang w:eastAsia="pt-BR"/>
              </w:rPr>
              <w:t>CRITÉRIO DE JULGAMENTO DAS PROPOSTAS</w:t>
            </w:r>
          </w:p>
        </w:tc>
        <w:tc>
          <w:tcPr>
            <w:tcW w:w="4678" w:type="dxa"/>
            <w:shd w:val="clear" w:color="000000" w:fill="F2F2F2"/>
            <w:noWrap w:val="0"/>
            <w:vAlign w:val="center"/>
          </w:tcPr>
          <w:p w14:paraId="371FA17F">
            <w:pPr>
              <w:spacing w:after="0"/>
              <w:jc w:val="both"/>
              <w:rPr>
                <w:rFonts w:ascii="Times New Roman" w:hAnsi="Times New Roman" w:eastAsia="Times New Roman"/>
                <w:b/>
                <w:bCs/>
                <w:color w:val="000000"/>
                <w:sz w:val="24"/>
                <w:szCs w:val="24"/>
                <w:lang w:eastAsia="pt-BR"/>
              </w:rPr>
            </w:pPr>
            <w:r>
              <w:rPr>
                <w:rFonts w:ascii="Times New Roman" w:hAnsi="Times New Roman" w:eastAsia="Times New Roman"/>
                <w:b/>
                <w:bCs/>
                <w:color w:val="000000"/>
                <w:sz w:val="24"/>
                <w:szCs w:val="24"/>
                <w:lang w:eastAsia="pt-BR"/>
              </w:rPr>
              <w:t>Menor preço global compreendendo o valor total de cada item.</w:t>
            </w:r>
          </w:p>
        </w:tc>
      </w:tr>
    </w:tbl>
    <w:p w14:paraId="10BD0F40">
      <w:pPr>
        <w:numPr>
          <w:ilvl w:val="0"/>
          <w:numId w:val="0"/>
        </w:numPr>
        <w:ind w:leftChars="0"/>
        <w:jc w:val="left"/>
        <w:rPr>
          <w:rFonts w:hint="default" w:ascii="Arial" w:hAnsi="Arial" w:cs="Arial"/>
          <w:b w:val="0"/>
          <w:bCs/>
          <w:sz w:val="22"/>
          <w:szCs w:val="22"/>
          <w:highlight w:val="yellow"/>
          <w:lang w:val="pt-BR"/>
        </w:rPr>
      </w:pP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26FCA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2F50F0DD">
            <w:pPr>
              <w:numPr>
                <w:ilvl w:val="0"/>
                <w:numId w:val="17"/>
              </w:numPr>
              <w:ind w:left="0" w:leftChars="0" w:firstLine="0" w:firstLineChars="0"/>
              <w:jc w:val="center"/>
              <w:rPr>
                <w:rFonts w:hint="default" w:ascii="Arial" w:hAnsi="Arial" w:cs="Arial"/>
                <w:b/>
                <w:sz w:val="22"/>
                <w:szCs w:val="22"/>
                <w:vertAlign w:val="baseline"/>
                <w:lang w:val="pt-BR"/>
              </w:rPr>
            </w:pPr>
            <w:r>
              <w:rPr>
                <w:rFonts w:hint="default" w:ascii="Arial" w:hAnsi="Arial" w:cs="Arial"/>
                <w:b/>
                <w:sz w:val="22"/>
                <w:szCs w:val="22"/>
                <w:highlight w:val="none"/>
              </w:rPr>
              <w:t>DESCRIÇÃO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DA</w:t>
            </w:r>
            <w:r>
              <w:rPr>
                <w:rFonts w:hint="default" w:ascii="Arial" w:hAnsi="Arial" w:cs="Arial"/>
                <w:b/>
                <w:spacing w:val="-1"/>
                <w:sz w:val="22"/>
                <w:szCs w:val="22"/>
                <w:highlight w:val="none"/>
              </w:rPr>
              <w:t xml:space="preserve"> </w:t>
            </w:r>
            <w:r>
              <w:rPr>
                <w:rFonts w:hint="default" w:ascii="Arial" w:hAnsi="Arial" w:cs="Arial"/>
                <w:b/>
                <w:sz w:val="22"/>
                <w:szCs w:val="22"/>
                <w:highlight w:val="none"/>
              </w:rPr>
              <w:t>SOL</w:t>
            </w:r>
            <w:r>
              <w:rPr>
                <w:rFonts w:hint="default" w:ascii="Arial" w:hAnsi="Arial" w:cs="Arial"/>
                <w:b/>
                <w:sz w:val="22"/>
                <w:szCs w:val="22"/>
              </w:rPr>
              <w:t>UÇÃO</w:t>
            </w:r>
            <w:r>
              <w:rPr>
                <w:rFonts w:hint="default" w:ascii="Arial" w:hAnsi="Arial" w:cs="Arial"/>
                <w:b/>
                <w:spacing w:val="-1"/>
                <w:sz w:val="22"/>
                <w:szCs w:val="22"/>
              </w:rPr>
              <w:t xml:space="preserve"> </w:t>
            </w:r>
            <w:r>
              <w:rPr>
                <w:rFonts w:hint="default" w:ascii="Arial" w:hAnsi="Arial" w:cs="Arial"/>
                <w:b/>
                <w:sz w:val="22"/>
                <w:szCs w:val="22"/>
              </w:rPr>
              <w:t>(QUANDO</w:t>
            </w:r>
            <w:r>
              <w:rPr>
                <w:rFonts w:hint="default" w:ascii="Arial" w:hAnsi="Arial" w:cs="Arial"/>
                <w:b/>
                <w:spacing w:val="2"/>
                <w:sz w:val="22"/>
                <w:szCs w:val="22"/>
              </w:rPr>
              <w:t xml:space="preserve"> </w:t>
            </w:r>
            <w:r>
              <w:rPr>
                <w:rFonts w:hint="default" w:ascii="Arial" w:hAnsi="Arial" w:cs="Arial"/>
                <w:b/>
                <w:spacing w:val="-2"/>
                <w:sz w:val="22"/>
                <w:szCs w:val="22"/>
              </w:rPr>
              <w:t>APLICÁVEL)</w:t>
            </w:r>
          </w:p>
        </w:tc>
      </w:tr>
    </w:tbl>
    <w:p w14:paraId="24B9E72B">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jc w:val="both"/>
        <w:textAlignment w:val="auto"/>
        <w:rPr>
          <w:rFonts w:hint="default" w:ascii="Arial" w:hAnsi="Arial" w:cs="Arial"/>
          <w:color w:val="000000" w:themeColor="text1"/>
          <w:sz w:val="22"/>
          <w:szCs w:val="22"/>
          <w:highlight w:val="none"/>
          <w:lang w:val="pt-BR"/>
          <w14:textFill>
            <w14:solidFill>
              <w14:schemeClr w14:val="tx1"/>
            </w14:solidFill>
          </w14:textFill>
        </w:rPr>
      </w:pPr>
    </w:p>
    <w:p w14:paraId="3E840BE1">
      <w:pPr>
        <w:keepNext w:val="0"/>
        <w:keepLines w:val="0"/>
        <w:pageBreakBefore w:val="0"/>
        <w:widowControl/>
        <w:numPr>
          <w:ilvl w:val="1"/>
          <w:numId w:val="17"/>
        </w:numPr>
        <w:suppressLineNumbers w:val="0"/>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sz w:val="22"/>
          <w:szCs w:val="22"/>
          <w:highlight w:val="none"/>
        </w:rPr>
        <w:t xml:space="preserve">A solução consiste em fazer com que </w:t>
      </w:r>
      <w:r>
        <w:rPr>
          <w:rFonts w:hint="default" w:ascii="Arial" w:hAnsi="Arial" w:cs="Arial"/>
          <w:color w:val="000000"/>
          <w:sz w:val="22"/>
          <w:szCs w:val="22"/>
          <w:highlight w:val="none"/>
          <w:lang w:val="pt-BR"/>
        </w:rPr>
        <w:t xml:space="preserve">a prefeitura de Sinop mantenha os dados contidos nos equipamentos do Departamento de Tecnologia da Informação, situado na Secretaria de Administração sejam resguardados na íntegra e continuem sendo utilizados pela prefeitura de uma forma geral, atendendo todas as secretarias que deles utilizam nas suas atividades usuais e indispensáveis. Nesse sentido, isso proporciona que o </w:t>
      </w:r>
      <w:r>
        <w:rPr>
          <w:rFonts w:hint="default" w:ascii="Arial" w:hAnsi="Arial" w:cs="Arial"/>
          <w:color w:val="000000"/>
          <w:sz w:val="22"/>
          <w:szCs w:val="22"/>
          <w:highlight w:val="none"/>
        </w:rPr>
        <w:t>poder público mantenha seus compromissos, oferecendo um serviço social público de qualidade à população</w:t>
      </w:r>
      <w:r>
        <w:rPr>
          <w:rFonts w:hint="default" w:ascii="Arial" w:hAnsi="Arial" w:cs="Arial"/>
          <w:color w:val="000000"/>
          <w:sz w:val="22"/>
          <w:szCs w:val="22"/>
          <w:highlight w:val="none"/>
          <w:lang w:val="pt-BR"/>
        </w:rPr>
        <w:t xml:space="preserve"> de forma que os planos da Administração, sobretudo no que tange aos trabalhos que necessitam de dados não sejam frustrados. </w:t>
      </w:r>
    </w:p>
    <w:p w14:paraId="48450E90">
      <w:pPr>
        <w:pStyle w:val="165"/>
        <w:keepNext w:val="0"/>
        <w:keepLines w:val="0"/>
        <w:pageBreakBefore w:val="0"/>
        <w:widowControl/>
        <w:numPr>
          <w:ilvl w:val="1"/>
          <w:numId w:val="17"/>
        </w:numPr>
        <w:tabs>
          <w:tab w:val="left" w:pos="1276"/>
        </w:tabs>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Essa contratação abrange a locação de Solução de Datacenter Outdoor para sistemas críticos computacionais e de telecomunicações (Centro de Processamento de Dados), incluindo o fornecimento, instalação e testes de dispositivos elétrico-eletrônicos, mecânicos e lógicos, com passivos de rede organizado, identificado e certificado.</w:t>
      </w:r>
    </w:p>
    <w:p w14:paraId="1A9FE853">
      <w:pPr>
        <w:pStyle w:val="165"/>
        <w:keepNext w:val="0"/>
        <w:keepLines w:val="0"/>
        <w:pageBreakBefore w:val="0"/>
        <w:widowControl/>
        <w:numPr>
          <w:ilvl w:val="1"/>
          <w:numId w:val="17"/>
        </w:numPr>
        <w:tabs>
          <w:tab w:val="left" w:pos="1276"/>
        </w:tabs>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A contratação ocorrerá por meio de contratação de uma solução completa, incluindo os serviços de instalação elétrica, mecânica, de engenharia civil, além dos dispositivos elétrico-eletrônicos, mecânicos e lógicos que compõem essa infraestrutura, tais como: painéis elétricos; sistemas de proteção; nobreaks; baterias; ar-condicionado de precisão; sistema de detecção e combate a incêndio, gabinetes de TI (Racks) com seus respectivos acessórios e sistema integrado de gerenciamento da infraestrutura do Centro de Processamento de Dados.</w:t>
      </w:r>
    </w:p>
    <w:p w14:paraId="22215EAE">
      <w:pPr>
        <w:pStyle w:val="165"/>
        <w:keepNext w:val="0"/>
        <w:keepLines w:val="0"/>
        <w:pageBreakBefore w:val="0"/>
        <w:widowControl/>
        <w:numPr>
          <w:ilvl w:val="1"/>
          <w:numId w:val="17"/>
        </w:numPr>
        <w:tabs>
          <w:tab w:val="left" w:pos="1276"/>
        </w:tabs>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 xml:space="preserve">Sendo assim, resumidamente, o Centro de Processamento de Dados deverá ser composto por: </w:t>
      </w:r>
    </w:p>
    <w:p w14:paraId="5ECEA60C">
      <w:pPr>
        <w:pStyle w:val="165"/>
        <w:ind w:left="2268"/>
        <w:jc w:val="both"/>
        <w:rPr>
          <w:rFonts w:hint="default" w:ascii="Arial" w:hAnsi="Arial" w:cs="Arial"/>
          <w:sz w:val="22"/>
          <w:szCs w:val="22"/>
        </w:rPr>
      </w:pPr>
      <w:r>
        <w:rPr>
          <w:rFonts w:hint="default" w:ascii="Arial" w:hAnsi="Arial" w:cs="Arial"/>
          <w:sz w:val="22"/>
          <w:szCs w:val="22"/>
        </w:rPr>
        <w:t>O Centro de Processamento de Dados será projetado com as seguintes especificações técnicas de infraestrutura:</w:t>
      </w:r>
    </w:p>
    <w:p w14:paraId="04F1F66D">
      <w:pPr>
        <w:pStyle w:val="165"/>
        <w:ind w:left="0" w:leftChars="0" w:firstLine="0" w:firstLineChars="0"/>
        <w:jc w:val="both"/>
        <w:rPr>
          <w:rFonts w:hint="default" w:ascii="Arial" w:hAnsi="Arial" w:cs="Arial"/>
          <w:sz w:val="22"/>
          <w:szCs w:val="22"/>
        </w:rPr>
      </w:pPr>
    </w:p>
    <w:p w14:paraId="28AFB5F3">
      <w:pPr>
        <w:pStyle w:val="165"/>
        <w:ind w:left="2268"/>
        <w:jc w:val="both"/>
        <w:rPr>
          <w:rFonts w:hint="default" w:ascii="Arial" w:hAnsi="Arial" w:cs="Arial"/>
          <w:b/>
          <w:bCs/>
          <w:sz w:val="22"/>
          <w:szCs w:val="22"/>
        </w:rPr>
      </w:pPr>
      <w:r>
        <w:rPr>
          <w:rFonts w:hint="default" w:ascii="Arial" w:hAnsi="Arial" w:cs="Arial"/>
          <w:b/>
          <w:bCs/>
          <w:sz w:val="22"/>
          <w:szCs w:val="22"/>
        </w:rPr>
        <w:t>Distribuição Elétrica</w:t>
      </w:r>
    </w:p>
    <w:p w14:paraId="3607130E">
      <w:pPr>
        <w:pStyle w:val="165"/>
        <w:ind w:left="2268"/>
        <w:jc w:val="both"/>
        <w:rPr>
          <w:rFonts w:hint="default" w:ascii="Arial" w:hAnsi="Arial" w:cs="Arial"/>
          <w:b/>
          <w:bCs/>
          <w:sz w:val="22"/>
          <w:szCs w:val="22"/>
        </w:rPr>
      </w:pPr>
    </w:p>
    <w:p w14:paraId="78AA6329">
      <w:pPr>
        <w:pStyle w:val="165"/>
        <w:ind w:left="2268"/>
        <w:jc w:val="both"/>
        <w:rPr>
          <w:rFonts w:hint="default" w:ascii="Arial" w:hAnsi="Arial" w:cs="Arial"/>
          <w:b/>
          <w:bCs/>
          <w:sz w:val="22"/>
          <w:szCs w:val="22"/>
        </w:rPr>
      </w:pPr>
    </w:p>
    <w:p w14:paraId="782281CF">
      <w:pPr>
        <w:pStyle w:val="165"/>
        <w:keepNext w:val="0"/>
        <w:keepLines w:val="0"/>
        <w:pageBreakBefore w:val="0"/>
        <w:widowControl/>
        <w:numPr>
          <w:ilvl w:val="2"/>
          <w:numId w:val="17"/>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Painéis elétricos devem ser equipados com um conjunto de disjuntores, primários e secundários, complementados por condutores elétricos dimensionados para a carga esperada.</w:t>
      </w:r>
    </w:p>
    <w:p w14:paraId="2859EF36">
      <w:pPr>
        <w:pStyle w:val="165"/>
        <w:ind w:left="0" w:leftChars="0" w:firstLine="0" w:firstLineChars="0"/>
        <w:jc w:val="both"/>
        <w:rPr>
          <w:rFonts w:hint="default" w:ascii="Arial" w:hAnsi="Arial" w:cs="Arial"/>
          <w:sz w:val="22"/>
          <w:szCs w:val="22"/>
        </w:rPr>
      </w:pPr>
    </w:p>
    <w:p w14:paraId="79430B0D">
      <w:pPr>
        <w:pStyle w:val="165"/>
        <w:ind w:left="2268"/>
        <w:jc w:val="both"/>
        <w:rPr>
          <w:rFonts w:hint="default" w:ascii="Arial" w:hAnsi="Arial" w:cs="Arial"/>
          <w:b/>
          <w:bCs/>
          <w:sz w:val="22"/>
          <w:szCs w:val="22"/>
        </w:rPr>
      </w:pPr>
      <w:r>
        <w:rPr>
          <w:rFonts w:hint="default" w:ascii="Arial" w:hAnsi="Arial" w:cs="Arial"/>
          <w:b/>
          <w:bCs/>
          <w:sz w:val="22"/>
          <w:szCs w:val="22"/>
        </w:rPr>
        <w:t>Sistema de Alimentação Ininterrupta</w:t>
      </w:r>
    </w:p>
    <w:p w14:paraId="0AE9AD69">
      <w:pPr>
        <w:pStyle w:val="165"/>
        <w:ind w:left="2268"/>
        <w:jc w:val="both"/>
        <w:rPr>
          <w:rFonts w:hint="default" w:ascii="Arial" w:hAnsi="Arial" w:cs="Arial"/>
          <w:sz w:val="22"/>
          <w:szCs w:val="22"/>
        </w:rPr>
      </w:pPr>
    </w:p>
    <w:p w14:paraId="2A9C1B0A">
      <w:pPr>
        <w:pStyle w:val="165"/>
        <w:keepNext w:val="0"/>
        <w:keepLines w:val="0"/>
        <w:pageBreakBefore w:val="0"/>
        <w:widowControl/>
        <w:numPr>
          <w:ilvl w:val="2"/>
          <w:numId w:val="17"/>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O sistema de UPS (Uninterruptible Power Supply) deve ser configurado em uma arquitetura redundante, contendo unidades modulares com tecnologia de substituição sem interrupção do fornecimento de energia.</w:t>
      </w:r>
    </w:p>
    <w:p w14:paraId="26FFDDED">
      <w:pPr>
        <w:jc w:val="both"/>
        <w:rPr>
          <w:rFonts w:hint="default" w:ascii="Arial" w:hAnsi="Arial" w:cs="Arial"/>
          <w:sz w:val="22"/>
          <w:szCs w:val="22"/>
        </w:rPr>
      </w:pPr>
    </w:p>
    <w:p w14:paraId="23B87C09">
      <w:pPr>
        <w:pStyle w:val="165"/>
        <w:ind w:left="2268"/>
        <w:jc w:val="both"/>
        <w:rPr>
          <w:rFonts w:hint="default" w:ascii="Arial" w:hAnsi="Arial" w:cs="Arial"/>
          <w:b/>
          <w:bCs/>
          <w:sz w:val="22"/>
          <w:szCs w:val="22"/>
        </w:rPr>
      </w:pPr>
      <w:r>
        <w:rPr>
          <w:rFonts w:hint="default" w:ascii="Arial" w:hAnsi="Arial" w:cs="Arial"/>
          <w:b/>
          <w:bCs/>
          <w:sz w:val="22"/>
          <w:szCs w:val="22"/>
        </w:rPr>
        <w:t>Climatização de Precisão</w:t>
      </w:r>
    </w:p>
    <w:p w14:paraId="131CF918">
      <w:pPr>
        <w:pStyle w:val="165"/>
        <w:ind w:left="2268"/>
        <w:jc w:val="both"/>
        <w:rPr>
          <w:rFonts w:hint="default" w:ascii="Arial" w:hAnsi="Arial" w:cs="Arial"/>
          <w:b/>
          <w:bCs/>
          <w:sz w:val="22"/>
          <w:szCs w:val="22"/>
        </w:rPr>
      </w:pPr>
    </w:p>
    <w:p w14:paraId="02811076">
      <w:pPr>
        <w:pStyle w:val="165"/>
        <w:keepNext w:val="0"/>
        <w:keepLines w:val="0"/>
        <w:pageBreakBefore w:val="0"/>
        <w:widowControl/>
        <w:numPr>
          <w:ilvl w:val="2"/>
          <w:numId w:val="17"/>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Os sistemas de controle de temperatura e umidade serão dispositivos de ar-condicionado de precisão, dispostos em arquitetura InRow, projetados para operação contínua (24h:7d) e adaptados para a demanda térmica do ambiente.</w:t>
      </w:r>
    </w:p>
    <w:p w14:paraId="7A15A2A5">
      <w:pPr>
        <w:pStyle w:val="165"/>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p>
    <w:p w14:paraId="2CB8B2C0">
      <w:pPr>
        <w:pStyle w:val="165"/>
        <w:ind w:left="2268"/>
        <w:jc w:val="both"/>
        <w:rPr>
          <w:rFonts w:hint="default" w:ascii="Arial" w:hAnsi="Arial" w:cs="Arial"/>
          <w:b/>
          <w:bCs/>
          <w:sz w:val="22"/>
          <w:szCs w:val="22"/>
        </w:rPr>
      </w:pPr>
      <w:r>
        <w:rPr>
          <w:rFonts w:hint="default" w:ascii="Arial" w:hAnsi="Arial" w:cs="Arial"/>
          <w:b/>
          <w:bCs/>
          <w:sz w:val="22"/>
          <w:szCs w:val="22"/>
        </w:rPr>
        <w:t>Infraestrutura de Rack</w:t>
      </w:r>
    </w:p>
    <w:p w14:paraId="31F902AC">
      <w:pPr>
        <w:pStyle w:val="165"/>
        <w:ind w:left="2268"/>
        <w:jc w:val="both"/>
        <w:rPr>
          <w:rFonts w:hint="default" w:ascii="Arial" w:hAnsi="Arial" w:cs="Arial"/>
          <w:b/>
          <w:bCs/>
          <w:sz w:val="22"/>
          <w:szCs w:val="22"/>
        </w:rPr>
      </w:pPr>
    </w:p>
    <w:p w14:paraId="1DCB415B">
      <w:pPr>
        <w:pStyle w:val="165"/>
        <w:keepNext w:val="0"/>
        <w:keepLines w:val="0"/>
        <w:pageBreakBefore w:val="0"/>
        <w:widowControl/>
        <w:numPr>
          <w:ilvl w:val="2"/>
          <w:numId w:val="17"/>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Racks para equipamentos de TI e de rede, com soluções de confinamento térmico, e fornecimento de calhas de cabeamento e acessórios relacionados, para uma gestão eficiente do espaço e da organização dos cabos.</w:t>
      </w:r>
    </w:p>
    <w:p w14:paraId="0B263321">
      <w:pPr>
        <w:pStyle w:val="165"/>
        <w:ind w:left="0" w:leftChars="0" w:firstLine="0" w:firstLineChars="0"/>
        <w:jc w:val="both"/>
        <w:rPr>
          <w:rFonts w:hint="default" w:ascii="Arial" w:hAnsi="Arial" w:cs="Arial"/>
          <w:sz w:val="22"/>
          <w:szCs w:val="22"/>
        </w:rPr>
      </w:pPr>
    </w:p>
    <w:p w14:paraId="1B09481C">
      <w:pPr>
        <w:pStyle w:val="165"/>
        <w:ind w:left="2268"/>
        <w:jc w:val="both"/>
        <w:rPr>
          <w:rFonts w:hint="default" w:ascii="Arial" w:hAnsi="Arial" w:cs="Arial"/>
          <w:b/>
          <w:bCs/>
          <w:sz w:val="22"/>
          <w:szCs w:val="22"/>
        </w:rPr>
      </w:pPr>
      <w:r>
        <w:rPr>
          <w:rFonts w:hint="default" w:ascii="Arial" w:hAnsi="Arial" w:cs="Arial"/>
          <w:b/>
          <w:bCs/>
          <w:sz w:val="22"/>
          <w:szCs w:val="22"/>
        </w:rPr>
        <w:t>Gestão de Infraestrutura</w:t>
      </w:r>
    </w:p>
    <w:p w14:paraId="19A6F14A">
      <w:pPr>
        <w:pStyle w:val="165"/>
        <w:ind w:left="2268"/>
        <w:jc w:val="both"/>
        <w:rPr>
          <w:rFonts w:hint="default" w:ascii="Arial" w:hAnsi="Arial" w:cs="Arial"/>
          <w:b/>
          <w:bCs/>
          <w:sz w:val="22"/>
          <w:szCs w:val="22"/>
        </w:rPr>
      </w:pPr>
    </w:p>
    <w:p w14:paraId="0C113329">
      <w:pPr>
        <w:pStyle w:val="165"/>
        <w:keepNext w:val="0"/>
        <w:keepLines w:val="0"/>
        <w:pageBreakBefore w:val="0"/>
        <w:widowControl/>
        <w:numPr>
          <w:ilvl w:val="2"/>
          <w:numId w:val="17"/>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Implementação de uma plataforma de gestão de infraestrutura de data center (DCIM - Data Center Infrastructure Management), que permitirá o monitoramento e a gestão inteligente das instalações, incluindo a supervisão de dispositivos ativos, monitoramento ambiental, e sistemas integrados para a detecção precoce e supressão de incêndio utilizando agentes como gás inerte.</w:t>
      </w:r>
    </w:p>
    <w:p w14:paraId="2041A7FE">
      <w:pPr>
        <w:pStyle w:val="165"/>
        <w:ind w:left="0" w:leftChars="0" w:firstLine="0" w:firstLineChars="0"/>
        <w:jc w:val="both"/>
        <w:rPr>
          <w:rFonts w:hint="default" w:ascii="Arial" w:hAnsi="Arial" w:cs="Arial"/>
          <w:sz w:val="22"/>
          <w:szCs w:val="22"/>
        </w:rPr>
      </w:pPr>
    </w:p>
    <w:p w14:paraId="3EB90397">
      <w:pPr>
        <w:pStyle w:val="165"/>
        <w:ind w:left="2268"/>
        <w:jc w:val="both"/>
        <w:rPr>
          <w:rFonts w:hint="default" w:ascii="Arial" w:hAnsi="Arial" w:cs="Arial"/>
          <w:b/>
          <w:bCs/>
          <w:sz w:val="22"/>
          <w:szCs w:val="22"/>
        </w:rPr>
      </w:pPr>
      <w:r>
        <w:rPr>
          <w:rFonts w:hint="default" w:ascii="Arial" w:hAnsi="Arial" w:cs="Arial"/>
          <w:b/>
          <w:bCs/>
          <w:sz w:val="22"/>
          <w:szCs w:val="22"/>
        </w:rPr>
        <w:t>Sistema de Detecção e Supressão de Incêndio</w:t>
      </w:r>
    </w:p>
    <w:p w14:paraId="285E0488">
      <w:pPr>
        <w:pStyle w:val="165"/>
        <w:ind w:left="2268"/>
        <w:jc w:val="both"/>
        <w:rPr>
          <w:rFonts w:hint="default" w:ascii="Arial" w:hAnsi="Arial" w:cs="Arial"/>
          <w:b/>
          <w:bCs/>
          <w:sz w:val="22"/>
          <w:szCs w:val="22"/>
        </w:rPr>
      </w:pPr>
    </w:p>
    <w:p w14:paraId="110819DE">
      <w:pPr>
        <w:pStyle w:val="165"/>
        <w:keepNext w:val="0"/>
        <w:keepLines w:val="0"/>
        <w:pageBreakBefore w:val="0"/>
        <w:widowControl/>
        <w:numPr>
          <w:ilvl w:val="2"/>
          <w:numId w:val="17"/>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Uma central de detecção e alarme de incêndio robusta que integre sinalizações dos detectores de fumaça e calor, capaz de processar dados e acionar alarmes auditivos e visuais e ativar automaticamente o sistema de supressão de incêndio com gás inerte, visando a proteção máxima dos equipamentos vitais.</w:t>
      </w:r>
    </w:p>
    <w:p w14:paraId="390B3040">
      <w:pPr>
        <w:pStyle w:val="165"/>
        <w:keepNext w:val="0"/>
        <w:keepLines w:val="0"/>
        <w:pageBreakBefore w:val="0"/>
        <w:widowControl/>
        <w:numPr>
          <w:ilvl w:val="1"/>
          <w:numId w:val="17"/>
        </w:numPr>
        <w:tabs>
          <w:tab w:val="left" w:pos="1276"/>
        </w:tabs>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Reforçando, essa contratação inclui ainda as instalações elétricas que devem ser feitas desde o quadro geral de distribuição de baixa tensão (QGBT), com uma implantação de um quadro geral independente para o CPD, instalações mecânicas, cálculos e adequações civis, configurações, implementações, testes, suporte técnico em garantia para os equipamentos e treinamento sobre o funcionamento de todos os equipamentos e instalações dos ambientes físicos do Centro de Processamento de Dados.</w:t>
      </w:r>
    </w:p>
    <w:p w14:paraId="2D76DBD9">
      <w:pPr>
        <w:pStyle w:val="165"/>
        <w:keepNext w:val="0"/>
        <w:keepLines w:val="0"/>
        <w:pageBreakBefore w:val="0"/>
        <w:widowControl/>
        <w:numPr>
          <w:ilvl w:val="1"/>
          <w:numId w:val="17"/>
        </w:numPr>
        <w:tabs>
          <w:tab w:val="left" w:pos="1276"/>
        </w:tabs>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Quanto ao dimensionamento do Centro de Processamento de Dados, a intensão é recepcionar, além das cargas de trabalho computacional atual, cargas de processamento de dados futuras, tais como os sistemas de TI. Considerando o crescimento dos dados e necessidade de processamento dos sistemas nos últimos anos 5(cinco) anos, a PREFEITURA DE SINOP-MT necessita expandir sua capacidade para recepcionar mais sistemas computacionais. Diante das demandas futuras, será expandido o Centro de Processamento de Dados para um novo site em cerca de 70% (setenta por cento) de sua capacidade e carga atual.</w:t>
      </w:r>
    </w:p>
    <w:p w14:paraId="0E181CAB">
      <w:pPr>
        <w:pStyle w:val="165"/>
        <w:keepNext w:val="0"/>
        <w:keepLines w:val="0"/>
        <w:pageBreakBefore w:val="0"/>
        <w:widowControl/>
        <w:numPr>
          <w:ilvl w:val="1"/>
          <w:numId w:val="17"/>
        </w:numPr>
        <w:tabs>
          <w:tab w:val="left" w:pos="1276"/>
        </w:tabs>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A escolha das especificações dos equipamentos e serviços a serem adquiridos e executados foram baseadas em solução reconhecida no mercado e fabricantes de ordem mundial, catálogo de produtos em revistas técnicas especializadas, artigos técnicos de fornecedores e profissionais de notório conhecimento de mercado, pesquisas de mercado de outras contratações públicas.</w:t>
      </w:r>
    </w:p>
    <w:p w14:paraId="21056742">
      <w:pPr>
        <w:pStyle w:val="165"/>
        <w:keepNext w:val="0"/>
        <w:keepLines w:val="0"/>
        <w:pageBreakBefore w:val="0"/>
        <w:widowControl/>
        <w:numPr>
          <w:ilvl w:val="1"/>
          <w:numId w:val="17"/>
        </w:numPr>
        <w:tabs>
          <w:tab w:val="left" w:pos="1276"/>
        </w:tabs>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A planilha a seguir apresenta os principais serviços a serem adquiridos para esta solução container datacenter com seus respectivos quantitativos. Importante ressaltar que para efeitos de levantamento dos custos, optou-se pela discretização das potências em valores comerciailizados pelos principais fabricantes dos subsistemas de UPS, Ar Condicionados e Racks.</w:t>
      </w:r>
    </w:p>
    <w:tbl>
      <w:tblPr>
        <w:tblStyle w:val="10"/>
        <w:tblpPr w:leftFromText="180" w:rightFromText="180" w:vertAnchor="text" w:horzAnchor="page" w:tblpX="2569" w:tblpY="379"/>
        <w:tblOverlap w:val="never"/>
        <w:tblW w:w="77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7088"/>
        <w:gridCol w:w="708"/>
      </w:tblGrid>
      <w:tr w14:paraId="1DC53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30" w:hRule="atLeast"/>
        </w:trPr>
        <w:tc>
          <w:tcPr>
            <w:tcW w:w="7088" w:type="dxa"/>
            <w:shd w:val="clear" w:color="000000" w:fill="BFBFBF"/>
            <w:noWrap w:val="0"/>
            <w:vAlign w:val="center"/>
          </w:tcPr>
          <w:p w14:paraId="1510EC44">
            <w:pPr>
              <w:spacing w:after="0"/>
              <w:ind w:firstLine="200"/>
              <w:jc w:val="center"/>
              <w:rPr>
                <w:rFonts w:hint="default" w:ascii="Arial" w:hAnsi="Arial" w:eastAsia="Times New Roman" w:cs="Arial"/>
                <w:bCs/>
                <w:color w:val="000000"/>
                <w:sz w:val="22"/>
                <w:szCs w:val="22"/>
                <w:lang w:eastAsia="pt-BR"/>
              </w:rPr>
            </w:pPr>
            <w:r>
              <w:rPr>
                <w:rFonts w:hint="default" w:ascii="Arial" w:hAnsi="Arial" w:eastAsia="Times New Roman" w:cs="Arial"/>
                <w:bCs/>
                <w:color w:val="000000"/>
                <w:sz w:val="22"/>
                <w:szCs w:val="22"/>
                <w:lang w:eastAsia="pt-BR"/>
              </w:rPr>
              <w:t>DESCRIÇÃO DOS ITENS</w:t>
            </w:r>
          </w:p>
        </w:tc>
        <w:tc>
          <w:tcPr>
            <w:tcW w:w="708" w:type="dxa"/>
            <w:shd w:val="clear" w:color="000000" w:fill="BFBFBF"/>
            <w:noWrap w:val="0"/>
            <w:vAlign w:val="center"/>
          </w:tcPr>
          <w:p w14:paraId="152CF3C8">
            <w:pPr>
              <w:spacing w:after="0"/>
              <w:jc w:val="center"/>
              <w:rPr>
                <w:rFonts w:hint="default" w:ascii="Arial" w:hAnsi="Arial" w:eastAsia="Times New Roman" w:cs="Arial"/>
                <w:bCs/>
                <w:color w:val="000000"/>
                <w:sz w:val="22"/>
                <w:szCs w:val="22"/>
                <w:lang w:eastAsia="pt-BR"/>
              </w:rPr>
            </w:pPr>
            <w:r>
              <w:rPr>
                <w:rFonts w:hint="default" w:ascii="Arial" w:hAnsi="Arial" w:eastAsia="Times New Roman" w:cs="Arial"/>
                <w:bCs/>
                <w:color w:val="000000"/>
                <w:sz w:val="22"/>
                <w:szCs w:val="22"/>
                <w:lang w:eastAsia="pt-BR"/>
              </w:rPr>
              <w:t>QTE</w:t>
            </w:r>
          </w:p>
        </w:tc>
      </w:tr>
      <w:tr w14:paraId="45EAA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48" w:hRule="atLeast"/>
        </w:trPr>
        <w:tc>
          <w:tcPr>
            <w:tcW w:w="7088" w:type="dxa"/>
            <w:shd w:val="clear" w:color="000000" w:fill="auto"/>
            <w:noWrap w:val="0"/>
            <w:vAlign w:val="center"/>
          </w:tcPr>
          <w:p w14:paraId="3E8EED28">
            <w:pPr>
              <w:spacing w:after="0"/>
              <w:jc w:val="both"/>
              <w:rPr>
                <w:rFonts w:hint="default" w:ascii="Arial" w:hAnsi="Arial" w:eastAsia="Times New Roman" w:cs="Arial"/>
                <w:bCs/>
                <w:color w:val="000000"/>
                <w:sz w:val="22"/>
                <w:szCs w:val="22"/>
                <w:lang w:eastAsia="pt-BR"/>
              </w:rPr>
            </w:pPr>
            <w:r>
              <w:rPr>
                <w:rFonts w:hint="default" w:ascii="Arial" w:hAnsi="Arial" w:eastAsia="Times New Roman" w:cs="Arial"/>
                <w:bCs/>
                <w:color w:val="000000"/>
                <w:sz w:val="22"/>
                <w:szCs w:val="22"/>
                <w:lang w:eastAsia="pt-BR"/>
              </w:rPr>
              <w:t>Serviços de Projetos Elétrico de UPS, Ar Condicionado, Cabeamento Estruturado, Monitoramento Ambiental, conforme especificações técnicas.</w:t>
            </w:r>
          </w:p>
        </w:tc>
        <w:tc>
          <w:tcPr>
            <w:tcW w:w="708" w:type="dxa"/>
            <w:shd w:val="clear" w:color="000000" w:fill="auto"/>
            <w:noWrap w:val="0"/>
            <w:vAlign w:val="center"/>
          </w:tcPr>
          <w:p w14:paraId="2E2D51BB">
            <w:pPr>
              <w:spacing w:after="0"/>
              <w:jc w:val="center"/>
              <w:rPr>
                <w:rFonts w:hint="default" w:ascii="Arial" w:hAnsi="Arial" w:eastAsia="Times New Roman" w:cs="Arial"/>
                <w:bCs/>
                <w:color w:val="000000"/>
                <w:sz w:val="22"/>
                <w:szCs w:val="22"/>
                <w:lang w:eastAsia="pt-BR"/>
              </w:rPr>
            </w:pPr>
            <w:r>
              <w:rPr>
                <w:rFonts w:hint="default" w:ascii="Arial" w:hAnsi="Arial" w:eastAsia="Times New Roman" w:cs="Arial"/>
                <w:bCs/>
                <w:color w:val="000000"/>
                <w:sz w:val="22"/>
                <w:szCs w:val="22"/>
                <w:lang w:eastAsia="pt-BR"/>
              </w:rPr>
              <w:t>1</w:t>
            </w:r>
          </w:p>
        </w:tc>
      </w:tr>
      <w:tr w14:paraId="20375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490" w:hRule="atLeast"/>
        </w:trPr>
        <w:tc>
          <w:tcPr>
            <w:tcW w:w="7088" w:type="dxa"/>
            <w:shd w:val="clear" w:color="000000" w:fill="auto"/>
            <w:noWrap w:val="0"/>
            <w:vAlign w:val="center"/>
          </w:tcPr>
          <w:p w14:paraId="1FA5B110">
            <w:pPr>
              <w:spacing w:after="0"/>
              <w:jc w:val="both"/>
              <w:rPr>
                <w:rFonts w:hint="default" w:ascii="Arial" w:hAnsi="Arial" w:eastAsia="Times New Roman" w:cs="Arial"/>
                <w:bCs/>
                <w:color w:val="000000"/>
                <w:sz w:val="22"/>
                <w:szCs w:val="22"/>
                <w:lang w:eastAsia="pt-BR"/>
              </w:rPr>
            </w:pPr>
            <w:r>
              <w:rPr>
                <w:rFonts w:hint="default" w:ascii="Arial" w:hAnsi="Arial" w:eastAsia="Times New Roman" w:cs="Arial"/>
                <w:bCs/>
                <w:color w:val="000000"/>
                <w:sz w:val="22"/>
                <w:szCs w:val="22"/>
                <w:lang w:eastAsia="pt-BR"/>
              </w:rPr>
              <w:t>Serviços de Instalação, Montagem, Comissionamento e Testes com fornecimento de UPS Modular de 30 KW com todos os acessórios, módulos de potência, baterias VRLA, quadros de by-pass, disjuntores, painéis elétricos de entrada TTA compatíveis em potência e corrente com a UPS, incluindo cabeamento elétrico e peças mecânicas para confinamento em conjunto com o sistema de racks, conforme especificações técnicas.</w:t>
            </w:r>
          </w:p>
        </w:tc>
        <w:tc>
          <w:tcPr>
            <w:tcW w:w="708" w:type="dxa"/>
            <w:shd w:val="clear" w:color="000000" w:fill="auto"/>
            <w:noWrap w:val="0"/>
            <w:vAlign w:val="center"/>
          </w:tcPr>
          <w:p w14:paraId="005028C5">
            <w:pPr>
              <w:spacing w:after="0"/>
              <w:jc w:val="center"/>
              <w:rPr>
                <w:rFonts w:hint="default" w:ascii="Arial" w:hAnsi="Arial" w:eastAsia="Times New Roman" w:cs="Arial"/>
                <w:bCs/>
                <w:color w:val="000000"/>
                <w:sz w:val="22"/>
                <w:szCs w:val="22"/>
                <w:lang w:eastAsia="pt-BR"/>
              </w:rPr>
            </w:pPr>
            <w:r>
              <w:rPr>
                <w:rFonts w:hint="default" w:ascii="Arial" w:hAnsi="Arial" w:eastAsia="Times New Roman" w:cs="Arial"/>
                <w:bCs/>
                <w:color w:val="000000"/>
                <w:sz w:val="22"/>
                <w:szCs w:val="22"/>
                <w:lang w:eastAsia="pt-BR"/>
              </w:rPr>
              <w:t>2</w:t>
            </w:r>
          </w:p>
        </w:tc>
      </w:tr>
      <w:tr w14:paraId="601D0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817" w:hRule="atLeast"/>
        </w:trPr>
        <w:tc>
          <w:tcPr>
            <w:tcW w:w="7088" w:type="dxa"/>
            <w:shd w:val="clear" w:color="000000" w:fill="auto"/>
            <w:noWrap w:val="0"/>
            <w:vAlign w:val="center"/>
          </w:tcPr>
          <w:p w14:paraId="618D4D30">
            <w:pPr>
              <w:spacing w:after="0"/>
              <w:jc w:val="both"/>
              <w:rPr>
                <w:rFonts w:hint="default" w:ascii="Arial" w:hAnsi="Arial" w:eastAsia="Times New Roman" w:cs="Arial"/>
                <w:bCs/>
                <w:color w:val="000000"/>
                <w:sz w:val="22"/>
                <w:szCs w:val="22"/>
                <w:lang w:eastAsia="pt-BR"/>
              </w:rPr>
            </w:pPr>
            <w:r>
              <w:rPr>
                <w:rFonts w:hint="default" w:ascii="Arial" w:hAnsi="Arial" w:eastAsia="Times New Roman" w:cs="Arial"/>
                <w:bCs/>
                <w:color w:val="000000"/>
                <w:sz w:val="22"/>
                <w:szCs w:val="22"/>
                <w:lang w:eastAsia="pt-BR"/>
              </w:rPr>
              <w:t>Serviços de Instalação, Montagem, Comissionamento e Testes com fornecimento de unidades Evaporadora/Condensadoras Inrow totalizando 28 kW com todos os acessórios e peças mecânicas para confinamento em conjunto com o sistema de racks, conforme especificações técnicas.</w:t>
            </w:r>
          </w:p>
        </w:tc>
        <w:tc>
          <w:tcPr>
            <w:tcW w:w="708" w:type="dxa"/>
            <w:shd w:val="clear" w:color="000000" w:fill="auto"/>
            <w:noWrap w:val="0"/>
            <w:vAlign w:val="center"/>
          </w:tcPr>
          <w:p w14:paraId="0715828A">
            <w:pPr>
              <w:spacing w:after="0"/>
              <w:jc w:val="center"/>
              <w:rPr>
                <w:rFonts w:hint="default" w:ascii="Arial" w:hAnsi="Arial" w:eastAsia="Times New Roman" w:cs="Arial"/>
                <w:bCs/>
                <w:color w:val="000000"/>
                <w:sz w:val="22"/>
                <w:szCs w:val="22"/>
                <w:lang w:eastAsia="pt-BR"/>
              </w:rPr>
            </w:pPr>
            <w:r>
              <w:rPr>
                <w:rFonts w:hint="default" w:ascii="Arial" w:hAnsi="Arial" w:eastAsia="Times New Roman" w:cs="Arial"/>
                <w:bCs/>
                <w:color w:val="000000"/>
                <w:sz w:val="22"/>
                <w:szCs w:val="22"/>
                <w:lang w:eastAsia="pt-BR"/>
              </w:rPr>
              <w:t>4</w:t>
            </w:r>
          </w:p>
        </w:tc>
      </w:tr>
      <w:tr w14:paraId="54F71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65" w:hRule="atLeast"/>
        </w:trPr>
        <w:tc>
          <w:tcPr>
            <w:tcW w:w="7088" w:type="dxa"/>
            <w:shd w:val="clear" w:color="000000" w:fill="auto"/>
            <w:noWrap w:val="0"/>
            <w:vAlign w:val="center"/>
          </w:tcPr>
          <w:p w14:paraId="1A438DCB">
            <w:pPr>
              <w:spacing w:after="0"/>
              <w:jc w:val="both"/>
              <w:rPr>
                <w:rFonts w:hint="default" w:ascii="Arial" w:hAnsi="Arial" w:eastAsia="Times New Roman" w:cs="Arial"/>
                <w:bCs/>
                <w:color w:val="000000"/>
                <w:sz w:val="22"/>
                <w:szCs w:val="22"/>
                <w:lang w:eastAsia="pt-BR"/>
              </w:rPr>
            </w:pPr>
            <w:r>
              <w:rPr>
                <w:rFonts w:hint="default" w:ascii="Arial" w:hAnsi="Arial" w:eastAsia="Times New Roman" w:cs="Arial"/>
                <w:bCs/>
                <w:color w:val="000000"/>
                <w:sz w:val="22"/>
                <w:szCs w:val="22"/>
                <w:lang w:eastAsia="pt-BR"/>
              </w:rPr>
              <w:t>Serviços de Instalação, Montagem, Comissionamento e Testes com fornecimento de conjunto de racks confinados com total mínimo de 160U disponíveis, acompanhados de réguas elétricas duais de medição gerenciável – RPDU para cada 40Us.</w:t>
            </w:r>
          </w:p>
        </w:tc>
        <w:tc>
          <w:tcPr>
            <w:tcW w:w="708" w:type="dxa"/>
            <w:shd w:val="clear" w:color="000000" w:fill="auto"/>
            <w:noWrap w:val="0"/>
            <w:vAlign w:val="center"/>
          </w:tcPr>
          <w:p w14:paraId="71A959FF">
            <w:pPr>
              <w:spacing w:after="0"/>
              <w:jc w:val="center"/>
              <w:rPr>
                <w:rFonts w:hint="default" w:ascii="Arial" w:hAnsi="Arial" w:eastAsia="Times New Roman" w:cs="Arial"/>
                <w:bCs/>
                <w:color w:val="000000"/>
                <w:sz w:val="22"/>
                <w:szCs w:val="22"/>
                <w:lang w:eastAsia="pt-BR"/>
              </w:rPr>
            </w:pPr>
            <w:r>
              <w:rPr>
                <w:rFonts w:hint="default" w:ascii="Arial" w:hAnsi="Arial" w:eastAsia="Times New Roman" w:cs="Arial"/>
                <w:bCs/>
                <w:color w:val="000000"/>
                <w:sz w:val="22"/>
                <w:szCs w:val="22"/>
                <w:lang w:eastAsia="pt-BR"/>
              </w:rPr>
              <w:t>1</w:t>
            </w:r>
          </w:p>
        </w:tc>
      </w:tr>
      <w:tr w14:paraId="41972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570" w:hRule="atLeast"/>
        </w:trPr>
        <w:tc>
          <w:tcPr>
            <w:tcW w:w="7088" w:type="dxa"/>
            <w:shd w:val="clear" w:color="000000" w:fill="auto"/>
            <w:noWrap w:val="0"/>
            <w:vAlign w:val="center"/>
          </w:tcPr>
          <w:p w14:paraId="6FB9B0DF">
            <w:pPr>
              <w:spacing w:after="0"/>
              <w:jc w:val="both"/>
              <w:rPr>
                <w:rFonts w:hint="default" w:ascii="Arial" w:hAnsi="Arial" w:eastAsia="Times New Roman" w:cs="Arial"/>
                <w:bCs/>
                <w:color w:val="000000"/>
                <w:sz w:val="22"/>
                <w:szCs w:val="22"/>
                <w:lang w:eastAsia="pt-BR"/>
              </w:rPr>
            </w:pPr>
            <w:r>
              <w:rPr>
                <w:rFonts w:hint="default" w:ascii="Arial" w:hAnsi="Arial" w:eastAsia="Times New Roman" w:cs="Arial"/>
                <w:bCs/>
                <w:color w:val="000000"/>
                <w:sz w:val="22"/>
                <w:szCs w:val="22"/>
                <w:lang w:eastAsia="pt-BR"/>
              </w:rPr>
              <w:t>Serviços de Instalação, Montagem, Comissionamento e Testes com fornecimento de dispositivos sensores, visuais e de incêndio para Monitoração</w:t>
            </w:r>
            <w:r>
              <w:rPr>
                <w:rFonts w:hint="default" w:ascii="Arial" w:hAnsi="Arial" w:eastAsia="Times New Roman" w:cs="Arial"/>
                <w:color w:val="000000"/>
                <w:sz w:val="22"/>
                <w:szCs w:val="22"/>
                <w:lang w:eastAsia="pt-BR"/>
              </w:rPr>
              <w:t xml:space="preserve"> A</w:t>
            </w:r>
            <w:r>
              <w:rPr>
                <w:rFonts w:hint="default" w:ascii="Arial" w:hAnsi="Arial" w:eastAsia="Times New Roman" w:cs="Arial"/>
                <w:bCs/>
                <w:color w:val="000000"/>
                <w:sz w:val="22"/>
                <w:szCs w:val="22"/>
                <w:lang w:eastAsia="pt-BR"/>
              </w:rPr>
              <w:t>mbiental do ambiente, dimensionado para atender o sistema de racks com 160Us, Ar Condicionado de 28kW e UPS de 30kW, conforme especificação técnica.</w:t>
            </w:r>
          </w:p>
        </w:tc>
        <w:tc>
          <w:tcPr>
            <w:tcW w:w="708" w:type="dxa"/>
            <w:shd w:val="clear" w:color="000000" w:fill="auto"/>
            <w:noWrap w:val="0"/>
            <w:vAlign w:val="center"/>
          </w:tcPr>
          <w:p w14:paraId="43A1DFAB">
            <w:pPr>
              <w:spacing w:after="0"/>
              <w:jc w:val="center"/>
              <w:rPr>
                <w:rFonts w:hint="default" w:ascii="Arial" w:hAnsi="Arial" w:eastAsia="Times New Roman" w:cs="Arial"/>
                <w:bCs/>
                <w:color w:val="000000"/>
                <w:sz w:val="22"/>
                <w:szCs w:val="22"/>
                <w:lang w:eastAsia="pt-BR"/>
              </w:rPr>
            </w:pPr>
            <w:r>
              <w:rPr>
                <w:rFonts w:hint="default" w:ascii="Arial" w:hAnsi="Arial" w:eastAsia="Times New Roman" w:cs="Arial"/>
                <w:bCs/>
                <w:color w:val="000000"/>
                <w:sz w:val="22"/>
                <w:szCs w:val="22"/>
                <w:lang w:eastAsia="pt-BR"/>
              </w:rPr>
              <w:t>2</w:t>
            </w:r>
          </w:p>
        </w:tc>
      </w:tr>
      <w:tr w14:paraId="741CF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0" w:hRule="atLeast"/>
        </w:trPr>
        <w:tc>
          <w:tcPr>
            <w:tcW w:w="7088" w:type="dxa"/>
            <w:shd w:val="clear" w:color="000000" w:fill="auto"/>
            <w:noWrap w:val="0"/>
            <w:vAlign w:val="center"/>
          </w:tcPr>
          <w:p w14:paraId="30CB7B95">
            <w:pPr>
              <w:spacing w:after="0"/>
              <w:jc w:val="both"/>
              <w:rPr>
                <w:rFonts w:hint="default" w:ascii="Arial" w:hAnsi="Arial" w:eastAsia="Times New Roman" w:cs="Arial"/>
                <w:bCs/>
                <w:color w:val="000000"/>
                <w:sz w:val="22"/>
                <w:szCs w:val="22"/>
                <w:lang w:eastAsia="pt-BR"/>
              </w:rPr>
            </w:pPr>
            <w:r>
              <w:rPr>
                <w:rFonts w:hint="default" w:ascii="Arial" w:hAnsi="Arial" w:eastAsia="Times New Roman" w:cs="Arial"/>
                <w:bCs/>
                <w:color w:val="000000"/>
                <w:sz w:val="22"/>
                <w:szCs w:val="22"/>
                <w:lang w:eastAsia="pt-BR"/>
              </w:rPr>
              <w:t>Serviços de Instalação e Configuração com fornecimento de licenças de softwares para a supervisão ambiental, dimensionado para atender o sistema de racks com 160Us, Ar Condicionado de 28kW e UPS de 30kW, conforme especificação técnica.</w:t>
            </w:r>
          </w:p>
        </w:tc>
        <w:tc>
          <w:tcPr>
            <w:tcW w:w="708" w:type="dxa"/>
            <w:shd w:val="clear" w:color="000000" w:fill="auto"/>
            <w:noWrap w:val="0"/>
            <w:vAlign w:val="center"/>
          </w:tcPr>
          <w:p w14:paraId="2D9708C1">
            <w:pPr>
              <w:spacing w:after="0"/>
              <w:jc w:val="center"/>
              <w:rPr>
                <w:rFonts w:hint="default" w:ascii="Arial" w:hAnsi="Arial" w:eastAsia="Times New Roman" w:cs="Arial"/>
                <w:bCs/>
                <w:color w:val="000000"/>
                <w:sz w:val="22"/>
                <w:szCs w:val="22"/>
                <w:lang w:eastAsia="pt-BR"/>
              </w:rPr>
            </w:pPr>
            <w:r>
              <w:rPr>
                <w:rFonts w:hint="default" w:ascii="Arial" w:hAnsi="Arial" w:eastAsia="Times New Roman" w:cs="Arial"/>
                <w:bCs/>
                <w:color w:val="000000"/>
                <w:sz w:val="22"/>
                <w:szCs w:val="22"/>
                <w:lang w:eastAsia="pt-BR"/>
              </w:rPr>
              <w:t>2</w:t>
            </w:r>
          </w:p>
        </w:tc>
      </w:tr>
    </w:tbl>
    <w:p w14:paraId="3CB399C0">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jc w:val="both"/>
        <w:textAlignment w:val="auto"/>
        <w:rPr>
          <w:rFonts w:hint="default" w:ascii="Arial" w:hAnsi="Arial" w:cs="Arial"/>
          <w:color w:val="000000"/>
          <w:sz w:val="22"/>
          <w:szCs w:val="22"/>
          <w:highlight w:val="green"/>
        </w:rPr>
      </w:pPr>
    </w:p>
    <w:p w14:paraId="42999232">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jc w:val="both"/>
        <w:textAlignment w:val="auto"/>
        <w:rPr>
          <w:rFonts w:hint="default" w:ascii="Arial" w:hAnsi="Arial" w:cs="Arial"/>
          <w:color w:val="000000"/>
          <w:sz w:val="22"/>
          <w:szCs w:val="22"/>
          <w:highlight w:val="green"/>
        </w:rPr>
      </w:pPr>
    </w:p>
    <w:p w14:paraId="539BAA2B">
      <w:pPr>
        <w:spacing w:line="360" w:lineRule="auto"/>
        <w:jc w:val="both"/>
        <w:rPr>
          <w:rFonts w:hint="default" w:ascii="Arial" w:hAnsi="Arial" w:eastAsia="Verdana" w:cs="Arial"/>
          <w:sz w:val="22"/>
          <w:szCs w:val="22"/>
          <w:lang w:val="pt-BR"/>
        </w:rPr>
      </w:pPr>
    </w:p>
    <w:p w14:paraId="27F63C40">
      <w:pPr>
        <w:spacing w:line="360" w:lineRule="auto"/>
        <w:jc w:val="both"/>
        <w:rPr>
          <w:rFonts w:hint="default" w:ascii="Arial" w:hAnsi="Arial" w:eastAsia="Verdana" w:cs="Arial"/>
          <w:sz w:val="22"/>
          <w:szCs w:val="22"/>
          <w:lang w:val="pt-BR"/>
        </w:rPr>
      </w:pPr>
    </w:p>
    <w:p w14:paraId="053EAA70">
      <w:pPr>
        <w:spacing w:line="360" w:lineRule="auto"/>
        <w:jc w:val="both"/>
        <w:rPr>
          <w:rFonts w:hint="default" w:ascii="Arial" w:hAnsi="Arial" w:eastAsia="Verdana" w:cs="Arial"/>
          <w:sz w:val="22"/>
          <w:szCs w:val="22"/>
          <w:lang w:val="pt-BR"/>
        </w:rPr>
      </w:pPr>
    </w:p>
    <w:p w14:paraId="3F32520F">
      <w:pPr>
        <w:pStyle w:val="155"/>
        <w:numPr>
          <w:ilvl w:val="0"/>
          <w:numId w:val="0"/>
        </w:numPr>
        <w:spacing w:before="1" w:line="360" w:lineRule="auto"/>
        <w:ind w:left="1800" w:leftChars="0"/>
        <w:jc w:val="both"/>
        <w:rPr>
          <w:rFonts w:hint="default" w:ascii="Arial" w:hAnsi="Arial" w:cs="Arial"/>
          <w:b/>
          <w:sz w:val="22"/>
          <w:szCs w:val="22"/>
          <w:highlight w:val="none"/>
          <w:lang w:val="pt-BR"/>
        </w:rPr>
      </w:pPr>
      <w:r>
        <w:rPr>
          <w:rFonts w:hint="default" w:ascii="Arial" w:hAnsi="Arial" w:cs="Arial"/>
          <w:b/>
          <w:sz w:val="22"/>
          <w:szCs w:val="22"/>
          <w:lang w:val="pt-BR"/>
        </w:rPr>
        <w:t>REQU</w:t>
      </w:r>
    </w:p>
    <w:p w14:paraId="585DBF65">
      <w:pPr>
        <w:pStyle w:val="155"/>
        <w:spacing w:before="1" w:line="360" w:lineRule="auto"/>
        <w:ind w:left="0" w:leftChars="0" w:firstLine="0" w:firstLineChars="0"/>
        <w:jc w:val="both"/>
        <w:rPr>
          <w:rFonts w:hint="default" w:ascii="Arial" w:hAnsi="Arial" w:cs="Arial"/>
          <w:b/>
          <w:sz w:val="22"/>
          <w:szCs w:val="22"/>
          <w:highlight w:val="none"/>
          <w:lang w:val="pt-BR"/>
        </w:rPr>
      </w:pPr>
    </w:p>
    <w:p w14:paraId="53BE8C77">
      <w:pPr>
        <w:pStyle w:val="155"/>
        <w:numPr>
          <w:ilvl w:val="0"/>
          <w:numId w:val="17"/>
        </w:numPr>
        <w:spacing w:before="1" w:line="360" w:lineRule="auto"/>
        <w:ind w:left="1800" w:leftChars="0" w:firstLine="0" w:firstLineChars="0"/>
        <w:jc w:val="both"/>
        <w:rPr>
          <w:rFonts w:hint="default" w:ascii="Arial" w:hAnsi="Arial" w:cs="Arial"/>
          <w:b/>
          <w:bCs w:val="0"/>
          <w:sz w:val="22"/>
          <w:szCs w:val="22"/>
          <w:highlight w:val="none"/>
          <w:lang w:val="pt-BR"/>
        </w:rPr>
      </w:pPr>
      <w:r>
        <w:rPr>
          <w:rFonts w:hint="default" w:ascii="Arial" w:hAnsi="Arial" w:cs="Arial"/>
          <w:b/>
          <w:bCs w:val="0"/>
          <w:sz w:val="22"/>
          <w:szCs w:val="22"/>
          <w:lang w:val="pt-BR"/>
        </w:rPr>
        <w:t>REQUISITOS DO OBJETO DA CONTRATAÇÃO</w:t>
      </w:r>
    </w:p>
    <w:p w14:paraId="155F25C0">
      <w:pPr>
        <w:pStyle w:val="155"/>
        <w:numPr>
          <w:ilvl w:val="0"/>
          <w:numId w:val="0"/>
        </w:numPr>
        <w:spacing w:before="1" w:line="360" w:lineRule="auto"/>
        <w:ind w:left="1800" w:leftChars="0"/>
        <w:jc w:val="both"/>
        <w:rPr>
          <w:rFonts w:hint="default" w:ascii="Arial" w:hAnsi="Arial" w:cs="Arial"/>
          <w:b/>
          <w:bCs w:val="0"/>
          <w:sz w:val="22"/>
          <w:szCs w:val="22"/>
          <w:highlight w:val="none"/>
          <w:lang w:val="pt-BR"/>
        </w:rPr>
      </w:pPr>
    </w:p>
    <w:p w14:paraId="7109F3F8">
      <w:pPr>
        <w:pStyle w:val="155"/>
        <w:spacing w:before="1" w:line="360" w:lineRule="auto"/>
        <w:ind w:left="0" w:leftChars="0" w:firstLine="0" w:firstLineChars="0"/>
        <w:jc w:val="both"/>
        <w:rPr>
          <w:rFonts w:hint="default" w:ascii="Arial" w:hAnsi="Arial" w:cs="Arial"/>
          <w:b/>
          <w:spacing w:val="-2"/>
          <w:sz w:val="22"/>
          <w:szCs w:val="22"/>
          <w:highlight w:val="none"/>
          <w:lang w:val="pt-BR"/>
        </w:rPr>
      </w:pPr>
      <w:r>
        <w:rPr>
          <w:rFonts w:hint="default" w:ascii="Arial" w:hAnsi="Arial" w:cs="Arial"/>
          <w:b/>
          <w:sz w:val="22"/>
          <w:szCs w:val="22"/>
          <w:highlight w:val="none"/>
          <w:lang w:val="pt-BR"/>
        </w:rPr>
        <w:t>5</w:t>
      </w:r>
      <w:r>
        <w:rPr>
          <w:rFonts w:hint="default" w:ascii="Arial" w:hAnsi="Arial" w:cs="Arial"/>
          <w:b/>
          <w:sz w:val="22"/>
          <w:szCs w:val="22"/>
          <w:highlight w:val="none"/>
        </w:rPr>
        <w:t>.</w:t>
      </w:r>
      <w:r>
        <w:rPr>
          <w:rFonts w:hint="default" w:ascii="Arial" w:hAnsi="Arial" w:cs="Arial"/>
          <w:b/>
          <w:sz w:val="22"/>
          <w:szCs w:val="22"/>
          <w:highlight w:val="none"/>
          <w:lang w:val="pt-BR"/>
        </w:rPr>
        <w:t xml:space="preserve"> </w:t>
      </w:r>
      <w:r>
        <w:rPr>
          <w:rFonts w:hint="default" w:ascii="Arial" w:hAnsi="Arial" w:cs="Arial"/>
          <w:b/>
          <w:color w:val="auto"/>
          <w:sz w:val="22"/>
          <w:szCs w:val="22"/>
          <w:highlight w:val="none"/>
        </w:rPr>
        <w:t>Natureza</w:t>
      </w:r>
      <w:r>
        <w:rPr>
          <w:rFonts w:hint="default" w:ascii="Arial" w:hAnsi="Arial" w:cs="Arial"/>
          <w:b/>
          <w:color w:val="auto"/>
          <w:spacing w:val="-2"/>
          <w:sz w:val="22"/>
          <w:szCs w:val="22"/>
          <w:highlight w:val="none"/>
        </w:rPr>
        <w:t xml:space="preserve"> </w:t>
      </w:r>
      <w:r>
        <w:rPr>
          <w:rFonts w:hint="default" w:ascii="Arial" w:hAnsi="Arial" w:cs="Arial"/>
          <w:b/>
          <w:color w:val="auto"/>
          <w:sz w:val="22"/>
          <w:szCs w:val="22"/>
          <w:highlight w:val="none"/>
        </w:rPr>
        <w:t>do</w:t>
      </w:r>
      <w:r>
        <w:rPr>
          <w:rFonts w:hint="default" w:ascii="Arial" w:hAnsi="Arial" w:cs="Arial"/>
          <w:b/>
          <w:color w:val="auto"/>
          <w:spacing w:val="-1"/>
          <w:sz w:val="22"/>
          <w:szCs w:val="22"/>
          <w:highlight w:val="none"/>
        </w:rPr>
        <w:t xml:space="preserve"> </w:t>
      </w:r>
      <w:r>
        <w:rPr>
          <w:rFonts w:hint="default" w:ascii="Arial" w:hAnsi="Arial" w:cs="Arial"/>
          <w:b/>
          <w:color w:val="auto"/>
          <w:spacing w:val="-2"/>
          <w:sz w:val="22"/>
          <w:szCs w:val="22"/>
          <w:highlight w:val="none"/>
        </w:rPr>
        <w:t>Objeto:</w:t>
      </w:r>
      <w:r>
        <w:rPr>
          <w:rFonts w:hint="default" w:ascii="Arial" w:hAnsi="Arial" w:cs="Arial"/>
          <w:b/>
          <w:color w:val="auto"/>
          <w:spacing w:val="-2"/>
          <w:sz w:val="22"/>
          <w:szCs w:val="22"/>
          <w:highlight w:val="none"/>
          <w:lang w:val="pt-BR"/>
        </w:rPr>
        <w:t xml:space="preserve"> </w:t>
      </w:r>
    </w:p>
    <w:p w14:paraId="685FAE2A">
      <w:pPr>
        <w:pStyle w:val="155"/>
        <w:spacing w:before="1" w:line="360" w:lineRule="auto"/>
        <w:ind w:left="0" w:leftChars="0" w:firstLine="0" w:firstLineChars="0"/>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O objeto a ser contratado se enquadra na categoria de bens e serviços comuns, conforme definição do art. 6º da Lei 14.133/2021, por possuir padrões de desempenho e qualidade que podem ser objetivamente definidos pelo edital, por meio de especificações usuais de mercado.</w:t>
      </w:r>
    </w:p>
    <w:p w14:paraId="622EE2FF">
      <w:pPr>
        <w:pStyle w:val="155"/>
        <w:spacing w:before="1" w:line="360" w:lineRule="auto"/>
        <w:ind w:left="0" w:leftChars="0" w:firstLine="0" w:firstLineChars="0"/>
        <w:jc w:val="both"/>
        <w:rPr>
          <w:rFonts w:hint="default" w:ascii="Arial" w:hAnsi="Arial" w:cs="Arial"/>
          <w:b w:val="0"/>
          <w:bCs/>
          <w:color w:val="000000" w:themeColor="text1"/>
          <w:sz w:val="22"/>
          <w:szCs w:val="22"/>
          <w:highlight w:val="none"/>
          <w:lang w:val="pt-BR"/>
          <w14:textFill>
            <w14:solidFill>
              <w14:schemeClr w14:val="tx1"/>
            </w14:solidFill>
          </w14:textFill>
        </w:rPr>
      </w:pPr>
    </w:p>
    <w:p w14:paraId="6F73976D">
      <w:pPr>
        <w:pStyle w:val="155"/>
        <w:spacing w:before="1" w:line="360" w:lineRule="auto"/>
        <w:ind w:left="0" w:leftChars="0" w:firstLine="0" w:firstLineChars="0"/>
        <w:jc w:val="both"/>
        <w:rPr>
          <w:rFonts w:hint="default" w:ascii="Arial" w:hAnsi="Arial" w:cs="Arial"/>
          <w:b/>
          <w:bCs/>
          <w:sz w:val="22"/>
          <w:szCs w:val="22"/>
        </w:rPr>
      </w:pPr>
      <w:r>
        <w:rPr>
          <w:rFonts w:hint="default" w:ascii="Arial" w:hAnsi="Arial" w:cs="Arial"/>
          <w:b/>
          <w:bCs/>
          <w:sz w:val="22"/>
          <w:szCs w:val="22"/>
        </w:rPr>
        <w:t xml:space="preserve">ESPECIFICAÇÕES TÉCNICAS E DE SERVIÇOS </w:t>
      </w:r>
    </w:p>
    <w:p w14:paraId="6EA9D2C5">
      <w:pPr>
        <w:pStyle w:val="155"/>
        <w:spacing w:before="1" w:line="360" w:lineRule="auto"/>
        <w:ind w:left="0" w:leftChars="0" w:firstLine="0" w:firstLineChars="0"/>
        <w:jc w:val="both"/>
        <w:rPr>
          <w:rFonts w:hint="default" w:ascii="Arial" w:hAnsi="Arial" w:cs="Arial"/>
          <w:b/>
          <w:bCs/>
          <w:sz w:val="22"/>
          <w:szCs w:val="22"/>
          <w:lang w:val="pt-BR"/>
        </w:rPr>
      </w:pPr>
    </w:p>
    <w:p w14:paraId="1798CAB9">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0" w:firstLine="1436" w:firstLineChars="650"/>
        <w:jc w:val="both"/>
        <w:textAlignment w:val="auto"/>
        <w:rPr>
          <w:rFonts w:hint="default" w:ascii="Arial" w:hAnsi="Arial" w:cs="Arial"/>
          <w:sz w:val="22"/>
          <w:szCs w:val="22"/>
        </w:rPr>
      </w:pPr>
      <w:r>
        <w:rPr>
          <w:rFonts w:hint="default" w:ascii="Arial" w:hAnsi="Arial" w:cs="Arial"/>
          <w:b/>
          <w:bCs/>
          <w:sz w:val="22"/>
          <w:szCs w:val="22"/>
        </w:rPr>
        <w:t>SERVIÇOS DE ESTUDOS TÉCNICOS:</w:t>
      </w:r>
    </w:p>
    <w:p w14:paraId="408210A9">
      <w:pPr>
        <w:pStyle w:val="165"/>
        <w:pageBreakBefore w:val="0"/>
        <w:widowControl/>
        <w:numPr>
          <w:ilvl w:val="1"/>
          <w:numId w:val="17"/>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O Estudo Técnico Elétrico e Mecânico (térmico) deverá ser elaborado por engenheiro especializado e deverá verificar a viabilidade, criticidade e confiabilidade das atuais instalações para execução dos serviços e instalação dos equipamentos indicados neste Termo de Referência.</w:t>
      </w:r>
    </w:p>
    <w:p w14:paraId="5F2FF253">
      <w:pPr>
        <w:pStyle w:val="165"/>
        <w:pageBreakBefore w:val="0"/>
        <w:widowControl/>
        <w:numPr>
          <w:ilvl w:val="2"/>
          <w:numId w:val="17"/>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O Estudo Técnico Lógico deverá ser elaborado por técnico especializado e deverá verificar a viabilidade, criticidade e confiabilidade das atuais instalações para execução dos serviços e instalação dos equipamentos indicados neste Termo de Referência.</w:t>
      </w:r>
    </w:p>
    <w:p w14:paraId="4C155496">
      <w:pPr>
        <w:pStyle w:val="165"/>
        <w:pageBreakBefore w:val="0"/>
        <w:widowControl/>
        <w:numPr>
          <w:ilvl w:val="2"/>
          <w:numId w:val="17"/>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 xml:space="preserve">A PREFEITURA disponibilizará espaço físico externo nas suas edificações, que deverão sofrer adequações por parte da CONTRATADA, sob sua total responsabilidade, para recepcionar o novo Centro de Processamento de Dados (CPD) da PREFEITURA em conformidade com os estudos técnicos térmico, elétrico e lógico para garantir o recepcionamento das cargas de TI conforme disponibilidade elétrica, térmica, lógica atuais e futuras do Centro de Processamento de Dados (CPD). </w:t>
      </w:r>
    </w:p>
    <w:p w14:paraId="5B9106E8">
      <w:pPr>
        <w:pStyle w:val="165"/>
        <w:pageBreakBefore w:val="0"/>
        <w:widowControl/>
        <w:numPr>
          <w:ilvl w:val="2"/>
          <w:numId w:val="17"/>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 xml:space="preserve">O local terá dimensões com área externa de 60 m² para o ambiente outdoor, para base de fixação, a ser melhor definido ao final do estudo técnico preliminar. </w:t>
      </w:r>
    </w:p>
    <w:p w14:paraId="7253BDEB">
      <w:pPr>
        <w:pStyle w:val="165"/>
        <w:pageBreakBefore w:val="0"/>
        <w:widowControl/>
        <w:numPr>
          <w:ilvl w:val="2"/>
          <w:numId w:val="17"/>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As localidades de destinação do CPD da PREFEITURA necessitam de um estudo técnico preliminar elétrico, térmico e lógico onde será indicado a melhor localização para recepcionar a infraestrutura de tecnologia da informação, descrevendo as vantagens e desvantagens para cada local.</w:t>
      </w:r>
    </w:p>
    <w:p w14:paraId="701A0F60">
      <w:pPr>
        <w:pStyle w:val="165"/>
        <w:pageBreakBefore w:val="0"/>
        <w:widowControl/>
        <w:numPr>
          <w:ilvl w:val="2"/>
          <w:numId w:val="17"/>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Todas as documentações, memoriais de cálculo, medição e demais artefatos para os Estudos Técnicos deverão ser entregues para a CONTRATANTE, que se reserva o direito de revisar, e se for o caso, rejeitar e solicitar novas documentações, memoriais de cálculo, medição ou quaisquer outros artefatos que julgar necessário;</w:t>
      </w:r>
    </w:p>
    <w:p w14:paraId="16DCF053">
      <w:pPr>
        <w:pStyle w:val="165"/>
        <w:pageBreakBefore w:val="0"/>
        <w:widowControl/>
        <w:numPr>
          <w:ilvl w:val="2"/>
          <w:numId w:val="17"/>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Caso a CONTRATANTE comprove que os documentos ou cálculos contêm vícios e que o parecer técnico, após solicitação de revisão,</w:t>
      </w:r>
      <w:r>
        <w:rPr>
          <w:rFonts w:hint="default" w:ascii="Arial" w:hAnsi="Arial" w:cs="Arial"/>
          <w:sz w:val="22"/>
          <w:szCs w:val="22"/>
          <w:highlight w:val="none"/>
        </w:rPr>
        <w:t xml:space="preserve"> no prazo de 15 (quinze) dias </w:t>
      </w:r>
      <w:r>
        <w:rPr>
          <w:rFonts w:hint="default" w:ascii="Arial" w:hAnsi="Arial" w:cs="Arial"/>
          <w:sz w:val="22"/>
          <w:szCs w:val="22"/>
        </w:rPr>
        <w:t>úteis não condiz com a realidade dos fatos, a CONTRATADA estará sujeita as sanções cabíveis.</w:t>
      </w:r>
    </w:p>
    <w:p w14:paraId="002F08D1">
      <w:pPr>
        <w:pStyle w:val="165"/>
        <w:pageBreakBefore w:val="0"/>
        <w:widowControl/>
        <w:numPr>
          <w:ilvl w:val="2"/>
          <w:numId w:val="17"/>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Caso algum dos Estudos Técnicos realizados por engenheiro especializado, constate que o serviço não poderá ser realizado nos locais indicados pela PREFEITURA, e consecutiva emissão de um parecer negativo, a CONTRATANTE efetuará o pagamento desses serviços de medição, cálculo e emissão de parecer à CONTRATADA e os demais serviços e aquisições não serão efetuados, sem qualquer ônus adicional à CONTRATANTE;</w:t>
      </w:r>
    </w:p>
    <w:p w14:paraId="72EB0D49">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b/>
          <w:bCs/>
          <w:sz w:val="22"/>
          <w:szCs w:val="22"/>
        </w:rPr>
      </w:pPr>
      <w:r>
        <w:rPr>
          <w:rFonts w:hint="default" w:ascii="Arial" w:hAnsi="Arial" w:cs="Arial"/>
          <w:b/>
          <w:bCs/>
          <w:sz w:val="22"/>
          <w:szCs w:val="22"/>
          <w:lang w:val="pt-BR"/>
        </w:rPr>
        <w:t>5.1.8.</w:t>
      </w:r>
      <w:r>
        <w:rPr>
          <w:rFonts w:hint="default" w:ascii="Arial" w:hAnsi="Arial" w:cs="Arial"/>
          <w:b/>
          <w:bCs/>
          <w:sz w:val="22"/>
          <w:szCs w:val="22"/>
        </w:rPr>
        <w:t>ESPECIFICAÇÕES GERAIS</w:t>
      </w:r>
    </w:p>
    <w:p w14:paraId="7C0E77AF">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5.1.8.1.</w:t>
      </w:r>
      <w:r>
        <w:rPr>
          <w:rFonts w:hint="default" w:ascii="Arial" w:hAnsi="Arial" w:cs="Arial"/>
          <w:sz w:val="22"/>
          <w:szCs w:val="22"/>
          <w:lang w:val="pt-BR"/>
        </w:rPr>
        <w:t xml:space="preserve"> </w:t>
      </w:r>
      <w:r>
        <w:rPr>
          <w:rFonts w:hint="default" w:ascii="Arial" w:hAnsi="Arial" w:cs="Arial"/>
          <w:sz w:val="22"/>
          <w:szCs w:val="22"/>
        </w:rPr>
        <w:t>Esta especificação descreve os serviços e equipamentos a serem instalados no Centro de Processamento de Dados da PREFEITURA, constituído por gabinetes específicos e padronizados que permitirão a acomodação dos equipamentos computacionais e de telecomunicação, de todos os componentes elétricos, subsistema de refrigeração de precisão, supervisão e controle dos equipamentos e demais subsistemas do um Centro de Processamento de Dados.</w:t>
      </w:r>
    </w:p>
    <w:p w14:paraId="3581C4B3">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5.1.8.2 </w:t>
      </w:r>
      <w:r>
        <w:rPr>
          <w:rFonts w:hint="default" w:ascii="Arial" w:hAnsi="Arial" w:cs="Arial"/>
          <w:sz w:val="22"/>
          <w:szCs w:val="22"/>
        </w:rPr>
        <w:t>A CONTRATADA deverá emitir Anotação de Responsabilidade Técnica – ART ou RRT, após a assinatura do contrato, junto ao CREA ou CAU para todo o projeto de implantação do Centro de Processamento de Dados.</w:t>
      </w:r>
    </w:p>
    <w:p w14:paraId="4680BE67">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5.1.8.3.</w:t>
      </w:r>
      <w:r>
        <w:rPr>
          <w:rFonts w:hint="default" w:ascii="Arial" w:hAnsi="Arial" w:cs="Arial"/>
          <w:sz w:val="22"/>
          <w:szCs w:val="22"/>
          <w:lang w:val="pt-BR"/>
        </w:rPr>
        <w:t xml:space="preserve"> </w:t>
      </w:r>
      <w:r>
        <w:rPr>
          <w:rFonts w:hint="default" w:ascii="Arial" w:hAnsi="Arial" w:cs="Arial"/>
          <w:sz w:val="22"/>
          <w:szCs w:val="22"/>
        </w:rPr>
        <w:t>Todo o ambiente - incluindo racks, paredes, portas, janelas e entradas e dutos e cabos – deve seguir recomendações de vedação para contenção da mistura de ar quente e frio de acordo com especificação do fabricante, se preocupando com a contenção dos escapes do fluído de combate e supressão à incêndio;</w:t>
      </w:r>
    </w:p>
    <w:p w14:paraId="59C7DD33">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5.1.8.4.</w:t>
      </w:r>
      <w:r>
        <w:rPr>
          <w:rFonts w:hint="default" w:ascii="Arial" w:hAnsi="Arial" w:cs="Arial"/>
          <w:sz w:val="22"/>
          <w:szCs w:val="22"/>
          <w:lang w:val="pt-BR"/>
        </w:rPr>
        <w:t xml:space="preserve"> </w:t>
      </w:r>
      <w:r>
        <w:rPr>
          <w:rFonts w:hint="default" w:ascii="Arial" w:hAnsi="Arial" w:cs="Arial"/>
          <w:sz w:val="22"/>
          <w:szCs w:val="22"/>
        </w:rPr>
        <w:t>A automação do CPD deve ser uma solução única que servirá a produção dos equipamentos de TI da PREFEITURA, a qual deverá integrar por softwares os seguintes equipamentos:</w:t>
      </w:r>
    </w:p>
    <w:p w14:paraId="0C9AAB4F">
      <w:pPr>
        <w:pStyle w:val="165"/>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lang w:val="pt-BR"/>
        </w:rPr>
        <w:t>5.1.8.4.1.</w:t>
      </w:r>
      <w:r>
        <w:rPr>
          <w:rFonts w:hint="default" w:ascii="Arial" w:hAnsi="Arial" w:cs="Arial"/>
          <w:sz w:val="22"/>
          <w:szCs w:val="22"/>
          <w:lang w:val="pt-BR"/>
        </w:rPr>
        <w:t xml:space="preserve"> </w:t>
      </w:r>
      <w:r>
        <w:rPr>
          <w:rFonts w:hint="default" w:ascii="Arial" w:hAnsi="Arial" w:cs="Arial"/>
          <w:sz w:val="22"/>
          <w:szCs w:val="22"/>
        </w:rPr>
        <w:t>Nobreak e suas respectivas baterias, combinados com quadro de distribuição de energia, condutores e proteções elétricas necessárias, PDUs (Power Distribution Units) em design de racks integrados e padronizados;</w:t>
      </w:r>
    </w:p>
    <w:p w14:paraId="4FC0D292">
      <w:pPr>
        <w:pStyle w:val="165"/>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lang w:val="pt-BR"/>
        </w:rPr>
        <w:t xml:space="preserve">5.1.8.4.2. </w:t>
      </w:r>
      <w:r>
        <w:rPr>
          <w:rFonts w:hint="default" w:ascii="Arial" w:hAnsi="Arial" w:cs="Arial"/>
          <w:sz w:val="22"/>
          <w:szCs w:val="22"/>
        </w:rPr>
        <w:t>Refrigeração de Precisão em linha, com a respectiva instalação em design de racks integrados e padronizados, para controle de temperatura e humidade;</w:t>
      </w:r>
    </w:p>
    <w:p w14:paraId="47501709">
      <w:pPr>
        <w:pStyle w:val="165"/>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lang w:val="pt-BR"/>
        </w:rPr>
        <w:t>5.1.8.4.3.</w:t>
      </w:r>
      <w:r>
        <w:rPr>
          <w:rFonts w:hint="default" w:ascii="Arial" w:hAnsi="Arial" w:cs="Arial"/>
          <w:sz w:val="22"/>
          <w:szCs w:val="22"/>
          <w:lang w:val="pt-BR"/>
        </w:rPr>
        <w:t xml:space="preserve"> </w:t>
      </w:r>
      <w:r>
        <w:rPr>
          <w:rFonts w:hint="default" w:ascii="Arial" w:hAnsi="Arial" w:cs="Arial"/>
          <w:sz w:val="22"/>
          <w:szCs w:val="22"/>
        </w:rPr>
        <w:t>Gabinetes (racks padronizados) com seus respectivos acessórios para enclausuramento do corredor quente e acomodação dos equipamentos das salas de equipamentos de T.I.;</w:t>
      </w:r>
    </w:p>
    <w:p w14:paraId="660CA90D">
      <w:pPr>
        <w:pStyle w:val="165"/>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lang w:val="pt-BR"/>
        </w:rPr>
        <w:t>5.1.8.4.4.</w:t>
      </w:r>
      <w:r>
        <w:rPr>
          <w:rFonts w:hint="default" w:ascii="Arial" w:hAnsi="Arial" w:cs="Arial"/>
          <w:sz w:val="22"/>
          <w:szCs w:val="22"/>
          <w:lang w:val="pt-BR"/>
        </w:rPr>
        <w:t xml:space="preserve"> </w:t>
      </w:r>
      <w:r>
        <w:rPr>
          <w:rFonts w:hint="default" w:ascii="Arial" w:hAnsi="Arial" w:cs="Arial"/>
          <w:sz w:val="22"/>
          <w:szCs w:val="22"/>
        </w:rPr>
        <w:t>Acessórios e componentes para os sistemas de automação de prevenção e combate a incêndio do ambiente confinado;</w:t>
      </w:r>
    </w:p>
    <w:p w14:paraId="72254457">
      <w:pPr>
        <w:pStyle w:val="165"/>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lang w:val="pt-BR"/>
        </w:rPr>
        <w:t>5.1.8.4.5.</w:t>
      </w:r>
      <w:r>
        <w:rPr>
          <w:rFonts w:hint="default" w:ascii="Arial" w:hAnsi="Arial" w:cs="Arial"/>
          <w:sz w:val="22"/>
          <w:szCs w:val="22"/>
          <w:lang w:val="pt-BR"/>
        </w:rPr>
        <w:t xml:space="preserve"> </w:t>
      </w:r>
      <w:r>
        <w:rPr>
          <w:rFonts w:hint="default" w:ascii="Arial" w:hAnsi="Arial" w:cs="Arial"/>
          <w:sz w:val="22"/>
          <w:szCs w:val="22"/>
        </w:rPr>
        <w:t>Acessórios e componentes para o monitoramento ambiental deste subsistema e segurança física da sala.</w:t>
      </w:r>
    </w:p>
    <w:p w14:paraId="3C341351">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5.1.8.5.</w:t>
      </w:r>
      <w:r>
        <w:rPr>
          <w:rFonts w:hint="default" w:ascii="Arial" w:hAnsi="Arial" w:cs="Arial"/>
          <w:sz w:val="22"/>
          <w:szCs w:val="22"/>
          <w:lang w:val="pt-BR"/>
        </w:rPr>
        <w:t xml:space="preserve"> </w:t>
      </w:r>
      <w:r>
        <w:rPr>
          <w:rFonts w:hint="default" w:ascii="Arial" w:hAnsi="Arial" w:cs="Arial"/>
          <w:sz w:val="22"/>
          <w:szCs w:val="22"/>
        </w:rPr>
        <w:t>Todos os racks devem ter altura máxima de 2 (dois) metros com espaço interno disponível de 42U, compatível com os racks de T.I. para comportar grupo de baterias, by-pass, evaporadores em linha e equipamentos de telecomunicação e de computação. Espaço interno disponível padrão rack de 19''. Profundidade máxima de 120 (cento e vinte) centímetros e largura máxima de 75 (setenta e cinco) centímetros. Essas dimensões não devem ser consideradas para os quadros elétricos.</w:t>
      </w:r>
    </w:p>
    <w:p w14:paraId="667BD974">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5.1.8.6.</w:t>
      </w:r>
      <w:r>
        <w:rPr>
          <w:rFonts w:hint="default" w:ascii="Arial" w:hAnsi="Arial" w:cs="Arial"/>
          <w:sz w:val="22"/>
          <w:szCs w:val="22"/>
          <w:lang w:val="pt-BR"/>
        </w:rPr>
        <w:t xml:space="preserve"> </w:t>
      </w:r>
      <w:r>
        <w:rPr>
          <w:rFonts w:hint="default" w:ascii="Arial" w:hAnsi="Arial" w:cs="Arial"/>
          <w:sz w:val="22"/>
          <w:szCs w:val="22"/>
        </w:rPr>
        <w:t>Os equipamentos não poderão constar, no momento da apresentação da proposta comercial, em listas de End-of-Support (“Fim-de-Suporte”), End-of-Sales (“Fim-de-Vendas”) ou End-of-Life (“Fim-de-Vida”) do fabricante;</w:t>
      </w:r>
    </w:p>
    <w:p w14:paraId="331CD23E">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5.1.8.7.</w:t>
      </w:r>
      <w:r>
        <w:rPr>
          <w:rFonts w:hint="default" w:ascii="Arial" w:hAnsi="Arial" w:cs="Arial"/>
          <w:sz w:val="22"/>
          <w:szCs w:val="22"/>
          <w:lang w:val="pt-BR"/>
        </w:rPr>
        <w:t xml:space="preserve"> </w:t>
      </w:r>
      <w:r>
        <w:rPr>
          <w:rFonts w:hint="default" w:ascii="Arial" w:hAnsi="Arial" w:cs="Arial"/>
          <w:sz w:val="22"/>
          <w:szCs w:val="22"/>
        </w:rPr>
        <w:t>Todos os materiais e serviços para as instalações elétricas entre o QGBT (Quadro Geral de Distribuição Elétrica de Baixa Tensão) e o Centro de Processamento de Dados, incluindo condutores, cabos, dispositivos de proteção, calhas, dutos, adequações físicas, organização e identificação etc. serão fornecidos e realizados pela CONTRATADA seguindo as normas ABNT-NBR 5419:2005 e ABNT-NBR 5410:2008.</w:t>
      </w:r>
    </w:p>
    <w:p w14:paraId="5AD78A6C">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5.1.8.8.</w:t>
      </w:r>
      <w:r>
        <w:rPr>
          <w:rFonts w:hint="default" w:ascii="Arial" w:hAnsi="Arial" w:cs="Arial"/>
          <w:sz w:val="22"/>
          <w:szCs w:val="22"/>
          <w:lang w:val="pt-BR"/>
        </w:rPr>
        <w:t xml:space="preserve"> </w:t>
      </w:r>
      <w:r>
        <w:rPr>
          <w:rFonts w:hint="default" w:ascii="Arial" w:hAnsi="Arial" w:cs="Arial"/>
          <w:sz w:val="22"/>
          <w:szCs w:val="22"/>
        </w:rPr>
        <w:t>As plantas com encaminhamentos das tubulações/calhas de infraestrutura e cabeamento necessário, bem como indicação das câmeras, sensores, racks e demais componentes do conjunto devem ser entregue à CONTRATANTE ao final do serviço de confecção do projeto executivo.</w:t>
      </w:r>
    </w:p>
    <w:p w14:paraId="5C6226D5">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5.1.8.9.</w:t>
      </w:r>
      <w:r>
        <w:rPr>
          <w:rFonts w:hint="default" w:ascii="Arial" w:hAnsi="Arial" w:cs="Arial"/>
          <w:sz w:val="22"/>
          <w:szCs w:val="22"/>
          <w:lang w:val="pt-BR"/>
        </w:rPr>
        <w:t xml:space="preserve"> </w:t>
      </w:r>
      <w:r>
        <w:rPr>
          <w:rFonts w:hint="default" w:ascii="Arial" w:hAnsi="Arial" w:cs="Arial"/>
          <w:sz w:val="22"/>
          <w:szCs w:val="22"/>
        </w:rPr>
        <w:t>Antes da execução dos serviços, o projeto executivo deverá passar pela aprovação da Gerência de Infraestrutura e Informática da PREFEITURA, que poderá consultar outras unidades da Casa a fim de solicitar reparo de vícios ou esclarecimentos.</w:t>
      </w:r>
    </w:p>
    <w:p w14:paraId="632734AC">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5.1.8.10.</w:t>
      </w:r>
      <w:r>
        <w:rPr>
          <w:rFonts w:hint="default" w:ascii="Arial" w:hAnsi="Arial" w:cs="Arial"/>
          <w:sz w:val="22"/>
          <w:szCs w:val="22"/>
          <w:lang w:val="pt-BR"/>
        </w:rPr>
        <w:t xml:space="preserve"> </w:t>
      </w:r>
      <w:r>
        <w:rPr>
          <w:rFonts w:hint="default" w:ascii="Arial" w:hAnsi="Arial" w:cs="Arial"/>
          <w:sz w:val="22"/>
          <w:szCs w:val="22"/>
        </w:rPr>
        <w:t>As documentações para execução dos serviços deverão vir com detalhes em escalas adequadas de instalação do sistema com representação gráfica dos equipamentos necessários ao perfeito entendimento dos sistemas e execução dos serviços.</w:t>
      </w:r>
    </w:p>
    <w:p w14:paraId="75EC5232">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5.1.8.11.</w:t>
      </w:r>
      <w:r>
        <w:rPr>
          <w:rFonts w:hint="default" w:ascii="Arial" w:hAnsi="Arial" w:cs="Arial"/>
          <w:sz w:val="22"/>
          <w:szCs w:val="22"/>
          <w:lang w:val="pt-BR"/>
        </w:rPr>
        <w:t xml:space="preserve"> </w:t>
      </w:r>
      <w:r>
        <w:rPr>
          <w:rFonts w:hint="default" w:ascii="Arial" w:hAnsi="Arial" w:cs="Arial"/>
          <w:sz w:val="22"/>
          <w:szCs w:val="22"/>
        </w:rPr>
        <w:t>No projeto executivo deverá ser entregue um memorial descritivo detalhado, contendo: descrição de cada subsistema e dos materiais a serem utilizados, e suas características e quantitativos, e formas de execução desses serviços.</w:t>
      </w:r>
    </w:p>
    <w:p w14:paraId="06BFAFB2">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5.1.8.12. </w:t>
      </w:r>
      <w:r>
        <w:rPr>
          <w:rFonts w:hint="default" w:ascii="Arial" w:hAnsi="Arial" w:cs="Arial"/>
          <w:sz w:val="22"/>
          <w:szCs w:val="22"/>
        </w:rPr>
        <w:t>Qualquer necessidade de alteração no Projeto Arquitetônico de Infraestrutura deverá ser previamente comunicada à CONTRATANTE para a perfeita compatibilização junto aos setores competentes na PREFEITURA.</w:t>
      </w:r>
    </w:p>
    <w:p w14:paraId="07AAA6BF">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5.1.8.13. </w:t>
      </w:r>
      <w:r>
        <w:rPr>
          <w:rFonts w:hint="default" w:ascii="Arial" w:hAnsi="Arial" w:cs="Arial"/>
          <w:sz w:val="22"/>
          <w:szCs w:val="22"/>
        </w:rPr>
        <w:t>Uma cópia plotada e uma cópia em meio digital (CD) de cada documentação, em extensão dwg, doc e pdf, de todo o projeto deve ser entregue ao final da execução.</w:t>
      </w:r>
    </w:p>
    <w:p w14:paraId="7EF819BC">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5.1.8.14.</w:t>
      </w:r>
      <w:r>
        <w:rPr>
          <w:rFonts w:hint="default" w:ascii="Arial" w:hAnsi="Arial" w:cs="Arial"/>
          <w:sz w:val="22"/>
          <w:szCs w:val="22"/>
          <w:lang w:val="pt-BR"/>
        </w:rPr>
        <w:t xml:space="preserve"> </w:t>
      </w:r>
      <w:r>
        <w:rPr>
          <w:rFonts w:hint="default" w:ascii="Arial" w:hAnsi="Arial" w:cs="Arial"/>
          <w:sz w:val="22"/>
          <w:szCs w:val="22"/>
        </w:rPr>
        <w:t>O projeto final do tipo as-built deverá conter também as vias do CONTRATANTE, da Anotação de Responsabilidade Técnica – ART ou RRT do Projeto, devidamente quitada junto ao CREA ou CAU.</w:t>
      </w:r>
    </w:p>
    <w:p w14:paraId="3DBDABD3">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5.1.8.15.</w:t>
      </w:r>
      <w:r>
        <w:rPr>
          <w:rFonts w:hint="default" w:ascii="Arial" w:hAnsi="Arial" w:cs="Arial"/>
          <w:sz w:val="22"/>
          <w:szCs w:val="22"/>
          <w:lang w:val="pt-BR"/>
        </w:rPr>
        <w:t xml:space="preserve"> </w:t>
      </w:r>
      <w:r>
        <w:rPr>
          <w:rFonts w:hint="default" w:ascii="Arial" w:hAnsi="Arial" w:cs="Arial"/>
          <w:sz w:val="22"/>
          <w:szCs w:val="22"/>
        </w:rPr>
        <w:t>O projeto final deve conter um descritivo global de todos os serviços e insumos para manutenção dos dispositivos elétrico-eletrônicos, mecânicos e lógicos relacionados a esta contratação, de modo a manter as condições de funcionamento após a implantação.</w:t>
      </w:r>
    </w:p>
    <w:p w14:paraId="4196524A">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5.1.8.16.</w:t>
      </w:r>
      <w:r>
        <w:rPr>
          <w:rFonts w:hint="default" w:ascii="Arial" w:hAnsi="Arial" w:cs="Arial"/>
          <w:sz w:val="22"/>
          <w:szCs w:val="22"/>
          <w:lang w:val="pt-BR"/>
        </w:rPr>
        <w:t xml:space="preserve"> </w:t>
      </w:r>
      <w:r>
        <w:rPr>
          <w:rFonts w:hint="default" w:ascii="Arial" w:hAnsi="Arial" w:cs="Arial"/>
          <w:sz w:val="22"/>
          <w:szCs w:val="22"/>
        </w:rPr>
        <w:t>Os serviços e materiais rejeitados pela fiscalização da CONTRATANTE, por não estarem de acordo com este Termo de Referência ou não classificado como de primeira qualidade, deverão ser refeitos corretamente e com antecedência necessária para não prejudicar o andamento cronológico da instalação, arcando a CONTRATADA com o ônus do fato.</w:t>
      </w:r>
    </w:p>
    <w:p w14:paraId="3ACF0C52">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5.1.8.17.</w:t>
      </w:r>
      <w:r>
        <w:rPr>
          <w:rFonts w:hint="default" w:ascii="Arial" w:hAnsi="Arial" w:cs="Arial"/>
          <w:sz w:val="22"/>
          <w:szCs w:val="22"/>
          <w:lang w:val="pt-BR"/>
        </w:rPr>
        <w:t xml:space="preserve"> </w:t>
      </w:r>
      <w:r>
        <w:rPr>
          <w:rFonts w:hint="default" w:ascii="Arial" w:hAnsi="Arial" w:cs="Arial"/>
          <w:sz w:val="22"/>
          <w:szCs w:val="22"/>
        </w:rPr>
        <w:t>Todas as despesas relativas à execução do objeto, tais como: mão-de-obra, materiais, equipamentos, ferramentas, fretes, transportes horizontais e verticais, impostos, taxas, emolumentos, leis sociais, etc., bem como providências quanto à legalização do mesmo perante os órgãos públicos correrão por conta da CONTRATADA.</w:t>
      </w:r>
    </w:p>
    <w:p w14:paraId="0F30413C">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5.1.8.18.</w:t>
      </w:r>
      <w:r>
        <w:rPr>
          <w:rFonts w:hint="default" w:ascii="Arial" w:hAnsi="Arial" w:cs="Arial"/>
          <w:sz w:val="22"/>
          <w:szCs w:val="22"/>
          <w:lang w:val="pt-BR"/>
        </w:rPr>
        <w:t xml:space="preserve"> </w:t>
      </w:r>
      <w:r>
        <w:rPr>
          <w:rFonts w:hint="default" w:ascii="Arial" w:hAnsi="Arial" w:cs="Arial"/>
          <w:sz w:val="22"/>
          <w:szCs w:val="22"/>
        </w:rPr>
        <w:t>A CONTRATANTE, a seu exclusivo critério, poderá aceitar soluções técnicas diversas das especificadas neste Termo de Referência, por meio de comprovantes técnicos apresentados pela empresa licitante, que comprove equivalência ou superioridade das soluções ofertadas em relação às exigidas. Se julgar necessário, a CONTRATANTE poderá inclusive solicitar da empresa licitante a comprovação desses itens em laboratório e/ou instalações existentes.</w:t>
      </w:r>
    </w:p>
    <w:p w14:paraId="0069DD1F">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p>
    <w:p w14:paraId="4192EDE9">
      <w:pPr>
        <w:pStyle w:val="166"/>
        <w:pageBreakBefore w:val="0"/>
        <w:widowControl/>
        <w:kinsoku/>
        <w:wordWrap/>
        <w:overflowPunct/>
        <w:topLinePunct w:val="0"/>
        <w:autoSpaceDE/>
        <w:autoSpaceDN/>
        <w:bidi w:val="0"/>
        <w:adjustRightInd/>
        <w:snapToGrid/>
        <w:spacing w:before="0" w:line="360" w:lineRule="auto"/>
        <w:ind w:left="0" w:firstLine="0" w:firstLineChars="0"/>
        <w:jc w:val="both"/>
        <w:textAlignment w:val="auto"/>
        <w:rPr>
          <w:rFonts w:hint="default" w:ascii="Arial" w:hAnsi="Arial" w:cs="Arial"/>
          <w:sz w:val="22"/>
          <w:szCs w:val="22"/>
        </w:rPr>
      </w:pPr>
      <w:r>
        <w:rPr>
          <w:rFonts w:hint="default" w:ascii="Arial" w:hAnsi="Arial" w:cs="Arial"/>
          <w:b/>
          <w:bCs/>
          <w:sz w:val="22"/>
          <w:szCs w:val="22"/>
        </w:rPr>
        <w:t>ESPECIFICAÇÕES TÉCNICAS DOS MATERIAIS E PRODUTOS</w:t>
      </w:r>
    </w:p>
    <w:p w14:paraId="1F37561E">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b/>
          <w:bCs/>
          <w:sz w:val="22"/>
          <w:szCs w:val="22"/>
        </w:rPr>
      </w:pPr>
      <w:r>
        <w:rPr>
          <w:rFonts w:hint="default" w:ascii="Arial" w:hAnsi="Arial" w:cs="Arial"/>
          <w:b/>
          <w:bCs/>
          <w:sz w:val="22"/>
          <w:szCs w:val="22"/>
          <w:lang w:val="pt-BR"/>
        </w:rPr>
        <w:t>5.1.9.</w:t>
      </w:r>
      <w:r>
        <w:rPr>
          <w:rFonts w:hint="default" w:ascii="Arial" w:hAnsi="Arial" w:cs="Arial"/>
          <w:sz w:val="22"/>
          <w:szCs w:val="22"/>
          <w:lang w:val="pt-BR"/>
        </w:rPr>
        <w:t xml:space="preserve"> </w:t>
      </w:r>
      <w:r>
        <w:rPr>
          <w:rFonts w:hint="default" w:ascii="Arial" w:hAnsi="Arial" w:cs="Arial"/>
          <w:b/>
          <w:bCs/>
          <w:sz w:val="22"/>
          <w:szCs w:val="22"/>
        </w:rPr>
        <w:t>Recipientes Pré-fabricados de 20 pés</w:t>
      </w:r>
    </w:p>
    <w:p w14:paraId="09B96390">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5.1.9.1.</w:t>
      </w:r>
      <w:r>
        <w:rPr>
          <w:rFonts w:hint="default" w:ascii="Arial" w:hAnsi="Arial" w:cs="Arial"/>
          <w:sz w:val="22"/>
          <w:szCs w:val="22"/>
          <w:lang w:val="pt-BR"/>
        </w:rPr>
        <w:t xml:space="preserve"> </w:t>
      </w:r>
      <w:r>
        <w:rPr>
          <w:rFonts w:hint="default" w:ascii="Arial" w:hAnsi="Arial" w:cs="Arial"/>
          <w:sz w:val="22"/>
          <w:szCs w:val="22"/>
        </w:rPr>
        <w:t>Estrutura de Armazenamento e Movimentação: Rígida estanque, montada através de vigas e colunas de aço padronizada de alta resistência, formando um monobloco de 20 pés, devendo sustentar, por si só, todo peso do módulo, mesmo lotado de carga máxima, permitindo que seja içado e transportado sem risco de comprometimento da estrutura e da integridade de seus componentes; Modular e Configurável; Elevada Segurança; mudança; Resistência ao fogo CF 60;</w:t>
      </w:r>
    </w:p>
    <w:p w14:paraId="02B1BE86">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5.1.9.2. </w:t>
      </w:r>
      <w:r>
        <w:rPr>
          <w:rFonts w:hint="default" w:ascii="Arial" w:hAnsi="Arial" w:cs="Arial"/>
          <w:sz w:val="22"/>
          <w:szCs w:val="22"/>
        </w:rPr>
        <w:t>Toda a estrutura de aço e seus componentes, processos de montagem e controle de qualidade devem ser executados em conformidade com os processos e normas IEC e/ou EM e/ou ISO e/ou DIN ou normas reconhecidas nacionalmente ou internacionalmente que apresentam equivalência.</w:t>
      </w:r>
    </w:p>
    <w:p w14:paraId="4C5FD078">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5.1.9.3.</w:t>
      </w:r>
      <w:r>
        <w:rPr>
          <w:rFonts w:hint="default" w:ascii="Arial" w:hAnsi="Arial" w:cs="Arial"/>
          <w:sz w:val="22"/>
          <w:szCs w:val="22"/>
          <w:lang w:val="pt-BR"/>
        </w:rPr>
        <w:t xml:space="preserve"> </w:t>
      </w:r>
      <w:r>
        <w:rPr>
          <w:rFonts w:hint="default" w:ascii="Arial" w:hAnsi="Arial" w:cs="Arial"/>
          <w:sz w:val="22"/>
          <w:szCs w:val="22"/>
        </w:rPr>
        <w:t>Permitir que seja utilizada para o armazenamento e movimentação segura, eficiente e protegida, de materiais e produtos dentro de um sistema global de transporte intermodal de mercadorias. "Intermodal" significa que a estrutura pode ser movida de um modo de transporte para outro, sem a necessidade de descarregar e recarregar o seu conteúdo interno. As dimensões dessa estrutura no seu interior (espaço livre), com cada um tendo uma marcação norma ISO 6346 ou normas equivalente nacional e/ou internacional, será de no mínimo 6,096 m de comprimento, altura de no mínimo 2,896 m e largura de no mínimo 2,425 m.</w:t>
      </w:r>
    </w:p>
    <w:p w14:paraId="23B2DA70">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5.1.9.4.</w:t>
      </w:r>
      <w:r>
        <w:rPr>
          <w:rFonts w:hint="default" w:ascii="Arial" w:hAnsi="Arial" w:cs="Arial"/>
          <w:sz w:val="22"/>
          <w:szCs w:val="22"/>
          <w:lang w:val="pt-BR"/>
        </w:rPr>
        <w:t xml:space="preserve"> </w:t>
      </w:r>
      <w:r>
        <w:rPr>
          <w:rFonts w:hint="default" w:ascii="Arial" w:hAnsi="Arial" w:cs="Arial"/>
          <w:sz w:val="22"/>
          <w:szCs w:val="22"/>
        </w:rPr>
        <w:t>Ser novo e construído em fábrica. Não será aceito containers marítimos usados ou remanufaturados.</w:t>
      </w:r>
    </w:p>
    <w:p w14:paraId="679C480C">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5.1.9.5.</w:t>
      </w:r>
      <w:r>
        <w:rPr>
          <w:rFonts w:hint="default" w:ascii="Arial" w:hAnsi="Arial" w:cs="Arial"/>
          <w:sz w:val="22"/>
          <w:szCs w:val="22"/>
          <w:lang w:val="pt-BR"/>
        </w:rPr>
        <w:t xml:space="preserve"> </w:t>
      </w:r>
      <w:r>
        <w:rPr>
          <w:rFonts w:hint="default" w:ascii="Arial" w:hAnsi="Arial" w:cs="Arial"/>
          <w:sz w:val="22"/>
          <w:szCs w:val="22"/>
        </w:rPr>
        <w:t>Isolamento Térmico - Painéis Corta Fogo: Painel de lã de rocha de no mínimo resistência ao fogo por 90(noventa) minutos, proteção térmica e acústica de alto desempenho; Painéis Instalados nas paredes e teto compostos por um “sanduíche” de materiais com resistência ao fogo e isolamento térmico com o objetivo de resistir a altas temperaturas e fornecer um gabinete estanque. O “sanduíche” deve ser coberto por uma camada de chapa de aço galvanizado (0,6 mm), unindo painel a painel por meio de solda contínua; Reutilizáveis, permitindo que uma extensão ou movimentação da sala seja uma tarefa limpa (sem poeira ou obras de construção civil que possam atrasar o trabalho, etc), simples e rápida, evitando a produção de novos gabinetes.</w:t>
      </w:r>
    </w:p>
    <w:p w14:paraId="68A8B863">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5.1.9.6.</w:t>
      </w:r>
      <w:r>
        <w:rPr>
          <w:rFonts w:hint="default" w:ascii="Arial" w:hAnsi="Arial" w:cs="Arial"/>
          <w:sz w:val="22"/>
          <w:szCs w:val="22"/>
          <w:lang w:val="pt-BR"/>
        </w:rPr>
        <w:t xml:space="preserve"> </w:t>
      </w:r>
      <w:r>
        <w:rPr>
          <w:rFonts w:hint="default" w:ascii="Arial" w:hAnsi="Arial" w:cs="Arial"/>
          <w:sz w:val="22"/>
          <w:szCs w:val="22"/>
        </w:rPr>
        <w:t>Características Gerais - Distribuição de Cabos: O cabeamento para energia e dados deverá ser distribuído no interior do recepiente pré-fabricado, utilizando bandejas rígidas e flexíveis; Presas às paredes e aos painéis do teto, as bandejas de cabos suportam os esforços em uma determinada faixa de resistência a incêndios e condutividade elétrica; A solução para essa aplicação deverá ser flexível de forma a permitir a movimentação dos racks.</w:t>
      </w:r>
    </w:p>
    <w:p w14:paraId="5CF784E8">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5.1.9.7.</w:t>
      </w:r>
      <w:r>
        <w:rPr>
          <w:rFonts w:hint="default" w:ascii="Arial" w:hAnsi="Arial" w:cs="Arial"/>
          <w:sz w:val="22"/>
          <w:szCs w:val="22"/>
          <w:lang w:val="pt-BR"/>
        </w:rPr>
        <w:t xml:space="preserve"> </w:t>
      </w:r>
      <w:r>
        <w:rPr>
          <w:rFonts w:hint="default" w:ascii="Arial" w:hAnsi="Arial" w:cs="Arial"/>
          <w:sz w:val="22"/>
          <w:szCs w:val="22"/>
        </w:rPr>
        <w:t>Bandejas de Cabos: Todos os cabos de energia e dados deverão ser fixados em leitos especiais para cabos, adequados para essa finalidade; Deverão ser posicionadas conforme o layout geral dos racks, com a distância ampla entre os cabos de energia e os de dados, suficiente para evitar interferências magnéticas entre eles; Deverão ser instaladas conforme as normas UNE-EN 61537 e DIN 4102-12 ou equivalente nacional e/ou internacional para que o sistema resista a incêndios durante 60 minutos; Deverão ser compatíveis com a norma UNE-EN 60243 ou equivalente nacional e/ou internacional, relativa às medidas de segurança elétrica exigidas, com a garantia de não permitir descargas elétricas, riscos de incêndio ou qualquer perigo associado ao sistema; Deverão ser submetidas ao tratamento por galvanização bicromatizada, nos termos das normas UNE 112-050 e ISO 4520 relativas à proteção contra corrosão ou equivalente nacional e/ou internacional.</w:t>
      </w:r>
    </w:p>
    <w:p w14:paraId="32E0B9A4">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5.1.9.8. </w:t>
      </w:r>
      <w:r>
        <w:rPr>
          <w:rFonts w:hint="default" w:ascii="Arial" w:hAnsi="Arial" w:cs="Arial"/>
          <w:sz w:val="22"/>
          <w:szCs w:val="22"/>
        </w:rPr>
        <w:t>Sistema de Membrana de Passagem de Cabos: Para a entrada de cabos e tubos ao interior do recipiente pré-fabricado, deverá ser necessário um sistema que inclua a proteção contra incêndios e entrada de água; O sistema de membrana para passagem de cabos (ou prensa cabos) deverá ser facilmente configurável para se adaptar à quantidade e às respectivas bitolas dos cabos que entram no recipiente, garantindo o isolamento e a proteção; Deverá ser um sistema expansível, permitindo futuras extensões da sala.</w:t>
      </w:r>
    </w:p>
    <w:p w14:paraId="6EB60B34">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5.1.9.9. </w:t>
      </w:r>
      <w:r>
        <w:rPr>
          <w:rFonts w:hint="default" w:ascii="Arial" w:hAnsi="Arial" w:cs="Arial"/>
          <w:sz w:val="22"/>
          <w:szCs w:val="22"/>
        </w:rPr>
        <w:t xml:space="preserve">Características - Sistema de Membrana de Passagem de Cabos: Os prensa cabos deverão ser compostos por estruturas de aço em módulos com diâmetros adequados, conforme as bitolas dos tubos e dos cabos utilizados; Deverão ser instalados nas estruturas internas das paredes do recipiente pré-fabricado, utilizando um quadro interno e um externo, ambos feitos em aço galvanizado; A vedação completa deverá ser feita com módulos adaptáveis e uma unidade de compressão; A tecnologia deverá oferecer soluções para multidiâmetros, com camadas removíveis para adaptação perfeita do cabo ou tubo. Quando utilizados com núcleo sólido, os módulos deverão funcionar como um módulo sobressalente para futura expansão; </w:t>
      </w:r>
    </w:p>
    <w:p w14:paraId="259E0DAB">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5.1.9.10.</w:t>
      </w:r>
      <w:r>
        <w:rPr>
          <w:rFonts w:hint="default" w:ascii="Arial" w:hAnsi="Arial" w:cs="Arial"/>
          <w:sz w:val="22"/>
          <w:szCs w:val="22"/>
          <w:lang w:val="pt-BR"/>
        </w:rPr>
        <w:t xml:space="preserve"> </w:t>
      </w:r>
      <w:r>
        <w:rPr>
          <w:rFonts w:hint="default" w:ascii="Arial" w:hAnsi="Arial" w:cs="Arial"/>
          <w:sz w:val="22"/>
          <w:szCs w:val="22"/>
        </w:rPr>
        <w:t>Os prensa-cabos, em conjunto com a estrutura completa (composta de paredes, bordas, juntas, portas e prensa-cabos) deverão assegurar a estabilidade térmica em caso de incêndio externo; Deverão permanecer sob níveis médios de temperatura e umidade, estabelecidos para incêndios por 60 minutos (temperatura máxima de 70º C e umidade relativa de 85%); Um teste comprovado com a documentação certificada necessária deverá ser fornecido por uma empresa internacional de certificação credenciada; Os prensa-cabos, em conjunto com o compartimento, deverão assegurar uma proteção de 20 dB contra campos eletromagnéticos externos ou ambiente, nos termos da norma européia EN 61000-4-3 ou normas equivalentes nacional e/ou internacional; Os prensa-cabos, em conjunto com o compartimento, deverão assegurar o isolamento mínimo de 31 dB, em um intervalo entre 100 Hz e 4 kHz; Emanação de gás e isolamento térmico: sob condições de teste, de acordo com as curvas de incêndio, a porta e toda o recipiente pré-fabricado deverão permanecer estanques à água durante 60 minutos e nenhum gás deve ser detectado no interior. Um teste comprovado com a documentação certificada necessária deverá ser fornecido por uma empresa nacional ou internacional de certificação credenciada.</w:t>
      </w:r>
    </w:p>
    <w:p w14:paraId="0E68FD0C">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5.1.9.11. </w:t>
      </w:r>
      <w:r>
        <w:rPr>
          <w:rFonts w:hint="default" w:ascii="Arial" w:hAnsi="Arial" w:cs="Arial"/>
          <w:sz w:val="22"/>
          <w:szCs w:val="22"/>
        </w:rPr>
        <w:t>Estabilidade mecânica: a porta, juntamente com o recepiente pré-fabricado deverão estar em condições ótimas de estabilidade mecânica durante 60 minutos, exigidos sob condições de teste de acordo com as curvas de incêndio. Um teste comprovado com a documentação certificada necessária deverá ser fornecido por uma empresa nacional ou internacional de certificação credenciada.</w:t>
      </w:r>
    </w:p>
    <w:p w14:paraId="633692FA">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5.1.9.12.</w:t>
      </w:r>
      <w:r>
        <w:rPr>
          <w:rFonts w:hint="default" w:ascii="Arial" w:hAnsi="Arial" w:cs="Arial"/>
          <w:sz w:val="22"/>
          <w:szCs w:val="22"/>
          <w:lang w:val="pt-BR"/>
        </w:rPr>
        <w:t xml:space="preserve"> </w:t>
      </w:r>
      <w:r>
        <w:rPr>
          <w:rFonts w:hint="default" w:ascii="Arial" w:hAnsi="Arial" w:cs="Arial"/>
          <w:sz w:val="22"/>
          <w:szCs w:val="22"/>
        </w:rPr>
        <w:t>Características Gerais - Sistema de Pintura: As cores e os projetos gráficos deverão seguir a cor padrão branca (RAL 9010); Grau de preparo da superfície da estrutura deverá seguir a norma 8501-1 (UNE-EN ISO 8501-1) ou normas equivalentes nacional e/ou internacional; Deverá conter a logomarca do órgão, conforme modelo a ser apresentado.</w:t>
      </w:r>
    </w:p>
    <w:p w14:paraId="2F488B24">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5.1.9.13. </w:t>
      </w:r>
      <w:r>
        <w:rPr>
          <w:rFonts w:hint="default" w:ascii="Arial" w:hAnsi="Arial" w:cs="Arial"/>
          <w:sz w:val="22"/>
          <w:szCs w:val="22"/>
        </w:rPr>
        <w:t>Características Revestimento - Sistema de Pintura: Deverá ser espesso de epóxi bicomponente de poliamida e teor de alta solidez de maneira a formar uma camada rígida e duradoura, com excelentes propriedades de umidificação e cura a baixas temperaturas ou Esmalte brilhante de poliuretano, com base composta de dois componentes de isocianato alifático, com excelente retenção de cor e brilho. Grupo classificado: j), conforme a Diretiva 2004/42/EC. Esmalte brilhante de alta qualidade para ambientes altamente agressivos.</w:t>
      </w:r>
    </w:p>
    <w:p w14:paraId="3B0E8657">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5.1.9.14. </w:t>
      </w:r>
      <w:r>
        <w:rPr>
          <w:rFonts w:hint="default" w:ascii="Arial" w:hAnsi="Arial" w:cs="Arial"/>
          <w:sz w:val="22"/>
          <w:szCs w:val="22"/>
        </w:rPr>
        <w:t>Características Gerais - Iluminação Interna: Os componentes de iluminação em LED deverá utilizar equipamentos de baixa temperatura com o potencial de reduzir significativamente as cargas de HVAC; O sistema de iluminação para corredores deverá possuir média de 80 Lux. O consumo deverá ser menor de 0,78 W/m².</w:t>
      </w:r>
    </w:p>
    <w:p w14:paraId="2C20F85B">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5.1.9.15.</w:t>
      </w:r>
      <w:r>
        <w:rPr>
          <w:rFonts w:hint="default" w:ascii="Arial" w:hAnsi="Arial" w:cs="Arial"/>
          <w:sz w:val="22"/>
          <w:szCs w:val="22"/>
          <w:lang w:val="pt-BR"/>
        </w:rPr>
        <w:t xml:space="preserve"> </w:t>
      </w:r>
      <w:r>
        <w:rPr>
          <w:rFonts w:hint="default" w:ascii="Arial" w:hAnsi="Arial" w:cs="Arial"/>
          <w:sz w:val="22"/>
          <w:szCs w:val="22"/>
        </w:rPr>
        <w:t>Válvulas de Sobrepressão: A válvula de sobrepressão deverá ser utilizada para reduzir qualquer sobrepressão no interior do recepiente pré-fabricado em função da ativação do sistema de extinção de incêndio ou quando os pontos de acesso, como as portas estejam abertas ou fechadas; O sistema deverá possuir um amortecedor de sobrepressão com aletas de alumínio que será aberta ou fechada automaticamente com base na pressão do interior do recepiente pré-fabricado; Este sistema deverá proteger contra danos estruturais nas paredes, teto, ou portas caso ocorra uma situação de sobrepressão súbitas ou intensas; A válvula de sobrepressão deverá ser um sistema de abertura / fechamento automático que é ativado dependendo das variações de pressão que ocorram dentro do recepiente pré-fabricado; e Deverá ser fabricado com aletas de alumínio e um frame em "U" de aço galvanizado.</w:t>
      </w:r>
    </w:p>
    <w:p w14:paraId="5FC85D6B">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5.1.9.16.</w:t>
      </w:r>
      <w:r>
        <w:rPr>
          <w:rFonts w:hint="default" w:ascii="Arial" w:hAnsi="Arial" w:cs="Arial"/>
          <w:sz w:val="22"/>
          <w:szCs w:val="22"/>
          <w:lang w:val="pt-BR"/>
        </w:rPr>
        <w:t xml:space="preserve"> </w:t>
      </w:r>
      <w:r>
        <w:rPr>
          <w:rFonts w:hint="default" w:ascii="Arial" w:hAnsi="Arial" w:cs="Arial"/>
          <w:sz w:val="22"/>
          <w:szCs w:val="22"/>
        </w:rPr>
        <w:t>especificações do dispositivo das Válvulas de Sobrepressão: Deverá cumprir a norma DIN-4102  ou normas equivalentes nacional e/ou internacional, proporcionando resistência ao fogo de 90 minutos; Todos os materiais instalados não deverão ser inflamáveis; Todos os materiais instalados deverão ser fabricados em conformidade com a norma ISO 1182 ou normas equivalentes nacional e/ou internacional; Todos os dampers de incêndio devem ser projetados de acordo com TIA 942 ou normas equivalentes nacional e/ou internacional.</w:t>
      </w:r>
    </w:p>
    <w:p w14:paraId="38AF232C">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b/>
          <w:bCs/>
          <w:sz w:val="22"/>
          <w:szCs w:val="22"/>
        </w:rPr>
      </w:pPr>
      <w:r>
        <w:rPr>
          <w:rFonts w:hint="default" w:ascii="Arial" w:hAnsi="Arial" w:cs="Arial"/>
          <w:b/>
          <w:bCs/>
          <w:sz w:val="22"/>
          <w:szCs w:val="22"/>
          <w:lang w:val="pt-BR"/>
        </w:rPr>
        <w:t xml:space="preserve">5.1.10. </w:t>
      </w:r>
      <w:r>
        <w:rPr>
          <w:rFonts w:hint="default" w:ascii="Arial" w:hAnsi="Arial" w:cs="Arial"/>
          <w:b/>
          <w:bCs/>
          <w:sz w:val="22"/>
          <w:szCs w:val="22"/>
        </w:rPr>
        <w:t>Nobreak (UPS) com potência e grupo de baterias:</w:t>
      </w:r>
    </w:p>
    <w:p w14:paraId="4107EDD4">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5.1.10.1.</w:t>
      </w:r>
      <w:r>
        <w:rPr>
          <w:rFonts w:hint="default" w:ascii="Arial" w:hAnsi="Arial" w:cs="Arial"/>
          <w:sz w:val="22"/>
          <w:szCs w:val="22"/>
          <w:lang w:val="pt-BR"/>
        </w:rPr>
        <w:t xml:space="preserve"> </w:t>
      </w:r>
      <w:r>
        <w:rPr>
          <w:rFonts w:hint="default" w:ascii="Arial" w:hAnsi="Arial" w:cs="Arial"/>
          <w:sz w:val="22"/>
          <w:szCs w:val="22"/>
        </w:rPr>
        <w:t>O conjunto de Nobreak deve alimentar carga elétrica estabilizada com saída senoidal pura para no mínimo 30 kW de potência, trabalhando em paralelismo por redundância na topologia N +1;</w:t>
      </w:r>
    </w:p>
    <w:p w14:paraId="0B9D95B6">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5.1.10.2.</w:t>
      </w:r>
      <w:r>
        <w:rPr>
          <w:rFonts w:hint="default" w:ascii="Arial" w:hAnsi="Arial" w:cs="Arial"/>
          <w:sz w:val="22"/>
          <w:szCs w:val="22"/>
          <w:lang w:val="pt-BR"/>
        </w:rPr>
        <w:t xml:space="preserve"> </w:t>
      </w:r>
      <w:r>
        <w:rPr>
          <w:rFonts w:hint="default" w:ascii="Arial" w:hAnsi="Arial" w:cs="Arial"/>
          <w:sz w:val="22"/>
          <w:szCs w:val="22"/>
        </w:rPr>
        <w:t>Chave estática centralizada com no mínimo 40 kW da potência nominal total dos Nobreak.</w:t>
      </w:r>
    </w:p>
    <w:p w14:paraId="058893C6">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5.1.10.3.</w:t>
      </w:r>
      <w:r>
        <w:rPr>
          <w:rFonts w:hint="default" w:ascii="Arial" w:hAnsi="Arial" w:cs="Arial"/>
          <w:sz w:val="22"/>
          <w:szCs w:val="22"/>
          <w:lang w:val="pt-BR"/>
        </w:rPr>
        <w:t xml:space="preserve"> </w:t>
      </w:r>
      <w:r>
        <w:rPr>
          <w:rFonts w:hint="default" w:ascii="Arial" w:hAnsi="Arial" w:cs="Arial"/>
          <w:sz w:val="22"/>
          <w:szCs w:val="22"/>
        </w:rPr>
        <w:t>Distorção harmônica (THD) com 100% de carga resistiva &lt; 3%; Eficiência de 95% para cargas acima de 50% da potência nominal (em watts); Suporte aos módulos de potência UPS com conexão de bypass manual/automático com 5 fios, sendo 3F (fases) + 1N (neutro) + 1T (terra); Tensão nominal de entrada e saída trifásica 3FF (fase-fase) em 220/208 Volts.</w:t>
      </w:r>
    </w:p>
    <w:p w14:paraId="07984AC6">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5.1.10.4.</w:t>
      </w:r>
      <w:r>
        <w:rPr>
          <w:rFonts w:hint="default" w:ascii="Arial" w:hAnsi="Arial" w:cs="Arial"/>
          <w:sz w:val="22"/>
          <w:szCs w:val="22"/>
          <w:lang w:val="pt-BR"/>
        </w:rPr>
        <w:t xml:space="preserve"> </w:t>
      </w:r>
      <w:r>
        <w:rPr>
          <w:rFonts w:hint="default" w:ascii="Arial" w:hAnsi="Arial" w:cs="Arial"/>
          <w:sz w:val="22"/>
          <w:szCs w:val="22"/>
        </w:rPr>
        <w:t xml:space="preserve">Bateria do tipo V.R.L.A (Valve Regulated Lead Acid) - chumbo ácida selada e regulada por válvula, utilizada como armazenador de energia, livre de manutenção, a prova de vazamento, e própria para uso em equipamentos do tipo UPS (no-break), estacionária. Não será aceito equipamento com uso de bateria do tipo automotiva ou similar; </w:t>
      </w:r>
    </w:p>
    <w:p w14:paraId="3F60388A">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5.1.10.5. </w:t>
      </w:r>
      <w:r>
        <w:rPr>
          <w:rFonts w:hint="default" w:ascii="Arial" w:hAnsi="Arial" w:cs="Arial"/>
          <w:sz w:val="22"/>
          <w:szCs w:val="22"/>
        </w:rPr>
        <w:t xml:space="preserve">Autonomia de, no mínimo, 10 (dez) minutos para plena carga sugerida de, no mínimo, 30 kW, considerando as condições de temperatura 25˚C, tensão mínima de descarga por elemento em 1,65 Volts e recarga máxima de 12 horas (C12); </w:t>
      </w:r>
    </w:p>
    <w:p w14:paraId="4D628237">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5.1.10.6.</w:t>
      </w:r>
      <w:r>
        <w:rPr>
          <w:rFonts w:hint="default" w:ascii="Arial" w:hAnsi="Arial" w:cs="Arial"/>
          <w:sz w:val="22"/>
          <w:szCs w:val="22"/>
          <w:lang w:val="pt-BR"/>
        </w:rPr>
        <w:t xml:space="preserve"> </w:t>
      </w:r>
      <w:r>
        <w:rPr>
          <w:rFonts w:hint="default" w:ascii="Arial" w:hAnsi="Arial" w:cs="Arial"/>
          <w:sz w:val="22"/>
          <w:szCs w:val="22"/>
        </w:rPr>
        <w:t>Alimentação do equipamento com partida a frio, somente pelas baterias;</w:t>
      </w:r>
    </w:p>
    <w:p w14:paraId="277BAC3F">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5.1.10.7.</w:t>
      </w:r>
      <w:r>
        <w:rPr>
          <w:rFonts w:hint="default" w:ascii="Arial" w:hAnsi="Arial" w:cs="Arial"/>
          <w:sz w:val="22"/>
          <w:szCs w:val="22"/>
          <w:lang w:val="pt-BR"/>
        </w:rPr>
        <w:t xml:space="preserve"> </w:t>
      </w:r>
      <w:r>
        <w:rPr>
          <w:rFonts w:hint="default" w:ascii="Arial" w:hAnsi="Arial" w:cs="Arial"/>
          <w:sz w:val="22"/>
          <w:szCs w:val="22"/>
        </w:rPr>
        <w:t xml:space="preserve">Quadro de bypass completo de manutenção com chaves seccionadoras compatíveis à carga e de distribuição elétrica extraíveis para disjuntores monofásicos tripolares e trifásicos, garantindo a proteção e a manutenção da configuração de Layout para a sala presente neste Termo de Referência; </w:t>
      </w:r>
    </w:p>
    <w:p w14:paraId="2AD45115">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5.1.10.8.</w:t>
      </w:r>
      <w:r>
        <w:rPr>
          <w:rFonts w:hint="default" w:ascii="Arial" w:hAnsi="Arial" w:cs="Arial"/>
          <w:sz w:val="22"/>
          <w:szCs w:val="22"/>
          <w:lang w:val="pt-BR"/>
        </w:rPr>
        <w:t xml:space="preserve"> </w:t>
      </w:r>
      <w:r>
        <w:rPr>
          <w:rFonts w:hint="default" w:ascii="Arial" w:hAnsi="Arial" w:cs="Arial"/>
          <w:sz w:val="22"/>
          <w:szCs w:val="22"/>
        </w:rPr>
        <w:t xml:space="preserve">Módulo de distribuição de energia isolado composto de disjuntor; Monitoramento de energia do consumo e do uso da energia mediante o monitoramento de circuitos derivados, além da medição de saída; e Conexões de saída compatível com os cabos, fornecidos pela CONTRATADA, que serão conectados nos atuais equipamentos de TI da PREFEITURA e subsistemas do Centro de Processamento de Dados. </w:t>
      </w:r>
    </w:p>
    <w:p w14:paraId="41EE3B61">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b/>
          <w:bCs/>
          <w:sz w:val="22"/>
          <w:szCs w:val="22"/>
        </w:rPr>
      </w:pPr>
      <w:r>
        <w:rPr>
          <w:rFonts w:hint="default" w:ascii="Arial" w:hAnsi="Arial" w:cs="Arial"/>
          <w:b/>
          <w:bCs/>
          <w:sz w:val="22"/>
          <w:szCs w:val="22"/>
          <w:lang w:val="pt-BR"/>
        </w:rPr>
        <w:t xml:space="preserve">5.1.11. </w:t>
      </w:r>
      <w:r>
        <w:rPr>
          <w:rFonts w:hint="default" w:ascii="Arial" w:hAnsi="Arial" w:cs="Arial"/>
          <w:b/>
          <w:bCs/>
          <w:sz w:val="22"/>
          <w:szCs w:val="22"/>
        </w:rPr>
        <w:t>Módulo de Chaves de Transferência para Fonte Única (Acessório do Rack UPS)</w:t>
      </w:r>
    </w:p>
    <w:p w14:paraId="6FA6B07D">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5.1.11.1.</w:t>
      </w:r>
      <w:r>
        <w:rPr>
          <w:rFonts w:hint="default" w:ascii="Arial" w:hAnsi="Arial" w:cs="Arial"/>
          <w:sz w:val="22"/>
          <w:szCs w:val="22"/>
          <w:lang w:val="pt-BR"/>
        </w:rPr>
        <w:t xml:space="preserve"> </w:t>
      </w:r>
      <w:r>
        <w:rPr>
          <w:rFonts w:hint="default" w:ascii="Arial" w:hAnsi="Arial" w:cs="Arial"/>
          <w:sz w:val="22"/>
          <w:szCs w:val="22"/>
        </w:rPr>
        <w:t>Deve oferecer redundância de fontes de alimentação elétrica por Chave Automática de Transferência para as cargas que possuem um única Fonte de Potência; Tensão nominal de entrada e saída de 208 ~ 230 Volts, monofásica FN (fase-neutro); Frequência de entrada em 60 Hz; Tipo de conexão de saída compatível com os demais equipamentos; Proteção contra sobrecarga; Tipo de conexão de entrada com 02 (dois) terminais padrão IEC 320-C20; e Corrente de entrada máxima por fase: 16ª.</w:t>
      </w:r>
    </w:p>
    <w:p w14:paraId="36CE2C04">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5.1.11.2.</w:t>
      </w:r>
      <w:r>
        <w:rPr>
          <w:rFonts w:hint="default" w:ascii="Arial" w:hAnsi="Arial" w:cs="Arial"/>
          <w:sz w:val="22"/>
          <w:szCs w:val="22"/>
          <w:lang w:val="pt-BR"/>
        </w:rPr>
        <w:t xml:space="preserve"> </w:t>
      </w:r>
      <w:r>
        <w:rPr>
          <w:rFonts w:hint="default" w:ascii="Arial" w:hAnsi="Arial" w:cs="Arial"/>
          <w:sz w:val="22"/>
          <w:szCs w:val="22"/>
        </w:rPr>
        <w:t>Gerenciamento Inteligente: Funções de gerenciamento remoto com interface de rede via Web, SNMP e Telnet; e LED indicador com sinalização da fonte de energia operacional do momento (Fonte A ou B);</w:t>
      </w:r>
    </w:p>
    <w:p w14:paraId="1248DCAD">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5.1.11.3.</w:t>
      </w:r>
      <w:r>
        <w:rPr>
          <w:rFonts w:hint="default" w:ascii="Arial" w:hAnsi="Arial" w:cs="Arial"/>
          <w:sz w:val="22"/>
          <w:szCs w:val="22"/>
          <w:lang w:val="pt-BR"/>
        </w:rPr>
        <w:t xml:space="preserve"> </w:t>
      </w:r>
      <w:r>
        <w:rPr>
          <w:rFonts w:hint="default" w:ascii="Arial" w:hAnsi="Arial" w:cs="Arial"/>
          <w:sz w:val="22"/>
          <w:szCs w:val="22"/>
        </w:rPr>
        <w:t>Dispositivo com 1U de espaço com todas as peças necessárias para instalação horizontal em rack padrão 19'' (dezenove polegadas);</w:t>
      </w:r>
    </w:p>
    <w:p w14:paraId="6405524D">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5.1.11.4. </w:t>
      </w:r>
      <w:r>
        <w:rPr>
          <w:rFonts w:hint="default" w:ascii="Arial" w:hAnsi="Arial" w:cs="Arial"/>
          <w:sz w:val="22"/>
          <w:szCs w:val="22"/>
        </w:rPr>
        <w:t>Acompanha todos os cabos para ligação completa das Chaves de Transferência Automática com comprimento de, no mínimo: 2(dois) metros com conectores do tipo padrão IEC-309-C14 para a entrada e tipo de conector de saída padrão IEC-309-C13 com função de "travamento" integrado as ATS´s; Corrente de entrada e saída máxima por fase: 10A; Tensão nominal de saída monofásica em 230 Volts FNT (fase-neutro-terra);</w:t>
      </w:r>
    </w:p>
    <w:p w14:paraId="474110AC">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5.1.11.5. </w:t>
      </w:r>
      <w:r>
        <w:rPr>
          <w:rFonts w:hint="default" w:ascii="Arial" w:hAnsi="Arial" w:cs="Arial"/>
          <w:sz w:val="22"/>
          <w:szCs w:val="22"/>
        </w:rPr>
        <w:t xml:space="preserve">Acompanha todos os cabos para ligação completa das Chaves de Transferência Automática com comprimento de, no mínimo: 2,5 metros com conectores tipo padrão IEC-309-C20 e tipo de conector de saída padrão IEC-309-C19; Corrente de entrada e saída máxima por fase: 16A; Tensão nominal de saída monofásica em 230 Volts FNT (fase-neutro-terra); </w:t>
      </w:r>
    </w:p>
    <w:p w14:paraId="5861022A">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b/>
          <w:bCs/>
          <w:sz w:val="22"/>
          <w:szCs w:val="22"/>
        </w:rPr>
      </w:pPr>
      <w:r>
        <w:rPr>
          <w:rFonts w:hint="default" w:ascii="Arial" w:hAnsi="Arial" w:cs="Arial"/>
          <w:b/>
          <w:bCs/>
          <w:sz w:val="22"/>
          <w:szCs w:val="22"/>
          <w:lang w:val="pt-BR"/>
        </w:rPr>
        <w:t xml:space="preserve">5.1.12. </w:t>
      </w:r>
      <w:r>
        <w:rPr>
          <w:rFonts w:hint="default" w:ascii="Arial" w:hAnsi="Arial" w:cs="Arial"/>
          <w:b/>
          <w:bCs/>
          <w:sz w:val="22"/>
          <w:szCs w:val="22"/>
        </w:rPr>
        <w:t>Módulo de Distribuição Inteligente de Potência – RPDU – Réguas Elétricas Gerenciáveis</w:t>
      </w:r>
    </w:p>
    <w:p w14:paraId="2296BE96">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5.1.12.1.</w:t>
      </w:r>
      <w:r>
        <w:rPr>
          <w:rFonts w:hint="default" w:ascii="Arial" w:hAnsi="Arial" w:cs="Arial"/>
          <w:sz w:val="22"/>
          <w:szCs w:val="22"/>
          <w:lang w:val="pt-BR"/>
        </w:rPr>
        <w:t xml:space="preserve"> </w:t>
      </w:r>
      <w:r>
        <w:rPr>
          <w:rFonts w:hint="default" w:ascii="Arial" w:hAnsi="Arial" w:cs="Arial"/>
          <w:sz w:val="22"/>
          <w:szCs w:val="22"/>
        </w:rPr>
        <w:t xml:space="preserve">Régua Elétrica de Medição Gerenciável de Rack ZeroU, 32A; Tensão nominal de saída de 230 Volts, monofásica FN (fase-neutro); Consumo total máximo de corrente por fase: 32A; Consumo total máximo de potência: 5,7 kW; Tipo de conexão de saída com 36 (trinta e seis) terminais padrão IEC-320-C13 e 06 (seis) IEC-320-C19; Tensão nominal de entrada de 208 ~ 230 Volts, monofásica FN (fase-neutro); Frequência de entrada: 60 Hz; Proteção contra Sobrecarga; Tipo de conexão de entrada compatível com o Nobreak ofertado com comprimento do cabo de 3 metros e corrente de linha máxima por fase de 32A; Instalação vertical em rack padrão 19'' (dezenove polegadas) de 42 U. </w:t>
      </w:r>
    </w:p>
    <w:p w14:paraId="5AC5111A">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5.1.12.2.</w:t>
      </w:r>
      <w:r>
        <w:rPr>
          <w:rFonts w:hint="default" w:ascii="Arial" w:hAnsi="Arial" w:cs="Arial"/>
          <w:sz w:val="22"/>
          <w:szCs w:val="22"/>
          <w:lang w:val="pt-BR"/>
        </w:rPr>
        <w:t xml:space="preserve"> </w:t>
      </w:r>
      <w:r>
        <w:rPr>
          <w:rFonts w:hint="default" w:ascii="Arial" w:hAnsi="Arial" w:cs="Arial"/>
          <w:sz w:val="22"/>
          <w:szCs w:val="22"/>
        </w:rPr>
        <w:t>Funções de gerenciamento remoto com interface de rede via Web, SNMP e Telnet; Monitor digital para monitoramento local da corrente, demanda total de corrente por unidade de distribuição de energia com sobrecarga dos circuitos e aviso visual; LED indicador de carga e sobrecarga e alerta com base em limites de alarme; Suporte a portas/interface para instalação de sensores de temperatura e umidade.</w:t>
      </w:r>
    </w:p>
    <w:p w14:paraId="3BC0D93C">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5.1.12.3. </w:t>
      </w:r>
      <w:r>
        <w:rPr>
          <w:rFonts w:hint="default" w:ascii="Arial" w:hAnsi="Arial" w:cs="Arial"/>
          <w:sz w:val="22"/>
          <w:szCs w:val="22"/>
        </w:rPr>
        <w:t>Acompanha cordões elétricos com travamento - Conectores C13/C14. Conectores de entrada e saída com função de "travamento" integrado as RPDU´s que interconecte a RPDU por completo com comprimento de, no mínimo: 0,6 metro (6 unds); 1,2 metro (6 unds); e 1,8 metro (6 unds). Corrente de entrada máxima por fase: 10A. Tipo de conector de entrada padrão IEC-309-C14. Tensão nominal de saída monofásica em 230 Volts FNT (fase-neutro-terra). Corrente de saída máxima por fase: 10A. Tipo de conector de saída padrão IEC-309-C13</w:t>
      </w:r>
    </w:p>
    <w:p w14:paraId="391DDE13">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5.1.12.4.</w:t>
      </w:r>
      <w:r>
        <w:rPr>
          <w:rFonts w:hint="default" w:ascii="Arial" w:hAnsi="Arial" w:cs="Arial"/>
          <w:sz w:val="22"/>
          <w:szCs w:val="22"/>
          <w:lang w:val="pt-BR"/>
        </w:rPr>
        <w:t xml:space="preserve"> </w:t>
      </w:r>
      <w:r>
        <w:rPr>
          <w:rFonts w:hint="default" w:ascii="Arial" w:hAnsi="Arial" w:cs="Arial"/>
          <w:sz w:val="22"/>
          <w:szCs w:val="22"/>
        </w:rPr>
        <w:t>Acompanha cordões elétricos com travamento - Conectores C19/C20. Conectores de entrada e saída com função de "travamento" integrado as RPDU´s que interconecte a RPDU por completo com comprimento de, no mínimo, 1,8 metro. Corrente de entrada máxima por fase: 16A. Tipo de conector de entrada padrão IEC-309-C20 Tensão nominal de saída monofásica em 230 Volts FNT (fase-neutro-terra). Corrente de saída máxima por fase: 16A. Tipo de conector de saída padrão IEC-309-C19;</w:t>
      </w:r>
    </w:p>
    <w:p w14:paraId="7394FA87">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b/>
          <w:bCs/>
          <w:sz w:val="22"/>
          <w:szCs w:val="22"/>
          <w:highlight w:val="cyan"/>
          <w:lang w:val="pt-BR"/>
        </w:rPr>
      </w:pPr>
      <w:r>
        <w:rPr>
          <w:rFonts w:hint="default" w:ascii="Arial" w:hAnsi="Arial" w:cs="Arial"/>
          <w:b/>
          <w:bCs/>
          <w:sz w:val="22"/>
          <w:szCs w:val="22"/>
          <w:lang w:val="pt-BR"/>
        </w:rPr>
        <w:t xml:space="preserve">5.1.13. </w:t>
      </w:r>
      <w:r>
        <w:rPr>
          <w:rFonts w:hint="default" w:ascii="Arial" w:hAnsi="Arial" w:cs="Arial"/>
          <w:b/>
          <w:bCs/>
          <w:sz w:val="22"/>
          <w:szCs w:val="22"/>
        </w:rPr>
        <w:t>Ar Condicionado em linha (InRow) de Precisão 5 kW:</w:t>
      </w:r>
      <w:r>
        <w:rPr>
          <w:rFonts w:hint="default" w:ascii="Arial" w:hAnsi="Arial" w:cs="Arial"/>
          <w:b/>
          <w:bCs/>
          <w:sz w:val="22"/>
          <w:szCs w:val="22"/>
          <w:lang w:val="pt-BR"/>
        </w:rPr>
        <w:t xml:space="preserve">    </w:t>
      </w:r>
    </w:p>
    <w:p w14:paraId="0FBD7DBD">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5.1.13.1. </w:t>
      </w:r>
      <w:r>
        <w:rPr>
          <w:rFonts w:hint="default" w:ascii="Arial" w:hAnsi="Arial" w:cs="Arial"/>
          <w:sz w:val="22"/>
          <w:szCs w:val="22"/>
        </w:rPr>
        <w:t>Self Contained - InRow:</w:t>
      </w:r>
    </w:p>
    <w:p w14:paraId="7B7FD560">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5.1.13.1.2. </w:t>
      </w:r>
      <w:r>
        <w:rPr>
          <w:rFonts w:hint="default" w:ascii="Arial" w:hAnsi="Arial" w:cs="Arial"/>
          <w:sz w:val="22"/>
          <w:szCs w:val="22"/>
        </w:rPr>
        <w:t>Tipo: Self Contained com Expansão Direta e Refrigeração a Ar, sendo ambas as unidades evaporadora e condensadora no mesmo gabinete.</w:t>
      </w:r>
      <w:r>
        <w:rPr>
          <w:rFonts w:hint="default" w:ascii="Arial" w:hAnsi="Arial" w:cs="Arial"/>
          <w:sz w:val="22"/>
          <w:szCs w:val="22"/>
        </w:rPr>
        <w:tab/>
      </w:r>
      <w:r>
        <w:rPr>
          <w:rFonts w:hint="default" w:ascii="Arial" w:hAnsi="Arial" w:cs="Arial"/>
          <w:sz w:val="22"/>
          <w:szCs w:val="22"/>
        </w:rPr>
        <w:tab/>
      </w:r>
    </w:p>
    <w:p w14:paraId="52849CD7">
      <w:pPr>
        <w:pStyle w:val="165"/>
        <w:pageBreakBefore w:val="0"/>
        <w:widowControl/>
        <w:kinsoku/>
        <w:wordWrap/>
        <w:overflowPunct/>
        <w:topLinePunct w:val="0"/>
        <w:autoSpaceDE/>
        <w:autoSpaceDN/>
        <w:bidi w:val="0"/>
        <w:adjustRightInd/>
        <w:snapToGrid/>
        <w:spacing w:line="360" w:lineRule="auto"/>
        <w:ind w:left="0" w:firstLine="0" w:firstLineChars="0"/>
        <w:jc w:val="both"/>
        <w:textAlignment w:val="auto"/>
        <w:rPr>
          <w:rFonts w:hint="default" w:ascii="Arial" w:hAnsi="Arial" w:cs="Arial"/>
          <w:sz w:val="22"/>
          <w:szCs w:val="22"/>
        </w:rPr>
      </w:pPr>
      <w:r>
        <w:rPr>
          <w:rFonts w:hint="default" w:ascii="Arial" w:hAnsi="Arial" w:cs="Arial"/>
          <w:sz w:val="22"/>
          <w:szCs w:val="22"/>
        </w:rPr>
        <w:t>Capacidade Nominal de Refrigeração de, no mínimo, 5,0 kW nas seguintes condições:  Ar de Entrada (30 °C 35% UR) e temperatura do ambiente de rejeição do calor em 35 °C.</w:t>
      </w:r>
      <w:r>
        <w:rPr>
          <w:rFonts w:hint="default" w:ascii="Arial" w:hAnsi="Arial" w:cs="Arial"/>
          <w:sz w:val="22"/>
          <w:szCs w:val="22"/>
        </w:rPr>
        <w:tab/>
      </w:r>
    </w:p>
    <w:p w14:paraId="5621A970">
      <w:pPr>
        <w:pStyle w:val="165"/>
        <w:pageBreakBefore w:val="0"/>
        <w:widowControl/>
        <w:kinsoku/>
        <w:wordWrap/>
        <w:overflowPunct/>
        <w:topLinePunct w:val="0"/>
        <w:autoSpaceDE/>
        <w:autoSpaceDN/>
        <w:bidi w:val="0"/>
        <w:adjustRightInd/>
        <w:snapToGrid/>
        <w:spacing w:line="360" w:lineRule="auto"/>
        <w:ind w:left="0" w:firstLine="0" w:firstLineChars="0"/>
        <w:jc w:val="both"/>
        <w:textAlignment w:val="auto"/>
        <w:rPr>
          <w:rFonts w:hint="default" w:ascii="Arial" w:hAnsi="Arial" w:cs="Arial"/>
          <w:sz w:val="22"/>
          <w:szCs w:val="22"/>
        </w:rPr>
      </w:pPr>
      <w:r>
        <w:rPr>
          <w:rFonts w:hint="default" w:ascii="Arial" w:hAnsi="Arial" w:cs="Arial"/>
          <w:sz w:val="22"/>
          <w:szCs w:val="22"/>
        </w:rPr>
        <w:t>Líquido de Refrigeração: R410A.</w:t>
      </w:r>
      <w:r>
        <w:rPr>
          <w:rFonts w:hint="default" w:ascii="Arial" w:hAnsi="Arial" w:cs="Arial"/>
          <w:sz w:val="22"/>
          <w:szCs w:val="22"/>
        </w:rPr>
        <w:tab/>
      </w:r>
      <w:r>
        <w:rPr>
          <w:rFonts w:hint="default" w:ascii="Arial" w:hAnsi="Arial" w:cs="Arial"/>
          <w:sz w:val="22"/>
          <w:szCs w:val="22"/>
        </w:rPr>
        <w:tab/>
      </w:r>
    </w:p>
    <w:p w14:paraId="2BCBE30F">
      <w:pPr>
        <w:pStyle w:val="165"/>
        <w:pageBreakBefore w:val="0"/>
        <w:widowControl/>
        <w:kinsoku/>
        <w:wordWrap/>
        <w:overflowPunct/>
        <w:topLinePunct w:val="0"/>
        <w:autoSpaceDE/>
        <w:autoSpaceDN/>
        <w:bidi w:val="0"/>
        <w:adjustRightInd/>
        <w:snapToGrid/>
        <w:spacing w:line="360" w:lineRule="auto"/>
        <w:ind w:left="0" w:firstLine="0" w:firstLineChars="0"/>
        <w:jc w:val="both"/>
        <w:textAlignment w:val="auto"/>
        <w:rPr>
          <w:rFonts w:hint="default" w:ascii="Arial" w:hAnsi="Arial" w:cs="Arial"/>
          <w:sz w:val="22"/>
          <w:szCs w:val="22"/>
        </w:rPr>
      </w:pPr>
      <w:r>
        <w:rPr>
          <w:rFonts w:hint="default" w:ascii="Arial" w:hAnsi="Arial" w:cs="Arial"/>
          <w:sz w:val="22"/>
          <w:szCs w:val="22"/>
        </w:rPr>
        <w:t>Compressor tipo Centrífugo.</w:t>
      </w:r>
      <w:r>
        <w:rPr>
          <w:rFonts w:hint="default" w:ascii="Arial" w:hAnsi="Arial" w:cs="Arial"/>
          <w:sz w:val="22"/>
          <w:szCs w:val="22"/>
        </w:rPr>
        <w:tab/>
      </w:r>
      <w:r>
        <w:rPr>
          <w:rFonts w:hint="default" w:ascii="Arial" w:hAnsi="Arial" w:cs="Arial"/>
          <w:sz w:val="22"/>
          <w:szCs w:val="22"/>
        </w:rPr>
        <w:tab/>
      </w:r>
    </w:p>
    <w:p w14:paraId="5C524267">
      <w:pPr>
        <w:pStyle w:val="165"/>
        <w:pageBreakBefore w:val="0"/>
        <w:widowControl/>
        <w:kinsoku/>
        <w:wordWrap/>
        <w:overflowPunct/>
        <w:topLinePunct w:val="0"/>
        <w:autoSpaceDE/>
        <w:autoSpaceDN/>
        <w:bidi w:val="0"/>
        <w:adjustRightInd/>
        <w:snapToGrid/>
        <w:spacing w:line="360" w:lineRule="auto"/>
        <w:ind w:left="0" w:firstLine="0" w:firstLineChars="0"/>
        <w:jc w:val="both"/>
        <w:textAlignment w:val="auto"/>
        <w:rPr>
          <w:rFonts w:hint="default" w:ascii="Arial" w:hAnsi="Arial" w:cs="Arial"/>
          <w:sz w:val="22"/>
          <w:szCs w:val="22"/>
        </w:rPr>
      </w:pPr>
      <w:r>
        <w:rPr>
          <w:rFonts w:hint="default" w:ascii="Arial" w:hAnsi="Arial" w:cs="Arial"/>
          <w:sz w:val="22"/>
          <w:szCs w:val="22"/>
        </w:rPr>
        <w:t>Padrões de Saída de Ar: Horizontal Frontal.</w:t>
      </w:r>
      <w:r>
        <w:rPr>
          <w:rFonts w:hint="default" w:ascii="Arial" w:hAnsi="Arial" w:cs="Arial"/>
          <w:sz w:val="22"/>
          <w:szCs w:val="22"/>
        </w:rPr>
        <w:tab/>
      </w:r>
      <w:r>
        <w:rPr>
          <w:rFonts w:hint="default" w:ascii="Arial" w:hAnsi="Arial" w:cs="Arial"/>
          <w:sz w:val="22"/>
          <w:szCs w:val="22"/>
        </w:rPr>
        <w:tab/>
      </w:r>
    </w:p>
    <w:p w14:paraId="22018DEB">
      <w:pPr>
        <w:pStyle w:val="165"/>
        <w:pageBreakBefore w:val="0"/>
        <w:widowControl/>
        <w:kinsoku/>
        <w:wordWrap/>
        <w:overflowPunct/>
        <w:topLinePunct w:val="0"/>
        <w:autoSpaceDE/>
        <w:autoSpaceDN/>
        <w:bidi w:val="0"/>
        <w:adjustRightInd/>
        <w:snapToGrid/>
        <w:spacing w:line="360" w:lineRule="auto"/>
        <w:ind w:left="0" w:firstLine="0" w:firstLineChars="0"/>
        <w:jc w:val="both"/>
        <w:textAlignment w:val="auto"/>
        <w:rPr>
          <w:rFonts w:hint="default" w:ascii="Arial" w:hAnsi="Arial" w:cs="Arial"/>
          <w:sz w:val="22"/>
          <w:szCs w:val="22"/>
        </w:rPr>
      </w:pPr>
      <w:r>
        <w:rPr>
          <w:rFonts w:hint="default" w:ascii="Arial" w:hAnsi="Arial" w:cs="Arial"/>
          <w:sz w:val="22"/>
          <w:szCs w:val="22"/>
        </w:rPr>
        <w:t>Tomada de Ar: Retorno Traseiro.</w:t>
      </w:r>
      <w:r>
        <w:rPr>
          <w:rFonts w:hint="default" w:ascii="Arial" w:hAnsi="Arial" w:cs="Arial"/>
          <w:sz w:val="22"/>
          <w:szCs w:val="22"/>
        </w:rPr>
        <w:tab/>
      </w:r>
      <w:r>
        <w:rPr>
          <w:rFonts w:hint="default" w:ascii="Arial" w:hAnsi="Arial" w:cs="Arial"/>
          <w:sz w:val="22"/>
          <w:szCs w:val="22"/>
        </w:rPr>
        <w:tab/>
      </w:r>
    </w:p>
    <w:p w14:paraId="462DE095">
      <w:pPr>
        <w:pStyle w:val="165"/>
        <w:pageBreakBefore w:val="0"/>
        <w:widowControl/>
        <w:kinsoku/>
        <w:wordWrap/>
        <w:overflowPunct/>
        <w:topLinePunct w:val="0"/>
        <w:autoSpaceDE/>
        <w:autoSpaceDN/>
        <w:bidi w:val="0"/>
        <w:adjustRightInd/>
        <w:snapToGrid/>
        <w:spacing w:line="360" w:lineRule="auto"/>
        <w:ind w:left="0" w:firstLine="0" w:firstLineChars="0"/>
        <w:jc w:val="both"/>
        <w:textAlignment w:val="auto"/>
        <w:rPr>
          <w:rFonts w:hint="default" w:ascii="Arial" w:hAnsi="Arial" w:cs="Arial"/>
          <w:sz w:val="22"/>
          <w:szCs w:val="22"/>
        </w:rPr>
      </w:pPr>
      <w:r>
        <w:rPr>
          <w:rFonts w:hint="default" w:ascii="Arial" w:hAnsi="Arial" w:cs="Arial"/>
          <w:sz w:val="22"/>
          <w:szCs w:val="22"/>
        </w:rPr>
        <w:t>Fluxo de Ar Mínimo da Unidade: 17.000 m³/h (1.000 CFM).</w:t>
      </w:r>
    </w:p>
    <w:p w14:paraId="0877E7AF">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5.1.13.1.3.</w:t>
      </w:r>
      <w:r>
        <w:rPr>
          <w:rFonts w:hint="default" w:ascii="Arial" w:hAnsi="Arial" w:cs="Arial"/>
          <w:sz w:val="22"/>
          <w:szCs w:val="22"/>
          <w:lang w:val="pt-BR"/>
        </w:rPr>
        <w:t xml:space="preserve"> </w:t>
      </w:r>
      <w:r>
        <w:rPr>
          <w:rFonts w:hint="default" w:ascii="Arial" w:hAnsi="Arial" w:cs="Arial"/>
          <w:sz w:val="22"/>
          <w:szCs w:val="22"/>
        </w:rPr>
        <w:t xml:space="preserve">Alimentação Elétrica: </w:t>
      </w:r>
    </w:p>
    <w:p w14:paraId="0597DF8E">
      <w:pPr>
        <w:pStyle w:val="165"/>
        <w:pageBreakBefore w:val="0"/>
        <w:widowControl/>
        <w:kinsoku/>
        <w:wordWrap/>
        <w:overflowPunct/>
        <w:topLinePunct w:val="0"/>
        <w:autoSpaceDE/>
        <w:autoSpaceDN/>
        <w:bidi w:val="0"/>
        <w:adjustRightInd/>
        <w:snapToGrid/>
        <w:spacing w:line="360" w:lineRule="auto"/>
        <w:ind w:left="0" w:firstLine="0" w:firstLineChars="0"/>
        <w:jc w:val="both"/>
        <w:textAlignment w:val="auto"/>
        <w:rPr>
          <w:rFonts w:hint="default" w:ascii="Arial" w:hAnsi="Arial" w:cs="Arial"/>
          <w:sz w:val="22"/>
          <w:szCs w:val="22"/>
        </w:rPr>
      </w:pPr>
      <w:r>
        <w:rPr>
          <w:rFonts w:hint="default" w:ascii="Arial" w:hAnsi="Arial" w:cs="Arial"/>
          <w:sz w:val="22"/>
          <w:szCs w:val="22"/>
        </w:rPr>
        <w:t>Tensão nominal de entrada: 220 Volts.</w:t>
      </w:r>
      <w:r>
        <w:rPr>
          <w:rFonts w:hint="default" w:ascii="Arial" w:hAnsi="Arial" w:cs="Arial"/>
          <w:sz w:val="22"/>
          <w:szCs w:val="22"/>
        </w:rPr>
        <w:tab/>
      </w:r>
      <w:r>
        <w:rPr>
          <w:rFonts w:hint="default" w:ascii="Arial" w:hAnsi="Arial" w:cs="Arial"/>
          <w:sz w:val="22"/>
          <w:szCs w:val="22"/>
        </w:rPr>
        <w:tab/>
      </w:r>
    </w:p>
    <w:p w14:paraId="62150925">
      <w:pPr>
        <w:pStyle w:val="165"/>
        <w:pageBreakBefore w:val="0"/>
        <w:widowControl/>
        <w:kinsoku/>
        <w:wordWrap/>
        <w:overflowPunct/>
        <w:topLinePunct w:val="0"/>
        <w:autoSpaceDE/>
        <w:autoSpaceDN/>
        <w:bidi w:val="0"/>
        <w:adjustRightInd/>
        <w:snapToGrid/>
        <w:spacing w:line="360" w:lineRule="auto"/>
        <w:ind w:left="0" w:firstLine="0" w:firstLineChars="0"/>
        <w:jc w:val="both"/>
        <w:textAlignment w:val="auto"/>
        <w:rPr>
          <w:rFonts w:hint="default" w:ascii="Arial" w:hAnsi="Arial" w:cs="Arial"/>
          <w:sz w:val="22"/>
          <w:szCs w:val="22"/>
        </w:rPr>
      </w:pPr>
      <w:r>
        <w:rPr>
          <w:rFonts w:hint="default" w:ascii="Arial" w:hAnsi="Arial" w:cs="Arial"/>
          <w:sz w:val="22"/>
          <w:szCs w:val="22"/>
        </w:rPr>
        <w:t>Potência máxima da unidade &lt; 3 kW.</w:t>
      </w:r>
      <w:r>
        <w:rPr>
          <w:rFonts w:hint="default" w:ascii="Arial" w:hAnsi="Arial" w:cs="Arial"/>
          <w:sz w:val="22"/>
          <w:szCs w:val="22"/>
        </w:rPr>
        <w:tab/>
      </w:r>
      <w:r>
        <w:rPr>
          <w:rFonts w:hint="default" w:ascii="Arial" w:hAnsi="Arial" w:cs="Arial"/>
          <w:sz w:val="22"/>
          <w:szCs w:val="22"/>
        </w:rPr>
        <w:tab/>
      </w:r>
    </w:p>
    <w:p w14:paraId="69544D45">
      <w:pPr>
        <w:pStyle w:val="165"/>
        <w:pageBreakBefore w:val="0"/>
        <w:widowControl/>
        <w:kinsoku/>
        <w:wordWrap/>
        <w:overflowPunct/>
        <w:topLinePunct w:val="0"/>
        <w:autoSpaceDE/>
        <w:autoSpaceDN/>
        <w:bidi w:val="0"/>
        <w:adjustRightInd/>
        <w:snapToGrid/>
        <w:spacing w:line="360" w:lineRule="auto"/>
        <w:ind w:left="0" w:firstLine="0" w:firstLineChars="0"/>
        <w:jc w:val="both"/>
        <w:textAlignment w:val="auto"/>
        <w:rPr>
          <w:rFonts w:hint="default" w:ascii="Arial" w:hAnsi="Arial" w:cs="Arial"/>
          <w:sz w:val="22"/>
          <w:szCs w:val="22"/>
        </w:rPr>
      </w:pPr>
      <w:r>
        <w:rPr>
          <w:rFonts w:hint="default" w:ascii="Arial" w:hAnsi="Arial" w:cs="Arial"/>
          <w:sz w:val="22"/>
          <w:szCs w:val="22"/>
        </w:rPr>
        <w:t>Capacidade mínima da proteção de entrada: 16 A.</w:t>
      </w:r>
      <w:r>
        <w:rPr>
          <w:rFonts w:hint="default" w:ascii="Arial" w:hAnsi="Arial" w:cs="Arial"/>
          <w:sz w:val="22"/>
          <w:szCs w:val="22"/>
        </w:rPr>
        <w:tab/>
      </w:r>
    </w:p>
    <w:p w14:paraId="22C18F0B">
      <w:pPr>
        <w:pStyle w:val="165"/>
        <w:pageBreakBefore w:val="0"/>
        <w:widowControl/>
        <w:kinsoku/>
        <w:wordWrap/>
        <w:overflowPunct/>
        <w:topLinePunct w:val="0"/>
        <w:autoSpaceDE/>
        <w:autoSpaceDN/>
        <w:bidi w:val="0"/>
        <w:adjustRightInd/>
        <w:snapToGrid/>
        <w:spacing w:line="360" w:lineRule="auto"/>
        <w:ind w:left="0" w:firstLine="0" w:firstLineChars="0"/>
        <w:jc w:val="both"/>
        <w:textAlignment w:val="auto"/>
        <w:rPr>
          <w:rFonts w:hint="default" w:ascii="Arial" w:hAnsi="Arial" w:cs="Arial"/>
          <w:sz w:val="22"/>
          <w:szCs w:val="22"/>
        </w:rPr>
      </w:pPr>
      <w:r>
        <w:rPr>
          <w:rFonts w:hint="default" w:ascii="Arial" w:hAnsi="Arial" w:cs="Arial"/>
          <w:sz w:val="22"/>
          <w:szCs w:val="22"/>
        </w:rPr>
        <w:t>Frequência de entrada: 60 Hz</w:t>
      </w:r>
      <w:r>
        <w:rPr>
          <w:rFonts w:hint="default" w:ascii="Arial" w:hAnsi="Arial" w:cs="Arial"/>
          <w:sz w:val="22"/>
          <w:szCs w:val="22"/>
        </w:rPr>
        <w:tab/>
      </w:r>
      <w:r>
        <w:rPr>
          <w:rFonts w:hint="default" w:ascii="Arial" w:hAnsi="Arial" w:cs="Arial"/>
          <w:sz w:val="22"/>
          <w:szCs w:val="22"/>
        </w:rPr>
        <w:tab/>
      </w:r>
    </w:p>
    <w:p w14:paraId="1A45C2B2">
      <w:pPr>
        <w:pStyle w:val="165"/>
        <w:pageBreakBefore w:val="0"/>
        <w:widowControl/>
        <w:kinsoku/>
        <w:wordWrap/>
        <w:overflowPunct/>
        <w:topLinePunct w:val="0"/>
        <w:autoSpaceDE/>
        <w:autoSpaceDN/>
        <w:bidi w:val="0"/>
        <w:adjustRightInd/>
        <w:snapToGrid/>
        <w:spacing w:line="360" w:lineRule="auto"/>
        <w:ind w:left="0" w:firstLine="0" w:firstLineChars="0"/>
        <w:jc w:val="both"/>
        <w:textAlignment w:val="auto"/>
        <w:rPr>
          <w:rFonts w:hint="default" w:ascii="Arial" w:hAnsi="Arial" w:cs="Arial"/>
          <w:sz w:val="22"/>
          <w:szCs w:val="22"/>
        </w:rPr>
      </w:pPr>
      <w:r>
        <w:rPr>
          <w:rFonts w:hint="default" w:ascii="Arial" w:hAnsi="Arial" w:cs="Arial"/>
          <w:sz w:val="22"/>
          <w:szCs w:val="22"/>
        </w:rPr>
        <w:t>Capacidade máxima de sobrecarga de corrente: 56 A</w:t>
      </w:r>
    </w:p>
    <w:p w14:paraId="75C388F7">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5.1.13.2.</w:t>
      </w:r>
      <w:r>
        <w:rPr>
          <w:rFonts w:hint="default" w:ascii="Arial" w:hAnsi="Arial" w:cs="Arial"/>
          <w:sz w:val="22"/>
          <w:szCs w:val="22"/>
          <w:lang w:val="pt-BR"/>
        </w:rPr>
        <w:t xml:space="preserve"> </w:t>
      </w:r>
      <w:r>
        <w:rPr>
          <w:rFonts w:hint="default" w:ascii="Arial" w:hAnsi="Arial" w:cs="Arial"/>
          <w:b/>
          <w:bCs/>
          <w:sz w:val="22"/>
          <w:szCs w:val="22"/>
        </w:rPr>
        <w:t>Gabinete;</w:t>
      </w:r>
    </w:p>
    <w:p w14:paraId="16022A1D">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5.1.13.2.1.</w:t>
      </w:r>
      <w:r>
        <w:rPr>
          <w:rFonts w:hint="default" w:ascii="Arial" w:hAnsi="Arial" w:cs="Arial"/>
          <w:sz w:val="22"/>
          <w:szCs w:val="22"/>
          <w:lang w:val="pt-BR"/>
        </w:rPr>
        <w:t xml:space="preserve"> </w:t>
      </w:r>
      <w:r>
        <w:rPr>
          <w:rFonts w:hint="default" w:ascii="Arial" w:hAnsi="Arial" w:cs="Arial"/>
          <w:sz w:val="22"/>
          <w:szCs w:val="22"/>
        </w:rPr>
        <w:t xml:space="preserve">Construção auto-portante com  estrutura feita de aço galvanizado com pintura externa de alta qualidade em pó. O equipamento deverá ser entregue com pintura eletrostática de fábrica. Deverá possuir dispositivos para nivelamento do </w:t>
      </w:r>
      <w:r>
        <w:rPr>
          <w:rFonts w:hint="default" w:ascii="Arial" w:hAnsi="Arial" w:cs="Arial"/>
          <w:sz w:val="22"/>
          <w:szCs w:val="22"/>
          <w:lang w:val="pt-BR"/>
        </w:rPr>
        <w:t>g</w:t>
      </w:r>
      <w:r>
        <w:rPr>
          <w:rFonts w:hint="default" w:ascii="Arial" w:hAnsi="Arial" w:cs="Arial"/>
          <w:sz w:val="22"/>
          <w:szCs w:val="22"/>
        </w:rPr>
        <w:t xml:space="preserve">abinete. </w:t>
      </w:r>
      <w:r>
        <w:rPr>
          <w:rFonts w:hint="default" w:ascii="Arial" w:hAnsi="Arial" w:cs="Arial"/>
          <w:sz w:val="22"/>
          <w:szCs w:val="22"/>
        </w:rPr>
        <w:tab/>
      </w:r>
    </w:p>
    <w:p w14:paraId="6E35203D">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5.1.13.2.2. </w:t>
      </w:r>
      <w:r>
        <w:rPr>
          <w:rFonts w:hint="default" w:ascii="Arial" w:hAnsi="Arial" w:cs="Arial"/>
          <w:sz w:val="22"/>
          <w:szCs w:val="22"/>
        </w:rPr>
        <w:t>Acesso para manutenção frontal e traseiro, permitindo ser colocado, lado a lado a racks de TI, em uma linha.</w:t>
      </w:r>
      <w:r>
        <w:rPr>
          <w:rFonts w:hint="default" w:ascii="Arial" w:hAnsi="Arial" w:cs="Arial"/>
          <w:sz w:val="22"/>
          <w:szCs w:val="22"/>
        </w:rPr>
        <w:tab/>
      </w:r>
      <w:r>
        <w:rPr>
          <w:rFonts w:hint="default" w:ascii="Arial" w:hAnsi="Arial" w:cs="Arial"/>
          <w:sz w:val="22"/>
          <w:szCs w:val="22"/>
        </w:rPr>
        <w:tab/>
      </w:r>
    </w:p>
    <w:p w14:paraId="46BBE0F0">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5.1.13.2.3. </w:t>
      </w:r>
      <w:r>
        <w:rPr>
          <w:rFonts w:hint="default" w:ascii="Arial" w:hAnsi="Arial" w:cs="Arial"/>
          <w:sz w:val="22"/>
          <w:szCs w:val="22"/>
        </w:rPr>
        <w:t>Acessórios compatíveis com sistema de contenção térmica para corredores quentes e frios, como a combinação da unidade/gabinete com um sistema de contenção de rack ou corredor quente prevendo a eliminação de mistura de ar quente e maximização da eficiência do resfriamento</w:t>
      </w:r>
    </w:p>
    <w:p w14:paraId="3FE9CCC8">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5.1.13.3.</w:t>
      </w:r>
      <w:r>
        <w:rPr>
          <w:rFonts w:hint="default" w:ascii="Arial" w:hAnsi="Arial" w:cs="Arial"/>
          <w:sz w:val="22"/>
          <w:szCs w:val="22"/>
        </w:rPr>
        <w:t xml:space="preserve"> Dimensões Físicas:     </w:t>
      </w:r>
    </w:p>
    <w:p w14:paraId="6709E364">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5.1.13.3.1. </w:t>
      </w:r>
      <w:r>
        <w:rPr>
          <w:rFonts w:hint="default" w:ascii="Arial" w:hAnsi="Arial" w:cs="Arial"/>
          <w:sz w:val="22"/>
          <w:szCs w:val="22"/>
        </w:rPr>
        <w:t>Dimensões, mínimas, de altura de 1.900,00 mm, equivalente as dimensões dos Racks de TI ofertado</w:t>
      </w:r>
      <w:r>
        <w:rPr>
          <w:rFonts w:hint="default" w:ascii="Arial" w:hAnsi="Arial" w:cs="Arial"/>
          <w:sz w:val="22"/>
          <w:szCs w:val="22"/>
        </w:rPr>
        <w:tab/>
      </w:r>
    </w:p>
    <w:p w14:paraId="18EF7CB3">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5.1.13.3.2.</w:t>
      </w:r>
      <w:r>
        <w:rPr>
          <w:rFonts w:hint="default" w:ascii="Arial" w:hAnsi="Arial" w:cs="Arial"/>
          <w:sz w:val="22"/>
          <w:szCs w:val="22"/>
          <w:lang w:val="pt-BR"/>
        </w:rPr>
        <w:t xml:space="preserve"> </w:t>
      </w:r>
      <w:r>
        <w:rPr>
          <w:rFonts w:hint="default" w:ascii="Arial" w:hAnsi="Arial" w:cs="Arial"/>
          <w:sz w:val="22"/>
          <w:szCs w:val="22"/>
        </w:rPr>
        <w:t>Dimensões, mínimas, de profundidade de 1.000,00 mm, equivalente as dimensões dos Racks de TI ofertados.</w:t>
      </w:r>
      <w:r>
        <w:rPr>
          <w:rFonts w:hint="default" w:ascii="Arial" w:hAnsi="Arial" w:cs="Arial"/>
          <w:sz w:val="22"/>
          <w:szCs w:val="22"/>
        </w:rPr>
        <w:tab/>
      </w:r>
      <w:r>
        <w:rPr>
          <w:rFonts w:hint="default" w:ascii="Arial" w:hAnsi="Arial" w:cs="Arial"/>
          <w:sz w:val="22"/>
          <w:szCs w:val="22"/>
        </w:rPr>
        <w:tab/>
      </w:r>
    </w:p>
    <w:p w14:paraId="5DEB1FC0">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5.1.13.3.3. </w:t>
      </w:r>
      <w:r>
        <w:rPr>
          <w:rFonts w:hint="default" w:ascii="Arial" w:hAnsi="Arial" w:cs="Arial"/>
          <w:sz w:val="22"/>
          <w:szCs w:val="22"/>
        </w:rPr>
        <w:t>Dimensões máximas de largura: 300,00 mm.O controlador deve usar um método de controle ambiental proporcional / integral / derivado (PID) para obter a resposta desejada do sistema.</w:t>
      </w:r>
    </w:p>
    <w:p w14:paraId="2E01F2C4">
      <w:pPr>
        <w:pageBreakBefore w:val="0"/>
        <w:widowControl/>
        <w:kinsoku/>
        <w:wordWrap/>
        <w:overflowPunct/>
        <w:topLinePunct w:val="0"/>
        <w:autoSpaceDE/>
        <w:autoSpaceDN/>
        <w:bidi w:val="0"/>
        <w:adjustRightInd/>
        <w:snapToGrid/>
        <w:spacing w:line="360" w:lineRule="auto"/>
        <w:ind w:left="0" w:firstLine="0" w:firstLineChars="0"/>
        <w:jc w:val="both"/>
        <w:textAlignment w:val="auto"/>
        <w:rPr>
          <w:rFonts w:hint="default" w:ascii="Arial" w:hAnsi="Arial" w:cs="Arial"/>
          <w:sz w:val="22"/>
          <w:szCs w:val="22"/>
        </w:rPr>
      </w:pPr>
      <w:r>
        <w:rPr>
          <w:rFonts w:hint="default" w:ascii="Arial" w:hAnsi="Arial" w:cs="Arial"/>
          <w:b/>
          <w:bCs/>
          <w:sz w:val="22"/>
          <w:szCs w:val="22"/>
        </w:rPr>
        <w:t>Construtivo:</w:t>
      </w:r>
    </w:p>
    <w:p w14:paraId="3BD993D4">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5.1.13.3.4</w:t>
      </w:r>
      <w:r>
        <w:rPr>
          <w:rFonts w:hint="default" w:ascii="Arial" w:hAnsi="Arial" w:cs="Arial"/>
          <w:sz w:val="22"/>
          <w:szCs w:val="22"/>
          <w:lang w:val="pt-BR"/>
        </w:rPr>
        <w:t xml:space="preserve">. </w:t>
      </w:r>
      <w:r>
        <w:rPr>
          <w:rFonts w:hint="default" w:ascii="Arial" w:hAnsi="Arial" w:cs="Arial"/>
          <w:sz w:val="22"/>
          <w:szCs w:val="22"/>
        </w:rPr>
        <w:t>Projetado para ser montando em Filas de racks (in-row)</w:t>
      </w:r>
      <w:r>
        <w:rPr>
          <w:rFonts w:hint="default" w:ascii="Arial" w:hAnsi="Arial" w:cs="Arial"/>
          <w:sz w:val="22"/>
          <w:szCs w:val="22"/>
        </w:rPr>
        <w:tab/>
      </w:r>
    </w:p>
    <w:p w14:paraId="4A10A18F">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5.1.13.3.5.</w:t>
      </w:r>
      <w:r>
        <w:rPr>
          <w:rFonts w:hint="default" w:ascii="Arial" w:hAnsi="Arial" w:cs="Arial"/>
          <w:sz w:val="22"/>
          <w:szCs w:val="22"/>
          <w:lang w:val="pt-BR"/>
        </w:rPr>
        <w:t xml:space="preserve"> </w:t>
      </w:r>
      <w:r>
        <w:rPr>
          <w:rFonts w:hint="default" w:ascii="Arial" w:hAnsi="Arial" w:cs="Arial"/>
          <w:sz w:val="22"/>
          <w:szCs w:val="22"/>
        </w:rPr>
        <w:t>Projetado para operar de forma modular e escalável.</w:t>
      </w:r>
      <w:r>
        <w:rPr>
          <w:rFonts w:hint="default" w:ascii="Arial" w:hAnsi="Arial" w:cs="Arial"/>
          <w:sz w:val="22"/>
          <w:szCs w:val="22"/>
        </w:rPr>
        <w:tab/>
      </w:r>
    </w:p>
    <w:p w14:paraId="1CA61DCF">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5.1.13.3.6. </w:t>
      </w:r>
      <w:r>
        <w:rPr>
          <w:rFonts w:hint="default" w:ascii="Arial" w:hAnsi="Arial" w:cs="Arial"/>
          <w:sz w:val="22"/>
          <w:szCs w:val="22"/>
        </w:rPr>
        <w:t>Sistema de Ventilação Forçada:</w:t>
      </w:r>
      <w:r>
        <w:rPr>
          <w:rFonts w:hint="default" w:ascii="Arial" w:hAnsi="Arial" w:cs="Arial"/>
          <w:sz w:val="22"/>
          <w:szCs w:val="22"/>
        </w:rPr>
        <w:tab/>
      </w:r>
      <w:r>
        <w:rPr>
          <w:rFonts w:hint="default" w:ascii="Arial" w:hAnsi="Arial" w:cs="Arial"/>
          <w:sz w:val="22"/>
          <w:szCs w:val="22"/>
        </w:rPr>
        <w:t>Página</w:t>
      </w:r>
      <w:r>
        <w:rPr>
          <w:rFonts w:hint="default" w:ascii="Arial" w:hAnsi="Arial" w:cs="Arial"/>
          <w:sz w:val="22"/>
          <w:szCs w:val="22"/>
        </w:rPr>
        <w:tab/>
      </w:r>
      <w:r>
        <w:rPr>
          <w:rFonts w:hint="default" w:ascii="Arial" w:hAnsi="Arial" w:cs="Arial"/>
          <w:sz w:val="22"/>
          <w:szCs w:val="22"/>
        </w:rPr>
        <w:t>Documentação</w:t>
      </w:r>
    </w:p>
    <w:p w14:paraId="1F2EB904">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5.1.13.3.7.</w:t>
      </w:r>
      <w:r>
        <w:rPr>
          <w:rFonts w:hint="default" w:ascii="Arial" w:hAnsi="Arial" w:cs="Arial"/>
          <w:sz w:val="22"/>
          <w:szCs w:val="22"/>
          <w:lang w:val="pt-BR"/>
        </w:rPr>
        <w:t xml:space="preserve"> </w:t>
      </w:r>
      <w:r>
        <w:rPr>
          <w:rFonts w:hint="default" w:ascii="Arial" w:hAnsi="Arial" w:cs="Arial"/>
          <w:sz w:val="22"/>
          <w:szCs w:val="22"/>
        </w:rPr>
        <w:t>Mínimo de 02 (dois) ventiladores de velocidade variável, com acionamento direto por intermédio de sof starter para minimizar a corrente de partida.</w:t>
      </w:r>
      <w:r>
        <w:rPr>
          <w:rFonts w:hint="default" w:ascii="Arial" w:hAnsi="Arial" w:cs="Arial"/>
          <w:sz w:val="22"/>
          <w:szCs w:val="22"/>
        </w:rPr>
        <w:tab/>
      </w:r>
      <w:r>
        <w:rPr>
          <w:rFonts w:hint="default" w:ascii="Arial" w:hAnsi="Arial" w:cs="Arial"/>
          <w:sz w:val="22"/>
          <w:szCs w:val="22"/>
        </w:rPr>
        <w:tab/>
      </w:r>
    </w:p>
    <w:p w14:paraId="72E58D34">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5.1.13.3.8. </w:t>
      </w:r>
      <w:r>
        <w:rPr>
          <w:rFonts w:hint="default" w:ascii="Arial" w:hAnsi="Arial" w:cs="Arial"/>
          <w:sz w:val="22"/>
          <w:szCs w:val="22"/>
        </w:rPr>
        <w:t>Capacidade de substituição de um ventilador defeituoso com evaporador em funcionamento, filtros Laváveis.</w:t>
      </w:r>
    </w:p>
    <w:p w14:paraId="17EA14B7">
      <w:pPr>
        <w:pStyle w:val="165"/>
        <w:pageBreakBefore w:val="0"/>
        <w:widowControl/>
        <w:kinsoku/>
        <w:wordWrap/>
        <w:overflowPunct/>
        <w:topLinePunct w:val="0"/>
        <w:autoSpaceDE/>
        <w:autoSpaceDN/>
        <w:bidi w:val="0"/>
        <w:adjustRightInd/>
        <w:snapToGrid/>
        <w:spacing w:line="360" w:lineRule="auto"/>
        <w:ind w:left="0" w:firstLine="0" w:firstLineChars="0"/>
        <w:jc w:val="both"/>
        <w:textAlignment w:val="auto"/>
        <w:rPr>
          <w:rFonts w:hint="default" w:ascii="Arial" w:hAnsi="Arial" w:cs="Arial"/>
          <w:sz w:val="22"/>
          <w:szCs w:val="22"/>
        </w:rPr>
      </w:pPr>
      <w:r>
        <w:rPr>
          <w:rFonts w:hint="default" w:ascii="Arial" w:hAnsi="Arial" w:cs="Arial"/>
          <w:b/>
          <w:bCs/>
          <w:sz w:val="22"/>
          <w:szCs w:val="22"/>
        </w:rPr>
        <w:t>Ambiental:</w:t>
      </w:r>
    </w:p>
    <w:p w14:paraId="0D43CADE">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5.1.13.3.9.</w:t>
      </w:r>
      <w:r>
        <w:rPr>
          <w:rFonts w:hint="default" w:ascii="Arial" w:hAnsi="Arial" w:cs="Arial"/>
          <w:sz w:val="22"/>
          <w:szCs w:val="22"/>
          <w:lang w:val="pt-BR"/>
        </w:rPr>
        <w:t xml:space="preserve"> </w:t>
      </w:r>
      <w:r>
        <w:rPr>
          <w:rFonts w:hint="default" w:ascii="Arial" w:hAnsi="Arial" w:cs="Arial"/>
          <w:sz w:val="22"/>
          <w:szCs w:val="22"/>
        </w:rPr>
        <w:t>Ruído audível a um metro da unidade máximo de 90 dBA</w:t>
      </w:r>
      <w:r>
        <w:rPr>
          <w:rFonts w:hint="default" w:ascii="Arial" w:hAnsi="Arial" w:cs="Arial"/>
          <w:sz w:val="22"/>
          <w:szCs w:val="22"/>
        </w:rPr>
        <w:tab/>
      </w:r>
      <w:r>
        <w:rPr>
          <w:rFonts w:hint="default" w:ascii="Arial" w:hAnsi="Arial" w:cs="Arial"/>
          <w:sz w:val="22"/>
          <w:szCs w:val="22"/>
        </w:rPr>
        <w:tab/>
      </w:r>
    </w:p>
    <w:p w14:paraId="70DE0678">
      <w:pPr>
        <w:pStyle w:val="165"/>
        <w:pageBreakBefore w:val="0"/>
        <w:widowControl/>
        <w:kinsoku/>
        <w:wordWrap/>
        <w:overflowPunct/>
        <w:topLinePunct w:val="0"/>
        <w:autoSpaceDE/>
        <w:autoSpaceDN/>
        <w:bidi w:val="0"/>
        <w:adjustRightInd/>
        <w:snapToGrid/>
        <w:spacing w:line="360" w:lineRule="auto"/>
        <w:ind w:left="0" w:firstLine="0" w:firstLineChars="0"/>
        <w:jc w:val="both"/>
        <w:textAlignment w:val="auto"/>
        <w:rPr>
          <w:rFonts w:hint="default" w:ascii="Arial" w:hAnsi="Arial" w:cs="Arial"/>
          <w:sz w:val="22"/>
          <w:szCs w:val="22"/>
        </w:rPr>
      </w:pPr>
      <w:r>
        <w:rPr>
          <w:rFonts w:hint="default" w:ascii="Arial" w:hAnsi="Arial" w:cs="Arial"/>
          <w:b/>
          <w:bCs/>
          <w:sz w:val="22"/>
          <w:szCs w:val="22"/>
        </w:rPr>
        <w:t>Gerenciamento, Controle e Comunicação:</w:t>
      </w:r>
      <w:r>
        <w:rPr>
          <w:rFonts w:hint="default" w:ascii="Arial" w:hAnsi="Arial" w:cs="Arial"/>
          <w:sz w:val="22"/>
          <w:szCs w:val="22"/>
        </w:rPr>
        <w:tab/>
      </w:r>
    </w:p>
    <w:p w14:paraId="25C86082">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5.1.13.3.10.</w:t>
      </w:r>
      <w:r>
        <w:rPr>
          <w:rFonts w:hint="default" w:ascii="Arial" w:hAnsi="Arial" w:cs="Arial"/>
          <w:sz w:val="22"/>
          <w:szCs w:val="22"/>
          <w:lang w:val="pt-BR"/>
        </w:rPr>
        <w:t xml:space="preserve"> </w:t>
      </w:r>
      <w:r>
        <w:rPr>
          <w:rFonts w:hint="default" w:ascii="Arial" w:hAnsi="Arial" w:cs="Arial"/>
          <w:sz w:val="22"/>
          <w:szCs w:val="22"/>
        </w:rPr>
        <w:t xml:space="preserve">Sistema de gerenciamento próprio, de fábrica, capaz de integrar e se comunicar com outras unidades iguais, </w:t>
      </w:r>
      <w:r>
        <w:rPr>
          <w:rFonts w:hint="default" w:ascii="Arial" w:hAnsi="Arial" w:cs="Arial"/>
          <w:sz w:val="22"/>
          <w:szCs w:val="22"/>
          <w:lang w:val="pt-BR"/>
        </w:rPr>
        <w:t>ajustando</w:t>
      </w:r>
      <w:r>
        <w:rPr>
          <w:rFonts w:hint="default" w:ascii="Arial" w:hAnsi="Arial" w:cs="Arial"/>
          <w:sz w:val="22"/>
          <w:szCs w:val="22"/>
        </w:rPr>
        <w:t xml:space="preserve"> os níveis de temperatura e fluxos de ar.</w:t>
      </w:r>
    </w:p>
    <w:p w14:paraId="365FF407">
      <w:pPr>
        <w:pStyle w:val="165"/>
        <w:pageBreakBefore w:val="0"/>
        <w:widowControl/>
        <w:kinsoku/>
        <w:wordWrap/>
        <w:overflowPunct/>
        <w:topLinePunct w:val="0"/>
        <w:autoSpaceDE/>
        <w:autoSpaceDN/>
        <w:bidi w:val="0"/>
        <w:adjustRightInd/>
        <w:snapToGrid/>
        <w:spacing w:line="360" w:lineRule="auto"/>
        <w:ind w:left="0" w:firstLine="0" w:firstLineChars="0"/>
        <w:jc w:val="both"/>
        <w:textAlignment w:val="auto"/>
        <w:rPr>
          <w:rFonts w:hint="default" w:ascii="Arial" w:hAnsi="Arial" w:cs="Arial"/>
          <w:sz w:val="22"/>
          <w:szCs w:val="22"/>
        </w:rPr>
      </w:pPr>
      <w:r>
        <w:rPr>
          <w:rFonts w:hint="default" w:ascii="Arial" w:hAnsi="Arial" w:cs="Arial"/>
          <w:b/>
          <w:bCs/>
          <w:sz w:val="22"/>
          <w:szCs w:val="22"/>
        </w:rPr>
        <w:t>Controlador microprocessado</w:t>
      </w:r>
      <w:r>
        <w:rPr>
          <w:rFonts w:hint="default" w:ascii="Arial" w:hAnsi="Arial" w:cs="Arial"/>
          <w:sz w:val="22"/>
          <w:szCs w:val="22"/>
        </w:rPr>
        <w:tab/>
      </w:r>
    </w:p>
    <w:p w14:paraId="5B250262">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5.1.13.3.11.</w:t>
      </w:r>
      <w:r>
        <w:rPr>
          <w:rFonts w:hint="default" w:ascii="Arial" w:hAnsi="Arial" w:cs="Arial"/>
          <w:sz w:val="22"/>
          <w:szCs w:val="22"/>
          <w:lang w:val="pt-BR"/>
        </w:rPr>
        <w:t xml:space="preserve"> </w:t>
      </w:r>
      <w:r>
        <w:rPr>
          <w:rFonts w:hint="default" w:ascii="Arial" w:hAnsi="Arial" w:cs="Arial"/>
          <w:sz w:val="22"/>
          <w:szCs w:val="22"/>
        </w:rPr>
        <w:t>Console LCD de status e controle multifunção com no mínimo os seguintes alarmes: Falha da Climatização, Filtro de ar obstruído, Falha no retorno de ar,  Falha abastecimento de ar,  Alta pressão de descarga, Baixa pressão de sucção, Falha dos Ventiladores, água detectada, alarme do sistema de condensado, Alarme de horas de utilização excessiva,  Falha de comunicação interna e externa, Alarme de alta de temperatura de suprimento, Alarme de alta de temperatura de retorno,  Falha de pressão de descarga.</w:t>
      </w:r>
      <w:r>
        <w:rPr>
          <w:rFonts w:hint="default" w:ascii="Arial" w:hAnsi="Arial" w:cs="Arial"/>
          <w:sz w:val="22"/>
          <w:szCs w:val="22"/>
        </w:rPr>
        <w:tab/>
      </w:r>
      <w:r>
        <w:rPr>
          <w:rFonts w:hint="default" w:ascii="Arial" w:hAnsi="Arial" w:cs="Arial"/>
          <w:sz w:val="22"/>
          <w:szCs w:val="22"/>
        </w:rPr>
        <w:tab/>
      </w:r>
    </w:p>
    <w:p w14:paraId="1DEAC4F2">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5.1.13.3.12.</w:t>
      </w:r>
      <w:r>
        <w:rPr>
          <w:rFonts w:hint="default" w:ascii="Arial" w:hAnsi="Arial" w:cs="Arial"/>
          <w:sz w:val="22"/>
          <w:szCs w:val="22"/>
          <w:lang w:val="pt-BR"/>
        </w:rPr>
        <w:t xml:space="preserve"> </w:t>
      </w:r>
      <w:r>
        <w:rPr>
          <w:rFonts w:hint="default" w:ascii="Arial" w:hAnsi="Arial" w:cs="Arial"/>
          <w:sz w:val="22"/>
          <w:szCs w:val="22"/>
        </w:rPr>
        <w:t>Capacidade de monitoramento e gerenciamento remoto com conectividade a rede TCP/IP,  uso de comunicação SNMP</w:t>
      </w:r>
      <w:r>
        <w:rPr>
          <w:rFonts w:hint="default" w:ascii="Arial" w:hAnsi="Arial" w:cs="Arial"/>
          <w:sz w:val="22"/>
          <w:szCs w:val="22"/>
        </w:rPr>
        <w:tab/>
      </w:r>
      <w:r>
        <w:rPr>
          <w:rFonts w:hint="default" w:ascii="Arial" w:hAnsi="Arial" w:cs="Arial"/>
          <w:sz w:val="22"/>
          <w:szCs w:val="22"/>
        </w:rPr>
        <w:tab/>
      </w:r>
    </w:p>
    <w:p w14:paraId="26BCE17D">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5.1.13.3.13.</w:t>
      </w:r>
      <w:r>
        <w:rPr>
          <w:rFonts w:hint="default" w:ascii="Arial" w:hAnsi="Arial" w:cs="Arial"/>
          <w:sz w:val="22"/>
          <w:szCs w:val="22"/>
          <w:lang w:val="pt-BR"/>
        </w:rPr>
        <w:t xml:space="preserve"> </w:t>
      </w:r>
      <w:r>
        <w:rPr>
          <w:rFonts w:hint="default" w:ascii="Arial" w:hAnsi="Arial" w:cs="Arial"/>
          <w:sz w:val="22"/>
          <w:szCs w:val="22"/>
        </w:rPr>
        <w:t>Mínimo de 1 sensor de temperatura tipo termistor a para instalação externa ao evaporador, para aferição de temperatura nas proximidades da carga a ser refrigerada (ex. rack de TI), com a distancia máxima linear entre o evaporador e a carga de 2 metros.</w:t>
      </w:r>
      <w:r>
        <w:rPr>
          <w:rFonts w:hint="default" w:ascii="Arial" w:hAnsi="Arial" w:cs="Arial"/>
          <w:sz w:val="22"/>
          <w:szCs w:val="22"/>
        </w:rPr>
        <w:tab/>
      </w:r>
    </w:p>
    <w:p w14:paraId="5835A48F">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5.1.13.3.14.</w:t>
      </w:r>
      <w:r>
        <w:rPr>
          <w:rFonts w:hint="default" w:ascii="Arial" w:hAnsi="Arial" w:cs="Arial"/>
          <w:sz w:val="22"/>
          <w:szCs w:val="22"/>
          <w:lang w:val="pt-BR"/>
        </w:rPr>
        <w:t xml:space="preserve"> </w:t>
      </w:r>
      <w:r>
        <w:rPr>
          <w:rFonts w:hint="default" w:ascii="Arial" w:hAnsi="Arial" w:cs="Arial"/>
          <w:sz w:val="22"/>
          <w:szCs w:val="22"/>
        </w:rPr>
        <w:t>Mínimo de 1 sensor detecção de água, para instalação externa ao evaporador, para verificação de presença de água nas proximidades do evaporador.</w:t>
      </w:r>
    </w:p>
    <w:p w14:paraId="566E6E2F">
      <w:pPr>
        <w:pStyle w:val="165"/>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5.1.13.3.15.</w:t>
      </w:r>
      <w:r>
        <w:rPr>
          <w:rFonts w:hint="default" w:ascii="Arial" w:hAnsi="Arial" w:cs="Arial"/>
          <w:sz w:val="22"/>
          <w:szCs w:val="22"/>
          <w:lang w:val="pt-BR"/>
        </w:rPr>
        <w:t xml:space="preserve"> </w:t>
      </w:r>
      <w:r>
        <w:rPr>
          <w:rFonts w:hint="default" w:ascii="Arial" w:hAnsi="Arial" w:cs="Arial"/>
          <w:sz w:val="22"/>
          <w:szCs w:val="22"/>
        </w:rPr>
        <w:t>Interface do usuário: A unidade interna deve estar equipada com uma tela colorida sensível ao toque de 4,3 polegadas para permitir ao usuário navegar entre menus, selecionar itens e inserir informações. A interface do usuário deve permitir o monitoramento e a configuração da unidade de ar condicionado através de um controle baseado em menus. As funções incluem relatório de status, configuração e pontos de ajuste de temperatura. Três LEDs relatam o status operacional da unidade de ar condicionado conectada.</w:t>
      </w:r>
    </w:p>
    <w:p w14:paraId="51EAF713">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5.1.14.</w:t>
      </w:r>
      <w:r>
        <w:rPr>
          <w:rFonts w:hint="default" w:ascii="Arial" w:hAnsi="Arial" w:cs="Arial"/>
          <w:sz w:val="22"/>
          <w:szCs w:val="22"/>
          <w:lang w:val="pt-BR"/>
        </w:rPr>
        <w:t xml:space="preserve"> </w:t>
      </w:r>
      <w:r>
        <w:rPr>
          <w:rFonts w:hint="default" w:ascii="Arial" w:hAnsi="Arial" w:cs="Arial"/>
          <w:sz w:val="22"/>
          <w:szCs w:val="22"/>
        </w:rPr>
        <w:t>Módulo de Racks de 19’’ e Acessórios</w:t>
      </w:r>
    </w:p>
    <w:p w14:paraId="77FE0295">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5.1.15.</w:t>
      </w:r>
      <w:r>
        <w:rPr>
          <w:rFonts w:hint="default" w:ascii="Arial" w:hAnsi="Arial" w:cs="Arial"/>
          <w:sz w:val="22"/>
          <w:szCs w:val="22"/>
          <w:lang w:val="pt-BR"/>
        </w:rPr>
        <w:t xml:space="preserve"> </w:t>
      </w:r>
      <w:r>
        <w:rPr>
          <w:rFonts w:hint="default" w:ascii="Arial" w:hAnsi="Arial" w:cs="Arial"/>
          <w:sz w:val="22"/>
          <w:szCs w:val="22"/>
        </w:rPr>
        <w:t>Rack de 42 U com altura máxima de 2.000,00 mm com espaço interno disponível de 42U. Largura em máxima de 700,00 mm com espaço interno disponível padrão rack de 19'' (dezenove polegadas). Máximas de profundidade em 1.070,00 mm. Capacidade de carga estática mínima de 1.300 kg. Capacidade de carga dinâmica mínima de 1.000 kg;</w:t>
      </w:r>
    </w:p>
    <w:p w14:paraId="678296A3">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5.1.16. </w:t>
      </w:r>
      <w:r>
        <w:rPr>
          <w:rFonts w:hint="default" w:ascii="Arial" w:hAnsi="Arial" w:cs="Arial"/>
          <w:sz w:val="22"/>
          <w:szCs w:val="22"/>
        </w:rPr>
        <w:t>Abertura para passagem de cabos no topo e na base do rack, protegidas com peças de plástico ou bordas arredondadas; Trilhos ajustáveis verticais frontais, inclusive com montagem de profundidade ajustável; Previsão de gerenciamento de cabos na lateral do rack; Sinalização das posições em U com numeração cardinal; e Construído com material com Classe de Proteção IP 20, ou seja, média proteção contra objetos sólidos e sem proteção contra líquidos.</w:t>
      </w:r>
    </w:p>
    <w:p w14:paraId="0A1ADC50">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5.1.17.</w:t>
      </w:r>
      <w:r>
        <w:rPr>
          <w:rFonts w:hint="default" w:ascii="Arial" w:hAnsi="Arial" w:cs="Arial"/>
          <w:sz w:val="22"/>
          <w:szCs w:val="22"/>
          <w:lang w:val="pt-BR"/>
        </w:rPr>
        <w:t xml:space="preserve"> </w:t>
      </w:r>
      <w:r>
        <w:rPr>
          <w:rFonts w:hint="default" w:ascii="Arial" w:hAnsi="Arial" w:cs="Arial"/>
          <w:sz w:val="22"/>
          <w:szCs w:val="22"/>
        </w:rPr>
        <w:t>Facilidades para inclusão de calhas para o direcionamento de cabos por cima e divisórias sobre o teto do rack; Mecanismos de acoplagem com as placas de teto e prolongamentos de racks de 600 mm e 300 mm, que devem acompanhar o conjunto; Acompanhado de manual de instalação; Compatibilidade garantida com todos equipamentos 19'' (dezenove polegadas) que obedeçam ao padrão EIA-310-E.</w:t>
      </w:r>
    </w:p>
    <w:p w14:paraId="160EDEBA">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5.1.18.</w:t>
      </w:r>
      <w:r>
        <w:rPr>
          <w:rFonts w:hint="default" w:ascii="Arial" w:hAnsi="Arial" w:cs="Arial"/>
          <w:sz w:val="22"/>
          <w:szCs w:val="22"/>
          <w:lang w:val="pt-BR"/>
        </w:rPr>
        <w:t xml:space="preserve"> </w:t>
      </w:r>
      <w:r>
        <w:rPr>
          <w:rFonts w:hint="default" w:ascii="Arial" w:hAnsi="Arial" w:cs="Arial"/>
          <w:sz w:val="22"/>
          <w:szCs w:val="22"/>
        </w:rPr>
        <w:t>04 (quatro) unidades organizadoras com mínimo de 08 (oito) anéis de fixação cada do tipo vertical para instalação em rack de 42U.  Não deverá ocupar espaço em UA (unidade de altura); e 04 (quatro) unidades organizadoras com mínimo de 04 (quatro) anéis de fixação cada e tampa em sua extensão do tipo horizontal de 1U para instalação em rack de 19'' (dezenove polegadas), com profundidade de 70 mm;</w:t>
      </w:r>
    </w:p>
    <w:p w14:paraId="63E79D3F">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5.1.19.</w:t>
      </w:r>
      <w:r>
        <w:rPr>
          <w:rFonts w:hint="default" w:ascii="Arial" w:hAnsi="Arial" w:cs="Arial"/>
          <w:sz w:val="22"/>
          <w:szCs w:val="22"/>
          <w:lang w:val="pt-BR"/>
        </w:rPr>
        <w:t xml:space="preserve"> </w:t>
      </w:r>
      <w:r>
        <w:rPr>
          <w:rFonts w:hint="default" w:ascii="Arial" w:hAnsi="Arial" w:cs="Arial"/>
          <w:sz w:val="22"/>
          <w:szCs w:val="22"/>
        </w:rPr>
        <w:t>A CONTRATADA deverá fornecer tampas "cega" de 1 UA de altura em racks 19'' (dezenove polegadas) com montagem sem o uso de ferramentas (“tool-less”), acompanhando a mesma cor do Rack ofertado na quantidade suficiente para não haver espaços vazios no Rack que prejudiquem o confinamento dos corredores quente-frio.  Instalação em orifícios quadrados, conforme EIA-310-D.</w:t>
      </w:r>
    </w:p>
    <w:p w14:paraId="26BC0F92">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5.1.20.</w:t>
      </w:r>
      <w:r>
        <w:rPr>
          <w:rFonts w:hint="default" w:ascii="Arial" w:hAnsi="Arial" w:cs="Arial"/>
          <w:sz w:val="22"/>
          <w:szCs w:val="22"/>
          <w:lang w:val="pt-BR"/>
        </w:rPr>
        <w:t xml:space="preserve"> </w:t>
      </w:r>
      <w:r>
        <w:rPr>
          <w:rFonts w:hint="default" w:ascii="Arial" w:hAnsi="Arial" w:cs="Arial"/>
          <w:sz w:val="22"/>
          <w:szCs w:val="22"/>
        </w:rPr>
        <w:t>O sistema de confinamento do corredor quente ou frio e as partes que o compõem – incluindo racks, cobertura, portas e vedações devem ser do mesmo fabricante e projetados para tal. Não serão aceitas soluções projetadas caseiramente (adaptações) e mesclas de soluções de fabricantes por ajustes por parte da CONTRATADA. A solução deve ser totalmente compatível e as peças de reposição devem poder ser encontradas no mercado sem necessidade de adaptações.</w:t>
      </w:r>
    </w:p>
    <w:p w14:paraId="1C4A2CA4">
      <w:pPr>
        <w:pStyle w:val="166"/>
        <w:pageBreakBefore w:val="0"/>
        <w:widowControl/>
        <w:kinsoku/>
        <w:wordWrap/>
        <w:overflowPunct/>
        <w:topLinePunct w:val="0"/>
        <w:autoSpaceDE/>
        <w:autoSpaceDN/>
        <w:bidi w:val="0"/>
        <w:adjustRightInd/>
        <w:snapToGrid/>
        <w:spacing w:before="0" w:line="360" w:lineRule="auto"/>
        <w:ind w:left="0" w:firstLine="0" w:firstLineChars="0"/>
        <w:jc w:val="both"/>
        <w:textAlignment w:val="auto"/>
        <w:rPr>
          <w:rFonts w:hint="default" w:ascii="Arial" w:hAnsi="Arial" w:cs="Arial"/>
          <w:bCs/>
          <w:sz w:val="22"/>
          <w:szCs w:val="22"/>
        </w:rPr>
      </w:pPr>
      <w:r>
        <w:rPr>
          <w:rFonts w:hint="default" w:ascii="Arial" w:hAnsi="Arial" w:cs="Arial"/>
          <w:bCs/>
          <w:sz w:val="22"/>
          <w:szCs w:val="22"/>
        </w:rPr>
        <w:t>Gerenciamento de infraestrutura</w:t>
      </w:r>
    </w:p>
    <w:p w14:paraId="735C1827">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b/>
          <w:bCs/>
          <w:sz w:val="22"/>
          <w:szCs w:val="22"/>
        </w:rPr>
      </w:pPr>
      <w:r>
        <w:rPr>
          <w:rFonts w:hint="default" w:ascii="Arial" w:hAnsi="Arial" w:cs="Arial"/>
          <w:b/>
          <w:bCs/>
          <w:sz w:val="22"/>
          <w:szCs w:val="22"/>
          <w:lang w:val="pt-BR"/>
        </w:rPr>
        <w:t xml:space="preserve">5.1.21. </w:t>
      </w:r>
      <w:r>
        <w:rPr>
          <w:rFonts w:hint="default" w:ascii="Arial" w:hAnsi="Arial" w:cs="Arial"/>
          <w:b/>
          <w:bCs/>
          <w:sz w:val="22"/>
          <w:szCs w:val="22"/>
        </w:rPr>
        <w:t>Gerenciamento de Infraestrutura</w:t>
      </w:r>
    </w:p>
    <w:p w14:paraId="20D102D4">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5.1.22.</w:t>
      </w:r>
      <w:r>
        <w:rPr>
          <w:rFonts w:hint="default" w:ascii="Arial" w:hAnsi="Arial" w:cs="Arial"/>
          <w:sz w:val="22"/>
          <w:szCs w:val="22"/>
          <w:lang w:val="pt-BR"/>
        </w:rPr>
        <w:t xml:space="preserve"> </w:t>
      </w:r>
      <w:r>
        <w:rPr>
          <w:rFonts w:hint="default" w:ascii="Arial" w:hAnsi="Arial" w:cs="Arial"/>
          <w:sz w:val="22"/>
          <w:szCs w:val="22"/>
        </w:rPr>
        <w:t>Deve possuir o módulo de supervisão ambiental e monitoramento ambiental no acesso as informações e históricos via webservices, sem necessidade de programação em linhas de comando ou scripts de texto;</w:t>
      </w:r>
    </w:p>
    <w:p w14:paraId="38DE3E62">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5.1.23.</w:t>
      </w:r>
      <w:r>
        <w:rPr>
          <w:rFonts w:hint="default" w:ascii="Arial" w:hAnsi="Arial" w:cs="Arial"/>
          <w:sz w:val="22"/>
          <w:szCs w:val="22"/>
          <w:lang w:val="pt-BR"/>
        </w:rPr>
        <w:t xml:space="preserve"> </w:t>
      </w:r>
      <w:r>
        <w:rPr>
          <w:rFonts w:hint="default" w:ascii="Arial" w:hAnsi="Arial" w:cs="Arial"/>
          <w:sz w:val="22"/>
          <w:szCs w:val="22"/>
        </w:rPr>
        <w:t>Capacidade de gerenciamento de 100 (cem) dispositivos, tais como: racks, réguas RPDU, sensores, painéis PDR, UPS, ATS, ar condicionado de precisão; centrais de combate a incêndio, dentre outros;</w:t>
      </w:r>
    </w:p>
    <w:p w14:paraId="3CAADF9B">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5.1.24.</w:t>
      </w:r>
      <w:r>
        <w:rPr>
          <w:rFonts w:hint="default" w:ascii="Arial" w:hAnsi="Arial" w:cs="Arial"/>
          <w:sz w:val="22"/>
          <w:szCs w:val="22"/>
          <w:lang w:val="pt-BR"/>
        </w:rPr>
        <w:t xml:space="preserve"> </w:t>
      </w:r>
      <w:r>
        <w:rPr>
          <w:rFonts w:hint="default" w:ascii="Arial" w:hAnsi="Arial" w:cs="Arial"/>
          <w:sz w:val="22"/>
          <w:szCs w:val="22"/>
        </w:rPr>
        <w:t>Monitoramento e coleta de dados de infraestrutura de baixo nível com análise inteligente; 01 (um) servidor físico ou host de virtualização para o caso de que haja 01 (uma) VMWare - máquina virtual ou parte de uma instalação de cluster de até 04 (quatro) servidores para fornecer redundância e balanceamento de carga; O servidor (físico) deve ser dedicado ou em forma virtualizada, com suporte obrigatório à plataforma VMWare na forma OVA (Open Virtualization Archive);</w:t>
      </w:r>
    </w:p>
    <w:p w14:paraId="3B54173B">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5.1.25. </w:t>
      </w:r>
      <w:r>
        <w:rPr>
          <w:rFonts w:hint="default" w:ascii="Arial" w:hAnsi="Arial" w:cs="Arial"/>
          <w:sz w:val="22"/>
          <w:szCs w:val="22"/>
        </w:rPr>
        <w:t>Suporte a 02 (dois) ambientes de utilização: laboratório/planejamento e produção, com simulações de impacto energético, térmico e espacial;</w:t>
      </w:r>
    </w:p>
    <w:p w14:paraId="73F7B78D">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5.1.26.</w:t>
      </w:r>
      <w:r>
        <w:rPr>
          <w:rFonts w:hint="default" w:ascii="Arial" w:hAnsi="Arial" w:cs="Arial"/>
          <w:sz w:val="22"/>
          <w:szCs w:val="22"/>
          <w:lang w:val="pt-BR"/>
        </w:rPr>
        <w:t xml:space="preserve"> </w:t>
      </w:r>
      <w:r>
        <w:rPr>
          <w:rFonts w:hint="default" w:ascii="Arial" w:hAnsi="Arial" w:cs="Arial"/>
          <w:sz w:val="22"/>
          <w:szCs w:val="22"/>
        </w:rPr>
        <w:t xml:space="preserve">Integração com plug-ins adicionais que suporte Microsoft System Center Virtual Machine Manager 2008 e VMware vCenter (versão 4.0 e superiores); Serviços de integração com ActiveDirectory do Microsoft Windows; </w:t>
      </w:r>
    </w:p>
    <w:p w14:paraId="4872CC5F">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5.1.27.</w:t>
      </w:r>
      <w:r>
        <w:rPr>
          <w:rFonts w:hint="default" w:ascii="Arial" w:hAnsi="Arial" w:cs="Arial"/>
          <w:sz w:val="22"/>
          <w:szCs w:val="22"/>
          <w:lang w:val="pt-BR"/>
        </w:rPr>
        <w:t xml:space="preserve"> </w:t>
      </w:r>
      <w:r>
        <w:rPr>
          <w:rFonts w:hint="default" w:ascii="Arial" w:hAnsi="Arial" w:cs="Arial"/>
          <w:sz w:val="22"/>
          <w:szCs w:val="22"/>
        </w:rPr>
        <w:t>Serviços de integração via Webservices com documentação (guia) completa de API aberta; Serviços de integração via ETL Framework; Suporte comunicação cliente/servidor encriptada SSL de, no mínimo, 128 bits; Suporte a acesso WEB via HTTPS; Suporte ao protocolo OpenLDAP; Suporte aos protocolos SSL e SSH para login de usuários; e Sistema de integração com sistemas de BMS.</w:t>
      </w:r>
    </w:p>
    <w:p w14:paraId="6836EBA3">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5.1.28.</w:t>
      </w:r>
      <w:r>
        <w:rPr>
          <w:rFonts w:hint="default" w:ascii="Arial" w:hAnsi="Arial" w:cs="Arial"/>
          <w:sz w:val="22"/>
          <w:szCs w:val="22"/>
          <w:lang w:val="pt-BR"/>
        </w:rPr>
        <w:t xml:space="preserve"> </w:t>
      </w:r>
      <w:r>
        <w:rPr>
          <w:rFonts w:hint="default" w:ascii="Arial" w:hAnsi="Arial" w:cs="Arial"/>
          <w:sz w:val="22"/>
          <w:szCs w:val="22"/>
        </w:rPr>
        <w:t>Visualização 3D dos ambientes de TI; Visualização de mapas CFD nos eixos X, Y e Z para temperatura e fluxo de ar; Suporte ao layout gráfico do piso 'branco"; Suporte ao layout gráfico do rack; 4(quatro) monitores para vídeo wall de no mínimo 40’’.</w:t>
      </w:r>
    </w:p>
    <w:p w14:paraId="395DE4DB">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5.1.29.</w:t>
      </w:r>
      <w:r>
        <w:rPr>
          <w:rFonts w:hint="default" w:ascii="Arial" w:hAnsi="Arial" w:cs="Arial"/>
          <w:sz w:val="22"/>
          <w:szCs w:val="22"/>
          <w:lang w:val="pt-BR"/>
        </w:rPr>
        <w:t xml:space="preserve"> </w:t>
      </w:r>
      <w:r>
        <w:rPr>
          <w:rFonts w:hint="default" w:ascii="Arial" w:hAnsi="Arial" w:cs="Arial"/>
          <w:sz w:val="22"/>
          <w:szCs w:val="22"/>
        </w:rPr>
        <w:t>Painel de visualização da função P.U.E. (Power Usage Efficiency) em tempo real; Painel de visualização customizável, sem intervenção do fabricante, de toda a informação acessível pela plataforma WEB; Suporte ao layout gráfico para apresentação e modelagem da infraestrutura de rede (gerenciamento passivo de rede); Suporte a modelagem da infraestrutura de rede com extração de relatórios de conexões e funções de alterar/acrescentar/excluir, com facilidade, as rotas, cabos, caminhos, equipamentos, e tipos de conexão;</w:t>
      </w:r>
    </w:p>
    <w:p w14:paraId="23A0ECB2">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5.1.30.</w:t>
      </w:r>
      <w:r>
        <w:rPr>
          <w:rFonts w:hint="default" w:ascii="Arial" w:hAnsi="Arial" w:cs="Arial"/>
          <w:sz w:val="22"/>
          <w:szCs w:val="22"/>
          <w:lang w:val="pt-BR"/>
        </w:rPr>
        <w:t xml:space="preserve"> </w:t>
      </w:r>
      <w:r>
        <w:rPr>
          <w:rFonts w:hint="default" w:ascii="Arial" w:hAnsi="Arial" w:cs="Arial"/>
          <w:sz w:val="22"/>
          <w:szCs w:val="22"/>
        </w:rPr>
        <w:t>Banco de dados dos equipamentos ativos de TI com as informações de fabricação, modelo, peso, tamanho, portas de rede, requisitos energéticos e requisitos térmicos; Simulação e recomendação da melhor localização para alteração/instalação de equipamentos de TI com base nas disponibilidades de peso, espaço, energia e/ou refrigeração; Gerenciamento do fluxo de instalação dos equipamentos de TI, desde a sua entrega, armazenagem, montagem para teste e ativação, incluindo todos os ambientes pelo qual os equipamentos passarão ao longo do fluxo;</w:t>
      </w:r>
    </w:p>
    <w:p w14:paraId="4F068C41">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5.1.31. </w:t>
      </w:r>
      <w:r>
        <w:rPr>
          <w:rFonts w:hint="default" w:ascii="Arial" w:hAnsi="Arial" w:cs="Arial"/>
          <w:sz w:val="22"/>
          <w:szCs w:val="22"/>
        </w:rPr>
        <w:t>Gerenciamento da instalação de equipamentos nos ambientes de Centro de Processamento de Dados através de fluxo de trabalho, com abertura e agendamento das ordens de serviço; Monitoramento gráfico de potenciais oportunidades de redução de consumo de energia elétrica e refrigeração;</w:t>
      </w:r>
    </w:p>
    <w:p w14:paraId="2E2678B1">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5.1.32.</w:t>
      </w:r>
      <w:r>
        <w:rPr>
          <w:rFonts w:hint="default" w:ascii="Arial" w:hAnsi="Arial" w:cs="Arial"/>
          <w:sz w:val="22"/>
          <w:szCs w:val="22"/>
          <w:lang w:val="pt-BR"/>
        </w:rPr>
        <w:t xml:space="preserve"> </w:t>
      </w:r>
      <w:r>
        <w:rPr>
          <w:rFonts w:hint="default" w:ascii="Arial" w:hAnsi="Arial" w:cs="Arial"/>
          <w:sz w:val="22"/>
          <w:szCs w:val="22"/>
        </w:rPr>
        <w:t>Gerenciamento de inventário com falhas de dispositivos em tempo real e dados mostrados dentro do layout físico do ambiente Centro de Processamento de Dados; Tendências de capacidade e predições de consumo futuras, baseado nos dados históricos de utilização;</w:t>
      </w:r>
    </w:p>
    <w:p w14:paraId="2C93376D">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5.1.33.</w:t>
      </w:r>
      <w:r>
        <w:rPr>
          <w:rFonts w:hint="default" w:ascii="Arial" w:hAnsi="Arial" w:cs="Arial"/>
          <w:sz w:val="22"/>
          <w:szCs w:val="22"/>
          <w:lang w:val="pt-BR"/>
        </w:rPr>
        <w:t xml:space="preserve"> </w:t>
      </w:r>
      <w:r>
        <w:rPr>
          <w:rFonts w:hint="default" w:ascii="Arial" w:hAnsi="Arial" w:cs="Arial"/>
          <w:sz w:val="22"/>
          <w:szCs w:val="22"/>
        </w:rPr>
        <w:t>Quadro resumo de capacidades máximas e atuais dos recursos de infraestrutura do ambiente Centro de Processamento de Dados, como: energia elétrica, refrigeração, espaço físico e infraestrutura física de conectividade básica; Medição da eficiência energética do ambiente de Centro de Processamento de Dados em tempo real;</w:t>
      </w:r>
    </w:p>
    <w:p w14:paraId="45A99A47">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5.1.34. </w:t>
      </w:r>
      <w:r>
        <w:rPr>
          <w:rFonts w:hint="default" w:ascii="Arial" w:hAnsi="Arial" w:cs="Arial"/>
          <w:sz w:val="22"/>
          <w:szCs w:val="22"/>
        </w:rPr>
        <w:t>Módulos de análise térmica e energética; Configuração de rotas de rede para equipamentos selecionados graficamente no layout (por exemplo, entre um servidor e um switch ou entre dois switches);</w:t>
      </w:r>
    </w:p>
    <w:p w14:paraId="56439842">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5.1.35.</w:t>
      </w:r>
      <w:r>
        <w:rPr>
          <w:rFonts w:hint="default" w:ascii="Arial" w:hAnsi="Arial" w:cs="Arial"/>
          <w:sz w:val="22"/>
          <w:szCs w:val="22"/>
          <w:lang w:val="pt-BR"/>
        </w:rPr>
        <w:t xml:space="preserve"> </w:t>
      </w:r>
      <w:r>
        <w:rPr>
          <w:rFonts w:hint="default" w:ascii="Arial" w:hAnsi="Arial" w:cs="Arial"/>
          <w:sz w:val="22"/>
          <w:szCs w:val="22"/>
        </w:rPr>
        <w:t xml:space="preserve">Emissão automática e manual de relatórios gerenciais e rotineiros de todas as informações coletadas e disponíveis no sistema; O mecanismo de relatórios deverá ser nativo à solução, não sendo aceitas soluções que exijam software e/ou login adicional para esta funcionalidade; Toda a interface nativamente em português brasileiro ou língua inglesa; </w:t>
      </w:r>
    </w:p>
    <w:p w14:paraId="2C4A5B26">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5.1.36.</w:t>
      </w:r>
      <w:r>
        <w:rPr>
          <w:rFonts w:hint="default" w:ascii="Arial" w:hAnsi="Arial" w:cs="Arial"/>
          <w:sz w:val="22"/>
          <w:szCs w:val="22"/>
          <w:lang w:val="pt-BR"/>
        </w:rPr>
        <w:t xml:space="preserve"> </w:t>
      </w:r>
      <w:r>
        <w:rPr>
          <w:rFonts w:hint="default" w:ascii="Arial" w:hAnsi="Arial" w:cs="Arial"/>
          <w:sz w:val="22"/>
          <w:szCs w:val="22"/>
        </w:rPr>
        <w:t>Suporte a servidor de recuperação ou backup em locais remotos para retomar a operação em caso de um desastre; Servidor de recuperação de desastres com potencial de cópia atualizada do banco de dados do servidor de produção (servidor primário); Suporte a um ou mais servidores standby energizados no mesmo local para superar uma falha em tempo real e balanceamento de carga; e O software deve ser único para todo o gerenciamento, não serão aceitas soluções por script, módulos de diversos fabricantes integrados caseiramente (adaptações) etc.</w:t>
      </w:r>
    </w:p>
    <w:p w14:paraId="09DFE1A7">
      <w:pPr>
        <w:pStyle w:val="166"/>
        <w:pageBreakBefore w:val="0"/>
        <w:widowControl/>
        <w:kinsoku/>
        <w:wordWrap/>
        <w:overflowPunct/>
        <w:topLinePunct w:val="0"/>
        <w:autoSpaceDE/>
        <w:autoSpaceDN/>
        <w:bidi w:val="0"/>
        <w:adjustRightInd/>
        <w:snapToGrid/>
        <w:spacing w:before="0" w:line="360" w:lineRule="auto"/>
        <w:ind w:left="0" w:firstLine="0" w:firstLineChars="0"/>
        <w:jc w:val="both"/>
        <w:textAlignment w:val="auto"/>
        <w:rPr>
          <w:rFonts w:hint="default" w:ascii="Arial" w:hAnsi="Arial" w:cs="Arial"/>
          <w:b/>
          <w:bCs/>
          <w:sz w:val="22"/>
          <w:szCs w:val="22"/>
        </w:rPr>
      </w:pPr>
      <w:r>
        <w:rPr>
          <w:rFonts w:hint="default" w:ascii="Arial" w:hAnsi="Arial" w:cs="Arial"/>
          <w:b/>
          <w:bCs/>
          <w:sz w:val="22"/>
          <w:szCs w:val="22"/>
        </w:rPr>
        <w:t>Módulo de Monitoramento Ambiental</w:t>
      </w:r>
    </w:p>
    <w:p w14:paraId="1D62234B">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5.1.37.</w:t>
      </w:r>
      <w:r>
        <w:rPr>
          <w:rFonts w:hint="default" w:ascii="Arial" w:hAnsi="Arial" w:cs="Arial"/>
          <w:sz w:val="22"/>
          <w:szCs w:val="22"/>
          <w:lang w:val="pt-BR"/>
        </w:rPr>
        <w:t xml:space="preserve"> </w:t>
      </w:r>
      <w:r>
        <w:rPr>
          <w:rFonts w:hint="default" w:ascii="Arial" w:hAnsi="Arial" w:cs="Arial"/>
          <w:sz w:val="22"/>
          <w:szCs w:val="22"/>
        </w:rPr>
        <w:t>Módulo de Monitoramento Ambiental</w:t>
      </w:r>
    </w:p>
    <w:p w14:paraId="093BF977">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5.1.38.</w:t>
      </w:r>
      <w:r>
        <w:rPr>
          <w:rFonts w:hint="default" w:ascii="Arial" w:hAnsi="Arial" w:cs="Arial"/>
          <w:sz w:val="22"/>
          <w:szCs w:val="22"/>
          <w:lang w:val="pt-BR"/>
        </w:rPr>
        <w:t xml:space="preserve"> </w:t>
      </w:r>
      <w:r>
        <w:rPr>
          <w:rFonts w:hint="default" w:ascii="Arial" w:hAnsi="Arial" w:cs="Arial"/>
          <w:sz w:val="22"/>
          <w:szCs w:val="22"/>
        </w:rPr>
        <w:t>Dispositivo com arquitetura modular e escalável, para segurança e monitoramento ambiental; Capacidade de detectar ameaças físicas ao ambiente de TI sejam elas ambientais ou humanas; Integração e monitoração de dispositivos sensoriais (sensores); e Função de monitoramento de acesso através de câmeras de vigilância e sensores de abertura de portas de racks:</w:t>
      </w:r>
    </w:p>
    <w:p w14:paraId="0A6D2C14">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5.1.39.</w:t>
      </w:r>
      <w:r>
        <w:rPr>
          <w:rFonts w:hint="default" w:ascii="Arial" w:hAnsi="Arial" w:cs="Arial"/>
          <w:sz w:val="22"/>
          <w:szCs w:val="22"/>
          <w:lang w:val="pt-BR"/>
        </w:rPr>
        <w:t xml:space="preserve"> </w:t>
      </w:r>
      <w:r>
        <w:rPr>
          <w:rFonts w:hint="default" w:ascii="Arial" w:hAnsi="Arial" w:cs="Arial"/>
          <w:sz w:val="22"/>
          <w:szCs w:val="22"/>
        </w:rPr>
        <w:t>04 (quatro) portas/interfaces para 04 (quatro) câmeras IP, que devem ser fornecidas em conjunto; e 16 (dezesseis) portas/interfaces para sensores ambientais universais, que devem ser fornecidos em conjunto.</w:t>
      </w:r>
    </w:p>
    <w:p w14:paraId="02380979">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5.1.40.</w:t>
      </w:r>
      <w:r>
        <w:rPr>
          <w:rFonts w:hint="default" w:ascii="Arial" w:hAnsi="Arial" w:cs="Arial"/>
          <w:sz w:val="22"/>
          <w:szCs w:val="22"/>
          <w:lang w:val="pt-BR"/>
        </w:rPr>
        <w:t xml:space="preserve"> </w:t>
      </w:r>
      <w:r>
        <w:rPr>
          <w:rFonts w:hint="default" w:ascii="Arial" w:hAnsi="Arial" w:cs="Arial"/>
          <w:sz w:val="22"/>
          <w:szCs w:val="22"/>
        </w:rPr>
        <w:t>Dispositivo com 1U de espaço com todas as peças necessárias para instalação horizontal em rack padrão 19'' (dezenove polegadas); Sistema acessado remotamente a partir de estações de trabalho com uso de cliente (aplicação instalada localmente) ou através de uma conexão HTTP ou HTTPS; Envio de alertas por e-mail a partir dos sensores integrados e monitorados; Interface de monitoramento com exibição dos status dos sensores e vídeos; e Configuração de alarmes e opções de notificação a partir dos status configurados nos sensores monitorados.</w:t>
      </w:r>
    </w:p>
    <w:p w14:paraId="0B70B574">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b/>
          <w:bCs/>
          <w:sz w:val="22"/>
          <w:szCs w:val="22"/>
        </w:rPr>
      </w:pPr>
      <w:r>
        <w:rPr>
          <w:rFonts w:hint="default" w:ascii="Arial" w:hAnsi="Arial" w:cs="Arial"/>
          <w:b/>
          <w:bCs/>
          <w:sz w:val="22"/>
          <w:szCs w:val="22"/>
          <w:lang w:val="pt-BR"/>
        </w:rPr>
        <w:t xml:space="preserve">5.1.41. </w:t>
      </w:r>
      <w:r>
        <w:rPr>
          <w:rFonts w:hint="default" w:ascii="Arial" w:hAnsi="Arial" w:cs="Arial"/>
          <w:b/>
          <w:bCs/>
          <w:sz w:val="22"/>
          <w:szCs w:val="22"/>
        </w:rPr>
        <w:t>Módulo de Supervisão Ambiental</w:t>
      </w:r>
    </w:p>
    <w:p w14:paraId="10D41585">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5.1.42.</w:t>
      </w:r>
      <w:r>
        <w:rPr>
          <w:rFonts w:hint="default" w:ascii="Arial" w:hAnsi="Arial" w:cs="Arial"/>
          <w:sz w:val="22"/>
          <w:szCs w:val="22"/>
          <w:lang w:val="pt-BR"/>
        </w:rPr>
        <w:t xml:space="preserve"> </w:t>
      </w:r>
      <w:r>
        <w:rPr>
          <w:rFonts w:hint="default" w:ascii="Arial" w:hAnsi="Arial" w:cs="Arial"/>
          <w:sz w:val="22"/>
          <w:szCs w:val="22"/>
        </w:rPr>
        <w:t>Sistema completamente escalável e escalonável que colete, organize e distribua alertas críticos, vídeos de vigilância e todo tipo de informações-chave como energia, refrigeração, segurança, aspectos ambientais. Integrações com outros sistemas, permitindo visão unificada e monitoramento em tempo real dos ambientes;</w:t>
      </w:r>
    </w:p>
    <w:p w14:paraId="4C04A81D">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5.1.43.</w:t>
      </w:r>
      <w:r>
        <w:rPr>
          <w:rFonts w:hint="default" w:ascii="Arial" w:hAnsi="Arial" w:cs="Arial"/>
          <w:sz w:val="22"/>
          <w:szCs w:val="22"/>
          <w:lang w:val="pt-BR"/>
        </w:rPr>
        <w:t xml:space="preserve"> </w:t>
      </w:r>
      <w:r>
        <w:rPr>
          <w:rFonts w:hint="default" w:ascii="Arial" w:hAnsi="Arial" w:cs="Arial"/>
          <w:sz w:val="22"/>
          <w:szCs w:val="22"/>
        </w:rPr>
        <w:t>Capacidade de supervisão mínima de 200 dispositivos, via protocolos proprietários, SNMP e Modbus, com uma arquitetura flexível de forma a permitir o crescimento da estrutura monitorada (pontos e dispositivos monitorados) através de aquisição de licenças adicionais, sem a necessidade de reinstalação do software/base de dados, upgrade do software ou qualquer tipo de alteração na instalação existente;</w:t>
      </w:r>
    </w:p>
    <w:p w14:paraId="6FD16C8D">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5.1.44.</w:t>
      </w:r>
      <w:r>
        <w:rPr>
          <w:rFonts w:hint="default" w:ascii="Arial" w:hAnsi="Arial" w:cs="Arial"/>
          <w:sz w:val="22"/>
          <w:szCs w:val="22"/>
          <w:lang w:val="pt-BR"/>
        </w:rPr>
        <w:t xml:space="preserve"> </w:t>
      </w:r>
      <w:r>
        <w:rPr>
          <w:rFonts w:hint="default" w:ascii="Arial" w:hAnsi="Arial" w:cs="Arial"/>
          <w:sz w:val="22"/>
          <w:szCs w:val="22"/>
        </w:rPr>
        <w:t>Fornecido em forma de um aparelho servidor físico ou host de virtualização para o caso de que haja 01 (uma) VMWare na forma OVA (Open Virtualization Archive), deve ser nativamente em língua Portuguesa Brasileira;</w:t>
      </w:r>
    </w:p>
    <w:p w14:paraId="2213E2A8">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5.1.45.</w:t>
      </w:r>
      <w:r>
        <w:rPr>
          <w:rFonts w:hint="default" w:ascii="Arial" w:hAnsi="Arial" w:cs="Arial"/>
          <w:sz w:val="22"/>
          <w:szCs w:val="22"/>
          <w:lang w:val="pt-BR"/>
        </w:rPr>
        <w:t xml:space="preserve"> </w:t>
      </w:r>
      <w:r>
        <w:rPr>
          <w:rFonts w:hint="default" w:ascii="Arial" w:hAnsi="Arial" w:cs="Arial"/>
          <w:sz w:val="22"/>
          <w:szCs w:val="22"/>
        </w:rPr>
        <w:t xml:space="preserve">Sistema centralizado e acessado remotamente a partir de um dispositivo móvel ou estações de trabalho com uso de cliente (aplicação instalada localmente) ou através de uma conexão HTTP ou HTTPS, não serão aceitos sistemas que prevejam serviços baseados no cliente, dada à necessidade de centralização e unificação das informações, a ser feita exclusivamente no servidor, de forma a permitir que todos os usuários possuam sempre a informação mais atualizada e confiável possível; </w:t>
      </w:r>
    </w:p>
    <w:p w14:paraId="082D8A07">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5.1.46. </w:t>
      </w:r>
      <w:r>
        <w:rPr>
          <w:rFonts w:hint="default" w:ascii="Arial" w:hAnsi="Arial" w:cs="Arial"/>
          <w:sz w:val="22"/>
          <w:szCs w:val="22"/>
        </w:rPr>
        <w:t>Suporte à integração com Microsoft System Center Operations Manager, Microsoft System Center Essentials. Sendo de API aberta de integração via Web Services e deverá ser fornecida uma documentação (guia) completa desta API;</w:t>
      </w:r>
    </w:p>
    <w:p w14:paraId="323D2597">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5.1.47.</w:t>
      </w:r>
      <w:r>
        <w:rPr>
          <w:rFonts w:hint="default" w:ascii="Arial" w:hAnsi="Arial" w:cs="Arial"/>
          <w:sz w:val="22"/>
          <w:szCs w:val="22"/>
          <w:lang w:val="pt-BR"/>
        </w:rPr>
        <w:t xml:space="preserve"> </w:t>
      </w:r>
      <w:r>
        <w:rPr>
          <w:rFonts w:hint="default" w:ascii="Arial" w:hAnsi="Arial" w:cs="Arial"/>
          <w:sz w:val="22"/>
          <w:szCs w:val="22"/>
        </w:rPr>
        <w:t xml:space="preserve">Deve enviar alertas por e-mail pelo servidor e SNMP traps para sistemas de gestão de rede, além de alertas via Web Services da API; Todas as características de envios de alertas e eventos deverão ser nativas da arquitetura de notificações do sistema, não sendo aceitas soluções que contemplem qualquer tipo de gateway (software ou hardware) ou outra forma de implementação, que não diretamente relacionada ao fabricante do sistema e nativamente do sistema; </w:t>
      </w:r>
    </w:p>
    <w:p w14:paraId="5F8DC8C7">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5.1.48. </w:t>
      </w:r>
      <w:r>
        <w:rPr>
          <w:rFonts w:hint="default" w:ascii="Arial" w:hAnsi="Arial" w:cs="Arial"/>
          <w:sz w:val="22"/>
          <w:szCs w:val="22"/>
        </w:rPr>
        <w:t xml:space="preserve">Suporte a acesso web pelo navegador padrão de dispositivos móveis (smartphones e tablets) no mínimo nas versões Android®, iOS e iPad® e para estações de trabalho nos seguintes navegadores: Microsoft Internet Explorer, Google Chrome, Mozilla Firefox ou Safari; Aplicação cliente com suporte mínimo à Microsoft Windows Server 2003 (SP2), Microsoft Windows 7 ou superior, Red Hat Enterprise Linux v5.0; </w:t>
      </w:r>
    </w:p>
    <w:p w14:paraId="57C43E85">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5.1.49.</w:t>
      </w:r>
      <w:r>
        <w:rPr>
          <w:rFonts w:hint="default" w:ascii="Arial" w:hAnsi="Arial" w:cs="Arial"/>
          <w:sz w:val="22"/>
          <w:szCs w:val="22"/>
          <w:lang w:val="pt-BR"/>
        </w:rPr>
        <w:t xml:space="preserve"> </w:t>
      </w:r>
      <w:r>
        <w:rPr>
          <w:rFonts w:hint="default" w:ascii="Arial" w:hAnsi="Arial" w:cs="Arial"/>
          <w:sz w:val="22"/>
          <w:szCs w:val="22"/>
        </w:rPr>
        <w:t xml:space="preserve">Deverá permitir a comunicação cliente/servidor via conexão encriptada SSL de no mínimo 128 bits e suportar o protocolo OpenLDAP, com integração com ActiveDirectory do Microsoft Windows; Permitirá buscar automaticamente novos dispositivos na rede por faixa de IP, para todos os tipos de dispositivos e protocolos suportados; Os pontos disponibilizados deverão incluir os dispositivos de terceiros integrados ao sistema via qualquer protocolo; </w:t>
      </w:r>
    </w:p>
    <w:p w14:paraId="1153A730">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5.1.50.</w:t>
      </w:r>
      <w:r>
        <w:rPr>
          <w:rFonts w:hint="default" w:ascii="Arial" w:hAnsi="Arial" w:cs="Arial"/>
          <w:sz w:val="22"/>
          <w:szCs w:val="22"/>
          <w:lang w:val="pt-BR"/>
        </w:rPr>
        <w:t xml:space="preserve"> </w:t>
      </w:r>
      <w:r>
        <w:rPr>
          <w:rFonts w:hint="default" w:ascii="Arial" w:hAnsi="Arial" w:cs="Arial"/>
          <w:sz w:val="22"/>
          <w:szCs w:val="22"/>
        </w:rPr>
        <w:t>Possuir interface amigável, não sendo aceitas em nenhuma hipótese soluções que exijam programação e/ou alteração de parâmetros via linhas de comando ou scripts de texto de qualquer tipo, obrigatoriamente, que não a simples alteração de parâmetros em interface amigável; Com integração, visualização e gravação de imagens de câmeras próprias, câmeras de sistemas legados e de terceiros. Em nenhuma hipótese serão aceitas soluções que suportem, exijam ou utilizem conexão RS-232 direta ou indiretamente (mesmo com o uso de conversores) ao servidor;</w:t>
      </w:r>
    </w:p>
    <w:p w14:paraId="78CCB051">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5.1.51. </w:t>
      </w:r>
      <w:r>
        <w:rPr>
          <w:rFonts w:hint="default" w:ascii="Arial" w:hAnsi="Arial" w:cs="Arial"/>
          <w:sz w:val="22"/>
          <w:szCs w:val="22"/>
        </w:rPr>
        <w:t xml:space="preserve">O sistema deverá suportar a leitura via protocolo Modbus/RTU (RS-485) somente via conversor proprietário (do mesmo fabricante da solução) de modo a disponibilizar os dados das linhas em Modbus/RTU (RS-485) em Modbus/TCP ao sistema, ou seja, não serão aceitas conexões seriais, de nenhum tipo, diretamente ao servidor, seja ele em forma física ou virtualizada; </w:t>
      </w:r>
    </w:p>
    <w:p w14:paraId="5E266460">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5.1.52. </w:t>
      </w:r>
      <w:r>
        <w:rPr>
          <w:rFonts w:hint="default" w:ascii="Arial" w:hAnsi="Arial" w:cs="Arial"/>
          <w:sz w:val="22"/>
          <w:szCs w:val="22"/>
        </w:rPr>
        <w:t xml:space="preserve">Deverá apresentar perspectiva de monitoramento e vigilância para exibir o status do dispositivo, dados, eventos e vídeo, com uma perspectiva de configuração de alarmes e fornecer opções de notificação; Deverá permitir acessar relatórios sobre dispositivos monitorados e fornecer configuração e opções sobre gráficos de tendências. Esses gráficos deverão contemplar todos os tipos de dados lidos pelo sistema, como temperaturas, umidades, tensões, correntes, potências, frequências, energias, ponto de orvalho, velocidades/fluxos de ar, no mínimo; </w:t>
      </w:r>
    </w:p>
    <w:p w14:paraId="5A708E27">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5.1.53.</w:t>
      </w:r>
      <w:r>
        <w:rPr>
          <w:rFonts w:hint="default" w:ascii="Arial" w:hAnsi="Arial" w:cs="Arial"/>
          <w:sz w:val="22"/>
          <w:szCs w:val="22"/>
          <w:lang w:val="pt-BR"/>
        </w:rPr>
        <w:t xml:space="preserve"> </w:t>
      </w:r>
      <w:r>
        <w:rPr>
          <w:rFonts w:hint="default" w:ascii="Arial" w:hAnsi="Arial" w:cs="Arial"/>
          <w:sz w:val="22"/>
          <w:szCs w:val="22"/>
        </w:rPr>
        <w:t xml:space="preserve">Deverá permitir configuração em massa de dispositivos semelhantes, para todos os tipos de dispositivos; Deverá permitir atualização de firmware em massa de dispositivos semelhantes; leitura e armazenamento de dados dos Sistemas de Alimentação Ininterrupta (UPS), Unidades de Distribuição de Energia (PDUs), Rack PDUs (rPDU), ar condicionado (CRACs), sensores ambientais, Switches de Transferência automática (ATS), câmera de vigilância do fabricante da solução e de terceiros, dispositivos de terceiros via SNMP ou Modbus (UPS, PDU, CRAC, e rPDU) e outros sistemas de infraestrutura, conforme especificado; </w:t>
      </w:r>
    </w:p>
    <w:p w14:paraId="31A2ECA8">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5.1.54.</w:t>
      </w:r>
      <w:r>
        <w:rPr>
          <w:rFonts w:hint="default" w:ascii="Arial" w:hAnsi="Arial" w:cs="Arial"/>
          <w:sz w:val="22"/>
          <w:szCs w:val="22"/>
          <w:lang w:val="pt-BR"/>
        </w:rPr>
        <w:t xml:space="preserve"> </w:t>
      </w:r>
      <w:r>
        <w:rPr>
          <w:rFonts w:hint="default" w:ascii="Arial" w:hAnsi="Arial" w:cs="Arial"/>
          <w:sz w:val="22"/>
          <w:szCs w:val="22"/>
        </w:rPr>
        <w:t>Deverá permitir organização e apresentação gráfica de dispositivos de acordo com a localização física e estrutura organizacional; Deverá vir com o conjunto 02 (dois) dispositivos de Alarme Visual com sirene visual de iluminação rotativa ativada por qualquer tipo de alarme ou evento ocorrido no sistema de monitoramento ambiental. Dispositivo para monitoração de imagens do ambiente com a comunicação e compatibilidade com o módulo de supervisão ambiental;</w:t>
      </w:r>
    </w:p>
    <w:p w14:paraId="50E07648">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5.1.55. </w:t>
      </w:r>
      <w:r>
        <w:rPr>
          <w:rFonts w:hint="default" w:ascii="Arial" w:hAnsi="Arial" w:cs="Arial"/>
          <w:sz w:val="22"/>
          <w:szCs w:val="22"/>
        </w:rPr>
        <w:t>Possuir gerenciamento dos sensores de Detecção de Abertura de Portas de Racks 19'', que devem vir 01(um) sensor para cada Rack de TI e UPS de racks de 19", permitindo a comunicação e compatibilidade com o módulo de supervisão ambiental;</w:t>
      </w:r>
    </w:p>
    <w:p w14:paraId="4A7A4333">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5.1.56.</w:t>
      </w:r>
      <w:r>
        <w:rPr>
          <w:rFonts w:hint="default" w:ascii="Arial" w:hAnsi="Arial" w:cs="Arial"/>
          <w:sz w:val="22"/>
          <w:szCs w:val="22"/>
          <w:lang w:val="pt-BR"/>
        </w:rPr>
        <w:t xml:space="preserve"> </w:t>
      </w:r>
      <w:r>
        <w:rPr>
          <w:rFonts w:hint="default" w:ascii="Arial" w:hAnsi="Arial" w:cs="Arial"/>
          <w:sz w:val="22"/>
          <w:szCs w:val="22"/>
        </w:rPr>
        <w:t>Sensor de Detecção de Líquidos e Água, que devem vir 01(um) para cada Rack Evaporadora, com Sensor para monitoração da presença de líquidos no piso que permite a comunicação e compatibilidade com o módulo de supervisão ambiental;</w:t>
      </w:r>
    </w:p>
    <w:p w14:paraId="31AA5578">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5.1.57.</w:t>
      </w:r>
      <w:r>
        <w:rPr>
          <w:rFonts w:hint="default" w:ascii="Arial" w:hAnsi="Arial" w:cs="Arial"/>
          <w:sz w:val="22"/>
          <w:szCs w:val="22"/>
          <w:lang w:val="pt-BR"/>
        </w:rPr>
        <w:t xml:space="preserve"> </w:t>
      </w:r>
      <w:r>
        <w:rPr>
          <w:rFonts w:hint="default" w:ascii="Arial" w:hAnsi="Arial" w:cs="Arial"/>
          <w:sz w:val="22"/>
          <w:szCs w:val="22"/>
        </w:rPr>
        <w:t>Sensor Temperatura e Umidade que devem vir 03(três) para cada Rack de TI e UPS, com Sensor para monitoração a temperatura e umidade do ambiente que permite a comunicação e compatibilidade com o módulo de supervisão ambiental.</w:t>
      </w:r>
    </w:p>
    <w:p w14:paraId="416B9EE6">
      <w:pPr>
        <w:pStyle w:val="166"/>
        <w:pageBreakBefore w:val="0"/>
        <w:widowControl/>
        <w:kinsoku/>
        <w:wordWrap/>
        <w:overflowPunct/>
        <w:topLinePunct w:val="0"/>
        <w:autoSpaceDE/>
        <w:autoSpaceDN/>
        <w:bidi w:val="0"/>
        <w:adjustRightInd/>
        <w:snapToGrid/>
        <w:spacing w:before="0" w:line="360" w:lineRule="auto"/>
        <w:ind w:left="0" w:firstLine="0" w:firstLineChars="0"/>
        <w:jc w:val="both"/>
        <w:textAlignment w:val="auto"/>
        <w:rPr>
          <w:rFonts w:hint="default" w:ascii="Arial" w:hAnsi="Arial" w:cs="Arial"/>
          <w:b/>
          <w:bCs w:val="0"/>
          <w:sz w:val="22"/>
          <w:szCs w:val="22"/>
        </w:rPr>
      </w:pPr>
      <w:r>
        <w:rPr>
          <w:rFonts w:hint="default" w:ascii="Arial" w:hAnsi="Arial" w:cs="Arial"/>
          <w:b/>
          <w:bCs w:val="0"/>
          <w:sz w:val="22"/>
          <w:szCs w:val="22"/>
        </w:rPr>
        <w:t>Sistema de Detecção Precoce de fumaça</w:t>
      </w:r>
    </w:p>
    <w:p w14:paraId="3386A6FA">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5.1.58. </w:t>
      </w:r>
      <w:r>
        <w:rPr>
          <w:rFonts w:hint="default" w:ascii="Arial" w:hAnsi="Arial" w:cs="Arial"/>
          <w:sz w:val="22"/>
          <w:szCs w:val="22"/>
        </w:rPr>
        <w:t xml:space="preserve">Sistema de Detecção Precoce de fumaça  </w:t>
      </w:r>
    </w:p>
    <w:p w14:paraId="610758EC">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5.1.59.</w:t>
      </w:r>
      <w:r>
        <w:rPr>
          <w:rFonts w:hint="default" w:ascii="Arial" w:hAnsi="Arial" w:cs="Arial"/>
          <w:sz w:val="22"/>
          <w:szCs w:val="22"/>
          <w:lang w:val="pt-BR"/>
        </w:rPr>
        <w:t xml:space="preserve"> </w:t>
      </w:r>
      <w:r>
        <w:rPr>
          <w:rFonts w:hint="default" w:ascii="Arial" w:hAnsi="Arial" w:cs="Arial"/>
          <w:sz w:val="22"/>
          <w:szCs w:val="22"/>
        </w:rPr>
        <w:t>Deverá monitorar a existência de fumaça no ambiente a partir da aspiração forçada do ar e da análise do mesmo por elemento à laser e que permite a comunicação e compatibilidade com o módulo de supervisão ambiental;</w:t>
      </w:r>
    </w:p>
    <w:p w14:paraId="566D03D8">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5.1.60. </w:t>
      </w:r>
      <w:r>
        <w:rPr>
          <w:rFonts w:hint="default" w:ascii="Arial" w:hAnsi="Arial" w:cs="Arial"/>
          <w:sz w:val="22"/>
          <w:szCs w:val="22"/>
        </w:rPr>
        <w:t xml:space="preserve">Deverá ser fornecido acompanhado de suas fontes de alimentação; Deverá possuir temperatura de operação com as seguintes características mínimas: -10 to +60 0C; Deverá possuir Umidade de Operação com as seguintes características mínimas: 0-90% não condensado; </w:t>
      </w:r>
    </w:p>
    <w:p w14:paraId="4A60F1BE">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5.1.61.</w:t>
      </w:r>
      <w:r>
        <w:rPr>
          <w:rFonts w:hint="default" w:ascii="Arial" w:hAnsi="Arial" w:cs="Arial"/>
          <w:sz w:val="22"/>
          <w:szCs w:val="22"/>
          <w:lang w:val="pt-BR"/>
        </w:rPr>
        <w:t xml:space="preserve"> </w:t>
      </w:r>
      <w:r>
        <w:rPr>
          <w:rFonts w:hint="default" w:ascii="Arial" w:hAnsi="Arial" w:cs="Arial"/>
          <w:sz w:val="22"/>
          <w:szCs w:val="22"/>
        </w:rPr>
        <w:t>Deverá possuir Sensibilidade (Obsc/m) com as seguintes características mínimas: Min = 25% Max = 0.03%; Deverá possuir Sensitividade em partículas com as seguintes características mínimas: 0.003 a 10 microns; Deverá ser dimensionado e instalado para atender a volumetria da sala, incluindo área sob o piso elevado e sobre o forro; e Deverá possuir tamanho máximo da tubulação de 100 metros.</w:t>
      </w:r>
    </w:p>
    <w:p w14:paraId="44DADAA7">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5.1.62.</w:t>
      </w:r>
      <w:r>
        <w:rPr>
          <w:rFonts w:hint="default" w:ascii="Arial" w:hAnsi="Arial" w:cs="Arial"/>
          <w:sz w:val="22"/>
          <w:szCs w:val="22"/>
          <w:lang w:val="pt-BR"/>
        </w:rPr>
        <w:t xml:space="preserve"> </w:t>
      </w:r>
      <w:r>
        <w:rPr>
          <w:rFonts w:hint="default" w:ascii="Arial" w:hAnsi="Arial" w:cs="Arial"/>
          <w:sz w:val="22"/>
          <w:szCs w:val="22"/>
        </w:rPr>
        <w:t>Sistema de Combate de Incêndio por Gás Inerte</w:t>
      </w:r>
    </w:p>
    <w:p w14:paraId="77C5BD79">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5.1.63.</w:t>
      </w:r>
      <w:r>
        <w:rPr>
          <w:rFonts w:hint="default" w:ascii="Arial" w:hAnsi="Arial" w:cs="Arial"/>
          <w:sz w:val="22"/>
          <w:szCs w:val="22"/>
          <w:lang w:val="pt-BR"/>
        </w:rPr>
        <w:t xml:space="preserve"> </w:t>
      </w:r>
      <w:r>
        <w:rPr>
          <w:rFonts w:hint="default" w:ascii="Arial" w:hAnsi="Arial" w:cs="Arial"/>
          <w:sz w:val="22"/>
          <w:szCs w:val="22"/>
        </w:rPr>
        <w:t xml:space="preserve">Deverá suprimir o fogo por gás inerte HFC-227, permitindo a comunicação e compatibilidade com o módulo de supervisão ambiental; </w:t>
      </w:r>
    </w:p>
    <w:p w14:paraId="15A2D3DC">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5.1.64.</w:t>
      </w:r>
      <w:r>
        <w:rPr>
          <w:rFonts w:hint="default" w:ascii="Arial" w:hAnsi="Arial" w:cs="Arial"/>
          <w:sz w:val="22"/>
          <w:szCs w:val="22"/>
          <w:lang w:val="pt-BR"/>
        </w:rPr>
        <w:t xml:space="preserve"> </w:t>
      </w:r>
      <w:r>
        <w:rPr>
          <w:rFonts w:hint="default" w:ascii="Arial" w:hAnsi="Arial" w:cs="Arial"/>
          <w:sz w:val="22"/>
          <w:szCs w:val="22"/>
        </w:rPr>
        <w:t xml:space="preserve">Deverão ser instalados cilindros modulares de gás HFC-227 adequados ao volume do ambiente. Os cilindros deverão ser providos de válvulas de descarga rápida, atuadores elétricos (acompanhados das fontes de alimentação), difusores especiais de gás HFC-227 e suportes de fixação dos cilindros no teto e / ou parede; </w:t>
      </w:r>
    </w:p>
    <w:p w14:paraId="5C548998">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5.1.65.</w:t>
      </w:r>
      <w:r>
        <w:rPr>
          <w:rFonts w:hint="default" w:ascii="Arial" w:hAnsi="Arial" w:cs="Arial"/>
          <w:sz w:val="22"/>
          <w:szCs w:val="22"/>
          <w:lang w:val="pt-BR"/>
        </w:rPr>
        <w:t xml:space="preserve"> </w:t>
      </w:r>
      <w:r>
        <w:rPr>
          <w:rFonts w:hint="default" w:ascii="Arial" w:hAnsi="Arial" w:cs="Arial"/>
          <w:sz w:val="22"/>
          <w:szCs w:val="22"/>
        </w:rPr>
        <w:t>O sistema de HFC-227 deverá ser totalmente automático sendo acionado através do sistema de detecção e alarme de incêndio e as válvulas dos cilindros de HFC-227 providas de dispositivo para acionamento elétrico através do sistema de detecção, além de acionamento manual;</w:t>
      </w:r>
    </w:p>
    <w:p w14:paraId="0C54206E">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5.1.66.</w:t>
      </w:r>
      <w:r>
        <w:rPr>
          <w:rFonts w:hint="default" w:ascii="Arial" w:hAnsi="Arial" w:cs="Arial"/>
          <w:sz w:val="22"/>
          <w:szCs w:val="22"/>
          <w:lang w:val="pt-BR"/>
        </w:rPr>
        <w:t xml:space="preserve"> </w:t>
      </w:r>
      <w:r>
        <w:rPr>
          <w:rFonts w:hint="default" w:ascii="Arial" w:hAnsi="Arial" w:cs="Arial"/>
          <w:sz w:val="22"/>
          <w:szCs w:val="22"/>
        </w:rPr>
        <w:t xml:space="preserve">O sistema de supressão por gás HFC-227 deverá estar em conformidade com as normas da N.F.P.A – National Fire Protection Association – Standard 2001 – (Clean Agent Fire Extinguishing Systems). </w:t>
      </w:r>
    </w:p>
    <w:p w14:paraId="5F138304">
      <w:pPr>
        <w:pStyle w:val="166"/>
        <w:pageBreakBefore w:val="0"/>
        <w:widowControl/>
        <w:kinsoku/>
        <w:wordWrap/>
        <w:overflowPunct/>
        <w:topLinePunct w:val="0"/>
        <w:autoSpaceDE/>
        <w:autoSpaceDN/>
        <w:bidi w:val="0"/>
        <w:adjustRightInd/>
        <w:snapToGrid/>
        <w:spacing w:before="0" w:line="360" w:lineRule="auto"/>
        <w:ind w:left="0" w:firstLine="0" w:firstLineChars="0"/>
        <w:jc w:val="both"/>
        <w:textAlignment w:val="auto"/>
        <w:rPr>
          <w:rFonts w:hint="default" w:ascii="Arial" w:hAnsi="Arial" w:cs="Arial"/>
          <w:b/>
          <w:bCs/>
          <w:sz w:val="22"/>
          <w:szCs w:val="22"/>
        </w:rPr>
      </w:pPr>
      <w:r>
        <w:rPr>
          <w:rFonts w:hint="default" w:ascii="Arial" w:hAnsi="Arial" w:cs="Arial"/>
          <w:b/>
          <w:bCs/>
          <w:sz w:val="22"/>
          <w:szCs w:val="22"/>
        </w:rPr>
        <w:t>Leitora de Acesso Biométrico</w:t>
      </w:r>
    </w:p>
    <w:p w14:paraId="561B8763">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5.1.67.</w:t>
      </w:r>
      <w:r>
        <w:rPr>
          <w:rFonts w:hint="default" w:ascii="Arial" w:hAnsi="Arial" w:cs="Arial"/>
          <w:sz w:val="22"/>
          <w:szCs w:val="22"/>
          <w:lang w:val="pt-BR"/>
        </w:rPr>
        <w:t xml:space="preserve"> </w:t>
      </w:r>
      <w:r>
        <w:rPr>
          <w:rFonts w:hint="default" w:ascii="Arial" w:hAnsi="Arial" w:cs="Arial"/>
          <w:sz w:val="22"/>
          <w:szCs w:val="22"/>
        </w:rPr>
        <w:t xml:space="preserve">Leitora de Acesso Biométrico </w:t>
      </w:r>
    </w:p>
    <w:p w14:paraId="653D3662">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5.1.68.</w:t>
      </w:r>
      <w:r>
        <w:rPr>
          <w:rFonts w:hint="default" w:ascii="Arial" w:hAnsi="Arial" w:cs="Arial"/>
          <w:sz w:val="22"/>
          <w:szCs w:val="22"/>
          <w:lang w:val="pt-BR"/>
        </w:rPr>
        <w:t xml:space="preserve"> </w:t>
      </w:r>
      <w:r>
        <w:rPr>
          <w:rFonts w:hint="default" w:ascii="Arial" w:hAnsi="Arial" w:cs="Arial"/>
          <w:sz w:val="22"/>
          <w:szCs w:val="22"/>
        </w:rPr>
        <w:t xml:space="preserve">Deverá ser instalada uma leitora biométrica com código numérico; e Deverá incluir a fechadura eletromagnética com força compatível ao peso da porta, botão de saída, mola da porta e barra anti-pânico; </w:t>
      </w:r>
    </w:p>
    <w:p w14:paraId="7B04DC75">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5.1.69. </w:t>
      </w:r>
      <w:r>
        <w:rPr>
          <w:rFonts w:hint="default" w:ascii="Arial" w:hAnsi="Arial" w:cs="Arial"/>
          <w:sz w:val="22"/>
          <w:szCs w:val="22"/>
        </w:rPr>
        <w:t>Deverá efetuar o gerenciamento e controle de acesso de pessoas através do reconhecimento de dados biométricos das mesmas, com os seguintes requisitos mínimos: Deverá possuir Capacidade de 500 usuários; Deverá possuir Memória: 30.000 registros; Deverá possuir Comunicação em TCP/IP; RS 232; RS 485 Wiegand; Deverá possuir Opções de acesso com 30 faixas horárias / grupos / combinações; Deverá possuir Apontamento: Digital e senha+digital; Deverá possuir Tipos de validação: 1:1 / 1:N; Deverá possuir Display em LCD; Deverá possuir Sensor: ótico 500 dpi; Deverá possuir Tempo de identificação: &lt;=2s; Deverá possuir FAR (Taxa Falsa Aceitação): &lt;=0.0001%; e Deverá possuir FRR (Taxa Falsa Rejeição): &lt;=1%.</w:t>
      </w:r>
    </w:p>
    <w:p w14:paraId="26B9FEDB">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p>
    <w:p w14:paraId="0B34E000">
      <w:pPr>
        <w:pStyle w:val="166"/>
        <w:pageBreakBefore w:val="0"/>
        <w:widowControl/>
        <w:kinsoku/>
        <w:wordWrap/>
        <w:overflowPunct/>
        <w:topLinePunct w:val="0"/>
        <w:autoSpaceDE/>
        <w:autoSpaceDN/>
        <w:bidi w:val="0"/>
        <w:adjustRightInd/>
        <w:snapToGrid/>
        <w:spacing w:before="0" w:line="360" w:lineRule="auto"/>
        <w:ind w:left="0" w:firstLine="0" w:firstLineChars="0"/>
        <w:jc w:val="both"/>
        <w:textAlignment w:val="auto"/>
        <w:rPr>
          <w:rFonts w:hint="default" w:ascii="Arial" w:hAnsi="Arial" w:cs="Arial"/>
          <w:sz w:val="22"/>
          <w:szCs w:val="22"/>
        </w:rPr>
      </w:pPr>
      <w:r>
        <w:rPr>
          <w:rFonts w:hint="default" w:ascii="Arial" w:hAnsi="Arial" w:cs="Arial"/>
          <w:b/>
          <w:bCs/>
          <w:sz w:val="22"/>
          <w:szCs w:val="22"/>
        </w:rPr>
        <w:t>ESPECIFICAÇÕES TÉCNICAS DOS SERVIÇOS DE TI</w:t>
      </w:r>
    </w:p>
    <w:p w14:paraId="709FD1A4">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5.1.70. </w:t>
      </w:r>
      <w:r>
        <w:rPr>
          <w:rFonts w:hint="default" w:ascii="Arial" w:hAnsi="Arial" w:cs="Arial"/>
          <w:sz w:val="22"/>
          <w:szCs w:val="22"/>
        </w:rPr>
        <w:t>Serviços de instalação, configuração e integração dos subsistemas do Centro de Processamento de Dados, retornando todo o ambiente do CPD da PREFEITURA ao pleno funcionamento.</w:t>
      </w:r>
    </w:p>
    <w:p w14:paraId="1C502B57">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5.1.71.</w:t>
      </w:r>
      <w:r>
        <w:rPr>
          <w:rFonts w:hint="default" w:ascii="Arial" w:hAnsi="Arial" w:cs="Arial"/>
          <w:sz w:val="22"/>
          <w:szCs w:val="22"/>
          <w:lang w:val="pt-BR"/>
        </w:rPr>
        <w:t xml:space="preserve"> </w:t>
      </w:r>
      <w:r>
        <w:rPr>
          <w:rFonts w:hint="default" w:ascii="Arial" w:hAnsi="Arial" w:cs="Arial"/>
          <w:sz w:val="22"/>
          <w:szCs w:val="22"/>
        </w:rPr>
        <w:t>Adequações ambientais do novo CPD para atendimento aos requisitos do nível Tier 2 da norma Electronic Industries Alliance / Telecommunications Industry Association - EIA/TIA-942</w:t>
      </w:r>
      <w:bookmarkStart w:id="58" w:name="_Ref512609365"/>
      <w:r>
        <w:rPr>
          <w:rFonts w:hint="default" w:ascii="Arial" w:hAnsi="Arial" w:cs="Arial"/>
          <w:sz w:val="22"/>
          <w:szCs w:val="22"/>
        </w:rPr>
        <w:t>.</w:t>
      </w:r>
      <w:bookmarkEnd w:id="58"/>
    </w:p>
    <w:p w14:paraId="42CA041A">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5.1.72. </w:t>
      </w:r>
      <w:r>
        <w:rPr>
          <w:rFonts w:hint="default" w:ascii="Arial" w:hAnsi="Arial" w:cs="Arial"/>
          <w:sz w:val="22"/>
          <w:szCs w:val="22"/>
        </w:rPr>
        <w:t>Deverão ser utilizadas tecnologias de construção similares ou superiores às utilizadas no edifício da PREFEITURA;</w:t>
      </w:r>
    </w:p>
    <w:p w14:paraId="2A2BD973">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5.1.73.</w:t>
      </w:r>
      <w:r>
        <w:rPr>
          <w:rFonts w:hint="default" w:ascii="Arial" w:hAnsi="Arial" w:cs="Arial"/>
          <w:sz w:val="22"/>
          <w:szCs w:val="22"/>
          <w:lang w:val="pt-BR"/>
        </w:rPr>
        <w:t xml:space="preserve"> </w:t>
      </w:r>
      <w:r>
        <w:rPr>
          <w:rFonts w:hint="default" w:ascii="Arial" w:hAnsi="Arial" w:cs="Arial"/>
          <w:sz w:val="22"/>
          <w:szCs w:val="22"/>
        </w:rPr>
        <w:t xml:space="preserve">Retirada, se necessário, de pisos cerâmicos; revestimentos cerâmicos (azulejos); </w:t>
      </w:r>
    </w:p>
    <w:p w14:paraId="1BA004AF">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5.1.74.</w:t>
      </w:r>
      <w:r>
        <w:rPr>
          <w:rFonts w:hint="default" w:ascii="Arial" w:hAnsi="Arial" w:cs="Arial"/>
          <w:sz w:val="22"/>
          <w:szCs w:val="22"/>
          <w:lang w:val="pt-BR"/>
        </w:rPr>
        <w:t xml:space="preserve"> </w:t>
      </w:r>
      <w:r>
        <w:rPr>
          <w:rFonts w:hint="default" w:ascii="Arial" w:hAnsi="Arial" w:cs="Arial"/>
          <w:sz w:val="22"/>
          <w:szCs w:val="22"/>
        </w:rPr>
        <w:t>Construção de reforço de contra-piso, caso necessário, conforme estudo técnico prévio subitem, para recebimento do ambiente outdoor e recepcionamento das cargas atuais e futuras;</w:t>
      </w:r>
    </w:p>
    <w:p w14:paraId="642F103F">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5.1.75. </w:t>
      </w:r>
      <w:r>
        <w:rPr>
          <w:rFonts w:hint="default" w:ascii="Arial" w:hAnsi="Arial" w:cs="Arial"/>
          <w:sz w:val="22"/>
          <w:szCs w:val="22"/>
        </w:rPr>
        <w:t>Instalação de rampa para acesso ao Centro de Processamento de Dados em consonância com a norma Associação Brasileira de Normas Técnicas ABNT NBR-9050;</w:t>
      </w:r>
    </w:p>
    <w:p w14:paraId="668F593B">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5.1.76.</w:t>
      </w:r>
      <w:r>
        <w:rPr>
          <w:rFonts w:hint="default" w:ascii="Arial" w:hAnsi="Arial" w:cs="Arial"/>
          <w:sz w:val="22"/>
          <w:szCs w:val="22"/>
          <w:lang w:val="pt-BR"/>
        </w:rPr>
        <w:t xml:space="preserve"> </w:t>
      </w:r>
      <w:r>
        <w:rPr>
          <w:rFonts w:hint="default" w:ascii="Arial" w:hAnsi="Arial" w:cs="Arial"/>
          <w:sz w:val="22"/>
          <w:szCs w:val="22"/>
        </w:rPr>
        <w:t>Instalação de porta corta-fogo com medidas não inferiores a 1 m (um metro) de largura e 2,13 m (dois metros e treze centímetros) de altura em consonância com a norma Associação Brasileira de Normas Técnicas ABNT NBR-11742 – classificação P-90 e a norma Associação Brasileira de Normas Técnicas ABNT NBR-6479;</w:t>
      </w:r>
    </w:p>
    <w:p w14:paraId="67CCC435">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5.1.77.</w:t>
      </w:r>
      <w:r>
        <w:rPr>
          <w:rFonts w:hint="default" w:ascii="Arial" w:hAnsi="Arial" w:cs="Arial"/>
          <w:sz w:val="22"/>
          <w:szCs w:val="22"/>
          <w:lang w:val="pt-BR"/>
        </w:rPr>
        <w:t xml:space="preserve"> </w:t>
      </w:r>
      <w:r>
        <w:rPr>
          <w:rFonts w:hint="default" w:ascii="Arial" w:hAnsi="Arial" w:cs="Arial"/>
          <w:sz w:val="22"/>
          <w:szCs w:val="22"/>
        </w:rPr>
        <w:t>Instalação de gradil galvanizado na área externa que acomodará os equipamentos com malha de dimensões não superiores a 50 mm (cinquenta milímetros) por 200 mm (duzentos milímetros) e postes igualmente galvanizados com fixação da base e topo realizados por meio de parafusos. A largura máxima do gradil entre os postes não poderá ser superior a 250 cm (duzentos e cinquenta centímetros). Os itens deverão ser revestidos com pintura eletrostática em poliéster na cor preta;</w:t>
      </w:r>
    </w:p>
    <w:p w14:paraId="14CBC336">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5.1.78.</w:t>
      </w:r>
      <w:r>
        <w:rPr>
          <w:rFonts w:hint="default" w:ascii="Arial" w:hAnsi="Arial" w:cs="Arial"/>
          <w:sz w:val="22"/>
          <w:szCs w:val="22"/>
          <w:lang w:val="pt-BR"/>
        </w:rPr>
        <w:t xml:space="preserve"> </w:t>
      </w:r>
      <w:r>
        <w:rPr>
          <w:rFonts w:hint="default" w:ascii="Arial" w:hAnsi="Arial" w:cs="Arial"/>
          <w:sz w:val="22"/>
          <w:szCs w:val="22"/>
        </w:rPr>
        <w:t>Instalação de sistema de iluminação com lâmpadas tipo diodo emissor de luz (LED) com índice de iluminação não inferior a 500 (quinhentos) lux em plano horizontal e 200 (duzentos) lux em plano vertical, medidos a 1 m (um metro) do piso nos corredores entre os gabinetes (racks) fechados em consonância com a norma Associação Brasileira de Normas Técnicas ABNT NBR-8995. O sistema deverá ser alimentado por circuito distinto dos circuitos do Centro de Processamento de Dados e deverá possuir subsistema para iluminação de emergência;</w:t>
      </w:r>
    </w:p>
    <w:p w14:paraId="62784777">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5.1.79.</w:t>
      </w:r>
      <w:r>
        <w:rPr>
          <w:rFonts w:hint="default" w:ascii="Arial" w:hAnsi="Arial" w:cs="Arial"/>
          <w:sz w:val="22"/>
          <w:szCs w:val="22"/>
          <w:lang w:val="pt-BR"/>
        </w:rPr>
        <w:t xml:space="preserve"> </w:t>
      </w:r>
      <w:r>
        <w:rPr>
          <w:rFonts w:hint="default" w:ascii="Arial" w:hAnsi="Arial" w:cs="Arial"/>
          <w:sz w:val="22"/>
          <w:szCs w:val="22"/>
        </w:rPr>
        <w:t>Nivelamento e adaptação do espaço contiguo para recebimento das unidades complementares de refrigeração e ininterrupção de fornecimento de energia elétrica;</w:t>
      </w:r>
    </w:p>
    <w:p w14:paraId="2AE0B029">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5.1.80.</w:t>
      </w:r>
      <w:r>
        <w:rPr>
          <w:rFonts w:hint="default" w:ascii="Arial" w:hAnsi="Arial" w:cs="Arial"/>
          <w:sz w:val="22"/>
          <w:szCs w:val="22"/>
          <w:lang w:val="pt-BR"/>
        </w:rPr>
        <w:t xml:space="preserve"> </w:t>
      </w:r>
      <w:r>
        <w:rPr>
          <w:rFonts w:hint="default" w:ascii="Arial" w:hAnsi="Arial" w:cs="Arial"/>
          <w:sz w:val="22"/>
          <w:szCs w:val="22"/>
        </w:rPr>
        <w:t>Demais serviços de adequação que se fizerem necessários em consonância ao estudo técnico estrutural, térmico, elétrico e lógico para garantir o recepcionamento das cargas estruturais, elétrica, térmicas, lógicas atuais e futuras do Centro de Processamento de Dados (CPD);</w:t>
      </w:r>
    </w:p>
    <w:p w14:paraId="08B947E4">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5.1.81.</w:t>
      </w:r>
      <w:r>
        <w:rPr>
          <w:rFonts w:hint="default" w:ascii="Arial" w:hAnsi="Arial" w:cs="Arial"/>
          <w:sz w:val="22"/>
          <w:szCs w:val="22"/>
          <w:lang w:val="pt-BR"/>
        </w:rPr>
        <w:t xml:space="preserve"> </w:t>
      </w:r>
      <w:r>
        <w:rPr>
          <w:rFonts w:hint="default" w:ascii="Arial" w:hAnsi="Arial" w:cs="Arial"/>
          <w:sz w:val="22"/>
          <w:szCs w:val="22"/>
        </w:rPr>
        <w:t>Os entulhos, containers e demais restos e lixos provenientes da execução do serviço de adequação física é de inteira responsabilidade da CONTRATADA, reforçando que a CONTRATADA deve manter intactos.</w:t>
      </w:r>
    </w:p>
    <w:p w14:paraId="526B875B">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5.1.82.</w:t>
      </w:r>
      <w:r>
        <w:rPr>
          <w:rFonts w:hint="default" w:ascii="Arial" w:hAnsi="Arial" w:cs="Arial"/>
          <w:sz w:val="22"/>
          <w:szCs w:val="22"/>
          <w:lang w:val="pt-BR"/>
        </w:rPr>
        <w:t xml:space="preserve"> </w:t>
      </w:r>
      <w:r>
        <w:rPr>
          <w:rFonts w:hint="default" w:ascii="Arial" w:hAnsi="Arial" w:cs="Arial"/>
          <w:sz w:val="22"/>
          <w:szCs w:val="22"/>
        </w:rPr>
        <w:t>Serviços de Instalação e Montagem do Sistema de Potência dos Nobreaks, grupo de baterias, quadro bypass, Painel de Distribuição Elétrica (PDE), dispositivos de proteção e Comissionamento do Sistema UPS - Uninterruptible Power Supply - (Racks e Módulos)</w:t>
      </w:r>
    </w:p>
    <w:p w14:paraId="2B02244D">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5.1.83.</w:t>
      </w:r>
      <w:r>
        <w:rPr>
          <w:rFonts w:hint="default" w:ascii="Arial" w:hAnsi="Arial" w:cs="Arial"/>
          <w:sz w:val="22"/>
          <w:szCs w:val="22"/>
          <w:lang w:val="pt-BR"/>
        </w:rPr>
        <w:t xml:space="preserve"> </w:t>
      </w:r>
      <w:r>
        <w:rPr>
          <w:rFonts w:hint="default" w:ascii="Arial" w:hAnsi="Arial" w:cs="Arial"/>
          <w:sz w:val="22"/>
          <w:szCs w:val="22"/>
        </w:rPr>
        <w:t>Todas as instalações elétricas entre o QGBT (Quadro Geral de distribuição elétrica de Baixa Tensão) e o Centro de Processamento de Dados, incluindo condutores, cabos, dispositivos de proteção, calhas, dutos, adequações físicas, organização, identificação, dentre outras serão realizadas pela CONTRATADA, sem ônus à CONTRATANTE, respeitando as normas ABNT-NBR 5419:2005 e ABNT-NBR 5410:2008;</w:t>
      </w:r>
    </w:p>
    <w:p w14:paraId="3D61EFBD">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5.1.84.</w:t>
      </w:r>
      <w:r>
        <w:rPr>
          <w:rFonts w:hint="default" w:ascii="Arial" w:hAnsi="Arial" w:cs="Arial"/>
          <w:sz w:val="22"/>
          <w:szCs w:val="22"/>
          <w:lang w:val="pt-BR"/>
        </w:rPr>
        <w:t xml:space="preserve"> </w:t>
      </w:r>
      <w:r>
        <w:rPr>
          <w:rFonts w:hint="default" w:ascii="Arial" w:hAnsi="Arial" w:cs="Arial"/>
          <w:sz w:val="22"/>
          <w:szCs w:val="22"/>
        </w:rPr>
        <w:t>Instalação dos Racks UPS nos locais indicados pela CONTRATANTE, com posicionamento físico e interligação elétrica aplicando os materiais pertinentes para sua instalação, tais como: cabos elétricos, terminais, fitas, presilhas, identificadores, organizadores dentre outros;</w:t>
      </w:r>
    </w:p>
    <w:p w14:paraId="67ED2DE5">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5.1.85. </w:t>
      </w:r>
      <w:r>
        <w:rPr>
          <w:rFonts w:hint="default" w:ascii="Arial" w:hAnsi="Arial" w:cs="Arial"/>
          <w:sz w:val="22"/>
          <w:szCs w:val="22"/>
        </w:rPr>
        <w:t>Inspeção das instalações dos Racks UPS, inspeção de conectorizações em cabos e terminais, inspeção de quadros e circuitos elétricos, aferição de medidas elétricas pré-operação (continuidade elétrica e sequência de fases);</w:t>
      </w:r>
    </w:p>
    <w:p w14:paraId="2D3EB377">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5.1.86.</w:t>
      </w:r>
      <w:r>
        <w:rPr>
          <w:rFonts w:hint="default" w:ascii="Arial" w:hAnsi="Arial" w:cs="Arial"/>
          <w:sz w:val="22"/>
          <w:szCs w:val="22"/>
          <w:lang w:val="pt-BR"/>
        </w:rPr>
        <w:t xml:space="preserve"> </w:t>
      </w:r>
      <w:r>
        <w:rPr>
          <w:rFonts w:hint="default" w:ascii="Arial" w:hAnsi="Arial" w:cs="Arial"/>
          <w:sz w:val="22"/>
          <w:szCs w:val="22"/>
        </w:rPr>
        <w:t xml:space="preserve">Posicionamento físico dos Módulos UPS nos Racks UPS instalados; Inspeção das instalações dos módulos e aferição de medidas elétricas pré-operação (continuidade elétrica e sequência de fases); Instalação dos Racks de Baterias nos locais indicados pela CONTRATANTE, posicionamento físico e interligação elétrica vindo dos Racks UPS com aplicação de materiais pertinentes para sua instalação, tais como: cabos elétricos, terminais, fitas, presilhas, identificadores, organizadores dentre outros; </w:t>
      </w:r>
    </w:p>
    <w:p w14:paraId="13230723">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5.1.87.</w:t>
      </w:r>
      <w:r>
        <w:rPr>
          <w:rFonts w:hint="default" w:ascii="Arial" w:hAnsi="Arial" w:cs="Arial"/>
          <w:sz w:val="22"/>
          <w:szCs w:val="22"/>
          <w:lang w:val="pt-BR"/>
        </w:rPr>
        <w:t xml:space="preserve"> </w:t>
      </w:r>
      <w:r>
        <w:rPr>
          <w:rFonts w:hint="default" w:ascii="Arial" w:hAnsi="Arial" w:cs="Arial"/>
          <w:sz w:val="22"/>
          <w:szCs w:val="22"/>
        </w:rPr>
        <w:t>Posicionamento físico dos Módulos de Baterias nos Racks de Baterias instalados; Inspeção das instalações dos Racks de Baterias, inspeção de conectorizações em cabos e terminais, inspeção de quadros e circuitos elétricos, aferição de medidas elétricas pré-operação (continuidade elétrica e sequência de positivo-neutro-negativo);</w:t>
      </w:r>
    </w:p>
    <w:p w14:paraId="327266D7">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5.1.88.</w:t>
      </w:r>
      <w:r>
        <w:rPr>
          <w:rFonts w:hint="default" w:ascii="Arial" w:hAnsi="Arial" w:cs="Arial"/>
          <w:sz w:val="22"/>
          <w:szCs w:val="22"/>
          <w:lang w:val="pt-BR"/>
        </w:rPr>
        <w:t xml:space="preserve"> </w:t>
      </w:r>
      <w:r>
        <w:rPr>
          <w:rFonts w:hint="default" w:ascii="Arial" w:hAnsi="Arial" w:cs="Arial"/>
          <w:sz w:val="22"/>
          <w:szCs w:val="22"/>
        </w:rPr>
        <w:t>Instalação de infraestrutura de acomodação física e do cabeamento elétrico (metragem linear), visando a interligação entre Painéis de Alimentação e UPS, de forma a prover a atuação segura do fornecimento ininterrupto de energia;</w:t>
      </w:r>
    </w:p>
    <w:p w14:paraId="1A40DE4A">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5.1.89.</w:t>
      </w:r>
      <w:r>
        <w:rPr>
          <w:rFonts w:hint="default" w:ascii="Arial" w:hAnsi="Arial" w:cs="Arial"/>
          <w:sz w:val="22"/>
          <w:szCs w:val="22"/>
          <w:lang w:val="pt-BR"/>
        </w:rPr>
        <w:t xml:space="preserve"> </w:t>
      </w:r>
      <w:r>
        <w:rPr>
          <w:rFonts w:hint="default" w:ascii="Arial" w:hAnsi="Arial" w:cs="Arial"/>
          <w:sz w:val="22"/>
          <w:szCs w:val="22"/>
        </w:rPr>
        <w:t>Conectorizações e identificação de todos os cabos e terminais nas extremidades para interligação em quadros, disjuntores, contatoras e bornes elétricos;</w:t>
      </w:r>
    </w:p>
    <w:p w14:paraId="730F9DFE">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5.1.90.</w:t>
      </w:r>
      <w:r>
        <w:rPr>
          <w:rFonts w:hint="default" w:ascii="Arial" w:hAnsi="Arial" w:cs="Arial"/>
          <w:sz w:val="22"/>
          <w:szCs w:val="22"/>
          <w:lang w:val="pt-BR"/>
        </w:rPr>
        <w:t xml:space="preserve"> </w:t>
      </w:r>
      <w:r>
        <w:rPr>
          <w:rFonts w:hint="default" w:ascii="Arial" w:hAnsi="Arial" w:cs="Arial"/>
          <w:sz w:val="22"/>
          <w:szCs w:val="22"/>
        </w:rPr>
        <w:t>Instalação dos dispositivos de proteção, compostos por câmera de extinção de arco elétrico, proteção termomagnética ou eletrônica, com categoria indicada para a aplicação em Centro de Processamento de Dados, terminal superior e inferior com bornes apropriados para conexão de cabos ou terminais e mecanismo de disparo independente e apto ao seccionamento segundo ABNT NBR IEC 60947-2, que permite a abertura do disjuntor, mesmo com a alavanca travada na posição ligado. Medição, preferencialmente incorporada, de: corrente (A), tensão (V), frequência (Hz), potência ativa (KW) / reativa (KVAR) / aparente (KVA), Energia (KWh); e comunicação RS-485 Modbus RTU com sistema de supervisão;</w:t>
      </w:r>
    </w:p>
    <w:p w14:paraId="6A073A82">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5.1.91.</w:t>
      </w:r>
      <w:r>
        <w:rPr>
          <w:rFonts w:hint="default" w:ascii="Arial" w:hAnsi="Arial" w:cs="Arial"/>
          <w:sz w:val="22"/>
          <w:szCs w:val="22"/>
          <w:lang w:val="pt-BR"/>
        </w:rPr>
        <w:t xml:space="preserve"> </w:t>
      </w:r>
      <w:r>
        <w:rPr>
          <w:rFonts w:hint="default" w:ascii="Arial" w:hAnsi="Arial" w:cs="Arial"/>
          <w:sz w:val="22"/>
          <w:szCs w:val="22"/>
        </w:rPr>
        <w:t>Instalação dos Racks de Bypass e PDE nos locais indicados pela CONTRATANTE, posicionamento físico e interligação elétrica com aplicação de materiais pertinentes para sua instalação, tais como: cabos elétricos, terminais, fitas, presilhas, identificadores, organizadores dentre outros;</w:t>
      </w:r>
    </w:p>
    <w:p w14:paraId="0BD82B08">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5.1.92.</w:t>
      </w:r>
      <w:r>
        <w:rPr>
          <w:rFonts w:hint="default" w:ascii="Arial" w:hAnsi="Arial" w:cs="Arial"/>
          <w:sz w:val="22"/>
          <w:szCs w:val="22"/>
          <w:lang w:val="pt-BR"/>
        </w:rPr>
        <w:t xml:space="preserve"> </w:t>
      </w:r>
      <w:r>
        <w:rPr>
          <w:rFonts w:hint="default" w:ascii="Arial" w:hAnsi="Arial" w:cs="Arial"/>
          <w:sz w:val="22"/>
          <w:szCs w:val="22"/>
        </w:rPr>
        <w:t>Inspeção das instalações dos Racks de Bypass/PDE, inspeção de conectorizações em cabos e terminais, inspeção de quadros e circuitos elétricos, aferição de medidas elétricas pré-operação (continuidade elétrica e sequência de fases);</w:t>
      </w:r>
    </w:p>
    <w:p w14:paraId="7212EBCF">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5.1.93.</w:t>
      </w:r>
      <w:r>
        <w:rPr>
          <w:rFonts w:hint="default" w:ascii="Arial" w:hAnsi="Arial" w:cs="Arial"/>
          <w:sz w:val="22"/>
          <w:szCs w:val="22"/>
          <w:lang w:val="pt-BR"/>
        </w:rPr>
        <w:t xml:space="preserve"> </w:t>
      </w:r>
      <w:r>
        <w:rPr>
          <w:rFonts w:hint="default" w:ascii="Arial" w:hAnsi="Arial" w:cs="Arial"/>
          <w:sz w:val="22"/>
          <w:szCs w:val="22"/>
        </w:rPr>
        <w:t>Posicionamento físico dos Módulos de Disjuntores Gerenciáveis nos Racks de Bypass/PDE; Interligação de alimentação elétrica de todos os Módulos Disjuntores de Distribuição de Potência Gerenciáveis com as PDUs (Réguas Elétricas Gerenciáveis dos Racks de TI), com o uso de cordões elétricos extensores com terminações IEC 309; Inspeção das instalações dos módulos e aferição de medidas elétricas pré-operação (continuidade elétrica e sequência de fases);</w:t>
      </w:r>
    </w:p>
    <w:p w14:paraId="18F31B0D">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5.1.94.</w:t>
      </w:r>
      <w:r>
        <w:rPr>
          <w:rFonts w:hint="default" w:ascii="Arial" w:hAnsi="Arial" w:cs="Arial"/>
          <w:sz w:val="22"/>
          <w:szCs w:val="22"/>
          <w:lang w:val="pt-BR"/>
        </w:rPr>
        <w:t xml:space="preserve"> </w:t>
      </w:r>
      <w:r>
        <w:rPr>
          <w:rFonts w:hint="default" w:ascii="Arial" w:hAnsi="Arial" w:cs="Arial"/>
          <w:sz w:val="22"/>
          <w:szCs w:val="22"/>
        </w:rPr>
        <w:t xml:space="preserve">Identificação das partes do sistema e execução da limpeza dos componentes e do sistema como um todo; </w:t>
      </w:r>
    </w:p>
    <w:p w14:paraId="4623421E">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5.1.95.</w:t>
      </w:r>
      <w:r>
        <w:rPr>
          <w:rFonts w:hint="default" w:ascii="Arial" w:hAnsi="Arial" w:cs="Arial"/>
          <w:sz w:val="22"/>
          <w:szCs w:val="22"/>
          <w:lang w:val="pt-BR"/>
        </w:rPr>
        <w:t xml:space="preserve"> </w:t>
      </w:r>
      <w:r>
        <w:rPr>
          <w:rFonts w:hint="default" w:ascii="Arial" w:hAnsi="Arial" w:cs="Arial"/>
          <w:sz w:val="22"/>
          <w:szCs w:val="22"/>
        </w:rPr>
        <w:t>Energização inicial do conjunto de equipamentos e configurações para uso, com respeito a Norma Regulamentadora Brasileira para Trabalhos com Eletricidade NR-10, realizando: Testes e ensaios dos componentes e do sistema em campo; Regulagem e balanceamento das características elétricas do sistema; Realização da pré-operação do sistema; Acionamento do sistema; Configurações iniciais; Realização dos ensaios de ‘</w:t>
      </w:r>
    </w:p>
    <w:p w14:paraId="074D0E68">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5.1.96.</w:t>
      </w:r>
      <w:r>
        <w:rPr>
          <w:rFonts w:hint="default" w:ascii="Arial" w:hAnsi="Arial" w:cs="Arial"/>
          <w:sz w:val="22"/>
          <w:szCs w:val="22"/>
          <w:lang w:val="pt-BR"/>
        </w:rPr>
        <w:t xml:space="preserve"> </w:t>
      </w:r>
      <w:r>
        <w:rPr>
          <w:rFonts w:hint="default" w:ascii="Arial" w:hAnsi="Arial" w:cs="Arial"/>
          <w:sz w:val="22"/>
          <w:szCs w:val="22"/>
        </w:rPr>
        <w:t>Serviços de instalação do sistema de climatização de precisão</w:t>
      </w:r>
    </w:p>
    <w:p w14:paraId="6A1B6893">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5.1.97.</w:t>
      </w:r>
      <w:r>
        <w:rPr>
          <w:rFonts w:hint="default" w:ascii="Arial" w:hAnsi="Arial" w:cs="Arial"/>
          <w:sz w:val="22"/>
          <w:szCs w:val="22"/>
          <w:lang w:val="pt-BR"/>
        </w:rPr>
        <w:t xml:space="preserve"> </w:t>
      </w:r>
      <w:r>
        <w:rPr>
          <w:rFonts w:hint="default" w:ascii="Arial" w:hAnsi="Arial" w:cs="Arial"/>
          <w:sz w:val="22"/>
          <w:szCs w:val="22"/>
        </w:rPr>
        <w:t>Instalação do sistema de ar-condicionado nos locais indicados pela CONTRATANTE e posicionamento físico sobre a(s) base(s) de área ;</w:t>
      </w:r>
    </w:p>
    <w:p w14:paraId="7C57DD71">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5.1.98. </w:t>
      </w:r>
      <w:r>
        <w:rPr>
          <w:rFonts w:hint="default" w:ascii="Arial" w:hAnsi="Arial" w:cs="Arial"/>
          <w:sz w:val="22"/>
          <w:szCs w:val="22"/>
        </w:rPr>
        <w:t>Conectorizações mecânica(s) oriundas da(s) sua(s) respectiva(s) linha(s) frigorígena(s) e conectorizações elétrica(s) até o ponto de alimentação, com aplicação de materiais pertinentes para sua instalação, tais como: cabos elétricos, terminais, fitas, presilhas, dentre outros. O cabeamento elétrico de alimentação da(s) unidade(s) condensadora(s) segue(m) pela mesma infraestrutura da rede frigorígena, até a chegada ao painel elétrico;</w:t>
      </w:r>
    </w:p>
    <w:p w14:paraId="48BAC8BB">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5.1.99.</w:t>
      </w:r>
      <w:r>
        <w:rPr>
          <w:rFonts w:hint="default" w:ascii="Arial" w:hAnsi="Arial" w:cs="Arial"/>
          <w:sz w:val="22"/>
          <w:szCs w:val="22"/>
          <w:lang w:val="pt-BR"/>
        </w:rPr>
        <w:t xml:space="preserve"> </w:t>
      </w:r>
      <w:r>
        <w:rPr>
          <w:rFonts w:hint="default" w:ascii="Arial" w:hAnsi="Arial" w:cs="Arial"/>
          <w:sz w:val="22"/>
          <w:szCs w:val="22"/>
        </w:rPr>
        <w:t xml:space="preserve">Alambrados de proteção das condensadoras (gradil): painéis em aço confeccionados com processo de eletrofusão, malha de 50 mm x 250 mm, painéis com 2,50m de largura e pintados em poliéster após o processo de solda e fixados nos montantes com castanhas de nylon e parafusos, incluindo gradil na cobertura do ambiente. Toda a área permeável protegida pelo gradil, onde se fará a instalação do Data Center, deverá ser pavimentada por paver de concreto de no mínimo </w:t>
      </w:r>
      <w:r>
        <w:rPr>
          <w:rFonts w:hint="default" w:ascii="Arial" w:hAnsi="Arial" w:cs="Arial"/>
          <w:sz w:val="22"/>
          <w:szCs w:val="22"/>
          <w:shd w:val="clear" w:color="auto" w:fill="FFFFFF"/>
        </w:rPr>
        <w:t>6x10x20 centímetros cada.</w:t>
      </w:r>
      <w:r>
        <w:rPr>
          <w:rFonts w:hint="default" w:ascii="Arial" w:hAnsi="Arial" w:cs="Arial"/>
          <w:sz w:val="22"/>
          <w:szCs w:val="22"/>
        </w:rPr>
        <w:t xml:space="preserve"> </w:t>
      </w:r>
    </w:p>
    <w:p w14:paraId="601B95D8">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5.1.100.</w:t>
      </w:r>
      <w:r>
        <w:rPr>
          <w:rFonts w:hint="default" w:ascii="Arial" w:hAnsi="Arial" w:cs="Arial"/>
          <w:sz w:val="22"/>
          <w:szCs w:val="22"/>
          <w:lang w:val="pt-BR"/>
        </w:rPr>
        <w:t xml:space="preserve"> </w:t>
      </w:r>
      <w:r>
        <w:rPr>
          <w:rFonts w:hint="default" w:ascii="Arial" w:hAnsi="Arial" w:cs="Arial"/>
          <w:sz w:val="22"/>
          <w:szCs w:val="22"/>
        </w:rPr>
        <w:t>Conectorizações mecânica(s) oriundas da(s) sua(s) respectiva(s) linha(s) frigorígenas(s) e conectorizações elétrica(s) até o ponto de alimentação elétrico, com aplicação de materiais pertinentes para sua instalação, tais como: cabos elétricos, terminais, fitas, presilhas, dentre outros. O cabeamento elétrico de alimentação da(s) unidade(s) evaporadora(s) segue(m) por infraestrutura própria até a chegada ao painel elétrico;</w:t>
      </w:r>
    </w:p>
    <w:p w14:paraId="53923C9B">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5.1.101.</w:t>
      </w:r>
      <w:r>
        <w:rPr>
          <w:rFonts w:hint="default" w:ascii="Arial" w:hAnsi="Arial" w:cs="Arial"/>
          <w:sz w:val="22"/>
          <w:szCs w:val="22"/>
          <w:lang w:val="pt-BR"/>
        </w:rPr>
        <w:t xml:space="preserve"> </w:t>
      </w:r>
      <w:r>
        <w:rPr>
          <w:rFonts w:hint="default" w:ascii="Arial" w:hAnsi="Arial" w:cs="Arial"/>
          <w:sz w:val="22"/>
          <w:szCs w:val="22"/>
        </w:rPr>
        <w:t>Fornecimento de Manuais de Uso e Operação (um por equipamento); Realização de treinamento operacional, no momento da primeira inicialização (comissionamento), cedido a equipe técnica da CONTRATANTE, abordando a manutenção básica das unidades de Evaporadoras e Condensadoras (verificação de filtro, ventiladores, dentre outras funcionalidades técnicas-operacionais) com emissão de certificado descrevendo cada equipamento ou software que foi abordado no treinamento.</w:t>
      </w:r>
    </w:p>
    <w:p w14:paraId="5A50F22C">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5.1.102.</w:t>
      </w:r>
      <w:r>
        <w:rPr>
          <w:rFonts w:hint="default" w:ascii="Arial" w:hAnsi="Arial" w:cs="Arial"/>
          <w:sz w:val="22"/>
          <w:szCs w:val="22"/>
          <w:lang w:val="pt-BR"/>
        </w:rPr>
        <w:t xml:space="preserve"> </w:t>
      </w:r>
      <w:r>
        <w:rPr>
          <w:rFonts w:hint="default" w:ascii="Arial" w:hAnsi="Arial" w:cs="Arial"/>
          <w:sz w:val="22"/>
          <w:szCs w:val="22"/>
        </w:rPr>
        <w:t>Serviços de Montagem dos Racks 19" e placas de cobertura para Racks 19" (dezenove polegadas)</w:t>
      </w:r>
    </w:p>
    <w:p w14:paraId="40EC9E06">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5.1.103. </w:t>
      </w:r>
      <w:r>
        <w:rPr>
          <w:rFonts w:hint="default" w:ascii="Arial" w:hAnsi="Arial" w:cs="Arial"/>
          <w:sz w:val="22"/>
          <w:szCs w:val="22"/>
        </w:rPr>
        <w:t>A Instalação e a Montagem dos Racks 19" deve ser realizada nos locais indicados pela CONTRATANTE; Deve permitir montagem das placas de coberturas nos locais indicados pela CONTRATANTE e posicionamento físico com fixação dos componentes de montagem nos/sobres os racks de modo a garantir a confinamento da zona quente;</w:t>
      </w:r>
    </w:p>
    <w:p w14:paraId="1637D155">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5.1.104.</w:t>
      </w:r>
      <w:r>
        <w:rPr>
          <w:rFonts w:hint="default" w:ascii="Arial" w:hAnsi="Arial" w:cs="Arial"/>
          <w:sz w:val="22"/>
          <w:szCs w:val="22"/>
          <w:lang w:val="pt-BR"/>
        </w:rPr>
        <w:t xml:space="preserve"> </w:t>
      </w:r>
      <w:r>
        <w:rPr>
          <w:rFonts w:hint="default" w:ascii="Arial" w:hAnsi="Arial" w:cs="Arial"/>
          <w:sz w:val="22"/>
          <w:szCs w:val="22"/>
        </w:rPr>
        <w:t>A estrutura de cobertura para Rack de 19'' deve ser em aço galvanizado com pintura de alta qualidade em pó, eletrostática e de fábrica, do mesmo acabamento dos Racks UPS, Racks TI e Racks Evaporadoras InRow com de tampa em policarbonato livre de halogênio, do mesmo fabricante dos Racks de TI para manutenção da compatibilidade;</w:t>
      </w:r>
    </w:p>
    <w:p w14:paraId="6AE0F73F">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5.1.105. </w:t>
      </w:r>
      <w:r>
        <w:rPr>
          <w:rFonts w:hint="default" w:ascii="Arial" w:hAnsi="Arial" w:cs="Arial"/>
          <w:sz w:val="22"/>
          <w:szCs w:val="22"/>
        </w:rPr>
        <w:t xml:space="preserve">Fixação e suporte por pelo menos dois racks que serão posicionados um de frente ao outro, com ajustes e nivelamento dos componentes; Fixação ao longo do corredor e em cada um dos racks por estrutura em aço; Ajustes de largura do corredor entre os racks, sendo a mínima distância permitida entre os racks frente a frente de 90 cm (noventa centímetros) e a máxima distância permitida de 120 cm (cento e vinte centímetros); </w:t>
      </w:r>
    </w:p>
    <w:p w14:paraId="197CE02B">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5.1.106.</w:t>
      </w:r>
      <w:r>
        <w:rPr>
          <w:rFonts w:hint="default" w:ascii="Arial" w:hAnsi="Arial" w:cs="Arial"/>
          <w:sz w:val="22"/>
          <w:szCs w:val="22"/>
          <w:lang w:val="pt-BR"/>
        </w:rPr>
        <w:t xml:space="preserve"> </w:t>
      </w:r>
      <w:r>
        <w:rPr>
          <w:rFonts w:hint="default" w:ascii="Arial" w:hAnsi="Arial" w:cs="Arial"/>
          <w:sz w:val="22"/>
          <w:szCs w:val="22"/>
        </w:rPr>
        <w:t>Permitir remoção da tampa sem necessidade de uso de ferramentas, com garantia de acesso à parte superior do corredor em caso de necessidade da realização de serviços na parte superior do corredor; Estrutura mecânica dos componentes da placa compatíveis com os racks 19" (dezenove polegadas), garantindo a vedação do sistema de contenção;</w:t>
      </w:r>
    </w:p>
    <w:p w14:paraId="2AD052D5">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5.1.107.</w:t>
      </w:r>
      <w:r>
        <w:rPr>
          <w:rFonts w:hint="default" w:ascii="Arial" w:hAnsi="Arial" w:cs="Arial"/>
          <w:sz w:val="22"/>
          <w:szCs w:val="22"/>
          <w:lang w:val="pt-BR"/>
        </w:rPr>
        <w:t xml:space="preserve"> </w:t>
      </w:r>
      <w:r>
        <w:rPr>
          <w:rFonts w:hint="default" w:ascii="Arial" w:hAnsi="Arial" w:cs="Arial"/>
          <w:sz w:val="22"/>
          <w:szCs w:val="22"/>
        </w:rPr>
        <w:t>O confinamento deve ter fechamento ajustável em estrutura feita de aço galvanizado com pintura de alta qualidade em pó, eletrostática e de fábrica, do mesmo acabamento dos Racks UPS, Racks TI e Racks Evaporadoras InRow e estrutura de janela em policarbonato livre de halogênio, do mesmo fabricante dos Racks para manutenção da compatibilidade;</w:t>
      </w:r>
    </w:p>
    <w:p w14:paraId="3B707525">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5.1.108.</w:t>
      </w:r>
      <w:r>
        <w:rPr>
          <w:rFonts w:hint="default" w:ascii="Arial" w:hAnsi="Arial" w:cs="Arial"/>
          <w:sz w:val="22"/>
          <w:szCs w:val="22"/>
          <w:lang w:val="pt-BR"/>
        </w:rPr>
        <w:t xml:space="preserve"> </w:t>
      </w:r>
      <w:r>
        <w:rPr>
          <w:rFonts w:hint="default" w:ascii="Arial" w:hAnsi="Arial" w:cs="Arial"/>
          <w:sz w:val="22"/>
          <w:szCs w:val="22"/>
        </w:rPr>
        <w:t>Fechamento para corredor Quente/Frio deve ser montada nos locais indicados pela CONTRATANTE com posicionamento físico e montagem na estrutura de Racks com aplicação de materiais pertinentes para sua instalação, tais como: parafusos, cruzetas, dentre outros;</w:t>
      </w:r>
    </w:p>
    <w:p w14:paraId="4386717C">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5.1.109.</w:t>
      </w:r>
      <w:r>
        <w:rPr>
          <w:rFonts w:hint="default" w:ascii="Arial" w:hAnsi="Arial" w:cs="Arial"/>
          <w:sz w:val="22"/>
          <w:szCs w:val="22"/>
          <w:lang w:val="pt-BR"/>
        </w:rPr>
        <w:t xml:space="preserve"> </w:t>
      </w:r>
      <w:r>
        <w:rPr>
          <w:rFonts w:hint="default" w:ascii="Arial" w:hAnsi="Arial" w:cs="Arial"/>
          <w:sz w:val="22"/>
          <w:szCs w:val="22"/>
        </w:rPr>
        <w:t>Montagem do conjunto de racks padrão 19" e confinamento deve ser do tipo sistema modular; Montagem com pleno de circulação de ar entre o rack e sistema de climatização do rack de forma a garantir maior previsibilidade para o fluxo de ar; Módulo de confinamento de ar para racks de 19'‘, constituído de estrutura mecânica afixada na traseira do próprio rack (prolongamento), devendo proporcionar maior eficiência ao sistema de refrigeração do rack; Mecânica dos componentes do confinamento compatíveis com os racks 19" e Módulo de Ar Condicionado InRow de Precisão.</w:t>
      </w:r>
    </w:p>
    <w:p w14:paraId="2EF0833A">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5.1.110.</w:t>
      </w:r>
      <w:r>
        <w:rPr>
          <w:rFonts w:hint="default" w:ascii="Arial" w:hAnsi="Arial" w:cs="Arial"/>
          <w:sz w:val="22"/>
          <w:szCs w:val="22"/>
          <w:lang w:val="pt-BR"/>
        </w:rPr>
        <w:t xml:space="preserve"> </w:t>
      </w:r>
      <w:r>
        <w:rPr>
          <w:rFonts w:hint="default" w:ascii="Arial" w:hAnsi="Arial" w:cs="Arial"/>
          <w:sz w:val="22"/>
          <w:szCs w:val="22"/>
        </w:rPr>
        <w:t>Serviços de instalação e configuração do sistema de operação e gerenciamento da infraestrutura do Centro de Processamento de Dados.</w:t>
      </w:r>
    </w:p>
    <w:p w14:paraId="5CB725AF">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5.1.111. </w:t>
      </w:r>
      <w:r>
        <w:rPr>
          <w:rFonts w:hint="default" w:ascii="Arial" w:hAnsi="Arial" w:cs="Arial"/>
          <w:sz w:val="22"/>
          <w:szCs w:val="22"/>
        </w:rPr>
        <w:t>Serviços de compatibilização do sistema de gerenciamento com o sistema de supervisão ambiental;</w:t>
      </w:r>
    </w:p>
    <w:p w14:paraId="35D42314">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5.1.112. </w:t>
      </w:r>
      <w:r>
        <w:rPr>
          <w:rFonts w:hint="default" w:ascii="Arial" w:hAnsi="Arial" w:cs="Arial"/>
          <w:sz w:val="22"/>
          <w:szCs w:val="22"/>
        </w:rPr>
        <w:t>Serviços de customização do sistema para gerenciamento de capacidades relacionadas aos dispositivos do Centro de Processamento de Dados, entende-se como dispositivo os seguintes equipamentos ou conjunto de equipamentos: Rack de TI completamente ocupado, parcialmente ocupado ou vazio, incluindo as réguas de alimentação elétrica gerenciáveis e sensores instalados; Painel de Distribuição Unitário (PDU) completamente ocupado, parcialmente ocupado ou não ocupado; Painel de Distribuição Remoto (PDR) completamente ocupado, parcialmente ocupado ou não ocupado; Nobreak (UPS) e seus respectivos quadros; chave automática de transferência (ATS); Ar condicionado de precisão e seus respectivos quadros; módulo de monitoramento ambiental; Central de alarme de incêndio.</w:t>
      </w:r>
    </w:p>
    <w:p w14:paraId="03256303">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5.1.113.</w:t>
      </w:r>
      <w:r>
        <w:rPr>
          <w:rFonts w:hint="default" w:ascii="Arial" w:hAnsi="Arial" w:cs="Arial"/>
          <w:sz w:val="22"/>
          <w:szCs w:val="22"/>
          <w:lang w:val="pt-BR"/>
        </w:rPr>
        <w:t xml:space="preserve"> </w:t>
      </w:r>
      <w:r>
        <w:rPr>
          <w:rFonts w:hint="default" w:ascii="Arial" w:hAnsi="Arial" w:cs="Arial"/>
          <w:sz w:val="22"/>
          <w:szCs w:val="22"/>
        </w:rPr>
        <w:t>Serviços de configuração do sistema para abertura de ordens de serviços visando a inclusão e exclusão de equipamentos de TI no Centro de Processamento de Dados e alterações físicas de layout, para posterior atualização do sistema de gerenciamento pela equipe de execução dos serviços da CONTRATANTE;</w:t>
      </w:r>
    </w:p>
    <w:p w14:paraId="2C3688D7">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5.1.114.</w:t>
      </w:r>
      <w:r>
        <w:rPr>
          <w:rFonts w:hint="default" w:ascii="Arial" w:hAnsi="Arial" w:cs="Arial"/>
          <w:sz w:val="22"/>
          <w:szCs w:val="22"/>
          <w:lang w:val="pt-BR"/>
        </w:rPr>
        <w:t xml:space="preserve"> </w:t>
      </w:r>
      <w:r>
        <w:rPr>
          <w:rFonts w:hint="default" w:ascii="Arial" w:hAnsi="Arial" w:cs="Arial"/>
          <w:sz w:val="22"/>
          <w:szCs w:val="22"/>
        </w:rPr>
        <w:t>Serviços de configuração do módulo de análise da eficiência energética do Centro de Processamento de Dados; Serviços de configuração do módulo de supervisão ambiental com configuração de alertas críticos, dos sistemas de vigilância por vídeo e todo tipo de informações-chave; Serviços de configuração da supervisão e controle dos dispositivos relacionados à energia crítica, refrigeração, segurança, aspectos ambientais e integrações com outros sistemas;</w:t>
      </w:r>
    </w:p>
    <w:p w14:paraId="5D0D8D41">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5.1.115.</w:t>
      </w:r>
      <w:r>
        <w:rPr>
          <w:rFonts w:hint="default" w:ascii="Arial" w:hAnsi="Arial" w:cs="Arial"/>
          <w:sz w:val="22"/>
          <w:szCs w:val="22"/>
          <w:lang w:val="pt-BR"/>
        </w:rPr>
        <w:t xml:space="preserve"> </w:t>
      </w:r>
      <w:r>
        <w:rPr>
          <w:rFonts w:hint="default" w:ascii="Arial" w:hAnsi="Arial" w:cs="Arial"/>
          <w:sz w:val="22"/>
          <w:szCs w:val="22"/>
        </w:rPr>
        <w:t>Serviços de configuração do sistema de supervisão de forma a permitir o crescimento da estrutura monitorada (pontos e dispositivos monitorados) através somente de licenças adicionais sem a necessidade de reinstalação do software/base de dados, upgrade do software ou qualquer tipo de alteração na instalação existente;</w:t>
      </w:r>
    </w:p>
    <w:p w14:paraId="30F731BC">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5.1.116.</w:t>
      </w:r>
      <w:r>
        <w:rPr>
          <w:rFonts w:hint="default" w:ascii="Arial" w:hAnsi="Arial" w:cs="Arial"/>
          <w:sz w:val="22"/>
          <w:szCs w:val="22"/>
          <w:lang w:val="pt-BR"/>
        </w:rPr>
        <w:t xml:space="preserve"> </w:t>
      </w:r>
      <w:r>
        <w:rPr>
          <w:rFonts w:hint="default" w:ascii="Arial" w:hAnsi="Arial" w:cs="Arial"/>
          <w:sz w:val="22"/>
          <w:szCs w:val="22"/>
        </w:rPr>
        <w:t xml:space="preserve">Fornecimento de Manuais de Uso e Operação. </w:t>
      </w:r>
    </w:p>
    <w:p w14:paraId="387DEDE2">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5.1.117.</w:t>
      </w:r>
      <w:r>
        <w:rPr>
          <w:rFonts w:hint="default" w:ascii="Arial" w:hAnsi="Arial" w:cs="Arial"/>
          <w:sz w:val="22"/>
          <w:szCs w:val="22"/>
          <w:lang w:val="pt-BR"/>
        </w:rPr>
        <w:t xml:space="preserve"> </w:t>
      </w:r>
      <w:r>
        <w:rPr>
          <w:rFonts w:hint="default" w:ascii="Arial" w:hAnsi="Arial" w:cs="Arial"/>
          <w:sz w:val="22"/>
          <w:szCs w:val="22"/>
        </w:rPr>
        <w:t>Serviços de Configuração e comissionamento do módulo de Monitoramento Ambiental e de Supervisão Ambiental; Serviços de instalação do monitoramento ambiental com a configuração da integração de dispositivos sensoriais e monitoramento de acesso; Serviços de configuração dos limites de alarmes e dos sistemas de notificação por e-mail e padrões de notificação; Serviços de testes das configurações e de startup do sistema;</w:t>
      </w:r>
    </w:p>
    <w:p w14:paraId="58E72485">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5.1.118.</w:t>
      </w:r>
      <w:r>
        <w:rPr>
          <w:rFonts w:hint="default" w:ascii="Arial" w:hAnsi="Arial" w:cs="Arial"/>
          <w:sz w:val="22"/>
          <w:szCs w:val="22"/>
          <w:lang w:val="pt-BR"/>
        </w:rPr>
        <w:t xml:space="preserve"> </w:t>
      </w:r>
      <w:r>
        <w:rPr>
          <w:rFonts w:hint="default" w:ascii="Arial" w:hAnsi="Arial" w:cs="Arial"/>
          <w:sz w:val="22"/>
          <w:szCs w:val="22"/>
        </w:rPr>
        <w:t>Serviços de instalação física (montagem) de todos os componentes físicos do sistema de monitoramento ambiental, dentre os quais: todos os sensores, dispositivos para interconexão dos sensores, painéis de controle, dispositivos de captação de imagem (câmeras), dispositivos de alarmes sonoros ou visuais, dispositivos de controles de acesso, câmeras e todo componente necessário ao correto funcionamento do sistema; Sensores de temperatura e umidade, bem como, o de controle de acesso, dispostos nas portas dos racks de TI ou nos corredores entre os racks de TI confinados;</w:t>
      </w:r>
    </w:p>
    <w:p w14:paraId="05103B70">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5.1.119.</w:t>
      </w:r>
      <w:r>
        <w:rPr>
          <w:rFonts w:hint="default" w:ascii="Arial" w:hAnsi="Arial" w:cs="Arial"/>
          <w:sz w:val="22"/>
          <w:szCs w:val="22"/>
          <w:lang w:val="pt-BR"/>
        </w:rPr>
        <w:t xml:space="preserve"> </w:t>
      </w:r>
      <w:r>
        <w:rPr>
          <w:rFonts w:hint="default" w:ascii="Arial" w:hAnsi="Arial" w:cs="Arial"/>
          <w:sz w:val="22"/>
          <w:szCs w:val="22"/>
        </w:rPr>
        <w:t>Dispositivos de captação de sinais e controle posicionados preferencialmente dentro dos racks de TI, com distância menor que 3 metros lineares do mais distante dispositivo sensorial, dispositivo de controle de acesso ou de captação de imagem(câmeras). Os dispositivos de captação de imagem posicionados de forma a garantir a visualização dos acessos frontais dos racks de TI;</w:t>
      </w:r>
    </w:p>
    <w:p w14:paraId="1DDFA2E1">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5.1.120. </w:t>
      </w:r>
      <w:r>
        <w:rPr>
          <w:rFonts w:hint="default" w:ascii="Arial" w:hAnsi="Arial" w:cs="Arial"/>
          <w:sz w:val="22"/>
          <w:szCs w:val="22"/>
        </w:rPr>
        <w:t>Realização de treinamento operacional, no momento da realização da primeira inicialização, cedido a equipe técnica da CONTRATANTE, abordando a manutenção básica e o funcionamento do sistema com emissão de certificado descrevendo cada equipamento ou software que foi abordado no treinamento.</w:t>
      </w:r>
    </w:p>
    <w:p w14:paraId="6C3572A8">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5.1.121.</w:t>
      </w:r>
      <w:r>
        <w:rPr>
          <w:rFonts w:hint="default" w:ascii="Arial" w:hAnsi="Arial" w:cs="Arial"/>
          <w:sz w:val="22"/>
          <w:szCs w:val="22"/>
          <w:lang w:val="pt-BR"/>
        </w:rPr>
        <w:t xml:space="preserve"> </w:t>
      </w:r>
      <w:r>
        <w:rPr>
          <w:rFonts w:hint="default" w:ascii="Arial" w:hAnsi="Arial" w:cs="Arial"/>
          <w:sz w:val="22"/>
          <w:szCs w:val="22"/>
        </w:rPr>
        <w:t>Serviços de instalação/manutenção de cabeamento lógico</w:t>
      </w:r>
    </w:p>
    <w:p w14:paraId="77FB5F01">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5.1.122. </w:t>
      </w:r>
      <w:r>
        <w:rPr>
          <w:rFonts w:hint="default" w:ascii="Arial" w:hAnsi="Arial" w:cs="Arial"/>
          <w:sz w:val="22"/>
          <w:szCs w:val="22"/>
        </w:rPr>
        <w:t>Instalação de 10 (dez) DIOs (Distribuidores Internos Ópticos) de 1 (um) U com 12 (doze) fibras ópticas por distribuidor com conectorização LC Duplex (pigtail e adaptador) integrado com gerenciador/organizador para os cordões ópticos e instalação em rack de 19 (dezenove) polegadas;</w:t>
      </w:r>
    </w:p>
    <w:p w14:paraId="1B492B4B">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5.1.123.</w:t>
      </w:r>
      <w:r>
        <w:rPr>
          <w:rFonts w:hint="default" w:ascii="Arial" w:hAnsi="Arial" w:cs="Arial"/>
          <w:sz w:val="22"/>
          <w:szCs w:val="22"/>
          <w:lang w:val="pt-BR"/>
        </w:rPr>
        <w:t xml:space="preserve"> </w:t>
      </w:r>
      <w:r>
        <w:rPr>
          <w:rFonts w:hint="default" w:ascii="Arial" w:hAnsi="Arial" w:cs="Arial"/>
          <w:sz w:val="22"/>
          <w:szCs w:val="22"/>
        </w:rPr>
        <w:t>Fornecimento de 40 (quarenta) cordões ópticos multimodo LC/LC Duplex com tamanho não inferior a 2 m (dois metros);</w:t>
      </w:r>
    </w:p>
    <w:p w14:paraId="24F0AD1F">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5.1.124.</w:t>
      </w:r>
      <w:r>
        <w:rPr>
          <w:rFonts w:hint="default" w:ascii="Arial" w:hAnsi="Arial" w:cs="Arial"/>
          <w:sz w:val="22"/>
          <w:szCs w:val="22"/>
          <w:lang w:val="pt-BR"/>
        </w:rPr>
        <w:t xml:space="preserve"> </w:t>
      </w:r>
      <w:r>
        <w:rPr>
          <w:rFonts w:hint="default" w:ascii="Arial" w:hAnsi="Arial" w:cs="Arial"/>
          <w:sz w:val="22"/>
          <w:szCs w:val="22"/>
        </w:rPr>
        <w:t>Instalação e fusão de cabos ópticos multimodo OM4 conforme as necessidades da PREFEITURA (podendo ser do tipo espelhamento ou conexão direta) com capa retardante à chama, resistente à umidade e raios UV (radiação ultravioleta), para uso interno e externo, na cor preta, constando a gravação na capa do cabo do nome do fabricante e número da homologação ANATEL (Agência Nacional de Telecomunicações), objetivando:</w:t>
      </w:r>
    </w:p>
    <w:p w14:paraId="6BC0E075">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5.1.125.</w:t>
      </w:r>
      <w:r>
        <w:rPr>
          <w:rFonts w:hint="default" w:ascii="Arial" w:hAnsi="Arial" w:cs="Arial"/>
          <w:sz w:val="22"/>
          <w:szCs w:val="22"/>
          <w:lang w:val="pt-BR"/>
        </w:rPr>
        <w:t xml:space="preserve"> </w:t>
      </w:r>
      <w:r>
        <w:rPr>
          <w:rFonts w:hint="default" w:ascii="Arial" w:hAnsi="Arial" w:cs="Arial"/>
          <w:sz w:val="22"/>
          <w:szCs w:val="22"/>
        </w:rPr>
        <w:t>Interligação dos racks do Centro de Dados; Interligação dos racks do Datacenter da PREFEITURA ao Centro de Dados novo; Alteração de interligação da fibra óptica de acesso à Rede do Estado;</w:t>
      </w:r>
    </w:p>
    <w:p w14:paraId="0D0ED4F3">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5.1.126.</w:t>
      </w:r>
      <w:r>
        <w:rPr>
          <w:rFonts w:hint="default" w:ascii="Arial" w:hAnsi="Arial" w:cs="Arial"/>
          <w:sz w:val="22"/>
          <w:szCs w:val="22"/>
          <w:lang w:val="pt-BR"/>
        </w:rPr>
        <w:t xml:space="preserve"> </w:t>
      </w:r>
      <w:r>
        <w:rPr>
          <w:rFonts w:hint="default" w:ascii="Arial" w:hAnsi="Arial" w:cs="Arial"/>
          <w:sz w:val="22"/>
          <w:szCs w:val="22"/>
        </w:rPr>
        <w:t>Instalação de 4 (quatro) Patch Panels Cat6A com 24 (vinte e quatro) portas por painel com conectorização RJ45 fêmea blindado com gerenciador/organizador para os patch cords e instalação em rack de 19 (dezenove) polegadas incluindo aterramento;</w:t>
      </w:r>
    </w:p>
    <w:p w14:paraId="1A0EB272">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5.1.127.</w:t>
      </w:r>
      <w:r>
        <w:rPr>
          <w:rFonts w:hint="default" w:ascii="Arial" w:hAnsi="Arial" w:cs="Arial"/>
          <w:sz w:val="22"/>
          <w:szCs w:val="22"/>
          <w:lang w:val="pt-BR"/>
        </w:rPr>
        <w:t xml:space="preserve"> </w:t>
      </w:r>
      <w:r>
        <w:rPr>
          <w:rFonts w:hint="default" w:ascii="Arial" w:hAnsi="Arial" w:cs="Arial"/>
          <w:sz w:val="22"/>
          <w:szCs w:val="22"/>
        </w:rPr>
        <w:t>Fornecimento de 48 (quarenta e oitenta) patch cords Cat6A RJ45/RJ45 macho blindado com tamanho não inferior a 2 m (dois metros);</w:t>
      </w:r>
    </w:p>
    <w:p w14:paraId="59AF014A">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5.1.128.</w:t>
      </w:r>
      <w:r>
        <w:rPr>
          <w:rFonts w:hint="default" w:ascii="Arial" w:hAnsi="Arial" w:cs="Arial"/>
          <w:sz w:val="22"/>
          <w:szCs w:val="22"/>
          <w:lang w:val="pt-BR"/>
        </w:rPr>
        <w:t xml:space="preserve"> </w:t>
      </w:r>
      <w:r>
        <w:rPr>
          <w:rFonts w:hint="default" w:ascii="Arial" w:hAnsi="Arial" w:cs="Arial"/>
          <w:sz w:val="22"/>
          <w:szCs w:val="22"/>
        </w:rPr>
        <w:t>Instalação e conectorização dos cabos de par metálico blindado Cat6A conforme as necessidades da Prefeitura de Sinop - MT (podendo ser do tipo espelhamento ou conexão direta) com capa retardante à chama, constando a gravação na capa do cabo do nome do fabricante, para interligação dos racks do Centro de Dados; A organização do cabeamento e a aplicação de materiais tais como anilhas e etiquetas identificadoras, presilhas e fitas de velcro; Emissão de relatório de certificação de todo o serviço de instalação/manutenção de cabeamento lógico realizado.</w:t>
      </w:r>
    </w:p>
    <w:p w14:paraId="49283E02">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p>
    <w:p w14:paraId="55B57655">
      <w:pPr>
        <w:pStyle w:val="166"/>
        <w:pageBreakBefore w:val="0"/>
        <w:widowControl/>
        <w:kinsoku/>
        <w:wordWrap/>
        <w:overflowPunct/>
        <w:topLinePunct w:val="0"/>
        <w:autoSpaceDE/>
        <w:autoSpaceDN/>
        <w:bidi w:val="0"/>
        <w:adjustRightInd/>
        <w:snapToGrid/>
        <w:spacing w:before="0" w:line="360" w:lineRule="auto"/>
        <w:ind w:left="0" w:firstLine="0" w:firstLineChars="0"/>
        <w:jc w:val="both"/>
        <w:textAlignment w:val="auto"/>
        <w:rPr>
          <w:rFonts w:hint="default" w:ascii="Arial" w:hAnsi="Arial" w:cs="Arial"/>
          <w:sz w:val="22"/>
          <w:szCs w:val="22"/>
        </w:rPr>
      </w:pPr>
      <w:r>
        <w:rPr>
          <w:rFonts w:hint="default" w:ascii="Arial" w:hAnsi="Arial" w:cs="Arial"/>
          <w:b/>
          <w:bCs/>
          <w:sz w:val="22"/>
          <w:szCs w:val="22"/>
        </w:rPr>
        <w:t xml:space="preserve">DO SERVIÇO DE MOVIMENTAÇÃO DE EQUIPAMENTOS (MOVING) </w:t>
      </w:r>
    </w:p>
    <w:p w14:paraId="40BCCDDA">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5.1.129.</w:t>
      </w:r>
      <w:r>
        <w:rPr>
          <w:rFonts w:hint="default" w:ascii="Arial" w:hAnsi="Arial" w:cs="Arial"/>
          <w:sz w:val="22"/>
          <w:szCs w:val="22"/>
          <w:lang w:val="pt-BR"/>
        </w:rPr>
        <w:t xml:space="preserve"> </w:t>
      </w:r>
      <w:r>
        <w:rPr>
          <w:rFonts w:hint="default" w:ascii="Arial" w:hAnsi="Arial" w:cs="Arial"/>
          <w:sz w:val="22"/>
          <w:szCs w:val="22"/>
        </w:rPr>
        <w:t>Disposições Preliminares</w:t>
      </w:r>
    </w:p>
    <w:p w14:paraId="2B08066C">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5.1.130.</w:t>
      </w:r>
      <w:r>
        <w:rPr>
          <w:rFonts w:hint="default" w:ascii="Arial" w:hAnsi="Arial" w:cs="Arial"/>
          <w:sz w:val="22"/>
          <w:szCs w:val="22"/>
          <w:lang w:val="pt-BR"/>
        </w:rPr>
        <w:t xml:space="preserve"> </w:t>
      </w:r>
      <w:r>
        <w:rPr>
          <w:rFonts w:hint="default" w:ascii="Arial" w:hAnsi="Arial" w:cs="Arial"/>
          <w:sz w:val="22"/>
          <w:szCs w:val="22"/>
        </w:rPr>
        <w:t>Visa definir e esclarecer as condições técnicas mínimas do serviço de movimentação física de equipamentos de TI, doravante nominado “moving”;</w:t>
      </w:r>
    </w:p>
    <w:p w14:paraId="1509B1E5">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5.1.131.</w:t>
      </w:r>
      <w:r>
        <w:rPr>
          <w:rFonts w:hint="default" w:ascii="Arial" w:hAnsi="Arial" w:cs="Arial"/>
          <w:sz w:val="22"/>
          <w:szCs w:val="22"/>
          <w:lang w:val="pt-BR"/>
        </w:rPr>
        <w:t xml:space="preserve"> </w:t>
      </w:r>
      <w:r>
        <w:rPr>
          <w:rFonts w:hint="default" w:ascii="Arial" w:hAnsi="Arial" w:cs="Arial"/>
          <w:sz w:val="22"/>
          <w:szCs w:val="22"/>
        </w:rPr>
        <w:t>Componentes principais</w:t>
      </w:r>
    </w:p>
    <w:p w14:paraId="52F90F5D">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5.1.132.</w:t>
      </w:r>
      <w:r>
        <w:rPr>
          <w:rFonts w:hint="default" w:ascii="Arial" w:hAnsi="Arial" w:cs="Arial"/>
          <w:sz w:val="22"/>
          <w:szCs w:val="22"/>
          <w:lang w:val="pt-BR"/>
        </w:rPr>
        <w:t xml:space="preserve"> </w:t>
      </w:r>
      <w:r>
        <w:rPr>
          <w:rFonts w:hint="default" w:ascii="Arial" w:hAnsi="Arial" w:cs="Arial"/>
          <w:sz w:val="22"/>
          <w:szCs w:val="22"/>
        </w:rPr>
        <w:t>A CONTRATADA ficará responsável por fornecer serviço especializado para planejamento e execução da mudança (moving) dos equipamentos de TI que ocuparão o novo Data Center de Missão Crítica, incluindo a desinstalação dos equipamentos que serão movidos, desmontagem de mobiliário técnico, transporte seguro, remontagem, reinstalação e fornecimento de materiais e mão-de-obra, com garantia, nos termos e condições descritas nos próximos itens;</w:t>
      </w:r>
    </w:p>
    <w:p w14:paraId="67BEB329">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5.1.133.</w:t>
      </w:r>
      <w:r>
        <w:rPr>
          <w:rFonts w:hint="default" w:ascii="Arial" w:hAnsi="Arial" w:cs="Arial"/>
          <w:sz w:val="22"/>
          <w:szCs w:val="22"/>
          <w:lang w:val="pt-BR"/>
        </w:rPr>
        <w:t xml:space="preserve"> </w:t>
      </w:r>
      <w:r>
        <w:rPr>
          <w:rFonts w:hint="default" w:ascii="Arial" w:hAnsi="Arial" w:cs="Arial"/>
          <w:sz w:val="22"/>
          <w:szCs w:val="22"/>
        </w:rPr>
        <w:t>A CONTRATADA deverá responder por quaisquer danos causados aos equipamentos e seus componentes durante quaisquer das etapas de execução do serviço;</w:t>
      </w:r>
    </w:p>
    <w:p w14:paraId="573D0312">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5.1.134. </w:t>
      </w:r>
      <w:r>
        <w:rPr>
          <w:rFonts w:hint="default" w:ascii="Arial" w:hAnsi="Arial" w:cs="Arial"/>
          <w:sz w:val="22"/>
          <w:szCs w:val="22"/>
        </w:rPr>
        <w:t>Na proposta do serviço de moving deverá estar incluído um seguro com cobertura contra sinistros para os equipamentos listados na “Tabela 1 – Equipamentos a serem movidos”.</w:t>
      </w:r>
    </w:p>
    <w:p w14:paraId="7B0E74F1">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5.1.135. </w:t>
      </w:r>
      <w:r>
        <w:rPr>
          <w:rFonts w:hint="default" w:ascii="Arial" w:hAnsi="Arial" w:cs="Arial"/>
          <w:sz w:val="22"/>
          <w:szCs w:val="22"/>
        </w:rPr>
        <w:t>Memorial Descritivo do Serviço</w:t>
      </w:r>
    </w:p>
    <w:p w14:paraId="79A48DF9">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5.1.136. </w:t>
      </w:r>
      <w:r>
        <w:rPr>
          <w:rFonts w:hint="default" w:ascii="Arial" w:hAnsi="Arial" w:cs="Arial"/>
          <w:sz w:val="22"/>
          <w:szCs w:val="22"/>
        </w:rPr>
        <w:t>Movimentação física dos equipamentos de TI (ativos e passivos);</w:t>
      </w:r>
    </w:p>
    <w:p w14:paraId="73864CEB">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bCs/>
          <w:sz w:val="22"/>
          <w:szCs w:val="22"/>
          <w:lang w:val="pt-BR"/>
        </w:rPr>
        <w:t>5.1.137.</w:t>
      </w:r>
      <w:r>
        <w:rPr>
          <w:rFonts w:hint="default" w:ascii="Arial" w:hAnsi="Arial" w:cs="Arial"/>
          <w:sz w:val="22"/>
          <w:szCs w:val="22"/>
          <w:lang w:val="pt-BR"/>
        </w:rPr>
        <w:t xml:space="preserve"> </w:t>
      </w:r>
      <w:r>
        <w:rPr>
          <w:rFonts w:hint="default" w:ascii="Arial" w:hAnsi="Arial" w:cs="Arial"/>
          <w:sz w:val="22"/>
          <w:szCs w:val="22"/>
        </w:rPr>
        <w:t>Deverá ser elaborado e executado um plano de movimentação dos equipamentos ativos, passivos e sistemas do ambiente atual, através de serviços de identificação, inventário, documentação, planejamento e movimentação física para o novo Data Center de Missão Crítica, conforme lista abaixo:</w:t>
      </w:r>
    </w:p>
    <w:p w14:paraId="53163329">
      <w:pPr>
        <w:pStyle w:val="155"/>
        <w:spacing w:before="1" w:line="360" w:lineRule="auto"/>
        <w:ind w:left="0" w:leftChars="0" w:firstLine="0" w:firstLineChars="0"/>
        <w:jc w:val="both"/>
        <w:rPr>
          <w:rFonts w:hint="default" w:ascii="Arial" w:hAnsi="Arial" w:cs="Arial"/>
          <w:b w:val="0"/>
          <w:bCs/>
          <w:color w:val="000000" w:themeColor="text1"/>
          <w:sz w:val="22"/>
          <w:szCs w:val="22"/>
          <w:highlight w:val="none"/>
          <w:lang w:val="pt-BR"/>
          <w14:textFill>
            <w14:solidFill>
              <w14:schemeClr w14:val="tx1"/>
            </w14:solidFill>
          </w14:textFill>
        </w:rPr>
      </w:pPr>
    </w:p>
    <w:tbl>
      <w:tblPr>
        <w:tblStyle w:val="10"/>
        <w:tblpPr w:leftFromText="141" w:rightFromText="141" w:vertAnchor="text" w:horzAnchor="page" w:tblpXSpec="center" w:tblpY="108"/>
        <w:tblW w:w="4666"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2"/>
        <w:gridCol w:w="1206"/>
        <w:gridCol w:w="2068"/>
        <w:gridCol w:w="4122"/>
      </w:tblGrid>
      <w:tr w14:paraId="57919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8669" w:type="dxa"/>
            <w:gridSpan w:val="4"/>
            <w:shd w:val="solid" w:color="BFBFBF" w:fill="FFFFFF"/>
            <w:noWrap w:val="0"/>
            <w:vAlign w:val="center"/>
          </w:tcPr>
          <w:p w14:paraId="06B688A8">
            <w:pPr>
              <w:jc w:val="center"/>
              <w:rPr>
                <w:rFonts w:hint="default" w:ascii="Arial" w:hAnsi="Arial" w:cs="Arial"/>
                <w:b/>
                <w:sz w:val="22"/>
                <w:szCs w:val="22"/>
              </w:rPr>
            </w:pPr>
            <w:r>
              <w:rPr>
                <w:rFonts w:hint="default" w:ascii="Arial" w:hAnsi="Arial" w:cs="Arial"/>
                <w:b/>
                <w:sz w:val="22"/>
                <w:szCs w:val="22"/>
              </w:rPr>
              <w:t>SOLUÇÃO DE DATA CENTER</w:t>
            </w:r>
          </w:p>
        </w:tc>
      </w:tr>
      <w:tr w14:paraId="1C48A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42" w:type="dxa"/>
            <w:shd w:val="solid" w:color="BFBFBF" w:fill="FFFFFF"/>
            <w:noWrap w:val="0"/>
            <w:vAlign w:val="center"/>
          </w:tcPr>
          <w:p w14:paraId="6E2529F6">
            <w:pPr>
              <w:jc w:val="center"/>
              <w:rPr>
                <w:rFonts w:hint="default" w:ascii="Arial" w:hAnsi="Arial" w:cs="Arial"/>
                <w:b/>
                <w:sz w:val="22"/>
                <w:szCs w:val="22"/>
              </w:rPr>
            </w:pPr>
            <w:r>
              <w:rPr>
                <w:rFonts w:hint="default" w:ascii="Arial" w:hAnsi="Arial" w:cs="Arial"/>
                <w:b/>
                <w:sz w:val="22"/>
                <w:szCs w:val="22"/>
              </w:rPr>
              <w:t>ITEM</w:t>
            </w:r>
          </w:p>
        </w:tc>
        <w:tc>
          <w:tcPr>
            <w:tcW w:w="1206" w:type="dxa"/>
            <w:shd w:val="solid" w:color="BFBFBF" w:fill="FFFFFF"/>
            <w:noWrap w:val="0"/>
            <w:vAlign w:val="center"/>
          </w:tcPr>
          <w:p w14:paraId="7E511329">
            <w:pPr>
              <w:jc w:val="center"/>
              <w:rPr>
                <w:rFonts w:hint="default" w:ascii="Arial" w:hAnsi="Arial" w:cs="Arial"/>
                <w:b/>
                <w:sz w:val="22"/>
                <w:szCs w:val="22"/>
              </w:rPr>
            </w:pPr>
            <w:r>
              <w:rPr>
                <w:rFonts w:hint="default" w:ascii="Arial" w:hAnsi="Arial" w:cs="Arial"/>
                <w:b/>
                <w:sz w:val="22"/>
                <w:szCs w:val="22"/>
              </w:rPr>
              <w:t>SUBITEM</w:t>
            </w:r>
          </w:p>
        </w:tc>
        <w:tc>
          <w:tcPr>
            <w:tcW w:w="2167" w:type="dxa"/>
            <w:shd w:val="solid" w:color="BFBFBF" w:fill="FFFFFF"/>
            <w:noWrap w:val="0"/>
            <w:vAlign w:val="center"/>
          </w:tcPr>
          <w:p w14:paraId="1D9A9E0D">
            <w:pPr>
              <w:jc w:val="center"/>
              <w:rPr>
                <w:rFonts w:hint="default" w:ascii="Arial" w:hAnsi="Arial" w:cs="Arial"/>
                <w:b/>
                <w:sz w:val="22"/>
                <w:szCs w:val="22"/>
              </w:rPr>
            </w:pPr>
            <w:r>
              <w:rPr>
                <w:rFonts w:hint="default" w:ascii="Arial" w:hAnsi="Arial" w:cs="Arial"/>
                <w:b/>
                <w:sz w:val="22"/>
                <w:szCs w:val="22"/>
              </w:rPr>
              <w:t>BEM / SERVIÇO</w:t>
            </w:r>
          </w:p>
        </w:tc>
        <w:tc>
          <w:tcPr>
            <w:tcW w:w="4554" w:type="dxa"/>
            <w:shd w:val="solid" w:color="BFBFBF" w:fill="FFFFFF"/>
            <w:noWrap w:val="0"/>
            <w:vAlign w:val="center"/>
          </w:tcPr>
          <w:p w14:paraId="3083FED8">
            <w:pPr>
              <w:jc w:val="center"/>
              <w:rPr>
                <w:rFonts w:hint="default" w:ascii="Arial" w:hAnsi="Arial" w:cs="Arial"/>
                <w:b/>
                <w:sz w:val="22"/>
                <w:szCs w:val="22"/>
              </w:rPr>
            </w:pPr>
            <w:r>
              <w:rPr>
                <w:rFonts w:hint="default" w:ascii="Arial" w:hAnsi="Arial" w:cs="Arial"/>
                <w:b/>
                <w:sz w:val="22"/>
                <w:szCs w:val="22"/>
              </w:rPr>
              <w:t>QTDE</w:t>
            </w:r>
          </w:p>
        </w:tc>
      </w:tr>
      <w:tr w14:paraId="755DB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742" w:type="dxa"/>
            <w:vMerge w:val="restart"/>
            <w:shd w:val="solid" w:color="BFBFBF" w:fill="FFFFFF"/>
            <w:noWrap w:val="0"/>
            <w:vAlign w:val="center"/>
          </w:tcPr>
          <w:p w14:paraId="605E51FE">
            <w:pPr>
              <w:jc w:val="center"/>
              <w:rPr>
                <w:rFonts w:hint="default" w:ascii="Arial" w:hAnsi="Arial" w:cs="Arial"/>
                <w:b/>
                <w:sz w:val="22"/>
                <w:szCs w:val="22"/>
              </w:rPr>
            </w:pPr>
            <w:r>
              <w:rPr>
                <w:rFonts w:hint="default" w:ascii="Arial" w:hAnsi="Arial" w:cs="Arial"/>
                <w:b/>
                <w:sz w:val="22"/>
                <w:szCs w:val="22"/>
              </w:rPr>
              <w:t>1</w:t>
            </w:r>
          </w:p>
        </w:tc>
        <w:tc>
          <w:tcPr>
            <w:tcW w:w="1206" w:type="dxa"/>
            <w:shd w:val="solid" w:color="D0CECE" w:fill="FFFFFF"/>
            <w:noWrap w:val="0"/>
            <w:vAlign w:val="center"/>
          </w:tcPr>
          <w:p w14:paraId="46A8A7B3">
            <w:pPr>
              <w:jc w:val="center"/>
              <w:rPr>
                <w:rFonts w:hint="default" w:ascii="Arial" w:hAnsi="Arial" w:cs="Arial"/>
                <w:b/>
                <w:sz w:val="22"/>
                <w:szCs w:val="22"/>
              </w:rPr>
            </w:pPr>
          </w:p>
        </w:tc>
        <w:tc>
          <w:tcPr>
            <w:tcW w:w="2167" w:type="dxa"/>
            <w:shd w:val="solid" w:color="D0CECE" w:fill="FFFFFF"/>
            <w:noWrap w:val="0"/>
            <w:vAlign w:val="center"/>
          </w:tcPr>
          <w:p w14:paraId="31CC4F59">
            <w:pPr>
              <w:jc w:val="center"/>
              <w:rPr>
                <w:rFonts w:hint="default" w:ascii="Arial" w:hAnsi="Arial" w:cs="Arial"/>
                <w:b/>
                <w:sz w:val="22"/>
                <w:szCs w:val="22"/>
              </w:rPr>
            </w:pPr>
            <w:r>
              <w:rPr>
                <w:rFonts w:hint="default" w:ascii="Arial" w:hAnsi="Arial" w:cs="Arial"/>
                <w:sz w:val="22"/>
                <w:szCs w:val="22"/>
              </w:rPr>
              <w:t>DELL POWER EDGE R210 II</w:t>
            </w:r>
          </w:p>
        </w:tc>
        <w:tc>
          <w:tcPr>
            <w:tcW w:w="4554" w:type="dxa"/>
            <w:shd w:val="solid" w:color="D0CECE" w:fill="FFFFFF"/>
            <w:noWrap w:val="0"/>
            <w:vAlign w:val="center"/>
          </w:tcPr>
          <w:p w14:paraId="61D1E636">
            <w:pPr>
              <w:jc w:val="center"/>
              <w:rPr>
                <w:rFonts w:hint="default" w:ascii="Arial" w:hAnsi="Arial" w:cs="Arial"/>
                <w:b/>
                <w:sz w:val="22"/>
                <w:szCs w:val="22"/>
              </w:rPr>
            </w:pPr>
            <w:r>
              <w:rPr>
                <w:rFonts w:hint="default" w:ascii="Arial" w:hAnsi="Arial" w:cs="Arial"/>
                <w:b/>
                <w:sz w:val="22"/>
                <w:szCs w:val="22"/>
              </w:rPr>
              <w:t>09</w:t>
            </w:r>
          </w:p>
        </w:tc>
      </w:tr>
      <w:tr w14:paraId="3D14D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42" w:type="dxa"/>
            <w:vMerge w:val="continue"/>
            <w:noWrap w:val="0"/>
            <w:vAlign w:val="center"/>
          </w:tcPr>
          <w:p w14:paraId="1F7F67CE">
            <w:pPr>
              <w:rPr>
                <w:rFonts w:hint="default" w:ascii="Arial" w:hAnsi="Arial" w:eastAsia="Times New Roman" w:cs="Arial"/>
                <w:b/>
                <w:sz w:val="22"/>
                <w:szCs w:val="22"/>
              </w:rPr>
            </w:pPr>
          </w:p>
        </w:tc>
        <w:tc>
          <w:tcPr>
            <w:tcW w:w="1206" w:type="dxa"/>
            <w:shd w:val="solid" w:color="D0CECE" w:fill="FFFFFF"/>
            <w:noWrap w:val="0"/>
            <w:vAlign w:val="center"/>
          </w:tcPr>
          <w:p w14:paraId="47553F56">
            <w:pPr>
              <w:jc w:val="center"/>
              <w:rPr>
                <w:rFonts w:hint="default" w:ascii="Arial" w:hAnsi="Arial" w:cs="Arial"/>
                <w:b/>
                <w:sz w:val="22"/>
                <w:szCs w:val="22"/>
              </w:rPr>
            </w:pPr>
          </w:p>
        </w:tc>
        <w:tc>
          <w:tcPr>
            <w:tcW w:w="2167" w:type="dxa"/>
            <w:shd w:val="solid" w:color="D0CECE" w:fill="FFFFFF"/>
            <w:noWrap w:val="0"/>
            <w:vAlign w:val="center"/>
          </w:tcPr>
          <w:p w14:paraId="4106B8BB">
            <w:pPr>
              <w:jc w:val="center"/>
              <w:rPr>
                <w:rFonts w:hint="default" w:ascii="Arial" w:hAnsi="Arial" w:cs="Arial"/>
                <w:b/>
                <w:sz w:val="22"/>
                <w:szCs w:val="22"/>
              </w:rPr>
            </w:pPr>
            <w:r>
              <w:rPr>
                <w:rFonts w:hint="default" w:ascii="Arial" w:hAnsi="Arial" w:cs="Arial"/>
                <w:sz w:val="22"/>
                <w:szCs w:val="22"/>
              </w:rPr>
              <w:t>DELL POWER EDGE R410</w:t>
            </w:r>
          </w:p>
        </w:tc>
        <w:tc>
          <w:tcPr>
            <w:tcW w:w="4554" w:type="dxa"/>
            <w:shd w:val="solid" w:color="D0CECE" w:fill="FFFFFF"/>
            <w:noWrap w:val="0"/>
            <w:vAlign w:val="center"/>
          </w:tcPr>
          <w:p w14:paraId="17A864A2">
            <w:pPr>
              <w:jc w:val="center"/>
              <w:rPr>
                <w:rFonts w:hint="default" w:ascii="Arial" w:hAnsi="Arial" w:cs="Arial"/>
                <w:b/>
                <w:sz w:val="22"/>
                <w:szCs w:val="22"/>
              </w:rPr>
            </w:pPr>
            <w:r>
              <w:rPr>
                <w:rFonts w:hint="default" w:ascii="Arial" w:hAnsi="Arial" w:cs="Arial"/>
                <w:b/>
                <w:sz w:val="22"/>
                <w:szCs w:val="22"/>
              </w:rPr>
              <w:t>08</w:t>
            </w:r>
          </w:p>
        </w:tc>
      </w:tr>
      <w:tr w14:paraId="60885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42" w:type="dxa"/>
            <w:vMerge w:val="continue"/>
            <w:noWrap w:val="0"/>
            <w:vAlign w:val="center"/>
          </w:tcPr>
          <w:p w14:paraId="3EAD4031">
            <w:pPr>
              <w:rPr>
                <w:rFonts w:hint="default" w:ascii="Arial" w:hAnsi="Arial" w:eastAsia="Times New Roman" w:cs="Arial"/>
                <w:b/>
                <w:sz w:val="22"/>
                <w:szCs w:val="22"/>
              </w:rPr>
            </w:pPr>
          </w:p>
        </w:tc>
        <w:tc>
          <w:tcPr>
            <w:tcW w:w="1206" w:type="dxa"/>
            <w:shd w:val="solid" w:color="D0CECE" w:fill="FFFFFF"/>
            <w:noWrap w:val="0"/>
            <w:vAlign w:val="center"/>
          </w:tcPr>
          <w:p w14:paraId="208F5669">
            <w:pPr>
              <w:jc w:val="center"/>
              <w:rPr>
                <w:rFonts w:hint="default" w:ascii="Arial" w:hAnsi="Arial" w:cs="Arial"/>
                <w:b/>
                <w:sz w:val="22"/>
                <w:szCs w:val="22"/>
              </w:rPr>
            </w:pPr>
          </w:p>
        </w:tc>
        <w:tc>
          <w:tcPr>
            <w:tcW w:w="2167" w:type="dxa"/>
            <w:shd w:val="solid" w:color="D0CECE" w:fill="FFFFFF"/>
            <w:noWrap w:val="0"/>
            <w:vAlign w:val="center"/>
          </w:tcPr>
          <w:p w14:paraId="50E9EDE6">
            <w:pPr>
              <w:jc w:val="center"/>
              <w:rPr>
                <w:rFonts w:hint="default" w:ascii="Arial" w:hAnsi="Arial" w:cs="Arial"/>
                <w:b/>
                <w:sz w:val="22"/>
                <w:szCs w:val="22"/>
              </w:rPr>
            </w:pPr>
            <w:r>
              <w:rPr>
                <w:rFonts w:hint="default" w:ascii="Arial" w:hAnsi="Arial" w:cs="Arial"/>
                <w:sz w:val="22"/>
                <w:szCs w:val="22"/>
              </w:rPr>
              <w:t>HP PROLIANT DL360 G7</w:t>
            </w:r>
          </w:p>
        </w:tc>
        <w:tc>
          <w:tcPr>
            <w:tcW w:w="4554" w:type="dxa"/>
            <w:shd w:val="solid" w:color="D0CECE" w:fill="FFFFFF"/>
            <w:noWrap w:val="0"/>
            <w:vAlign w:val="center"/>
          </w:tcPr>
          <w:p w14:paraId="73CF30DB">
            <w:pPr>
              <w:jc w:val="center"/>
              <w:rPr>
                <w:rFonts w:hint="default" w:ascii="Arial" w:hAnsi="Arial" w:cs="Arial"/>
                <w:b/>
                <w:sz w:val="22"/>
                <w:szCs w:val="22"/>
              </w:rPr>
            </w:pPr>
            <w:r>
              <w:rPr>
                <w:rFonts w:hint="default" w:ascii="Arial" w:hAnsi="Arial" w:cs="Arial"/>
                <w:b/>
                <w:sz w:val="22"/>
                <w:szCs w:val="22"/>
              </w:rPr>
              <w:t>04</w:t>
            </w:r>
          </w:p>
        </w:tc>
      </w:tr>
      <w:tr w14:paraId="52E86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742" w:type="dxa"/>
            <w:vMerge w:val="continue"/>
            <w:noWrap w:val="0"/>
            <w:vAlign w:val="center"/>
          </w:tcPr>
          <w:p w14:paraId="27114D5F">
            <w:pPr>
              <w:rPr>
                <w:rFonts w:hint="default" w:ascii="Arial" w:hAnsi="Arial" w:eastAsia="Times New Roman" w:cs="Arial"/>
                <w:b/>
                <w:sz w:val="22"/>
                <w:szCs w:val="22"/>
              </w:rPr>
            </w:pPr>
          </w:p>
        </w:tc>
        <w:tc>
          <w:tcPr>
            <w:tcW w:w="1206" w:type="dxa"/>
            <w:shd w:val="solid" w:color="D0CECE" w:fill="FFFFFF"/>
            <w:noWrap w:val="0"/>
            <w:vAlign w:val="center"/>
          </w:tcPr>
          <w:p w14:paraId="49922735">
            <w:pPr>
              <w:jc w:val="center"/>
              <w:rPr>
                <w:rFonts w:hint="default" w:ascii="Arial" w:hAnsi="Arial" w:cs="Arial"/>
                <w:b/>
                <w:sz w:val="22"/>
                <w:szCs w:val="22"/>
              </w:rPr>
            </w:pPr>
          </w:p>
        </w:tc>
        <w:tc>
          <w:tcPr>
            <w:tcW w:w="2167" w:type="dxa"/>
            <w:shd w:val="solid" w:color="D0CECE" w:fill="FFFFFF"/>
            <w:noWrap w:val="0"/>
            <w:vAlign w:val="center"/>
          </w:tcPr>
          <w:p w14:paraId="3FC654F9">
            <w:pPr>
              <w:jc w:val="center"/>
              <w:rPr>
                <w:rFonts w:hint="default" w:ascii="Arial" w:hAnsi="Arial" w:cs="Arial"/>
                <w:b/>
                <w:sz w:val="22"/>
                <w:szCs w:val="22"/>
              </w:rPr>
            </w:pPr>
            <w:r>
              <w:rPr>
                <w:rFonts w:hint="default" w:ascii="Arial" w:hAnsi="Arial" w:cs="Arial"/>
                <w:sz w:val="22"/>
                <w:szCs w:val="22"/>
              </w:rPr>
              <w:t>AVAYA G450</w:t>
            </w:r>
          </w:p>
        </w:tc>
        <w:tc>
          <w:tcPr>
            <w:tcW w:w="4554" w:type="dxa"/>
            <w:shd w:val="solid" w:color="D0CECE" w:fill="FFFFFF"/>
            <w:noWrap w:val="0"/>
            <w:vAlign w:val="center"/>
          </w:tcPr>
          <w:p w14:paraId="4B04BD07">
            <w:pPr>
              <w:jc w:val="center"/>
              <w:rPr>
                <w:rFonts w:hint="default" w:ascii="Arial" w:hAnsi="Arial" w:cs="Arial"/>
                <w:b/>
                <w:sz w:val="22"/>
                <w:szCs w:val="22"/>
              </w:rPr>
            </w:pPr>
            <w:r>
              <w:rPr>
                <w:rFonts w:hint="default" w:ascii="Arial" w:hAnsi="Arial" w:cs="Arial"/>
                <w:b/>
                <w:sz w:val="22"/>
                <w:szCs w:val="22"/>
              </w:rPr>
              <w:t>02</w:t>
            </w:r>
          </w:p>
        </w:tc>
      </w:tr>
      <w:tr w14:paraId="638FB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742" w:type="dxa"/>
            <w:vMerge w:val="continue"/>
            <w:noWrap w:val="0"/>
            <w:vAlign w:val="center"/>
          </w:tcPr>
          <w:p w14:paraId="5D8E4336">
            <w:pPr>
              <w:rPr>
                <w:rFonts w:hint="default" w:ascii="Arial" w:hAnsi="Arial" w:eastAsia="Times New Roman" w:cs="Arial"/>
                <w:b/>
                <w:sz w:val="22"/>
                <w:szCs w:val="22"/>
              </w:rPr>
            </w:pPr>
          </w:p>
        </w:tc>
        <w:tc>
          <w:tcPr>
            <w:tcW w:w="1206" w:type="dxa"/>
            <w:shd w:val="solid" w:color="D0CECE" w:fill="FFFFFF"/>
            <w:noWrap w:val="0"/>
            <w:vAlign w:val="center"/>
          </w:tcPr>
          <w:p w14:paraId="6433F91F">
            <w:pPr>
              <w:jc w:val="center"/>
              <w:rPr>
                <w:rFonts w:hint="default" w:ascii="Arial" w:hAnsi="Arial" w:cs="Arial"/>
                <w:b/>
                <w:sz w:val="22"/>
                <w:szCs w:val="22"/>
              </w:rPr>
            </w:pPr>
          </w:p>
        </w:tc>
        <w:tc>
          <w:tcPr>
            <w:tcW w:w="2167" w:type="dxa"/>
            <w:shd w:val="solid" w:color="D0CECE" w:fill="FFFFFF"/>
            <w:noWrap w:val="0"/>
            <w:vAlign w:val="center"/>
          </w:tcPr>
          <w:p w14:paraId="5D8266B6">
            <w:pPr>
              <w:jc w:val="center"/>
              <w:rPr>
                <w:rFonts w:hint="default" w:ascii="Arial" w:hAnsi="Arial" w:cs="Arial"/>
                <w:b/>
                <w:sz w:val="22"/>
                <w:szCs w:val="22"/>
              </w:rPr>
            </w:pPr>
            <w:r>
              <w:rPr>
                <w:rFonts w:hint="default" w:ascii="Arial" w:hAnsi="Arial" w:cs="Arial"/>
                <w:sz w:val="22"/>
                <w:szCs w:val="22"/>
              </w:rPr>
              <w:t>DELL EMC R740 XD</w:t>
            </w:r>
          </w:p>
        </w:tc>
        <w:tc>
          <w:tcPr>
            <w:tcW w:w="4554" w:type="dxa"/>
            <w:shd w:val="solid" w:color="D0CECE" w:fill="FFFFFF"/>
            <w:noWrap w:val="0"/>
            <w:vAlign w:val="center"/>
          </w:tcPr>
          <w:p w14:paraId="361B023E">
            <w:pPr>
              <w:jc w:val="center"/>
              <w:rPr>
                <w:rFonts w:hint="default" w:ascii="Arial" w:hAnsi="Arial" w:cs="Arial"/>
                <w:b/>
                <w:sz w:val="22"/>
                <w:szCs w:val="22"/>
              </w:rPr>
            </w:pPr>
            <w:r>
              <w:rPr>
                <w:rFonts w:hint="default" w:ascii="Arial" w:hAnsi="Arial" w:cs="Arial"/>
                <w:b/>
                <w:sz w:val="22"/>
                <w:szCs w:val="22"/>
              </w:rPr>
              <w:t>01</w:t>
            </w:r>
          </w:p>
        </w:tc>
      </w:tr>
      <w:tr w14:paraId="595D3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742" w:type="dxa"/>
            <w:vMerge w:val="continue"/>
            <w:noWrap w:val="0"/>
            <w:vAlign w:val="center"/>
          </w:tcPr>
          <w:p w14:paraId="3153FB0A">
            <w:pPr>
              <w:rPr>
                <w:rFonts w:hint="default" w:ascii="Arial" w:hAnsi="Arial" w:eastAsia="Times New Roman" w:cs="Arial"/>
                <w:b/>
                <w:sz w:val="22"/>
                <w:szCs w:val="22"/>
              </w:rPr>
            </w:pPr>
          </w:p>
        </w:tc>
        <w:tc>
          <w:tcPr>
            <w:tcW w:w="1206" w:type="dxa"/>
            <w:shd w:val="solid" w:color="D0CECE" w:fill="FFFFFF"/>
            <w:noWrap w:val="0"/>
            <w:vAlign w:val="center"/>
          </w:tcPr>
          <w:p w14:paraId="378AAC60">
            <w:pPr>
              <w:jc w:val="center"/>
              <w:rPr>
                <w:rFonts w:hint="default" w:ascii="Arial" w:hAnsi="Arial" w:cs="Arial"/>
                <w:b/>
                <w:sz w:val="22"/>
                <w:szCs w:val="22"/>
              </w:rPr>
            </w:pPr>
          </w:p>
        </w:tc>
        <w:tc>
          <w:tcPr>
            <w:tcW w:w="2167" w:type="dxa"/>
            <w:shd w:val="solid" w:color="D0CECE" w:fill="FFFFFF"/>
            <w:noWrap w:val="0"/>
            <w:vAlign w:val="center"/>
          </w:tcPr>
          <w:p w14:paraId="5E8DD5F4">
            <w:pPr>
              <w:jc w:val="center"/>
              <w:rPr>
                <w:rFonts w:hint="default" w:ascii="Arial" w:hAnsi="Arial" w:cs="Arial"/>
                <w:b/>
                <w:sz w:val="22"/>
                <w:szCs w:val="22"/>
              </w:rPr>
            </w:pPr>
            <w:r>
              <w:rPr>
                <w:rFonts w:hint="default" w:ascii="Arial" w:hAnsi="Arial" w:cs="Arial"/>
                <w:sz w:val="22"/>
                <w:szCs w:val="22"/>
              </w:rPr>
              <w:t>DELL EMC R750</w:t>
            </w:r>
          </w:p>
        </w:tc>
        <w:tc>
          <w:tcPr>
            <w:tcW w:w="4554" w:type="dxa"/>
            <w:shd w:val="solid" w:color="D0CECE" w:fill="FFFFFF"/>
            <w:noWrap w:val="0"/>
            <w:vAlign w:val="center"/>
          </w:tcPr>
          <w:p w14:paraId="0B2D4E4D">
            <w:pPr>
              <w:jc w:val="center"/>
              <w:rPr>
                <w:rFonts w:hint="default" w:ascii="Arial" w:hAnsi="Arial" w:cs="Arial"/>
                <w:b/>
                <w:sz w:val="22"/>
                <w:szCs w:val="22"/>
              </w:rPr>
            </w:pPr>
            <w:r>
              <w:rPr>
                <w:rFonts w:hint="default" w:ascii="Arial" w:hAnsi="Arial" w:cs="Arial"/>
                <w:b/>
                <w:sz w:val="22"/>
                <w:szCs w:val="22"/>
              </w:rPr>
              <w:t>01</w:t>
            </w:r>
          </w:p>
        </w:tc>
      </w:tr>
      <w:tr w14:paraId="6D723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742" w:type="dxa"/>
            <w:vMerge w:val="continue"/>
            <w:noWrap w:val="0"/>
            <w:vAlign w:val="center"/>
          </w:tcPr>
          <w:p w14:paraId="4EDDBFF8">
            <w:pPr>
              <w:rPr>
                <w:rFonts w:hint="default" w:ascii="Arial" w:hAnsi="Arial" w:eastAsia="Times New Roman" w:cs="Arial"/>
                <w:b/>
                <w:sz w:val="22"/>
                <w:szCs w:val="22"/>
              </w:rPr>
            </w:pPr>
          </w:p>
        </w:tc>
        <w:tc>
          <w:tcPr>
            <w:tcW w:w="1206" w:type="dxa"/>
            <w:shd w:val="solid" w:color="D0CECE" w:fill="FFFFFF"/>
            <w:noWrap w:val="0"/>
            <w:vAlign w:val="center"/>
          </w:tcPr>
          <w:p w14:paraId="36A52056">
            <w:pPr>
              <w:jc w:val="center"/>
              <w:rPr>
                <w:rFonts w:hint="default" w:ascii="Arial" w:hAnsi="Arial" w:cs="Arial"/>
                <w:b/>
                <w:sz w:val="22"/>
                <w:szCs w:val="22"/>
              </w:rPr>
            </w:pPr>
          </w:p>
        </w:tc>
        <w:tc>
          <w:tcPr>
            <w:tcW w:w="2167" w:type="dxa"/>
            <w:shd w:val="solid" w:color="D0CECE" w:fill="FFFFFF"/>
            <w:noWrap w:val="0"/>
            <w:vAlign w:val="center"/>
          </w:tcPr>
          <w:p w14:paraId="02930CBB">
            <w:pPr>
              <w:jc w:val="center"/>
              <w:rPr>
                <w:rFonts w:hint="default" w:ascii="Arial" w:hAnsi="Arial" w:cs="Arial"/>
                <w:b/>
                <w:sz w:val="22"/>
                <w:szCs w:val="22"/>
              </w:rPr>
            </w:pPr>
            <w:r>
              <w:rPr>
                <w:rFonts w:hint="default" w:ascii="Arial" w:hAnsi="Arial" w:cs="Arial"/>
                <w:sz w:val="22"/>
                <w:szCs w:val="22"/>
              </w:rPr>
              <w:t>DELL EMC R 750 XS</w:t>
            </w:r>
          </w:p>
        </w:tc>
        <w:tc>
          <w:tcPr>
            <w:tcW w:w="4554" w:type="dxa"/>
            <w:shd w:val="solid" w:color="D0CECE" w:fill="FFFFFF"/>
            <w:noWrap w:val="0"/>
            <w:vAlign w:val="center"/>
          </w:tcPr>
          <w:p w14:paraId="63A3196B">
            <w:pPr>
              <w:jc w:val="center"/>
              <w:rPr>
                <w:rFonts w:hint="default" w:ascii="Arial" w:hAnsi="Arial" w:cs="Arial"/>
                <w:b/>
                <w:sz w:val="22"/>
                <w:szCs w:val="22"/>
              </w:rPr>
            </w:pPr>
            <w:r>
              <w:rPr>
                <w:rFonts w:hint="default" w:ascii="Arial" w:hAnsi="Arial" w:cs="Arial"/>
                <w:b/>
                <w:sz w:val="22"/>
                <w:szCs w:val="22"/>
              </w:rPr>
              <w:t>02</w:t>
            </w:r>
          </w:p>
        </w:tc>
      </w:tr>
      <w:tr w14:paraId="092FE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742" w:type="dxa"/>
            <w:vMerge w:val="continue"/>
            <w:noWrap w:val="0"/>
            <w:vAlign w:val="center"/>
          </w:tcPr>
          <w:p w14:paraId="247D13E8">
            <w:pPr>
              <w:rPr>
                <w:rFonts w:hint="default" w:ascii="Arial" w:hAnsi="Arial" w:eastAsia="Times New Roman" w:cs="Arial"/>
                <w:b/>
                <w:sz w:val="22"/>
                <w:szCs w:val="22"/>
              </w:rPr>
            </w:pPr>
          </w:p>
        </w:tc>
        <w:tc>
          <w:tcPr>
            <w:tcW w:w="1206" w:type="dxa"/>
            <w:shd w:val="solid" w:color="D0CECE" w:fill="FFFFFF"/>
            <w:noWrap w:val="0"/>
            <w:vAlign w:val="center"/>
          </w:tcPr>
          <w:p w14:paraId="38D4AC97">
            <w:pPr>
              <w:jc w:val="center"/>
              <w:rPr>
                <w:rFonts w:hint="default" w:ascii="Arial" w:hAnsi="Arial" w:cs="Arial"/>
                <w:b/>
                <w:sz w:val="22"/>
                <w:szCs w:val="22"/>
              </w:rPr>
            </w:pPr>
          </w:p>
        </w:tc>
        <w:tc>
          <w:tcPr>
            <w:tcW w:w="2167" w:type="dxa"/>
            <w:shd w:val="solid" w:color="D0CECE" w:fill="FFFFFF"/>
            <w:noWrap w:val="0"/>
            <w:vAlign w:val="center"/>
          </w:tcPr>
          <w:p w14:paraId="53926A96">
            <w:pPr>
              <w:jc w:val="center"/>
              <w:rPr>
                <w:rFonts w:hint="default" w:ascii="Arial" w:hAnsi="Arial" w:cs="Arial"/>
                <w:b/>
                <w:sz w:val="22"/>
                <w:szCs w:val="22"/>
              </w:rPr>
            </w:pPr>
            <w:r>
              <w:rPr>
                <w:rFonts w:hint="default" w:ascii="Arial" w:hAnsi="Arial" w:cs="Arial"/>
                <w:sz w:val="22"/>
                <w:szCs w:val="22"/>
              </w:rPr>
              <w:t>HP MSA 2040</w:t>
            </w:r>
          </w:p>
        </w:tc>
        <w:tc>
          <w:tcPr>
            <w:tcW w:w="4554" w:type="dxa"/>
            <w:shd w:val="solid" w:color="D0CECE" w:fill="FFFFFF"/>
            <w:noWrap w:val="0"/>
            <w:vAlign w:val="center"/>
          </w:tcPr>
          <w:p w14:paraId="7CD3DE35">
            <w:pPr>
              <w:jc w:val="center"/>
              <w:rPr>
                <w:rFonts w:hint="default" w:ascii="Arial" w:hAnsi="Arial" w:cs="Arial"/>
                <w:b/>
                <w:sz w:val="22"/>
                <w:szCs w:val="22"/>
              </w:rPr>
            </w:pPr>
            <w:r>
              <w:rPr>
                <w:rFonts w:hint="default" w:ascii="Arial" w:hAnsi="Arial" w:cs="Arial"/>
                <w:b/>
                <w:sz w:val="22"/>
                <w:szCs w:val="22"/>
              </w:rPr>
              <w:t>02</w:t>
            </w:r>
          </w:p>
        </w:tc>
      </w:tr>
      <w:tr w14:paraId="704A5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742" w:type="dxa"/>
            <w:vMerge w:val="continue"/>
            <w:noWrap w:val="0"/>
            <w:vAlign w:val="center"/>
          </w:tcPr>
          <w:p w14:paraId="24DB56E7">
            <w:pPr>
              <w:rPr>
                <w:rFonts w:hint="default" w:ascii="Arial" w:hAnsi="Arial" w:eastAsia="Times New Roman" w:cs="Arial"/>
                <w:b/>
                <w:sz w:val="22"/>
                <w:szCs w:val="22"/>
              </w:rPr>
            </w:pPr>
          </w:p>
        </w:tc>
        <w:tc>
          <w:tcPr>
            <w:tcW w:w="1206" w:type="dxa"/>
            <w:shd w:val="solid" w:color="D0CECE" w:fill="FFFFFF"/>
            <w:noWrap w:val="0"/>
            <w:vAlign w:val="center"/>
          </w:tcPr>
          <w:p w14:paraId="2FAB4DDA">
            <w:pPr>
              <w:jc w:val="center"/>
              <w:rPr>
                <w:rFonts w:hint="default" w:ascii="Arial" w:hAnsi="Arial" w:cs="Arial"/>
                <w:b/>
                <w:sz w:val="22"/>
                <w:szCs w:val="22"/>
              </w:rPr>
            </w:pPr>
          </w:p>
        </w:tc>
        <w:tc>
          <w:tcPr>
            <w:tcW w:w="2167" w:type="dxa"/>
            <w:shd w:val="solid" w:color="D0CECE" w:fill="FFFFFF"/>
            <w:noWrap w:val="0"/>
            <w:vAlign w:val="center"/>
          </w:tcPr>
          <w:p w14:paraId="22561537">
            <w:pPr>
              <w:jc w:val="center"/>
              <w:rPr>
                <w:rFonts w:hint="default" w:ascii="Arial" w:hAnsi="Arial" w:cs="Arial"/>
                <w:b/>
                <w:sz w:val="22"/>
                <w:szCs w:val="22"/>
              </w:rPr>
            </w:pPr>
            <w:r>
              <w:rPr>
                <w:rFonts w:hint="default" w:ascii="Arial" w:hAnsi="Arial" w:cs="Arial"/>
                <w:sz w:val="22"/>
                <w:szCs w:val="22"/>
              </w:rPr>
              <w:t>HP PRO LIANT DL 38P GEN8</w:t>
            </w:r>
          </w:p>
        </w:tc>
        <w:tc>
          <w:tcPr>
            <w:tcW w:w="4554" w:type="dxa"/>
            <w:shd w:val="solid" w:color="D0CECE" w:fill="FFFFFF"/>
            <w:noWrap w:val="0"/>
            <w:vAlign w:val="center"/>
          </w:tcPr>
          <w:p w14:paraId="3550869C">
            <w:pPr>
              <w:jc w:val="center"/>
              <w:rPr>
                <w:rFonts w:hint="default" w:ascii="Arial" w:hAnsi="Arial" w:cs="Arial"/>
                <w:b/>
                <w:sz w:val="22"/>
                <w:szCs w:val="22"/>
              </w:rPr>
            </w:pPr>
            <w:r>
              <w:rPr>
                <w:rFonts w:hint="default" w:ascii="Arial" w:hAnsi="Arial" w:cs="Arial"/>
                <w:b/>
                <w:sz w:val="22"/>
                <w:szCs w:val="22"/>
              </w:rPr>
              <w:t>02</w:t>
            </w:r>
          </w:p>
        </w:tc>
      </w:tr>
      <w:tr w14:paraId="0A782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742" w:type="dxa"/>
            <w:vMerge w:val="continue"/>
            <w:noWrap w:val="0"/>
            <w:vAlign w:val="center"/>
          </w:tcPr>
          <w:p w14:paraId="7519C456">
            <w:pPr>
              <w:rPr>
                <w:rFonts w:hint="default" w:ascii="Arial" w:hAnsi="Arial" w:eastAsia="Times New Roman" w:cs="Arial"/>
                <w:b/>
                <w:sz w:val="22"/>
                <w:szCs w:val="22"/>
              </w:rPr>
            </w:pPr>
          </w:p>
        </w:tc>
        <w:tc>
          <w:tcPr>
            <w:tcW w:w="1206" w:type="dxa"/>
            <w:shd w:val="solid" w:color="D0CECE" w:fill="FFFFFF"/>
            <w:noWrap w:val="0"/>
            <w:vAlign w:val="center"/>
          </w:tcPr>
          <w:p w14:paraId="652F85D9">
            <w:pPr>
              <w:jc w:val="center"/>
              <w:rPr>
                <w:rFonts w:hint="default" w:ascii="Arial" w:hAnsi="Arial" w:cs="Arial"/>
                <w:b/>
                <w:sz w:val="22"/>
                <w:szCs w:val="22"/>
              </w:rPr>
            </w:pPr>
          </w:p>
        </w:tc>
        <w:tc>
          <w:tcPr>
            <w:tcW w:w="2167" w:type="dxa"/>
            <w:shd w:val="solid" w:color="D0CECE" w:fill="FFFFFF"/>
            <w:noWrap w:val="0"/>
            <w:vAlign w:val="center"/>
          </w:tcPr>
          <w:p w14:paraId="2FD5BAB9">
            <w:pPr>
              <w:jc w:val="center"/>
              <w:rPr>
                <w:rFonts w:hint="default" w:ascii="Arial" w:hAnsi="Arial" w:cs="Arial"/>
                <w:b/>
                <w:sz w:val="22"/>
                <w:szCs w:val="22"/>
              </w:rPr>
            </w:pPr>
            <w:r>
              <w:rPr>
                <w:rFonts w:hint="default" w:ascii="Arial" w:hAnsi="Arial" w:cs="Arial"/>
                <w:sz w:val="22"/>
                <w:szCs w:val="22"/>
              </w:rPr>
              <w:t>HP MSA 2060</w:t>
            </w:r>
          </w:p>
        </w:tc>
        <w:tc>
          <w:tcPr>
            <w:tcW w:w="4554" w:type="dxa"/>
            <w:shd w:val="solid" w:color="D0CECE" w:fill="FFFFFF"/>
            <w:noWrap w:val="0"/>
            <w:vAlign w:val="center"/>
          </w:tcPr>
          <w:p w14:paraId="02D0AB76">
            <w:pPr>
              <w:jc w:val="center"/>
              <w:rPr>
                <w:rFonts w:hint="default" w:ascii="Arial" w:hAnsi="Arial" w:cs="Arial"/>
                <w:b/>
                <w:sz w:val="22"/>
                <w:szCs w:val="22"/>
              </w:rPr>
            </w:pPr>
            <w:r>
              <w:rPr>
                <w:rFonts w:hint="default" w:ascii="Arial" w:hAnsi="Arial" w:cs="Arial"/>
                <w:b/>
                <w:sz w:val="22"/>
                <w:szCs w:val="22"/>
              </w:rPr>
              <w:t>07</w:t>
            </w:r>
          </w:p>
        </w:tc>
      </w:tr>
      <w:tr w14:paraId="33804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742" w:type="dxa"/>
            <w:vMerge w:val="continue"/>
            <w:noWrap w:val="0"/>
            <w:vAlign w:val="center"/>
          </w:tcPr>
          <w:p w14:paraId="51BED55F">
            <w:pPr>
              <w:rPr>
                <w:rFonts w:hint="default" w:ascii="Arial" w:hAnsi="Arial" w:eastAsia="Times New Roman" w:cs="Arial"/>
                <w:b/>
                <w:sz w:val="22"/>
                <w:szCs w:val="22"/>
              </w:rPr>
            </w:pPr>
          </w:p>
        </w:tc>
        <w:tc>
          <w:tcPr>
            <w:tcW w:w="1206" w:type="dxa"/>
            <w:shd w:val="solid" w:color="D0CECE" w:fill="FFFFFF"/>
            <w:noWrap w:val="0"/>
            <w:vAlign w:val="center"/>
          </w:tcPr>
          <w:p w14:paraId="2B9D3074">
            <w:pPr>
              <w:jc w:val="center"/>
              <w:rPr>
                <w:rFonts w:hint="default" w:ascii="Arial" w:hAnsi="Arial" w:cs="Arial"/>
                <w:b/>
                <w:sz w:val="22"/>
                <w:szCs w:val="22"/>
              </w:rPr>
            </w:pPr>
          </w:p>
        </w:tc>
        <w:tc>
          <w:tcPr>
            <w:tcW w:w="2167" w:type="dxa"/>
            <w:shd w:val="solid" w:color="D0CECE" w:fill="FFFFFF"/>
            <w:noWrap w:val="0"/>
            <w:vAlign w:val="center"/>
          </w:tcPr>
          <w:p w14:paraId="5483AFD6">
            <w:pPr>
              <w:jc w:val="center"/>
              <w:rPr>
                <w:rFonts w:hint="default" w:ascii="Arial" w:hAnsi="Arial" w:cs="Arial"/>
                <w:b/>
                <w:sz w:val="22"/>
                <w:szCs w:val="22"/>
              </w:rPr>
            </w:pPr>
            <w:r>
              <w:rPr>
                <w:rFonts w:hint="default" w:ascii="Arial" w:hAnsi="Arial" w:cs="Arial"/>
                <w:sz w:val="22"/>
                <w:szCs w:val="22"/>
              </w:rPr>
              <w:t>VNXE EMC2 VNXE 3100</w:t>
            </w:r>
          </w:p>
        </w:tc>
        <w:tc>
          <w:tcPr>
            <w:tcW w:w="4554" w:type="dxa"/>
            <w:shd w:val="solid" w:color="D0CECE" w:fill="FFFFFF"/>
            <w:noWrap w:val="0"/>
            <w:vAlign w:val="center"/>
          </w:tcPr>
          <w:p w14:paraId="52993EED">
            <w:pPr>
              <w:jc w:val="center"/>
              <w:rPr>
                <w:rFonts w:hint="default" w:ascii="Arial" w:hAnsi="Arial" w:cs="Arial"/>
                <w:b/>
                <w:sz w:val="22"/>
                <w:szCs w:val="22"/>
              </w:rPr>
            </w:pPr>
            <w:r>
              <w:rPr>
                <w:rFonts w:hint="default" w:ascii="Arial" w:hAnsi="Arial" w:cs="Arial"/>
                <w:b/>
                <w:sz w:val="22"/>
                <w:szCs w:val="22"/>
              </w:rPr>
              <w:t>01</w:t>
            </w:r>
          </w:p>
        </w:tc>
      </w:tr>
      <w:tr w14:paraId="29C42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742" w:type="dxa"/>
            <w:vMerge w:val="continue"/>
            <w:noWrap w:val="0"/>
            <w:vAlign w:val="center"/>
          </w:tcPr>
          <w:p w14:paraId="147BB5F2">
            <w:pPr>
              <w:rPr>
                <w:rFonts w:hint="default" w:ascii="Arial" w:hAnsi="Arial" w:eastAsia="Times New Roman" w:cs="Arial"/>
                <w:b/>
                <w:sz w:val="22"/>
                <w:szCs w:val="22"/>
              </w:rPr>
            </w:pPr>
          </w:p>
        </w:tc>
        <w:tc>
          <w:tcPr>
            <w:tcW w:w="1206" w:type="dxa"/>
            <w:shd w:val="solid" w:color="D0CECE" w:fill="FFFFFF"/>
            <w:noWrap w:val="0"/>
            <w:vAlign w:val="center"/>
          </w:tcPr>
          <w:p w14:paraId="3C8EECFA">
            <w:pPr>
              <w:jc w:val="center"/>
              <w:rPr>
                <w:rFonts w:hint="default" w:ascii="Arial" w:hAnsi="Arial" w:cs="Arial"/>
                <w:b/>
                <w:sz w:val="22"/>
                <w:szCs w:val="22"/>
              </w:rPr>
            </w:pPr>
          </w:p>
        </w:tc>
        <w:tc>
          <w:tcPr>
            <w:tcW w:w="2167" w:type="dxa"/>
            <w:shd w:val="solid" w:color="D0CECE" w:fill="FFFFFF"/>
            <w:noWrap w:val="0"/>
            <w:vAlign w:val="center"/>
          </w:tcPr>
          <w:p w14:paraId="78038BA9">
            <w:pPr>
              <w:jc w:val="center"/>
              <w:rPr>
                <w:rFonts w:hint="default" w:ascii="Arial" w:hAnsi="Arial" w:cs="Arial"/>
                <w:b/>
                <w:sz w:val="22"/>
                <w:szCs w:val="22"/>
              </w:rPr>
            </w:pPr>
            <w:r>
              <w:rPr>
                <w:rFonts w:hint="default" w:ascii="Arial" w:hAnsi="Arial" w:cs="Arial"/>
                <w:sz w:val="22"/>
                <w:szCs w:val="22"/>
              </w:rPr>
              <w:t>STORAGE LIBRARY T40</w:t>
            </w:r>
          </w:p>
        </w:tc>
        <w:tc>
          <w:tcPr>
            <w:tcW w:w="4554" w:type="dxa"/>
            <w:shd w:val="solid" w:color="D0CECE" w:fill="FFFFFF"/>
            <w:noWrap w:val="0"/>
            <w:vAlign w:val="center"/>
          </w:tcPr>
          <w:p w14:paraId="44CBB93E">
            <w:pPr>
              <w:jc w:val="center"/>
              <w:rPr>
                <w:rFonts w:hint="default" w:ascii="Arial" w:hAnsi="Arial" w:cs="Arial"/>
                <w:b/>
                <w:sz w:val="22"/>
                <w:szCs w:val="22"/>
              </w:rPr>
            </w:pPr>
            <w:r>
              <w:rPr>
                <w:rFonts w:hint="default" w:ascii="Arial" w:hAnsi="Arial" w:cs="Arial"/>
                <w:b/>
                <w:sz w:val="22"/>
                <w:szCs w:val="22"/>
              </w:rPr>
              <w:t>01</w:t>
            </w:r>
          </w:p>
        </w:tc>
      </w:tr>
      <w:tr w14:paraId="51A82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742" w:type="dxa"/>
            <w:vMerge w:val="continue"/>
            <w:noWrap w:val="0"/>
            <w:vAlign w:val="center"/>
          </w:tcPr>
          <w:p w14:paraId="0C36D193">
            <w:pPr>
              <w:rPr>
                <w:rFonts w:hint="default" w:ascii="Arial" w:hAnsi="Arial" w:eastAsia="Times New Roman" w:cs="Arial"/>
                <w:b/>
                <w:sz w:val="22"/>
                <w:szCs w:val="22"/>
              </w:rPr>
            </w:pPr>
          </w:p>
        </w:tc>
        <w:tc>
          <w:tcPr>
            <w:tcW w:w="1206" w:type="dxa"/>
            <w:shd w:val="solid" w:color="D0CECE" w:fill="FFFFFF"/>
            <w:noWrap w:val="0"/>
            <w:vAlign w:val="center"/>
          </w:tcPr>
          <w:p w14:paraId="50376E6B">
            <w:pPr>
              <w:jc w:val="center"/>
              <w:rPr>
                <w:rFonts w:hint="default" w:ascii="Arial" w:hAnsi="Arial" w:cs="Arial"/>
                <w:b/>
                <w:sz w:val="22"/>
                <w:szCs w:val="22"/>
              </w:rPr>
            </w:pPr>
          </w:p>
        </w:tc>
        <w:tc>
          <w:tcPr>
            <w:tcW w:w="2167" w:type="dxa"/>
            <w:shd w:val="solid" w:color="D0CECE" w:fill="FFFFFF"/>
            <w:noWrap w:val="0"/>
            <w:vAlign w:val="center"/>
          </w:tcPr>
          <w:p w14:paraId="72405E0B">
            <w:pPr>
              <w:jc w:val="center"/>
              <w:rPr>
                <w:rFonts w:hint="default" w:ascii="Arial" w:hAnsi="Arial" w:cs="Arial"/>
                <w:b/>
                <w:sz w:val="22"/>
                <w:szCs w:val="22"/>
              </w:rPr>
            </w:pPr>
            <w:r>
              <w:rPr>
                <w:rFonts w:hint="default" w:ascii="Arial" w:hAnsi="Arial" w:cs="Arial"/>
                <w:sz w:val="22"/>
                <w:szCs w:val="22"/>
              </w:rPr>
              <w:t>PROLIANT DL 360E GEN8</w:t>
            </w:r>
          </w:p>
        </w:tc>
        <w:tc>
          <w:tcPr>
            <w:tcW w:w="4554" w:type="dxa"/>
            <w:shd w:val="solid" w:color="D0CECE" w:fill="FFFFFF"/>
            <w:noWrap w:val="0"/>
            <w:vAlign w:val="center"/>
          </w:tcPr>
          <w:p w14:paraId="45A0960E">
            <w:pPr>
              <w:jc w:val="center"/>
              <w:rPr>
                <w:rFonts w:hint="default" w:ascii="Arial" w:hAnsi="Arial" w:cs="Arial"/>
                <w:b/>
                <w:sz w:val="22"/>
                <w:szCs w:val="22"/>
              </w:rPr>
            </w:pPr>
            <w:r>
              <w:rPr>
                <w:rFonts w:hint="default" w:ascii="Arial" w:hAnsi="Arial" w:cs="Arial"/>
                <w:b/>
                <w:sz w:val="22"/>
                <w:szCs w:val="22"/>
              </w:rPr>
              <w:t>01</w:t>
            </w:r>
          </w:p>
        </w:tc>
      </w:tr>
      <w:tr w14:paraId="0E323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742" w:type="dxa"/>
            <w:vMerge w:val="continue"/>
            <w:noWrap w:val="0"/>
            <w:vAlign w:val="center"/>
          </w:tcPr>
          <w:p w14:paraId="3C52544D">
            <w:pPr>
              <w:rPr>
                <w:rFonts w:hint="default" w:ascii="Arial" w:hAnsi="Arial" w:eastAsia="Times New Roman" w:cs="Arial"/>
                <w:b/>
                <w:sz w:val="22"/>
                <w:szCs w:val="22"/>
              </w:rPr>
            </w:pPr>
          </w:p>
        </w:tc>
        <w:tc>
          <w:tcPr>
            <w:tcW w:w="1206" w:type="dxa"/>
            <w:shd w:val="solid" w:color="D0CECE" w:fill="FFFFFF"/>
            <w:noWrap w:val="0"/>
            <w:vAlign w:val="center"/>
          </w:tcPr>
          <w:p w14:paraId="6D70721B">
            <w:pPr>
              <w:jc w:val="center"/>
              <w:rPr>
                <w:rFonts w:hint="default" w:ascii="Arial" w:hAnsi="Arial" w:cs="Arial"/>
                <w:b/>
                <w:sz w:val="22"/>
                <w:szCs w:val="22"/>
              </w:rPr>
            </w:pPr>
          </w:p>
        </w:tc>
        <w:tc>
          <w:tcPr>
            <w:tcW w:w="2167" w:type="dxa"/>
            <w:shd w:val="solid" w:color="D0CECE" w:fill="FFFFFF"/>
            <w:noWrap w:val="0"/>
            <w:vAlign w:val="center"/>
          </w:tcPr>
          <w:p w14:paraId="32818305">
            <w:pPr>
              <w:jc w:val="center"/>
              <w:rPr>
                <w:rFonts w:hint="default" w:ascii="Arial" w:hAnsi="Arial" w:cs="Arial"/>
                <w:b/>
                <w:sz w:val="22"/>
                <w:szCs w:val="22"/>
              </w:rPr>
            </w:pPr>
            <w:r>
              <w:rPr>
                <w:rFonts w:hint="default" w:ascii="Arial" w:hAnsi="Arial" w:cs="Arial"/>
                <w:sz w:val="22"/>
                <w:szCs w:val="22"/>
              </w:rPr>
              <w:t>SUIT CORE BLACK DIAMOND 8060</w:t>
            </w:r>
          </w:p>
        </w:tc>
        <w:tc>
          <w:tcPr>
            <w:tcW w:w="4554" w:type="dxa"/>
            <w:shd w:val="solid" w:color="D0CECE" w:fill="FFFFFF"/>
            <w:noWrap w:val="0"/>
            <w:vAlign w:val="center"/>
          </w:tcPr>
          <w:p w14:paraId="620AF671">
            <w:pPr>
              <w:jc w:val="center"/>
              <w:rPr>
                <w:rFonts w:hint="default" w:ascii="Arial" w:hAnsi="Arial" w:cs="Arial"/>
                <w:b/>
                <w:sz w:val="22"/>
                <w:szCs w:val="22"/>
              </w:rPr>
            </w:pPr>
            <w:r>
              <w:rPr>
                <w:rFonts w:hint="default" w:ascii="Arial" w:hAnsi="Arial" w:cs="Arial"/>
                <w:b/>
                <w:sz w:val="22"/>
                <w:szCs w:val="22"/>
              </w:rPr>
              <w:t>01</w:t>
            </w:r>
          </w:p>
        </w:tc>
      </w:tr>
      <w:tr w14:paraId="21BEE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42" w:type="dxa"/>
            <w:vMerge w:val="continue"/>
            <w:noWrap w:val="0"/>
            <w:vAlign w:val="center"/>
          </w:tcPr>
          <w:p w14:paraId="6AFCB8FC">
            <w:pPr>
              <w:rPr>
                <w:rFonts w:hint="default" w:ascii="Arial" w:hAnsi="Arial" w:eastAsia="Times New Roman" w:cs="Arial"/>
                <w:b/>
                <w:sz w:val="22"/>
                <w:szCs w:val="22"/>
              </w:rPr>
            </w:pPr>
          </w:p>
        </w:tc>
        <w:tc>
          <w:tcPr>
            <w:tcW w:w="1206" w:type="dxa"/>
            <w:shd w:val="solid" w:color="D0CECE" w:fill="FFFFFF"/>
            <w:noWrap w:val="0"/>
            <w:vAlign w:val="center"/>
          </w:tcPr>
          <w:p w14:paraId="1AAE9812">
            <w:pPr>
              <w:jc w:val="center"/>
              <w:rPr>
                <w:rFonts w:hint="default" w:ascii="Arial" w:hAnsi="Arial" w:cs="Arial"/>
                <w:b/>
                <w:sz w:val="22"/>
                <w:szCs w:val="22"/>
              </w:rPr>
            </w:pPr>
          </w:p>
        </w:tc>
        <w:tc>
          <w:tcPr>
            <w:tcW w:w="2167" w:type="dxa"/>
            <w:shd w:val="solid" w:color="D0CECE" w:fill="FFFFFF"/>
            <w:noWrap w:val="0"/>
            <w:vAlign w:val="center"/>
          </w:tcPr>
          <w:p w14:paraId="2A020E9E">
            <w:pPr>
              <w:jc w:val="center"/>
              <w:rPr>
                <w:rFonts w:hint="default" w:ascii="Arial" w:hAnsi="Arial" w:cs="Arial"/>
                <w:b/>
                <w:sz w:val="22"/>
                <w:szCs w:val="22"/>
              </w:rPr>
            </w:pPr>
            <w:r>
              <w:rPr>
                <w:rFonts w:hint="default" w:ascii="Arial" w:hAnsi="Arial" w:cs="Arial"/>
                <w:sz w:val="22"/>
                <w:szCs w:val="22"/>
              </w:rPr>
              <w:t>FIBRA OPTICA</w:t>
            </w:r>
          </w:p>
        </w:tc>
        <w:tc>
          <w:tcPr>
            <w:tcW w:w="4554" w:type="dxa"/>
            <w:shd w:val="solid" w:color="D0CECE" w:fill="FFFFFF"/>
            <w:noWrap w:val="0"/>
            <w:vAlign w:val="center"/>
          </w:tcPr>
          <w:p w14:paraId="41BBF7A0">
            <w:pPr>
              <w:jc w:val="center"/>
              <w:rPr>
                <w:rFonts w:hint="default" w:ascii="Arial" w:hAnsi="Arial" w:cs="Arial"/>
                <w:b/>
                <w:sz w:val="22"/>
                <w:szCs w:val="22"/>
              </w:rPr>
            </w:pPr>
            <w:r>
              <w:rPr>
                <w:rFonts w:hint="default" w:ascii="Arial" w:hAnsi="Arial" w:cs="Arial"/>
                <w:b/>
                <w:sz w:val="22"/>
                <w:szCs w:val="22"/>
              </w:rPr>
              <w:t>16</w:t>
            </w:r>
          </w:p>
        </w:tc>
      </w:tr>
    </w:tbl>
    <w:p w14:paraId="50D42E69">
      <w:pPr>
        <w:pStyle w:val="155"/>
        <w:spacing w:before="1" w:line="360" w:lineRule="auto"/>
        <w:ind w:left="0" w:leftChars="0" w:firstLine="0" w:firstLineChars="0"/>
        <w:jc w:val="both"/>
        <w:rPr>
          <w:rFonts w:hint="default" w:ascii="Arial" w:hAnsi="Arial" w:cs="Arial"/>
          <w:b w:val="0"/>
          <w:bCs/>
          <w:color w:val="000000" w:themeColor="text1"/>
          <w:sz w:val="22"/>
          <w:szCs w:val="22"/>
          <w:highlight w:val="none"/>
          <w:lang w:val="pt-BR"/>
          <w14:textFill>
            <w14:solidFill>
              <w14:schemeClr w14:val="tx1"/>
            </w14:solidFill>
          </w14:textFill>
        </w:rPr>
      </w:pPr>
    </w:p>
    <w:p w14:paraId="0978AA48">
      <w:pPr>
        <w:jc w:val="both"/>
        <w:rPr>
          <w:rFonts w:hint="default" w:ascii="Arial" w:hAnsi="Arial" w:cs="Arial"/>
          <w:b/>
          <w:bCs/>
          <w:color w:val="auto"/>
          <w:sz w:val="22"/>
          <w:szCs w:val="22"/>
        </w:rPr>
      </w:pPr>
      <w:r>
        <w:rPr>
          <w:rFonts w:hint="default" w:ascii="Arial" w:hAnsi="Arial" w:cs="Arial"/>
          <w:b/>
          <w:bCs/>
          <w:color w:val="auto"/>
          <w:sz w:val="22"/>
          <w:szCs w:val="22"/>
        </w:rPr>
        <w:t>Tabela  - Equipamentos a serem movidos</w:t>
      </w:r>
    </w:p>
    <w:p w14:paraId="64C181B2">
      <w:pPr>
        <w:jc w:val="both"/>
        <w:rPr>
          <w:rFonts w:hint="default" w:ascii="Arial" w:hAnsi="Arial" w:cs="Arial"/>
          <w:b/>
          <w:bCs/>
          <w:color w:val="auto"/>
          <w:sz w:val="22"/>
          <w:szCs w:val="22"/>
        </w:rPr>
      </w:pPr>
    </w:p>
    <w:p w14:paraId="605791E3">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lang w:val="pt-BR"/>
        </w:rPr>
        <w:t>5.1.138.</w:t>
      </w:r>
      <w:r>
        <w:rPr>
          <w:rFonts w:hint="default" w:ascii="Arial" w:hAnsi="Arial" w:cs="Arial"/>
          <w:sz w:val="22"/>
          <w:szCs w:val="22"/>
          <w:lang w:val="pt-BR"/>
        </w:rPr>
        <w:t xml:space="preserve"> </w:t>
      </w:r>
      <w:r>
        <w:rPr>
          <w:rFonts w:hint="default" w:ascii="Arial" w:hAnsi="Arial" w:cs="Arial"/>
          <w:sz w:val="22"/>
          <w:szCs w:val="22"/>
        </w:rPr>
        <w:t>As informações dos equipamentos que farão parte do moving estão na Tabela 1, cabe a CONTRATADA avaliar questões como dimensões, volume, peso, valor do bem ou quaisquer outras informações necessárias para o planejamento e execução do moving.</w:t>
      </w:r>
    </w:p>
    <w:p w14:paraId="39EB56A7">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lang w:val="pt-BR"/>
        </w:rPr>
        <w:t>5.1.139.</w:t>
      </w:r>
      <w:r>
        <w:rPr>
          <w:rFonts w:hint="default" w:ascii="Arial" w:hAnsi="Arial" w:cs="Arial"/>
          <w:sz w:val="22"/>
          <w:szCs w:val="22"/>
          <w:lang w:val="pt-BR"/>
        </w:rPr>
        <w:t xml:space="preserve"> </w:t>
      </w:r>
      <w:r>
        <w:rPr>
          <w:rFonts w:hint="default" w:ascii="Arial" w:hAnsi="Arial" w:cs="Arial"/>
          <w:sz w:val="22"/>
          <w:szCs w:val="22"/>
        </w:rPr>
        <w:t>O moving dos equipamentos ativos e passivos deverá ocorrer em uma única etapa;</w:t>
      </w:r>
    </w:p>
    <w:p w14:paraId="12CE5803">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lang w:val="pt-BR"/>
        </w:rPr>
        <w:t>5.1.140.</w:t>
      </w:r>
      <w:r>
        <w:rPr>
          <w:rFonts w:hint="default" w:ascii="Arial" w:hAnsi="Arial" w:cs="Arial"/>
          <w:sz w:val="22"/>
          <w:szCs w:val="22"/>
          <w:lang w:val="pt-BR"/>
        </w:rPr>
        <w:t xml:space="preserve"> </w:t>
      </w:r>
      <w:r>
        <w:rPr>
          <w:rFonts w:hint="default" w:ascii="Arial" w:hAnsi="Arial" w:cs="Arial"/>
          <w:sz w:val="22"/>
          <w:szCs w:val="22"/>
        </w:rPr>
        <w:t>Deverão ser identificados todos os aplicativos e interligações entre os equipamentos, incluindo a topologia e endereçamento de rede;</w:t>
      </w:r>
    </w:p>
    <w:p w14:paraId="1EA94C3E">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lang w:val="pt-BR"/>
        </w:rPr>
        <w:t>5.1.141.</w:t>
      </w:r>
      <w:r>
        <w:rPr>
          <w:rFonts w:hint="default" w:ascii="Arial" w:hAnsi="Arial" w:cs="Arial"/>
          <w:sz w:val="22"/>
          <w:szCs w:val="22"/>
          <w:lang w:val="pt-BR"/>
        </w:rPr>
        <w:t xml:space="preserve"> </w:t>
      </w:r>
      <w:r>
        <w:rPr>
          <w:rFonts w:hint="default" w:ascii="Arial" w:hAnsi="Arial" w:cs="Arial"/>
          <w:sz w:val="22"/>
          <w:szCs w:val="22"/>
        </w:rPr>
        <w:t>Deverá ser realizada a análise crítica dos equipamentos, detalhando todos os riscos inerentes ao processo de deslocamento, bem como a classificação do grau de severidade e definição das ações que serão adotadas para a sua mitigação;</w:t>
      </w:r>
    </w:p>
    <w:p w14:paraId="1CA9FB6F">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lang w:val="pt-BR"/>
        </w:rPr>
        <w:t>5.1.142.</w:t>
      </w:r>
      <w:r>
        <w:rPr>
          <w:rFonts w:hint="default" w:ascii="Arial" w:hAnsi="Arial" w:cs="Arial"/>
          <w:sz w:val="22"/>
          <w:szCs w:val="22"/>
          <w:lang w:val="pt-BR"/>
        </w:rPr>
        <w:t xml:space="preserve"> </w:t>
      </w:r>
      <w:r>
        <w:rPr>
          <w:rFonts w:hint="default" w:ascii="Arial" w:hAnsi="Arial" w:cs="Arial"/>
          <w:sz w:val="22"/>
          <w:szCs w:val="22"/>
        </w:rPr>
        <w:t>A execução do deslocamento deverá acontecer conforme janela de tempo previamente definida pela CONTRATANTE e com todas as garantias previstas e planejadas;</w:t>
      </w:r>
    </w:p>
    <w:p w14:paraId="3B04FFDC">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lang w:val="pt-BR"/>
        </w:rPr>
        <w:t>5.1.143.</w:t>
      </w:r>
      <w:r>
        <w:rPr>
          <w:rFonts w:hint="default" w:ascii="Arial" w:hAnsi="Arial" w:cs="Arial"/>
          <w:sz w:val="22"/>
          <w:szCs w:val="22"/>
          <w:lang w:val="pt-BR"/>
        </w:rPr>
        <w:t xml:space="preserve"> </w:t>
      </w:r>
      <w:r>
        <w:rPr>
          <w:rFonts w:hint="default" w:ascii="Arial" w:hAnsi="Arial" w:cs="Arial"/>
          <w:sz w:val="22"/>
          <w:szCs w:val="22"/>
        </w:rPr>
        <w:t>Os equipamentos que farão parte do moving estão no prédio da Prefeitura Sinop, sito à Rua das Avencas, 1481 - Centro, Sinop - MT, 78550.206;</w:t>
      </w:r>
    </w:p>
    <w:p w14:paraId="3898DCC2">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lang w:val="pt-BR"/>
        </w:rPr>
        <w:t>5.1.144.</w:t>
      </w:r>
      <w:r>
        <w:rPr>
          <w:rFonts w:hint="default" w:ascii="Arial" w:hAnsi="Arial" w:cs="Arial"/>
          <w:sz w:val="22"/>
          <w:szCs w:val="22"/>
          <w:lang w:val="pt-BR"/>
        </w:rPr>
        <w:t xml:space="preserve"> </w:t>
      </w:r>
      <w:r>
        <w:rPr>
          <w:rFonts w:hint="default" w:ascii="Arial" w:hAnsi="Arial" w:cs="Arial"/>
          <w:sz w:val="22"/>
          <w:szCs w:val="22"/>
        </w:rPr>
        <w:t>O destino dos equipamentos será o Data Center de Missão Crítica, que estará localizado no mesmo endereço, em bloco diferente, mas na mesma localização;</w:t>
      </w:r>
    </w:p>
    <w:p w14:paraId="21CD17BA">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jc w:val="both"/>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bCs/>
          <w:sz w:val="22"/>
          <w:szCs w:val="22"/>
          <w:lang w:val="pt-BR"/>
        </w:rPr>
        <w:t xml:space="preserve">5.1.145. </w:t>
      </w:r>
      <w:r>
        <w:rPr>
          <w:rFonts w:hint="default" w:ascii="Arial" w:hAnsi="Arial" w:cs="Arial"/>
          <w:sz w:val="22"/>
          <w:szCs w:val="22"/>
        </w:rPr>
        <w:t>A distância do data center atual para a localização onde será instalado o novo Data Center é de aproximadamente 50 (cinquenta) metros;</w:t>
      </w:r>
    </w:p>
    <w:p w14:paraId="70A51E81">
      <w:pPr>
        <w:pStyle w:val="155"/>
        <w:spacing w:before="1" w:line="360" w:lineRule="auto"/>
        <w:ind w:left="0" w:leftChars="0" w:firstLine="0" w:firstLineChars="0"/>
        <w:jc w:val="both"/>
        <w:rPr>
          <w:rFonts w:hint="default" w:ascii="Arial" w:hAnsi="Arial" w:cs="Arial"/>
          <w:b w:val="0"/>
          <w:bCs/>
          <w:color w:val="000000" w:themeColor="text1"/>
          <w:sz w:val="22"/>
          <w:szCs w:val="22"/>
          <w:highlight w:val="none"/>
          <w:lang w:val="pt-BR"/>
          <w14:textFill>
            <w14:solidFill>
              <w14:schemeClr w14:val="tx1"/>
            </w14:solidFill>
          </w14:textFill>
        </w:rPr>
      </w:pPr>
    </w:p>
    <w:p w14:paraId="585F6EFA">
      <w:pPr>
        <w:pStyle w:val="155"/>
        <w:numPr>
          <w:ilvl w:val="1"/>
          <w:numId w:val="17"/>
        </w:numPr>
        <w:spacing w:line="360" w:lineRule="auto"/>
        <w:ind w:left="0" w:leftChars="0" w:firstLine="0" w:firstLineChars="0"/>
        <w:jc w:val="both"/>
        <w:rPr>
          <w:rFonts w:hint="default" w:ascii="Arial" w:hAnsi="Arial" w:cs="Arial"/>
          <w:b/>
          <w:color w:val="auto"/>
          <w:spacing w:val="-2"/>
          <w:sz w:val="22"/>
          <w:szCs w:val="22"/>
          <w:lang w:val="pt-BR"/>
        </w:rPr>
      </w:pPr>
      <w:r>
        <w:rPr>
          <w:rFonts w:hint="default" w:ascii="Arial" w:hAnsi="Arial" w:cs="Arial"/>
          <w:b/>
          <w:color w:val="auto"/>
          <w:sz w:val="22"/>
          <w:szCs w:val="22"/>
        </w:rPr>
        <w:t xml:space="preserve">Garantia </w:t>
      </w:r>
      <w:r>
        <w:rPr>
          <w:rFonts w:hint="default" w:ascii="Arial" w:hAnsi="Arial" w:cs="Arial"/>
          <w:b/>
          <w:color w:val="auto"/>
          <w:spacing w:val="-2"/>
          <w:sz w:val="22"/>
          <w:szCs w:val="22"/>
        </w:rPr>
        <w:t>Contratual:</w:t>
      </w:r>
      <w:r>
        <w:rPr>
          <w:rFonts w:hint="default" w:ascii="Arial" w:hAnsi="Arial" w:cs="Arial"/>
          <w:b/>
          <w:color w:val="auto"/>
          <w:spacing w:val="-2"/>
          <w:sz w:val="22"/>
          <w:szCs w:val="22"/>
          <w:lang w:val="pt-BR"/>
        </w:rPr>
        <w:t xml:space="preserve"> </w:t>
      </w:r>
    </w:p>
    <w:p w14:paraId="55535D5E">
      <w:pPr>
        <w:spacing w:line="360" w:lineRule="auto"/>
        <w:jc w:val="both"/>
        <w:rPr>
          <w:rFonts w:hint="default" w:ascii="Arial" w:hAnsi="Arial" w:cs="Arial"/>
          <w:color w:val="0D0D0D"/>
          <w:sz w:val="22"/>
          <w:szCs w:val="22"/>
          <w:highlight w:val="none"/>
          <w:shd w:val="clear" w:color="auto" w:fill="FFFFFF"/>
          <w:lang w:val="pt-BR"/>
        </w:rPr>
      </w:pPr>
      <w:r>
        <w:rPr>
          <w:rFonts w:hint="default" w:ascii="Arial" w:hAnsi="Arial" w:cs="Arial"/>
          <w:color w:val="0D0D0D"/>
          <w:sz w:val="22"/>
          <w:szCs w:val="22"/>
          <w:highlight w:val="none"/>
          <w:shd w:val="clear" w:color="auto" w:fill="FFFFFF"/>
        </w:rPr>
        <w:t>Não será exigido garantia contratual</w:t>
      </w:r>
      <w:r>
        <w:rPr>
          <w:rFonts w:hint="default" w:ascii="Arial" w:hAnsi="Arial" w:cs="Arial"/>
          <w:color w:val="0D0D0D"/>
          <w:sz w:val="22"/>
          <w:szCs w:val="22"/>
          <w:highlight w:val="none"/>
          <w:shd w:val="clear" w:color="auto" w:fill="FFFFFF"/>
          <w:lang w:val="pt-BR"/>
        </w:rPr>
        <w:t xml:space="preserve"> conforme</w:t>
      </w:r>
      <w:r>
        <w:rPr>
          <w:rFonts w:hint="default" w:ascii="Arial" w:hAnsi="Arial" w:cs="Arial"/>
          <w:i w:val="0"/>
          <w:iCs w:val="0"/>
          <w:color w:val="auto"/>
          <w:sz w:val="22"/>
          <w:szCs w:val="22"/>
        </w:rPr>
        <w:t xml:space="preserve"> </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\l "art96" \h </w:instrText>
      </w:r>
      <w:r>
        <w:rPr>
          <w:rFonts w:hint="default" w:ascii="Arial" w:hAnsi="Arial" w:cs="Arial"/>
          <w:i w:val="0"/>
          <w:iCs w:val="0"/>
          <w:color w:val="auto"/>
          <w:sz w:val="22"/>
          <w:szCs w:val="22"/>
          <w:u w:val="none"/>
        </w:rPr>
        <w:fldChar w:fldCharType="separate"/>
      </w:r>
      <w:r>
        <w:rPr>
          <w:rStyle w:val="15"/>
          <w:rFonts w:hint="default" w:ascii="Arial" w:hAnsi="Arial" w:cs="Arial"/>
          <w:i w:val="0"/>
          <w:iCs w:val="0"/>
          <w:color w:val="auto"/>
          <w:sz w:val="22"/>
          <w:szCs w:val="22"/>
          <w:u w:val="none"/>
        </w:rPr>
        <w:t xml:space="preserve">artigos 96 e seguintes da Lei </w:t>
      </w:r>
      <w:r>
        <w:rPr>
          <w:rStyle w:val="15"/>
          <w:rFonts w:hint="default" w:cs="Arial"/>
          <w:i w:val="0"/>
          <w:iCs w:val="0"/>
          <w:color w:val="auto"/>
          <w:sz w:val="22"/>
          <w:szCs w:val="22"/>
          <w:u w:val="none"/>
          <w:lang w:val="pt-BR"/>
        </w:rPr>
        <w:t xml:space="preserve">Federal </w:t>
      </w:r>
      <w:r>
        <w:rPr>
          <w:rStyle w:val="15"/>
          <w:rFonts w:hint="default" w:ascii="Arial" w:hAnsi="Arial" w:cs="Arial"/>
          <w:i w:val="0"/>
          <w:iCs w:val="0"/>
          <w:color w:val="auto"/>
          <w:sz w:val="22"/>
          <w:szCs w:val="22"/>
          <w:u w:val="none"/>
        </w:rPr>
        <w:t>nº 14.133</w:t>
      </w:r>
      <w:r>
        <w:rPr>
          <w:rStyle w:val="15"/>
          <w:rFonts w:hint="default" w:cs="Arial"/>
          <w:i w:val="0"/>
          <w:iCs w:val="0"/>
          <w:color w:val="auto"/>
          <w:sz w:val="22"/>
          <w:szCs w:val="22"/>
          <w:u w:val="none"/>
          <w:lang w:val="pt-BR"/>
        </w:rPr>
        <w:t>/2</w:t>
      </w:r>
      <w:r>
        <w:rPr>
          <w:rStyle w:val="15"/>
          <w:rFonts w:hint="default" w:ascii="Arial" w:hAnsi="Arial" w:cs="Arial"/>
          <w:i w:val="0"/>
          <w:iCs w:val="0"/>
          <w:color w:val="auto"/>
          <w:sz w:val="22"/>
          <w:szCs w:val="22"/>
          <w:u w:val="none"/>
        </w:rPr>
        <w:t>021</w:t>
      </w:r>
      <w:r>
        <w:rPr>
          <w:rStyle w:val="15"/>
          <w:rFonts w:hint="default" w:ascii="Arial" w:hAnsi="Arial" w:cs="Arial"/>
          <w:i w:val="0"/>
          <w:iCs w:val="0"/>
          <w:color w:val="auto"/>
          <w:sz w:val="22"/>
          <w:szCs w:val="22"/>
          <w:u w:val="none"/>
        </w:rPr>
        <w:fldChar w:fldCharType="end"/>
      </w:r>
      <w:r>
        <w:rPr>
          <w:rStyle w:val="15"/>
          <w:rFonts w:hint="default" w:ascii="Arial" w:hAnsi="Arial" w:cs="Arial"/>
          <w:i w:val="0"/>
          <w:iCs w:val="0"/>
          <w:color w:val="auto"/>
          <w:sz w:val="22"/>
          <w:szCs w:val="22"/>
          <w:u w:val="none"/>
          <w:lang w:val="pt-BR"/>
        </w:rPr>
        <w:t xml:space="preserve">, </w:t>
      </w:r>
      <w:r>
        <w:rPr>
          <w:rFonts w:hint="default" w:ascii="Arial" w:hAnsi="Arial" w:cs="Arial"/>
          <w:color w:val="0D0D0D"/>
          <w:sz w:val="22"/>
          <w:szCs w:val="22"/>
          <w:highlight w:val="none"/>
          <w:shd w:val="clear" w:color="auto" w:fill="FFFFFF"/>
        </w:rPr>
        <w:t>todavia é importante ressaltar que o descumprimento ou atraso nas exigências estabelecidas no edital acarretará sanções administrativas. Essas medidas punitivas estão claramente delineadas no regulamento municipal,  Decreto 360/2023. Portanto, é imperativo observar com rigor todas as condições do edital para evitar possíveis penalidades, conforme previsto na legislação aplicável.</w:t>
      </w:r>
      <w:r>
        <w:rPr>
          <w:rFonts w:hint="default" w:ascii="Arial" w:hAnsi="Arial" w:cs="Arial"/>
          <w:color w:val="0D0D0D"/>
          <w:sz w:val="22"/>
          <w:szCs w:val="22"/>
          <w:highlight w:val="none"/>
          <w:shd w:val="clear" w:color="auto" w:fill="FFFFFF"/>
          <w:lang w:val="pt-BR"/>
        </w:rPr>
        <w:t xml:space="preserve"> </w:t>
      </w:r>
      <w:r>
        <w:rPr>
          <w:rFonts w:hint="default" w:ascii="Arial" w:hAnsi="Arial" w:eastAsia="SimSun" w:cs="Arial"/>
          <w:color w:val="auto"/>
          <w:kern w:val="0"/>
          <w:sz w:val="22"/>
          <w:szCs w:val="22"/>
          <w:lang w:val="en-US" w:eastAsia="zh-CN" w:bidi="ar"/>
        </w:rPr>
        <w:t>O que se precisa ter é a garantia legal dos produtos</w:t>
      </w:r>
      <w:r>
        <w:rPr>
          <w:rFonts w:hint="default" w:ascii="Arial" w:hAnsi="Arial" w:eastAsia="SimSun" w:cs="Arial"/>
          <w:color w:val="auto"/>
          <w:kern w:val="0"/>
          <w:sz w:val="22"/>
          <w:szCs w:val="22"/>
          <w:lang w:val="pt-BR" w:eastAsia="zh-CN" w:bidi="ar"/>
        </w:rPr>
        <w:t>/serviços.</w:t>
      </w:r>
    </w:p>
    <w:p w14:paraId="288C84CF">
      <w:pPr>
        <w:pStyle w:val="155"/>
        <w:spacing w:before="1" w:line="360" w:lineRule="auto"/>
        <w:ind w:left="0" w:leftChars="0" w:firstLine="0" w:firstLineChars="0"/>
        <w:jc w:val="both"/>
        <w:rPr>
          <w:rFonts w:hint="default" w:ascii="Arial" w:hAnsi="Arial" w:eastAsia="SimSun" w:cs="Arial"/>
          <w:color w:val="auto"/>
          <w:kern w:val="0"/>
          <w:sz w:val="22"/>
          <w:szCs w:val="22"/>
          <w:highlight w:val="green"/>
          <w:lang w:val="en-US" w:eastAsia="zh-CN" w:bidi="ar"/>
        </w:rPr>
      </w:pPr>
    </w:p>
    <w:p w14:paraId="68288A31">
      <w:pPr>
        <w:keepNext w:val="0"/>
        <w:keepLines w:val="0"/>
        <w:widowControl/>
        <w:suppressLineNumbers w:val="0"/>
        <w:spacing w:line="360" w:lineRule="auto"/>
        <w:jc w:val="both"/>
        <w:rPr>
          <w:rFonts w:hint="default" w:ascii="Arial" w:hAnsi="Arial" w:cs="Arial"/>
          <w:b/>
          <w:spacing w:val="-2"/>
          <w:sz w:val="22"/>
          <w:szCs w:val="22"/>
          <w:highlight w:val="none"/>
          <w:lang w:val="pt-BR"/>
        </w:rPr>
      </w:pPr>
      <w:r>
        <w:rPr>
          <w:rFonts w:hint="default" w:ascii="Arial" w:hAnsi="Arial" w:cs="Arial"/>
          <w:b/>
          <w:sz w:val="22"/>
          <w:szCs w:val="22"/>
          <w:highlight w:val="none"/>
          <w:lang w:val="pt-BR"/>
        </w:rPr>
        <w:t>5</w:t>
      </w:r>
      <w:r>
        <w:rPr>
          <w:rFonts w:hint="default" w:ascii="Arial" w:hAnsi="Arial" w:cs="Arial"/>
          <w:b/>
          <w:sz w:val="22"/>
          <w:szCs w:val="22"/>
          <w:highlight w:val="none"/>
        </w:rPr>
        <w:t>.3</w:t>
      </w:r>
      <w:r>
        <w:rPr>
          <w:rFonts w:hint="default" w:ascii="Arial" w:hAnsi="Arial" w:cs="Arial"/>
          <w:b/>
          <w:sz w:val="22"/>
          <w:szCs w:val="22"/>
          <w:highlight w:val="none"/>
          <w:lang w:val="pt-BR"/>
        </w:rPr>
        <w:t>.</w:t>
      </w:r>
      <w:r>
        <w:rPr>
          <w:rFonts w:hint="default" w:ascii="Arial" w:hAnsi="Arial" w:cs="Arial"/>
          <w:b/>
          <w:spacing w:val="-1"/>
          <w:sz w:val="22"/>
          <w:szCs w:val="22"/>
          <w:highlight w:val="none"/>
        </w:rPr>
        <w:t xml:space="preserve"> </w:t>
      </w:r>
      <w:r>
        <w:rPr>
          <w:rFonts w:hint="default" w:ascii="Arial" w:hAnsi="Arial" w:cs="Arial"/>
          <w:b/>
          <w:color w:val="auto"/>
          <w:sz w:val="22"/>
          <w:szCs w:val="22"/>
          <w:highlight w:val="none"/>
        </w:rPr>
        <w:t>Duração</w:t>
      </w:r>
      <w:r>
        <w:rPr>
          <w:rFonts w:hint="default" w:ascii="Arial" w:hAnsi="Arial" w:cs="Arial"/>
          <w:b/>
          <w:color w:val="auto"/>
          <w:spacing w:val="-1"/>
          <w:sz w:val="22"/>
          <w:szCs w:val="22"/>
          <w:highlight w:val="none"/>
        </w:rPr>
        <w:t xml:space="preserve"> </w:t>
      </w:r>
      <w:r>
        <w:rPr>
          <w:rFonts w:hint="default" w:ascii="Arial" w:hAnsi="Arial" w:cs="Arial"/>
          <w:b/>
          <w:sz w:val="22"/>
          <w:szCs w:val="22"/>
          <w:highlight w:val="none"/>
        </w:rPr>
        <w:t xml:space="preserve">do </w:t>
      </w:r>
      <w:r>
        <w:rPr>
          <w:rFonts w:hint="default" w:ascii="Arial" w:hAnsi="Arial" w:cs="Arial"/>
          <w:b/>
          <w:spacing w:val="-2"/>
          <w:sz w:val="22"/>
          <w:szCs w:val="22"/>
          <w:highlight w:val="none"/>
        </w:rPr>
        <w:t>Contrato:</w:t>
      </w:r>
      <w:r>
        <w:rPr>
          <w:rFonts w:hint="default" w:ascii="Arial" w:hAnsi="Arial" w:cs="Arial"/>
          <w:b/>
          <w:spacing w:val="-2"/>
          <w:sz w:val="22"/>
          <w:szCs w:val="22"/>
          <w:highlight w:val="none"/>
          <w:lang w:val="pt-BR"/>
        </w:rPr>
        <w:t xml:space="preserve"> </w:t>
      </w:r>
    </w:p>
    <w:p w14:paraId="40EEF2B2">
      <w:pPr>
        <w:keepNext w:val="0"/>
        <w:keepLines w:val="0"/>
        <w:widowControl/>
        <w:numPr>
          <w:ilvl w:val="0"/>
          <w:numId w:val="0"/>
        </w:numPr>
        <w:suppressLineNumbers w:val="0"/>
        <w:autoSpaceDE w:val="0"/>
        <w:autoSpaceDN w:val="0"/>
        <w:spacing w:before="0" w:after="0" w:line="360" w:lineRule="auto"/>
        <w:ind w:right="0" w:rightChars="0"/>
        <w:jc w:val="left"/>
        <w:rPr>
          <w:rFonts w:hint="default" w:ascii="Arial" w:hAnsi="Arial" w:cs="Arial"/>
          <w:b/>
          <w:spacing w:val="-2"/>
          <w:sz w:val="24"/>
          <w:lang w:val="pt-BR"/>
        </w:rPr>
      </w:pPr>
      <w:r>
        <w:rPr>
          <w:rFonts w:hint="default" w:ascii="Arial" w:hAnsi="Arial" w:cs="Arial"/>
          <w:sz w:val="22"/>
          <w:szCs w:val="22"/>
        </w:rPr>
        <w:t xml:space="preserve">O contrato terá vigência de 12 (doze) meses, a contar da data de sua assinatura, podendo ser prorrogado, nos termos do Art. </w:t>
      </w:r>
      <w:r>
        <w:rPr>
          <w:rFonts w:hint="default" w:ascii="Arial" w:hAnsi="Arial" w:cs="Arial"/>
          <w:sz w:val="22"/>
          <w:szCs w:val="22"/>
          <w:lang w:val="pt-BR"/>
        </w:rPr>
        <w:t>105 a 107</w:t>
      </w:r>
      <w:r>
        <w:rPr>
          <w:rFonts w:hint="default" w:ascii="Arial" w:hAnsi="Arial" w:cs="Arial"/>
          <w:sz w:val="22"/>
          <w:szCs w:val="22"/>
        </w:rPr>
        <w:t xml:space="preserve"> da Lei nº </w:t>
      </w:r>
      <w:r>
        <w:rPr>
          <w:rFonts w:hint="default" w:ascii="Arial" w:hAnsi="Arial" w:cs="Arial"/>
          <w:sz w:val="22"/>
          <w:szCs w:val="22"/>
          <w:lang w:val="pt-BR"/>
        </w:rPr>
        <w:t>14.133/2021.</w:t>
      </w:r>
    </w:p>
    <w:p w14:paraId="6CE6F2A7">
      <w:pPr>
        <w:pStyle w:val="155"/>
        <w:spacing w:before="1" w:line="360" w:lineRule="auto"/>
        <w:ind w:left="0" w:leftChars="0" w:firstLine="0" w:firstLineChars="0"/>
        <w:jc w:val="both"/>
        <w:rPr>
          <w:rFonts w:hint="default" w:ascii="Arial" w:hAnsi="Arial" w:cs="Arial"/>
          <w:b w:val="0"/>
          <w:bCs/>
          <w:sz w:val="22"/>
          <w:szCs w:val="22"/>
          <w:highlight w:val="none"/>
          <w:lang w:val="pt-BR"/>
        </w:rPr>
      </w:pPr>
    </w:p>
    <w:p w14:paraId="248EC0A6">
      <w:pPr>
        <w:pStyle w:val="155"/>
        <w:spacing w:line="360" w:lineRule="auto"/>
        <w:jc w:val="both"/>
        <w:rPr>
          <w:rFonts w:hint="default" w:ascii="Arial" w:hAnsi="Arial" w:cs="Arial"/>
          <w:b/>
          <w:spacing w:val="-4"/>
          <w:sz w:val="22"/>
          <w:szCs w:val="22"/>
          <w:highlight w:val="none"/>
        </w:rPr>
      </w:pPr>
      <w:r>
        <w:rPr>
          <w:rFonts w:hint="default" w:ascii="Arial" w:hAnsi="Arial" w:cs="Arial"/>
          <w:b/>
          <w:sz w:val="22"/>
          <w:szCs w:val="22"/>
          <w:highlight w:val="none"/>
          <w:lang w:val="pt-BR"/>
        </w:rPr>
        <w:t>5</w:t>
      </w:r>
      <w:r>
        <w:rPr>
          <w:rFonts w:hint="default" w:ascii="Arial" w:hAnsi="Arial" w:cs="Arial"/>
          <w:b/>
          <w:sz w:val="22"/>
          <w:szCs w:val="22"/>
          <w:highlight w:val="none"/>
        </w:rPr>
        <w:t>.4</w:t>
      </w:r>
      <w:r>
        <w:rPr>
          <w:rFonts w:hint="default" w:ascii="Arial" w:hAnsi="Arial" w:cs="Arial"/>
          <w:b/>
          <w:sz w:val="22"/>
          <w:szCs w:val="22"/>
          <w:highlight w:val="none"/>
          <w:lang w:val="pt-BR"/>
        </w:rPr>
        <w:t>.</w:t>
      </w:r>
      <w:r>
        <w:rPr>
          <w:rFonts w:hint="default" w:ascii="Arial" w:hAnsi="Arial" w:cs="Arial"/>
          <w:b/>
          <w:spacing w:val="-1"/>
          <w:sz w:val="22"/>
          <w:szCs w:val="22"/>
          <w:highlight w:val="none"/>
        </w:rPr>
        <w:t xml:space="preserve"> </w:t>
      </w:r>
      <w:r>
        <w:rPr>
          <w:rFonts w:hint="default" w:ascii="Arial" w:hAnsi="Arial" w:cs="Arial"/>
          <w:b/>
          <w:sz w:val="22"/>
          <w:szCs w:val="22"/>
          <w:highlight w:val="none"/>
        </w:rPr>
        <w:t>C</w:t>
      </w:r>
      <w:r>
        <w:rPr>
          <w:rFonts w:hint="default" w:ascii="Arial" w:hAnsi="Arial" w:cs="Arial"/>
          <w:b/>
          <w:color w:val="auto"/>
          <w:sz w:val="22"/>
          <w:szCs w:val="22"/>
          <w:highlight w:val="none"/>
        </w:rPr>
        <w:t>ota</w:t>
      </w:r>
      <w:r>
        <w:rPr>
          <w:rFonts w:hint="default" w:ascii="Arial" w:hAnsi="Arial" w:cs="Arial"/>
          <w:b/>
          <w:color w:val="0000FF"/>
          <w:spacing w:val="-1"/>
          <w:sz w:val="22"/>
          <w:szCs w:val="22"/>
          <w:highlight w:val="none"/>
        </w:rPr>
        <w:t xml:space="preserve"> </w:t>
      </w:r>
      <w:r>
        <w:rPr>
          <w:rFonts w:hint="default" w:ascii="Arial" w:hAnsi="Arial" w:cs="Arial"/>
          <w:b/>
          <w:sz w:val="22"/>
          <w:szCs w:val="22"/>
          <w:highlight w:val="none"/>
        </w:rPr>
        <w:t>exclusiva</w:t>
      </w:r>
      <w:r>
        <w:rPr>
          <w:rFonts w:hint="default" w:ascii="Arial" w:hAnsi="Arial" w:cs="Arial"/>
          <w:b/>
          <w:spacing w:val="-1"/>
          <w:sz w:val="22"/>
          <w:szCs w:val="22"/>
          <w:highlight w:val="none"/>
        </w:rPr>
        <w:t xml:space="preserve"> </w:t>
      </w:r>
      <w:r>
        <w:rPr>
          <w:rFonts w:hint="default" w:ascii="Arial" w:hAnsi="Arial" w:cs="Arial"/>
          <w:b/>
          <w:sz w:val="22"/>
          <w:szCs w:val="22"/>
          <w:highlight w:val="none"/>
        </w:rPr>
        <w:t>/Parcelamento</w:t>
      </w:r>
      <w:r>
        <w:rPr>
          <w:rFonts w:hint="default" w:ascii="Arial" w:hAnsi="Arial" w:cs="Arial"/>
          <w:b/>
          <w:spacing w:val="-1"/>
          <w:sz w:val="22"/>
          <w:szCs w:val="22"/>
          <w:highlight w:val="none"/>
        </w:rPr>
        <w:t xml:space="preserve"> </w:t>
      </w:r>
      <w:r>
        <w:rPr>
          <w:rFonts w:hint="default" w:ascii="Arial" w:hAnsi="Arial" w:cs="Arial"/>
          <w:b/>
          <w:sz w:val="22"/>
          <w:szCs w:val="22"/>
          <w:highlight w:val="none"/>
        </w:rPr>
        <w:t>para</w:t>
      </w:r>
      <w:r>
        <w:rPr>
          <w:rFonts w:hint="default" w:ascii="Arial" w:hAnsi="Arial" w:cs="Arial"/>
          <w:b/>
          <w:spacing w:val="-2"/>
          <w:sz w:val="22"/>
          <w:szCs w:val="22"/>
          <w:highlight w:val="none"/>
        </w:rPr>
        <w:t xml:space="preserve"> </w:t>
      </w:r>
      <w:r>
        <w:rPr>
          <w:rFonts w:hint="default" w:ascii="Arial" w:hAnsi="Arial" w:cs="Arial"/>
          <w:b/>
          <w:sz w:val="22"/>
          <w:szCs w:val="22"/>
          <w:highlight w:val="none"/>
        </w:rPr>
        <w:t>ME</w:t>
      </w:r>
      <w:r>
        <w:rPr>
          <w:rFonts w:hint="default" w:ascii="Arial" w:hAnsi="Arial" w:cs="Arial"/>
          <w:b/>
          <w:spacing w:val="-1"/>
          <w:sz w:val="22"/>
          <w:szCs w:val="22"/>
          <w:highlight w:val="none"/>
        </w:rPr>
        <w:t xml:space="preserve"> </w:t>
      </w:r>
      <w:r>
        <w:rPr>
          <w:rFonts w:hint="default" w:ascii="Arial" w:hAnsi="Arial" w:cs="Arial"/>
          <w:b/>
          <w:sz w:val="22"/>
          <w:szCs w:val="22"/>
          <w:highlight w:val="none"/>
        </w:rPr>
        <w:t>e</w:t>
      </w:r>
      <w:r>
        <w:rPr>
          <w:rFonts w:hint="default" w:ascii="Arial" w:hAnsi="Arial" w:cs="Arial"/>
          <w:b/>
          <w:spacing w:val="-1"/>
          <w:sz w:val="22"/>
          <w:szCs w:val="22"/>
          <w:highlight w:val="none"/>
        </w:rPr>
        <w:t xml:space="preserve"> </w:t>
      </w:r>
      <w:r>
        <w:rPr>
          <w:rFonts w:hint="default" w:ascii="Arial" w:hAnsi="Arial" w:cs="Arial"/>
          <w:b/>
          <w:spacing w:val="-4"/>
          <w:sz w:val="22"/>
          <w:szCs w:val="22"/>
          <w:highlight w:val="none"/>
        </w:rPr>
        <w:t>EPP:</w:t>
      </w:r>
    </w:p>
    <w:p w14:paraId="19B31889">
      <w:pPr>
        <w:spacing w:line="360" w:lineRule="auto"/>
        <w:jc w:val="both"/>
        <w:rPr>
          <w:rFonts w:hint="default" w:ascii="Arial" w:hAnsi="Arial" w:eastAsia="SimSun" w:cs="Arial"/>
          <w:color w:val="auto"/>
          <w:sz w:val="22"/>
          <w:szCs w:val="22"/>
          <w:highlight w:val="none"/>
          <w:lang w:bidi="ar"/>
        </w:rPr>
      </w:pPr>
      <w:r>
        <w:rPr>
          <w:rFonts w:hint="default" w:ascii="Arial" w:hAnsi="Arial" w:eastAsia="SimSun" w:cs="Arial"/>
          <w:color w:val="auto"/>
          <w:kern w:val="0"/>
          <w:sz w:val="22"/>
          <w:szCs w:val="22"/>
          <w:lang w:val="en-US" w:eastAsia="zh-CN" w:bidi="ar"/>
        </w:rPr>
        <w:t>Considerando que o valor estimado dos itens é superior ao limite estabelecido no inciso I do art. 48 da Lei Complementar nº 123</w:t>
      </w:r>
      <w:r>
        <w:rPr>
          <w:rFonts w:hint="default" w:ascii="Arial" w:hAnsi="Arial" w:eastAsia="SimSun" w:cs="Arial"/>
          <w:color w:val="auto"/>
          <w:kern w:val="0"/>
          <w:sz w:val="22"/>
          <w:szCs w:val="22"/>
          <w:lang w:val="pt-BR" w:eastAsia="zh-CN" w:bidi="ar"/>
        </w:rPr>
        <w:t>/2</w:t>
      </w:r>
      <w:r>
        <w:rPr>
          <w:rFonts w:hint="default" w:ascii="Arial" w:hAnsi="Arial" w:eastAsia="SimSun" w:cs="Arial"/>
          <w:color w:val="auto"/>
          <w:kern w:val="0"/>
          <w:sz w:val="22"/>
          <w:szCs w:val="22"/>
          <w:lang w:val="en-US" w:eastAsia="zh-CN" w:bidi="ar"/>
        </w:rPr>
        <w:t>006</w:t>
      </w:r>
      <w:r>
        <w:rPr>
          <w:rFonts w:hint="default" w:ascii="Arial" w:hAnsi="Arial" w:eastAsia="SimSun" w:cs="Arial"/>
          <w:color w:val="auto"/>
          <w:kern w:val="0"/>
          <w:sz w:val="22"/>
          <w:szCs w:val="22"/>
          <w:lang w:val="pt-BR" w:eastAsia="zh-CN" w:bidi="ar"/>
        </w:rPr>
        <w:t xml:space="preserve"> </w:t>
      </w:r>
      <w:r>
        <w:rPr>
          <w:rFonts w:hint="default" w:ascii="Arial" w:hAnsi="Arial" w:eastAsia="SimSun" w:cs="Arial"/>
          <w:color w:val="auto"/>
          <w:sz w:val="22"/>
          <w:szCs w:val="22"/>
          <w:highlight w:val="none"/>
          <w:lang w:bidi="ar"/>
        </w:rPr>
        <w:t>e decreto municipal 359/2024</w:t>
      </w:r>
      <w:r>
        <w:rPr>
          <w:rFonts w:hint="default" w:ascii="Arial" w:hAnsi="Arial" w:eastAsia="SimSun" w:cs="Arial"/>
          <w:color w:val="auto"/>
          <w:sz w:val="22"/>
          <w:szCs w:val="22"/>
          <w:highlight w:val="none"/>
          <w:lang w:val="pt-BR" w:bidi="ar"/>
        </w:rPr>
        <w:t xml:space="preserve">, </w:t>
      </w:r>
      <w:r>
        <w:rPr>
          <w:rFonts w:hint="default" w:ascii="Arial" w:hAnsi="Arial" w:eastAsia="SimSun" w:cs="Arial"/>
          <w:color w:val="auto"/>
          <w:kern w:val="0"/>
          <w:sz w:val="22"/>
          <w:szCs w:val="22"/>
          <w:lang w:val="en-US" w:eastAsia="zh-CN" w:bidi="ar"/>
        </w:rPr>
        <w:t xml:space="preserve">a licitação será </w:t>
      </w:r>
      <w:r>
        <w:rPr>
          <w:rFonts w:hint="default" w:ascii="Arial" w:hAnsi="Arial" w:eastAsia="SimSun" w:cs="Arial"/>
          <w:color w:val="auto"/>
          <w:kern w:val="0"/>
          <w:sz w:val="22"/>
          <w:szCs w:val="22"/>
          <w:lang w:val="pt-BR" w:eastAsia="zh-CN" w:bidi="ar"/>
        </w:rPr>
        <w:t>para ampla concorrência por não ser divisível</w:t>
      </w:r>
      <w:r>
        <w:rPr>
          <w:rFonts w:hint="default" w:ascii="Arial" w:hAnsi="Arial" w:eastAsia="SimSun" w:cs="Arial"/>
          <w:color w:val="auto"/>
          <w:kern w:val="0"/>
          <w:sz w:val="22"/>
          <w:szCs w:val="22"/>
          <w:lang w:val="en-US" w:eastAsia="zh-CN" w:bidi="ar"/>
        </w:rPr>
        <w:t>.</w:t>
      </w:r>
    </w:p>
    <w:p w14:paraId="18AAEA73">
      <w:pPr>
        <w:pStyle w:val="155"/>
        <w:spacing w:before="1" w:line="360" w:lineRule="auto"/>
        <w:ind w:left="0" w:leftChars="0" w:firstLine="0" w:firstLineChars="0"/>
        <w:jc w:val="both"/>
        <w:rPr>
          <w:rFonts w:hint="default" w:ascii="Arial" w:hAnsi="Arial" w:eastAsia="SimSun" w:cs="Arial"/>
          <w:color w:val="auto"/>
          <w:kern w:val="0"/>
          <w:sz w:val="22"/>
          <w:szCs w:val="22"/>
          <w:highlight w:val="green"/>
          <w:lang w:val="pt-BR" w:eastAsia="zh-CN" w:bidi="ar"/>
        </w:rPr>
      </w:pPr>
    </w:p>
    <w:p w14:paraId="093DC3CE">
      <w:pPr>
        <w:pStyle w:val="155"/>
        <w:spacing w:line="360" w:lineRule="auto"/>
        <w:jc w:val="both"/>
        <w:rPr>
          <w:rFonts w:hint="default" w:ascii="Arial" w:hAnsi="Arial" w:cs="Arial"/>
          <w:b/>
          <w:sz w:val="22"/>
          <w:szCs w:val="22"/>
          <w:highlight w:val="none"/>
        </w:rPr>
      </w:pPr>
      <w:r>
        <w:rPr>
          <w:rFonts w:hint="default" w:ascii="Arial" w:hAnsi="Arial" w:cs="Arial"/>
          <w:b/>
          <w:sz w:val="22"/>
          <w:szCs w:val="22"/>
          <w:highlight w:val="none"/>
          <w:lang w:val="pt-BR"/>
        </w:rPr>
        <w:t>5</w:t>
      </w:r>
      <w:r>
        <w:rPr>
          <w:rFonts w:hint="default" w:ascii="Arial" w:hAnsi="Arial" w:cs="Arial"/>
          <w:b/>
          <w:sz w:val="22"/>
          <w:szCs w:val="22"/>
          <w:highlight w:val="none"/>
        </w:rPr>
        <w:t>.5</w:t>
      </w:r>
      <w:r>
        <w:rPr>
          <w:rFonts w:hint="default" w:ascii="Arial" w:hAnsi="Arial" w:cs="Arial"/>
          <w:b/>
          <w:spacing w:val="-1"/>
          <w:sz w:val="22"/>
          <w:szCs w:val="22"/>
          <w:highlight w:val="none"/>
        </w:rPr>
        <w:t xml:space="preserve"> </w:t>
      </w:r>
      <w:r>
        <w:rPr>
          <w:rFonts w:hint="default" w:ascii="Arial" w:hAnsi="Arial" w:cs="Arial"/>
          <w:b/>
          <w:sz w:val="22"/>
          <w:szCs w:val="22"/>
          <w:highlight w:val="none"/>
        </w:rPr>
        <w:t>Contr</w:t>
      </w:r>
      <w:r>
        <w:rPr>
          <w:rFonts w:hint="default" w:ascii="Arial" w:hAnsi="Arial" w:cs="Arial"/>
          <w:b/>
          <w:color w:val="auto"/>
          <w:sz w:val="22"/>
          <w:szCs w:val="22"/>
          <w:highlight w:val="none"/>
        </w:rPr>
        <w:t>ata</w:t>
      </w:r>
      <w:r>
        <w:rPr>
          <w:rFonts w:hint="default" w:ascii="Arial" w:hAnsi="Arial" w:cs="Arial"/>
          <w:b/>
          <w:sz w:val="22"/>
          <w:szCs w:val="22"/>
          <w:highlight w:val="none"/>
        </w:rPr>
        <w:t>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Anterior</w:t>
      </w:r>
      <w:r>
        <w:rPr>
          <w:rFonts w:hint="default" w:ascii="Arial" w:hAnsi="Arial" w:cs="Arial"/>
          <w:b/>
          <w:spacing w:val="-2"/>
          <w:sz w:val="22"/>
          <w:szCs w:val="22"/>
          <w:highlight w:val="none"/>
        </w:rPr>
        <w:t xml:space="preserve"> </w:t>
      </w:r>
      <w:r>
        <w:rPr>
          <w:rFonts w:hint="default" w:ascii="Arial" w:hAnsi="Arial" w:cs="Arial"/>
          <w:b/>
          <w:sz w:val="22"/>
          <w:szCs w:val="22"/>
          <w:highlight w:val="none"/>
        </w:rPr>
        <w:t>para</w:t>
      </w:r>
      <w:r>
        <w:rPr>
          <w:rFonts w:hint="default" w:ascii="Arial" w:hAnsi="Arial" w:cs="Arial"/>
          <w:b/>
          <w:spacing w:val="-1"/>
          <w:sz w:val="22"/>
          <w:szCs w:val="22"/>
          <w:highlight w:val="none"/>
        </w:rPr>
        <w:t xml:space="preserve"> </w:t>
      </w:r>
      <w:r>
        <w:rPr>
          <w:rFonts w:hint="default" w:ascii="Arial" w:hAnsi="Arial" w:cs="Arial"/>
          <w:b/>
          <w:sz w:val="22"/>
          <w:szCs w:val="22"/>
          <w:highlight w:val="none"/>
        </w:rPr>
        <w:t>o</w:t>
      </w:r>
      <w:r>
        <w:rPr>
          <w:rFonts w:hint="default" w:ascii="Arial" w:hAnsi="Arial" w:cs="Arial"/>
          <w:b/>
          <w:spacing w:val="-1"/>
          <w:sz w:val="22"/>
          <w:szCs w:val="22"/>
          <w:highlight w:val="none"/>
        </w:rPr>
        <w:t xml:space="preserve"> </w:t>
      </w:r>
      <w:r>
        <w:rPr>
          <w:rFonts w:hint="default" w:ascii="Arial" w:hAnsi="Arial" w:cs="Arial"/>
          <w:b/>
          <w:sz w:val="22"/>
          <w:szCs w:val="22"/>
          <w:highlight w:val="none"/>
        </w:rPr>
        <w:t>objeto</w:t>
      </w:r>
      <w:r>
        <w:rPr>
          <w:rFonts w:hint="default" w:ascii="Arial" w:hAnsi="Arial" w:cs="Arial"/>
          <w:b/>
          <w:spacing w:val="-1"/>
          <w:sz w:val="22"/>
          <w:szCs w:val="22"/>
          <w:highlight w:val="none"/>
        </w:rPr>
        <w:t xml:space="preserve"> </w:t>
      </w:r>
      <w:r>
        <w:rPr>
          <w:rFonts w:hint="default" w:ascii="Arial" w:hAnsi="Arial" w:cs="Arial"/>
          <w:b/>
          <w:sz w:val="22"/>
          <w:szCs w:val="22"/>
          <w:highlight w:val="none"/>
        </w:rPr>
        <w:t xml:space="preserve">da </w:t>
      </w:r>
      <w:r>
        <w:rPr>
          <w:rFonts w:hint="default" w:ascii="Arial" w:hAnsi="Arial" w:cs="Arial"/>
          <w:b/>
          <w:spacing w:val="-2"/>
          <w:sz w:val="22"/>
          <w:szCs w:val="22"/>
          <w:highlight w:val="none"/>
        </w:rPr>
        <w:t>demanda:</w:t>
      </w:r>
    </w:p>
    <w:p w14:paraId="330CD990">
      <w:pPr>
        <w:spacing w:after="0" w:line="360" w:lineRule="auto"/>
        <w:jc w:val="both"/>
        <w:rPr>
          <w:rFonts w:hint="default" w:ascii="Arial" w:hAnsi="Arial" w:cs="Arial"/>
          <w:sz w:val="22"/>
          <w:szCs w:val="22"/>
          <w:highlight w:val="none"/>
        </w:rPr>
      </w:pPr>
      <w:r>
        <w:rPr>
          <w:rFonts w:hint="default" w:ascii="Arial" w:hAnsi="Arial" w:cs="Arial"/>
          <w:sz w:val="22"/>
          <w:szCs w:val="22"/>
          <w:highlight w:val="none"/>
        </w:rPr>
        <w:t>(</w:t>
      </w:r>
      <w:r>
        <w:rPr>
          <w:rFonts w:hint="default" w:ascii="Arial" w:hAnsi="Arial" w:cs="Arial"/>
          <w:sz w:val="22"/>
          <w:szCs w:val="22"/>
          <w:highlight w:val="none"/>
          <w:lang w:val="pt-BR"/>
        </w:rPr>
        <w:t xml:space="preserve">  </w:t>
      </w:r>
      <w:r>
        <w:rPr>
          <w:rFonts w:hint="default" w:ascii="Arial" w:hAnsi="Arial" w:cs="Arial"/>
          <w:sz w:val="22"/>
          <w:szCs w:val="22"/>
          <w:highlight w:val="none"/>
        </w:rPr>
        <w:t>)</w:t>
      </w:r>
      <w:r>
        <w:rPr>
          <w:rFonts w:hint="default" w:ascii="Arial" w:hAnsi="Arial" w:cs="Arial"/>
          <w:spacing w:val="-8"/>
          <w:sz w:val="22"/>
          <w:szCs w:val="22"/>
          <w:highlight w:val="none"/>
        </w:rPr>
        <w:t xml:space="preserve"> </w:t>
      </w:r>
      <w:r>
        <w:rPr>
          <w:rFonts w:hint="default" w:ascii="Arial" w:hAnsi="Arial" w:cs="Arial"/>
          <w:sz w:val="22"/>
          <w:szCs w:val="22"/>
          <w:highlight w:val="none"/>
        </w:rPr>
        <w:t>Houve</w:t>
      </w:r>
      <w:r>
        <w:rPr>
          <w:rFonts w:hint="default" w:ascii="Arial" w:hAnsi="Arial" w:cs="Arial"/>
          <w:spacing w:val="-7"/>
          <w:sz w:val="22"/>
          <w:szCs w:val="22"/>
          <w:highlight w:val="none"/>
        </w:rPr>
        <w:t xml:space="preserve"> </w:t>
      </w:r>
      <w:r>
        <w:rPr>
          <w:rFonts w:hint="default" w:ascii="Arial" w:hAnsi="Arial" w:cs="Arial"/>
          <w:sz w:val="22"/>
          <w:szCs w:val="22"/>
          <w:highlight w:val="none"/>
        </w:rPr>
        <w:t>contratação</w:t>
      </w:r>
      <w:r>
        <w:rPr>
          <w:rFonts w:hint="default" w:ascii="Arial" w:hAnsi="Arial" w:cs="Arial"/>
          <w:spacing w:val="-7"/>
          <w:sz w:val="22"/>
          <w:szCs w:val="22"/>
          <w:highlight w:val="none"/>
        </w:rPr>
        <w:t xml:space="preserve"> </w:t>
      </w:r>
      <w:r>
        <w:rPr>
          <w:rFonts w:hint="default" w:ascii="Arial" w:hAnsi="Arial" w:cs="Arial"/>
          <w:sz w:val="22"/>
          <w:szCs w:val="22"/>
          <w:highlight w:val="none"/>
        </w:rPr>
        <w:t xml:space="preserve">anterior. </w:t>
      </w:r>
    </w:p>
    <w:p w14:paraId="053068F5">
      <w:pPr>
        <w:pStyle w:val="155"/>
        <w:spacing w:before="1" w:line="360" w:lineRule="auto"/>
        <w:ind w:left="0" w:leftChars="0" w:firstLine="0" w:firstLineChars="0"/>
        <w:jc w:val="both"/>
        <w:rPr>
          <w:rFonts w:hint="default" w:ascii="Arial" w:hAnsi="Arial" w:cs="Arial"/>
          <w:sz w:val="22"/>
          <w:szCs w:val="22"/>
          <w:highlight w:val="none"/>
          <w:lang w:val="pt-BR"/>
        </w:rPr>
      </w:pPr>
      <w:r>
        <w:rPr>
          <w:rFonts w:hint="default" w:ascii="Arial" w:hAnsi="Arial" w:cs="Arial"/>
          <w:sz w:val="22"/>
          <w:szCs w:val="22"/>
          <w:highlight w:val="none"/>
        </w:rPr>
        <w:t>Justificar novo pedido:</w:t>
      </w:r>
      <w:r>
        <w:rPr>
          <w:rFonts w:hint="default" w:ascii="Arial" w:hAnsi="Arial" w:cs="Arial"/>
          <w:sz w:val="22"/>
          <w:szCs w:val="22"/>
          <w:highlight w:val="none"/>
          <w:lang w:val="pt-BR"/>
        </w:rPr>
        <w:t xml:space="preserve"> </w:t>
      </w:r>
    </w:p>
    <w:p w14:paraId="2D94FF45">
      <w:pPr>
        <w:pStyle w:val="155"/>
        <w:spacing w:before="1" w:line="360" w:lineRule="auto"/>
        <w:ind w:left="0" w:leftChars="0" w:firstLine="0" w:firstLineChars="0"/>
        <w:jc w:val="both"/>
        <w:rPr>
          <w:rFonts w:hint="default" w:ascii="Arial" w:hAnsi="Arial" w:cs="Arial"/>
          <w:sz w:val="22"/>
          <w:szCs w:val="22"/>
          <w:highlight w:val="none"/>
          <w:lang w:val="pt-BR"/>
        </w:rPr>
      </w:pPr>
    </w:p>
    <w:p w14:paraId="31099632">
      <w:pPr>
        <w:pStyle w:val="155"/>
        <w:spacing w:before="1" w:line="360" w:lineRule="auto"/>
        <w:ind w:left="0" w:leftChars="0" w:firstLine="0" w:firstLineChars="0"/>
        <w:jc w:val="both"/>
        <w:rPr>
          <w:rFonts w:hint="default" w:ascii="Arial" w:hAnsi="Arial" w:cs="Arial"/>
          <w:spacing w:val="-2"/>
          <w:sz w:val="22"/>
          <w:szCs w:val="22"/>
        </w:rPr>
      </w:pPr>
      <w:r>
        <w:rPr>
          <w:rFonts w:hint="default" w:ascii="Arial" w:hAnsi="Arial" w:cs="Arial"/>
          <w:sz w:val="22"/>
          <w:szCs w:val="22"/>
        </w:rPr>
        <w:t>(</w:t>
      </w:r>
      <w:r>
        <w:rPr>
          <w:rFonts w:hint="default" w:ascii="Arial" w:hAnsi="Arial" w:cs="Arial"/>
          <w:spacing w:val="29"/>
          <w:sz w:val="22"/>
          <w:szCs w:val="22"/>
          <w:lang w:val="pt-BR"/>
        </w:rPr>
        <w:t>X</w:t>
      </w:r>
      <w:r>
        <w:rPr>
          <w:rFonts w:hint="default" w:ascii="Arial" w:hAnsi="Arial" w:cs="Arial"/>
          <w:sz w:val="22"/>
          <w:szCs w:val="22"/>
        </w:rPr>
        <w:t>)</w:t>
      </w:r>
      <w:r>
        <w:rPr>
          <w:rFonts w:hint="default" w:ascii="Arial" w:hAnsi="Arial" w:cs="Arial"/>
          <w:spacing w:val="-2"/>
          <w:sz w:val="22"/>
          <w:szCs w:val="22"/>
        </w:rPr>
        <w:t xml:space="preserve"> </w:t>
      </w:r>
      <w:r>
        <w:rPr>
          <w:rFonts w:hint="default" w:ascii="Arial" w:hAnsi="Arial" w:cs="Arial"/>
          <w:sz w:val="22"/>
          <w:szCs w:val="22"/>
        </w:rPr>
        <w:t>Não houve</w:t>
      </w:r>
      <w:r>
        <w:rPr>
          <w:rFonts w:hint="default" w:ascii="Arial" w:hAnsi="Arial" w:cs="Arial"/>
          <w:spacing w:val="-1"/>
          <w:sz w:val="22"/>
          <w:szCs w:val="22"/>
        </w:rPr>
        <w:t xml:space="preserve"> </w:t>
      </w:r>
      <w:r>
        <w:rPr>
          <w:rFonts w:hint="default" w:ascii="Arial" w:hAnsi="Arial" w:cs="Arial"/>
          <w:sz w:val="22"/>
          <w:szCs w:val="22"/>
        </w:rPr>
        <w:t xml:space="preserve">contratação </w:t>
      </w:r>
      <w:r>
        <w:rPr>
          <w:rFonts w:hint="default" w:ascii="Arial" w:hAnsi="Arial" w:cs="Arial"/>
          <w:spacing w:val="-2"/>
          <w:sz w:val="22"/>
          <w:szCs w:val="22"/>
        </w:rPr>
        <w:t>anterior.</w:t>
      </w:r>
    </w:p>
    <w:p w14:paraId="43B825ED">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Arial" w:hAnsi="Arial" w:eastAsia="sans-serif" w:cs="Arial"/>
          <w:i w:val="0"/>
          <w:iCs w:val="0"/>
          <w:caps w:val="0"/>
          <w:color w:val="auto"/>
          <w:spacing w:val="0"/>
          <w:sz w:val="22"/>
          <w:szCs w:val="22"/>
          <w:shd w:val="clear" w:fill="FFFFFF"/>
          <w:lang w:val="pt-BR"/>
        </w:rPr>
      </w:pPr>
      <w:r>
        <w:rPr>
          <w:rFonts w:hint="default" w:ascii="Arial" w:hAnsi="Arial" w:cs="Arial"/>
          <w:b/>
          <w:bCs/>
          <w:color w:val="auto"/>
          <w:sz w:val="22"/>
          <w:szCs w:val="22"/>
          <w:lang w:val="pt-BR"/>
        </w:rPr>
        <w:t xml:space="preserve">JUSTIFICATIVA: </w:t>
      </w:r>
      <w:r>
        <w:rPr>
          <w:rFonts w:hint="default" w:ascii="Arial" w:hAnsi="Arial" w:eastAsia="SimSun" w:cs="Arial"/>
          <w:color w:val="auto"/>
          <w:sz w:val="22"/>
          <w:szCs w:val="22"/>
        </w:rPr>
        <w:t>Considerando a limitação de espaço físico do prédio d</w:t>
      </w:r>
      <w:r>
        <w:rPr>
          <w:rFonts w:hint="default" w:ascii="Arial" w:hAnsi="Arial" w:cs="Arial"/>
          <w:color w:val="auto"/>
          <w:sz w:val="22"/>
          <w:szCs w:val="22"/>
          <w:lang w:val="pt-BR"/>
        </w:rPr>
        <w:t xml:space="preserve">a Secretaria Municipal de Administração; considerando a reforma no prédio da Secretaria de Administração e </w:t>
      </w:r>
      <w:r>
        <w:rPr>
          <w:rFonts w:hint="default" w:ascii="Arial" w:hAnsi="Arial" w:eastAsia="SimSun" w:cs="Arial"/>
          <w:color w:val="auto"/>
          <w:sz w:val="22"/>
          <w:szCs w:val="22"/>
        </w:rPr>
        <w:t xml:space="preserve"> do Sistema de climatização e de capacidade energética do atual Datacenter que impossibilita a instalação de novos equipamentos servidores e serviços de TI, o plano de contingência e redundância de serviços é necessária a aquisição e instalação de um novo Datacenter de TI, pois o atual a ambiente não suporta abrigar de forma segura (equipamentos) servidores, sistemas de armazenamento (storages) e seus serviços de comunicação. A escolha da solução em cont</w:t>
      </w:r>
      <w:r>
        <w:rPr>
          <w:rFonts w:hint="default" w:ascii="Arial" w:hAnsi="Arial" w:cs="Arial"/>
          <w:color w:val="auto"/>
          <w:sz w:val="22"/>
          <w:szCs w:val="22"/>
          <w:lang w:val="pt-BR"/>
        </w:rPr>
        <w:t>a</w:t>
      </w:r>
      <w:r>
        <w:rPr>
          <w:rFonts w:hint="default" w:ascii="Arial" w:hAnsi="Arial" w:eastAsia="SimSun" w:cs="Arial"/>
          <w:color w:val="auto"/>
          <w:sz w:val="22"/>
          <w:szCs w:val="22"/>
        </w:rPr>
        <w:t>iner justifica-se pela necessidade de espaço para ampliar a capacidade de processamento d</w:t>
      </w:r>
      <w:r>
        <w:rPr>
          <w:rFonts w:hint="default" w:ascii="Arial" w:hAnsi="Arial" w:cs="Arial"/>
          <w:color w:val="auto"/>
          <w:sz w:val="22"/>
          <w:szCs w:val="22"/>
          <w:lang w:val="pt-BR"/>
        </w:rPr>
        <w:t>a</w:t>
      </w:r>
      <w:r>
        <w:rPr>
          <w:rFonts w:hint="default" w:ascii="Arial" w:hAnsi="Arial" w:eastAsia="SimSun" w:cs="Arial"/>
          <w:color w:val="auto"/>
          <w:sz w:val="22"/>
          <w:szCs w:val="22"/>
        </w:rPr>
        <w:t xml:space="preserve"> </w:t>
      </w:r>
      <w:r>
        <w:rPr>
          <w:rFonts w:hint="default" w:ascii="Arial" w:hAnsi="Arial" w:cs="Arial"/>
          <w:color w:val="auto"/>
          <w:sz w:val="22"/>
          <w:szCs w:val="22"/>
          <w:lang w:val="pt-BR"/>
        </w:rPr>
        <w:t>Secretaria Municipal de Administração</w:t>
      </w:r>
      <w:r>
        <w:rPr>
          <w:rFonts w:hint="default" w:ascii="Arial" w:hAnsi="Arial" w:eastAsia="SimSun" w:cs="Arial"/>
          <w:color w:val="auto"/>
          <w:sz w:val="22"/>
          <w:szCs w:val="22"/>
        </w:rPr>
        <w:t>. Este tipo de solução tem como conceito de Datacenters modulares. Ao invés de construir enormes instalações para acomodar racks de servidores e storage, utiliza-se o cont</w:t>
      </w:r>
      <w:r>
        <w:rPr>
          <w:rFonts w:hint="default" w:ascii="Arial" w:hAnsi="Arial" w:cs="Arial"/>
          <w:color w:val="auto"/>
          <w:sz w:val="22"/>
          <w:szCs w:val="22"/>
          <w:lang w:val="pt-BR"/>
        </w:rPr>
        <w:t>a</w:t>
      </w:r>
      <w:r>
        <w:rPr>
          <w:rFonts w:hint="default" w:ascii="Arial" w:hAnsi="Arial" w:eastAsia="SimSun" w:cs="Arial"/>
          <w:color w:val="auto"/>
          <w:sz w:val="22"/>
          <w:szCs w:val="22"/>
        </w:rPr>
        <w:t xml:space="preserve">iner como um módulo completo de processamento e expandido conforme a necessidade da </w:t>
      </w:r>
      <w:r>
        <w:rPr>
          <w:rFonts w:hint="default" w:ascii="Arial" w:hAnsi="Arial" w:cs="Arial"/>
          <w:color w:val="auto"/>
          <w:sz w:val="22"/>
          <w:szCs w:val="22"/>
          <w:lang w:val="pt-BR"/>
        </w:rPr>
        <w:t>Prefeitura e Sinop-MT.</w:t>
      </w:r>
    </w:p>
    <w:p w14:paraId="3B39658F">
      <w:pPr>
        <w:pStyle w:val="155"/>
        <w:spacing w:before="1" w:line="360" w:lineRule="auto"/>
        <w:ind w:left="0" w:leftChars="0" w:firstLine="0" w:firstLineChars="0"/>
        <w:jc w:val="both"/>
        <w:rPr>
          <w:rFonts w:hint="default" w:ascii="Arial" w:hAnsi="Arial" w:cs="Arial"/>
          <w:spacing w:val="-2"/>
          <w:sz w:val="22"/>
          <w:szCs w:val="22"/>
        </w:rPr>
      </w:pPr>
    </w:p>
    <w:p w14:paraId="28D6E855">
      <w:pPr>
        <w:pStyle w:val="155"/>
        <w:spacing w:line="360" w:lineRule="auto"/>
        <w:ind w:left="0" w:leftChars="0" w:firstLine="0" w:firstLineChars="0"/>
        <w:jc w:val="both"/>
        <w:rPr>
          <w:rFonts w:hint="default" w:ascii="Arial" w:hAnsi="Arial" w:cs="Arial"/>
          <w:b/>
          <w:sz w:val="22"/>
          <w:szCs w:val="22"/>
          <w:highlight w:val="none"/>
        </w:rPr>
      </w:pPr>
      <w:r>
        <w:rPr>
          <w:rFonts w:hint="default" w:ascii="Arial" w:hAnsi="Arial" w:cs="Arial"/>
          <w:b/>
          <w:sz w:val="22"/>
          <w:szCs w:val="22"/>
          <w:highlight w:val="none"/>
          <w:lang w:val="pt-BR"/>
        </w:rPr>
        <w:t>5</w:t>
      </w:r>
      <w:r>
        <w:rPr>
          <w:rFonts w:hint="default" w:ascii="Arial" w:hAnsi="Arial" w:cs="Arial"/>
          <w:b/>
          <w:sz w:val="22"/>
          <w:szCs w:val="22"/>
          <w:highlight w:val="none"/>
        </w:rPr>
        <w:t>.6</w:t>
      </w:r>
      <w:r>
        <w:rPr>
          <w:rFonts w:hint="default" w:ascii="Arial" w:hAnsi="Arial" w:cs="Arial"/>
          <w:b/>
          <w:spacing w:val="-2"/>
          <w:sz w:val="22"/>
          <w:szCs w:val="22"/>
          <w:highlight w:val="none"/>
        </w:rPr>
        <w:t xml:space="preserve"> </w:t>
      </w:r>
      <w:r>
        <w:rPr>
          <w:rFonts w:hint="default" w:ascii="Arial" w:hAnsi="Arial" w:cs="Arial"/>
          <w:b/>
          <w:sz w:val="22"/>
          <w:szCs w:val="22"/>
          <w:highlight w:val="none"/>
        </w:rPr>
        <w:t>L</w:t>
      </w:r>
      <w:r>
        <w:rPr>
          <w:rFonts w:hint="default" w:ascii="Arial" w:hAnsi="Arial" w:cs="Arial"/>
          <w:b/>
          <w:color w:val="auto"/>
          <w:sz w:val="22"/>
          <w:szCs w:val="22"/>
          <w:highlight w:val="none"/>
        </w:rPr>
        <w:t>egisla</w:t>
      </w:r>
      <w:r>
        <w:rPr>
          <w:rFonts w:hint="default" w:ascii="Arial" w:hAnsi="Arial" w:cs="Arial"/>
          <w:b/>
          <w:sz w:val="22"/>
          <w:szCs w:val="22"/>
          <w:highlight w:val="none"/>
        </w:rPr>
        <w:t>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Específica</w:t>
      </w:r>
      <w:r>
        <w:rPr>
          <w:rFonts w:hint="default" w:ascii="Arial" w:hAnsi="Arial" w:cs="Arial"/>
          <w:b/>
          <w:spacing w:val="-1"/>
          <w:sz w:val="22"/>
          <w:szCs w:val="22"/>
          <w:highlight w:val="none"/>
        </w:rPr>
        <w:t xml:space="preserve"> </w:t>
      </w:r>
      <w:r>
        <w:rPr>
          <w:rFonts w:hint="default" w:ascii="Arial" w:hAnsi="Arial" w:cs="Arial"/>
          <w:b/>
          <w:sz w:val="22"/>
          <w:szCs w:val="22"/>
          <w:highlight w:val="none"/>
        </w:rPr>
        <w:t>sobre</w:t>
      </w:r>
      <w:r>
        <w:rPr>
          <w:rFonts w:hint="default" w:ascii="Arial" w:hAnsi="Arial" w:cs="Arial"/>
          <w:b/>
          <w:spacing w:val="-2"/>
          <w:sz w:val="22"/>
          <w:szCs w:val="22"/>
          <w:highlight w:val="none"/>
        </w:rPr>
        <w:t xml:space="preserve"> </w:t>
      </w:r>
      <w:r>
        <w:rPr>
          <w:rFonts w:hint="default" w:ascii="Arial" w:hAnsi="Arial" w:cs="Arial"/>
          <w:b/>
          <w:sz w:val="22"/>
          <w:szCs w:val="22"/>
          <w:highlight w:val="none"/>
        </w:rPr>
        <w:t>o</w:t>
      </w:r>
      <w:r>
        <w:rPr>
          <w:rFonts w:hint="default" w:ascii="Arial" w:hAnsi="Arial" w:cs="Arial"/>
          <w:b/>
          <w:spacing w:val="-1"/>
          <w:sz w:val="22"/>
          <w:szCs w:val="22"/>
          <w:highlight w:val="none"/>
        </w:rPr>
        <w:t xml:space="preserve"> </w:t>
      </w:r>
      <w:r>
        <w:rPr>
          <w:rFonts w:hint="default" w:ascii="Arial" w:hAnsi="Arial" w:cs="Arial"/>
          <w:b/>
          <w:sz w:val="22"/>
          <w:szCs w:val="22"/>
          <w:highlight w:val="none"/>
        </w:rPr>
        <w:t>objeto</w:t>
      </w:r>
      <w:r>
        <w:rPr>
          <w:rFonts w:hint="default" w:ascii="Arial" w:hAnsi="Arial" w:cs="Arial"/>
          <w:b/>
          <w:spacing w:val="-1"/>
          <w:sz w:val="22"/>
          <w:szCs w:val="22"/>
          <w:highlight w:val="none"/>
        </w:rPr>
        <w:t xml:space="preserve"> </w:t>
      </w:r>
      <w:r>
        <w:rPr>
          <w:rFonts w:hint="default" w:ascii="Arial" w:hAnsi="Arial" w:cs="Arial"/>
          <w:b/>
          <w:sz w:val="22"/>
          <w:szCs w:val="22"/>
          <w:highlight w:val="none"/>
        </w:rPr>
        <w:t>de</w:t>
      </w:r>
      <w:r>
        <w:rPr>
          <w:rFonts w:hint="default" w:ascii="Arial" w:hAnsi="Arial" w:cs="Arial"/>
          <w:b/>
          <w:spacing w:val="-1"/>
          <w:sz w:val="22"/>
          <w:szCs w:val="22"/>
          <w:highlight w:val="none"/>
        </w:rPr>
        <w:t xml:space="preserve"> </w:t>
      </w:r>
      <w:r>
        <w:rPr>
          <w:rFonts w:hint="default" w:ascii="Arial" w:hAnsi="Arial" w:cs="Arial"/>
          <w:b/>
          <w:spacing w:val="-2"/>
          <w:sz w:val="22"/>
          <w:szCs w:val="22"/>
          <w:highlight w:val="none"/>
        </w:rPr>
        <w:t>contratação:</w:t>
      </w:r>
    </w:p>
    <w:p w14:paraId="0F496447">
      <w:pPr>
        <w:pStyle w:val="155"/>
        <w:spacing w:line="360" w:lineRule="auto"/>
        <w:ind w:left="0" w:leftChars="0" w:firstLine="0" w:firstLineChars="0"/>
        <w:jc w:val="both"/>
        <w:rPr>
          <w:rFonts w:hint="default" w:ascii="Arial" w:hAnsi="Arial" w:cs="Arial"/>
          <w:sz w:val="22"/>
          <w:szCs w:val="22"/>
          <w:highlight w:val="none"/>
        </w:rPr>
      </w:pPr>
      <w:r>
        <w:rPr>
          <w:rFonts w:hint="default" w:ascii="Arial" w:hAnsi="Arial" w:cs="Arial"/>
          <w:sz w:val="22"/>
          <w:szCs w:val="22"/>
          <w:highlight w:val="none"/>
        </w:rPr>
        <w:t>(</w:t>
      </w:r>
      <w:r>
        <w:rPr>
          <w:rFonts w:hint="default" w:ascii="Arial" w:hAnsi="Arial" w:cs="Arial"/>
          <w:sz w:val="22"/>
          <w:szCs w:val="22"/>
          <w:highlight w:val="none"/>
          <w:lang w:val="pt-BR"/>
        </w:rPr>
        <w:t xml:space="preserve">   </w:t>
      </w:r>
      <w:r>
        <w:rPr>
          <w:rFonts w:hint="default" w:ascii="Arial" w:hAnsi="Arial" w:cs="Arial"/>
          <w:sz w:val="22"/>
          <w:szCs w:val="22"/>
          <w:highlight w:val="none"/>
        </w:rPr>
        <w:t>)</w:t>
      </w:r>
      <w:r>
        <w:rPr>
          <w:rFonts w:hint="default" w:ascii="Arial" w:hAnsi="Arial" w:cs="Arial"/>
          <w:spacing w:val="-2"/>
          <w:sz w:val="22"/>
          <w:szCs w:val="22"/>
          <w:highlight w:val="none"/>
        </w:rPr>
        <w:t xml:space="preserve"> </w:t>
      </w:r>
      <w:r>
        <w:rPr>
          <w:rFonts w:hint="default" w:ascii="Arial" w:hAnsi="Arial" w:cs="Arial"/>
          <w:spacing w:val="-5"/>
          <w:sz w:val="22"/>
          <w:szCs w:val="22"/>
          <w:highlight w:val="none"/>
        </w:rPr>
        <w:t>Não</w:t>
      </w:r>
    </w:p>
    <w:p w14:paraId="21130DD9">
      <w:pPr>
        <w:pStyle w:val="155"/>
        <w:spacing w:line="360" w:lineRule="auto"/>
        <w:ind w:left="0" w:leftChars="0" w:firstLine="0" w:firstLineChars="0"/>
        <w:jc w:val="both"/>
        <w:rPr>
          <w:rFonts w:hint="default" w:ascii="Arial" w:hAnsi="Arial" w:cs="Arial"/>
          <w:sz w:val="22"/>
          <w:szCs w:val="22"/>
        </w:rPr>
      </w:pPr>
      <w:r>
        <w:rPr>
          <w:rFonts w:hint="default" w:ascii="Arial" w:hAnsi="Arial" w:cs="Arial"/>
          <w:sz w:val="22"/>
          <w:szCs w:val="22"/>
        </w:rPr>
        <w:t>(</w:t>
      </w:r>
      <w:r>
        <w:rPr>
          <w:rFonts w:hint="default" w:ascii="Arial" w:hAnsi="Arial" w:cs="Arial"/>
          <w:sz w:val="22"/>
          <w:szCs w:val="22"/>
          <w:lang w:val="pt-BR"/>
        </w:rPr>
        <w:t>x</w:t>
      </w:r>
      <w:r>
        <w:rPr>
          <w:rFonts w:hint="default" w:ascii="Arial" w:hAnsi="Arial" w:cs="Arial"/>
          <w:sz w:val="22"/>
          <w:szCs w:val="22"/>
        </w:rPr>
        <w:t>)</w:t>
      </w:r>
      <w:r>
        <w:rPr>
          <w:rFonts w:hint="default" w:ascii="Arial" w:hAnsi="Arial" w:cs="Arial"/>
          <w:spacing w:val="-2"/>
          <w:sz w:val="22"/>
          <w:szCs w:val="22"/>
        </w:rPr>
        <w:t xml:space="preserve"> </w:t>
      </w:r>
      <w:r>
        <w:rPr>
          <w:rFonts w:hint="default" w:ascii="Arial" w:hAnsi="Arial" w:cs="Arial"/>
          <w:spacing w:val="-5"/>
          <w:sz w:val="22"/>
          <w:szCs w:val="22"/>
        </w:rPr>
        <w:t>Sim</w:t>
      </w:r>
    </w:p>
    <w:p w14:paraId="3F3A14DA">
      <w:pPr>
        <w:jc w:val="both"/>
        <w:rPr>
          <w:rFonts w:hint="default" w:ascii="Arial" w:hAnsi="Arial" w:cs="Arial"/>
          <w:color w:val="auto"/>
          <w:sz w:val="22"/>
          <w:szCs w:val="22"/>
        </w:rPr>
      </w:pPr>
      <w:r>
        <w:rPr>
          <w:rFonts w:hint="default" w:ascii="Arial" w:hAnsi="Arial" w:cs="Arial"/>
          <w:sz w:val="22"/>
          <w:szCs w:val="22"/>
        </w:rPr>
        <w:t>Legislação</w:t>
      </w:r>
      <w:r>
        <w:rPr>
          <w:rFonts w:hint="default" w:ascii="Arial" w:hAnsi="Arial" w:cs="Arial"/>
          <w:spacing w:val="-3"/>
          <w:sz w:val="22"/>
          <w:szCs w:val="22"/>
        </w:rPr>
        <w:t xml:space="preserve"> </w:t>
      </w:r>
      <w:r>
        <w:rPr>
          <w:rFonts w:hint="default" w:ascii="Arial" w:hAnsi="Arial" w:cs="Arial"/>
          <w:spacing w:val="-2"/>
          <w:sz w:val="22"/>
          <w:szCs w:val="22"/>
        </w:rPr>
        <w:t>aplicável:</w:t>
      </w:r>
      <w:r>
        <w:rPr>
          <w:rFonts w:hint="default" w:ascii="Arial" w:hAnsi="Arial" w:cs="Arial"/>
          <w:spacing w:val="-2"/>
          <w:sz w:val="22"/>
          <w:szCs w:val="22"/>
          <w:lang w:val="pt-BR"/>
        </w:rPr>
        <w:t xml:space="preserve"> </w:t>
      </w:r>
      <w:r>
        <w:rPr>
          <w:rFonts w:hint="default" w:ascii="Arial" w:hAnsi="Arial" w:cs="Arial"/>
          <w:color w:val="auto"/>
          <w:spacing w:val="-2"/>
          <w:sz w:val="22"/>
          <w:szCs w:val="22"/>
        </w:rPr>
        <w:t>Caput V da</w:t>
      </w:r>
      <w:r>
        <w:rPr>
          <w:rFonts w:hint="default" w:ascii="Arial" w:hAnsi="Arial" w:cs="Arial"/>
          <w:color w:val="auto"/>
          <w:sz w:val="22"/>
          <w:szCs w:val="22"/>
        </w:rPr>
        <w:t xml:space="preserve"> Lei nº 10.406 de 10 de Janeiro de 2002.</w:t>
      </w:r>
    </w:p>
    <w:p w14:paraId="4A2FE1AA">
      <w:pPr>
        <w:ind w:left="2552"/>
        <w:jc w:val="both"/>
        <w:rPr>
          <w:rFonts w:hint="default" w:ascii="Arial" w:hAnsi="Arial" w:cs="Arial"/>
          <w:i/>
          <w:color w:val="auto"/>
          <w:sz w:val="22"/>
          <w:szCs w:val="22"/>
          <w:lang w:val="pt-BR" w:eastAsia="pt-BR"/>
        </w:rPr>
      </w:pPr>
      <w:r>
        <w:rPr>
          <w:rFonts w:hint="default" w:ascii="Arial" w:hAnsi="Arial" w:cs="Arial"/>
          <w:b/>
          <w:bCs/>
          <w:i/>
          <w:color w:val="auto"/>
          <w:sz w:val="22"/>
          <w:szCs w:val="22"/>
          <w:lang w:val="pt-BR" w:eastAsia="pt-BR"/>
        </w:rPr>
        <w:t>Art. 566.</w:t>
      </w:r>
      <w:r>
        <w:rPr>
          <w:rFonts w:hint="default" w:ascii="Arial" w:hAnsi="Arial" w:cs="Arial"/>
          <w:i/>
          <w:color w:val="auto"/>
          <w:sz w:val="22"/>
          <w:szCs w:val="22"/>
          <w:lang w:val="pt-BR" w:eastAsia="pt-BR"/>
        </w:rPr>
        <w:t> O locador é obrigado:</w:t>
      </w:r>
    </w:p>
    <w:p w14:paraId="4E9E715D">
      <w:pPr>
        <w:widowControl/>
        <w:autoSpaceDE/>
        <w:autoSpaceDN/>
        <w:ind w:left="2552"/>
        <w:jc w:val="both"/>
        <w:rPr>
          <w:rFonts w:hint="default" w:ascii="Arial" w:hAnsi="Arial" w:cs="Arial"/>
          <w:i/>
          <w:color w:val="auto"/>
          <w:sz w:val="22"/>
          <w:szCs w:val="22"/>
          <w:lang w:val="pt-BR" w:eastAsia="pt-BR"/>
        </w:rPr>
      </w:pPr>
      <w:r>
        <w:rPr>
          <w:rFonts w:hint="default" w:ascii="Arial" w:hAnsi="Arial" w:cs="Arial"/>
          <w:b/>
          <w:bCs/>
          <w:i/>
          <w:color w:val="auto"/>
          <w:sz w:val="22"/>
          <w:szCs w:val="22"/>
          <w:lang w:val="pt-BR" w:eastAsia="pt-BR"/>
        </w:rPr>
        <w:t>I</w:t>
      </w:r>
      <w:r>
        <w:rPr>
          <w:rFonts w:hint="default" w:ascii="Arial" w:hAnsi="Arial" w:cs="Arial"/>
          <w:i/>
          <w:color w:val="auto"/>
          <w:sz w:val="22"/>
          <w:szCs w:val="22"/>
          <w:lang w:val="pt-BR" w:eastAsia="pt-BR"/>
        </w:rPr>
        <w:t> - a entregar ao locatário a coisa alugada, com suas pertenças, em estado de servir ao uso a que se destina, e a mantê-la nesse estado, pelo tempo do contrato, salvo cláusula expressa em contrário;</w:t>
      </w:r>
    </w:p>
    <w:p w14:paraId="4208B4ED">
      <w:pPr>
        <w:widowControl/>
        <w:autoSpaceDE/>
        <w:autoSpaceDN/>
        <w:ind w:left="2552"/>
        <w:jc w:val="both"/>
        <w:rPr>
          <w:rFonts w:hint="default" w:ascii="Arial" w:hAnsi="Arial" w:cs="Arial"/>
          <w:i/>
          <w:color w:val="auto"/>
          <w:sz w:val="22"/>
          <w:szCs w:val="22"/>
          <w:lang w:val="pt-BR" w:eastAsia="pt-BR"/>
        </w:rPr>
      </w:pPr>
      <w:r>
        <w:rPr>
          <w:rFonts w:hint="default" w:ascii="Arial" w:hAnsi="Arial" w:cs="Arial"/>
          <w:b/>
          <w:bCs/>
          <w:i/>
          <w:color w:val="auto"/>
          <w:sz w:val="22"/>
          <w:szCs w:val="22"/>
          <w:lang w:val="pt-BR" w:eastAsia="pt-BR"/>
        </w:rPr>
        <w:t>II</w:t>
      </w:r>
      <w:r>
        <w:rPr>
          <w:rFonts w:hint="default" w:ascii="Arial" w:hAnsi="Arial" w:cs="Arial"/>
          <w:i/>
          <w:color w:val="auto"/>
          <w:sz w:val="22"/>
          <w:szCs w:val="22"/>
          <w:lang w:val="pt-BR" w:eastAsia="pt-BR"/>
        </w:rPr>
        <w:t> - a garantir-lhe, durante o tempo do contrato, o uso pacífico da coisa.</w:t>
      </w:r>
    </w:p>
    <w:p w14:paraId="3DB52F39">
      <w:pPr>
        <w:widowControl/>
        <w:autoSpaceDE/>
        <w:autoSpaceDN/>
        <w:ind w:left="2552"/>
        <w:jc w:val="both"/>
        <w:rPr>
          <w:rFonts w:hint="default" w:ascii="Arial" w:hAnsi="Arial" w:cs="Arial"/>
          <w:i/>
          <w:color w:val="auto"/>
          <w:sz w:val="22"/>
          <w:szCs w:val="22"/>
          <w:lang w:val="pt-BR" w:eastAsia="pt-BR"/>
        </w:rPr>
      </w:pPr>
      <w:r>
        <w:rPr>
          <w:rFonts w:hint="default" w:ascii="Arial" w:hAnsi="Arial" w:cs="Arial"/>
          <w:b/>
          <w:bCs/>
          <w:i/>
          <w:color w:val="auto"/>
          <w:sz w:val="22"/>
          <w:szCs w:val="22"/>
          <w:lang w:val="pt-BR" w:eastAsia="pt-BR"/>
        </w:rPr>
        <w:t>Art. 567.</w:t>
      </w:r>
      <w:r>
        <w:rPr>
          <w:rFonts w:hint="default" w:ascii="Arial" w:hAnsi="Arial" w:cs="Arial"/>
          <w:i/>
          <w:color w:val="auto"/>
          <w:sz w:val="22"/>
          <w:szCs w:val="22"/>
          <w:lang w:val="pt-BR" w:eastAsia="pt-BR"/>
        </w:rPr>
        <w:t xml:space="preserve"> Se, durante a locação, se deteriorar a coisa alugada, sem culpa do locatário, a este caberá pedir redução proporcional do aluguel, ou resolver o contrato, caso já não sirva a coisa para o fim a que se destinava.</w:t>
      </w:r>
    </w:p>
    <w:p w14:paraId="2BC63412">
      <w:pPr>
        <w:widowControl/>
        <w:autoSpaceDE/>
        <w:autoSpaceDN/>
        <w:ind w:left="2552"/>
        <w:jc w:val="both"/>
        <w:rPr>
          <w:rFonts w:hint="default" w:ascii="Arial" w:hAnsi="Arial" w:cs="Arial"/>
          <w:i/>
          <w:color w:val="auto"/>
          <w:sz w:val="22"/>
          <w:szCs w:val="22"/>
          <w:lang w:val="pt-BR" w:eastAsia="pt-BR"/>
        </w:rPr>
      </w:pPr>
    </w:p>
    <w:p w14:paraId="2D5CF64F">
      <w:pPr>
        <w:widowControl/>
        <w:autoSpaceDE/>
        <w:autoSpaceDN/>
        <w:ind w:left="2552"/>
        <w:jc w:val="both"/>
        <w:rPr>
          <w:rFonts w:hint="default" w:ascii="Arial" w:hAnsi="Arial" w:cs="Arial"/>
          <w:i/>
          <w:color w:val="auto"/>
          <w:sz w:val="22"/>
          <w:szCs w:val="22"/>
          <w:lang w:val="pt-BR" w:eastAsia="pt-BR"/>
        </w:rPr>
      </w:pPr>
      <w:r>
        <w:rPr>
          <w:rFonts w:hint="default" w:ascii="Arial" w:hAnsi="Arial" w:cs="Arial"/>
          <w:b/>
          <w:bCs/>
          <w:i/>
          <w:color w:val="auto"/>
          <w:sz w:val="22"/>
          <w:szCs w:val="22"/>
          <w:lang w:val="pt-BR" w:eastAsia="pt-BR"/>
        </w:rPr>
        <w:t>Art. 568.</w:t>
      </w:r>
      <w:r>
        <w:rPr>
          <w:rFonts w:hint="default" w:ascii="Arial" w:hAnsi="Arial" w:cs="Arial"/>
          <w:i/>
          <w:color w:val="auto"/>
          <w:sz w:val="22"/>
          <w:szCs w:val="22"/>
          <w:lang w:val="pt-BR" w:eastAsia="pt-BR"/>
        </w:rPr>
        <w:t xml:space="preserve"> O locador resguardará o locatário dos embaraços e turbações de terceiros, que tenham ou pretendam ter direitos sobre a coisa alugada, e responderá pelos seus vícios, ou defeitos, anteriores à locação.</w:t>
      </w:r>
    </w:p>
    <w:p w14:paraId="78B43D9A">
      <w:pPr>
        <w:widowControl/>
        <w:autoSpaceDE/>
        <w:autoSpaceDN/>
        <w:ind w:left="2552"/>
        <w:jc w:val="both"/>
        <w:rPr>
          <w:rFonts w:hint="default" w:ascii="Arial" w:hAnsi="Arial" w:cs="Arial"/>
          <w:b/>
          <w:bCs/>
          <w:i/>
          <w:color w:val="auto"/>
          <w:sz w:val="22"/>
          <w:szCs w:val="22"/>
          <w:lang w:val="pt-BR" w:eastAsia="pt-BR"/>
        </w:rPr>
      </w:pPr>
    </w:p>
    <w:p w14:paraId="5B455A01">
      <w:pPr>
        <w:widowControl/>
        <w:autoSpaceDE/>
        <w:autoSpaceDN/>
        <w:ind w:left="2552"/>
        <w:jc w:val="both"/>
        <w:rPr>
          <w:rFonts w:hint="default" w:ascii="Arial" w:hAnsi="Arial" w:cs="Arial"/>
          <w:i/>
          <w:color w:val="auto"/>
          <w:sz w:val="22"/>
          <w:szCs w:val="22"/>
          <w:lang w:val="pt-BR" w:eastAsia="pt-BR"/>
        </w:rPr>
      </w:pPr>
      <w:r>
        <w:rPr>
          <w:rFonts w:hint="default" w:ascii="Arial" w:hAnsi="Arial" w:cs="Arial"/>
          <w:b/>
          <w:bCs/>
          <w:i/>
          <w:color w:val="auto"/>
          <w:sz w:val="22"/>
          <w:szCs w:val="22"/>
          <w:lang w:val="pt-BR" w:eastAsia="pt-BR"/>
        </w:rPr>
        <w:t>Art. 569.</w:t>
      </w:r>
      <w:r>
        <w:rPr>
          <w:rFonts w:hint="default" w:ascii="Arial" w:hAnsi="Arial" w:cs="Arial"/>
          <w:i/>
          <w:color w:val="auto"/>
          <w:sz w:val="22"/>
          <w:szCs w:val="22"/>
          <w:lang w:val="pt-BR" w:eastAsia="pt-BR"/>
        </w:rPr>
        <w:t xml:space="preserve"> O locatário é obrigado:</w:t>
      </w:r>
    </w:p>
    <w:p w14:paraId="16C959A1">
      <w:pPr>
        <w:widowControl/>
        <w:autoSpaceDE/>
        <w:autoSpaceDN/>
        <w:ind w:left="2552"/>
        <w:jc w:val="both"/>
        <w:rPr>
          <w:rFonts w:hint="default" w:ascii="Arial" w:hAnsi="Arial" w:cs="Arial"/>
          <w:i/>
          <w:color w:val="auto"/>
          <w:sz w:val="22"/>
          <w:szCs w:val="22"/>
          <w:lang w:val="pt-BR" w:eastAsia="pt-BR"/>
        </w:rPr>
      </w:pPr>
    </w:p>
    <w:p w14:paraId="0BA9D1E0">
      <w:pPr>
        <w:widowControl/>
        <w:autoSpaceDE/>
        <w:autoSpaceDN/>
        <w:ind w:left="2552"/>
        <w:jc w:val="both"/>
        <w:rPr>
          <w:rFonts w:hint="default" w:ascii="Arial" w:hAnsi="Arial" w:cs="Arial"/>
          <w:i/>
          <w:color w:val="auto"/>
          <w:sz w:val="22"/>
          <w:szCs w:val="22"/>
          <w:lang w:val="pt-BR" w:eastAsia="pt-BR"/>
        </w:rPr>
      </w:pPr>
      <w:r>
        <w:rPr>
          <w:rFonts w:hint="default" w:ascii="Arial" w:hAnsi="Arial" w:cs="Arial"/>
          <w:b/>
          <w:bCs/>
          <w:i/>
          <w:color w:val="auto"/>
          <w:sz w:val="22"/>
          <w:szCs w:val="22"/>
          <w:lang w:val="pt-BR" w:eastAsia="pt-BR"/>
        </w:rPr>
        <w:t xml:space="preserve">I </w:t>
      </w:r>
      <w:r>
        <w:rPr>
          <w:rFonts w:hint="default" w:ascii="Arial" w:hAnsi="Arial" w:cs="Arial"/>
          <w:i/>
          <w:color w:val="auto"/>
          <w:sz w:val="22"/>
          <w:szCs w:val="22"/>
          <w:lang w:val="pt-BR" w:eastAsia="pt-BR"/>
        </w:rPr>
        <w:t>- a servir-se da coisa alugada para os usos convencionados ou presumidos, conforme a natureza dela e as circunstâncias, bem como tratá-la com o mesmo cuidado como se sua fosse;</w:t>
      </w:r>
    </w:p>
    <w:p w14:paraId="0371DCA6">
      <w:pPr>
        <w:widowControl/>
        <w:autoSpaceDE/>
        <w:autoSpaceDN/>
        <w:ind w:left="2552"/>
        <w:jc w:val="both"/>
        <w:rPr>
          <w:rFonts w:hint="default" w:ascii="Arial" w:hAnsi="Arial" w:cs="Arial"/>
          <w:i/>
          <w:color w:val="auto"/>
          <w:sz w:val="22"/>
          <w:szCs w:val="22"/>
          <w:lang w:val="pt-BR" w:eastAsia="pt-BR"/>
        </w:rPr>
      </w:pPr>
    </w:p>
    <w:p w14:paraId="281F74BC">
      <w:pPr>
        <w:widowControl/>
        <w:autoSpaceDE/>
        <w:autoSpaceDN/>
        <w:ind w:left="2552"/>
        <w:jc w:val="both"/>
        <w:rPr>
          <w:rFonts w:hint="default" w:ascii="Arial" w:hAnsi="Arial" w:cs="Arial"/>
          <w:i/>
          <w:color w:val="auto"/>
          <w:sz w:val="22"/>
          <w:szCs w:val="22"/>
          <w:lang w:val="pt-BR" w:eastAsia="pt-BR"/>
        </w:rPr>
      </w:pPr>
      <w:r>
        <w:rPr>
          <w:rFonts w:hint="default" w:ascii="Arial" w:hAnsi="Arial" w:cs="Arial"/>
          <w:b/>
          <w:bCs/>
          <w:i/>
          <w:color w:val="auto"/>
          <w:sz w:val="22"/>
          <w:szCs w:val="22"/>
          <w:lang w:val="pt-BR" w:eastAsia="pt-BR"/>
        </w:rPr>
        <w:t>II</w:t>
      </w:r>
      <w:r>
        <w:rPr>
          <w:rFonts w:hint="default" w:ascii="Arial" w:hAnsi="Arial" w:cs="Arial"/>
          <w:i/>
          <w:color w:val="auto"/>
          <w:sz w:val="22"/>
          <w:szCs w:val="22"/>
          <w:lang w:val="pt-BR" w:eastAsia="pt-BR"/>
        </w:rPr>
        <w:t xml:space="preserve"> - a pagar pontualmente o aluguel nos prazos ajustados, e, em falta de ajuste, segundo o costume do lugar;</w:t>
      </w:r>
    </w:p>
    <w:p w14:paraId="62C75471">
      <w:pPr>
        <w:widowControl/>
        <w:autoSpaceDE/>
        <w:autoSpaceDN/>
        <w:ind w:left="2552"/>
        <w:jc w:val="both"/>
        <w:rPr>
          <w:rFonts w:hint="default" w:ascii="Arial" w:hAnsi="Arial" w:cs="Arial"/>
          <w:i/>
          <w:color w:val="auto"/>
          <w:sz w:val="22"/>
          <w:szCs w:val="22"/>
          <w:lang w:val="pt-BR" w:eastAsia="pt-BR"/>
        </w:rPr>
      </w:pPr>
    </w:p>
    <w:p w14:paraId="41B06AA2">
      <w:pPr>
        <w:widowControl/>
        <w:autoSpaceDE/>
        <w:autoSpaceDN/>
        <w:ind w:left="2552"/>
        <w:jc w:val="both"/>
        <w:rPr>
          <w:rFonts w:hint="default" w:ascii="Arial" w:hAnsi="Arial" w:cs="Arial"/>
          <w:i/>
          <w:color w:val="auto"/>
          <w:sz w:val="22"/>
          <w:szCs w:val="22"/>
          <w:lang w:val="pt-BR" w:eastAsia="pt-BR"/>
        </w:rPr>
      </w:pPr>
      <w:r>
        <w:rPr>
          <w:rFonts w:hint="default" w:ascii="Arial" w:hAnsi="Arial" w:cs="Arial"/>
          <w:b/>
          <w:bCs/>
          <w:i/>
          <w:color w:val="auto"/>
          <w:sz w:val="22"/>
          <w:szCs w:val="22"/>
          <w:lang w:val="pt-BR" w:eastAsia="pt-BR"/>
        </w:rPr>
        <w:t>III</w:t>
      </w:r>
      <w:r>
        <w:rPr>
          <w:rFonts w:hint="default" w:ascii="Arial" w:hAnsi="Arial" w:cs="Arial"/>
          <w:i/>
          <w:color w:val="auto"/>
          <w:sz w:val="22"/>
          <w:szCs w:val="22"/>
          <w:lang w:val="pt-BR" w:eastAsia="pt-BR"/>
        </w:rPr>
        <w:t xml:space="preserve"> - a levar ao conhecimento do locador as turbações de terceiros, que se pretendam fundadas em direito;</w:t>
      </w:r>
    </w:p>
    <w:p w14:paraId="0FDACFFE">
      <w:pPr>
        <w:widowControl/>
        <w:autoSpaceDE/>
        <w:autoSpaceDN/>
        <w:ind w:left="2552"/>
        <w:jc w:val="both"/>
        <w:rPr>
          <w:rFonts w:hint="default" w:ascii="Arial" w:hAnsi="Arial" w:cs="Arial"/>
          <w:i/>
          <w:color w:val="auto"/>
          <w:sz w:val="22"/>
          <w:szCs w:val="22"/>
          <w:lang w:val="pt-BR" w:eastAsia="pt-BR"/>
        </w:rPr>
      </w:pPr>
    </w:p>
    <w:p w14:paraId="4BE516E3">
      <w:pPr>
        <w:widowControl/>
        <w:autoSpaceDE/>
        <w:autoSpaceDN/>
        <w:ind w:left="2552"/>
        <w:jc w:val="both"/>
        <w:rPr>
          <w:rFonts w:hint="default" w:ascii="Arial" w:hAnsi="Arial" w:cs="Arial"/>
          <w:i/>
          <w:color w:val="auto"/>
          <w:sz w:val="22"/>
          <w:szCs w:val="22"/>
          <w:lang w:val="pt-BR" w:eastAsia="pt-BR"/>
        </w:rPr>
      </w:pPr>
      <w:r>
        <w:rPr>
          <w:rFonts w:hint="default" w:ascii="Arial" w:hAnsi="Arial" w:cs="Arial"/>
          <w:b/>
          <w:bCs/>
          <w:i/>
          <w:color w:val="auto"/>
          <w:sz w:val="22"/>
          <w:szCs w:val="22"/>
          <w:lang w:val="pt-BR" w:eastAsia="pt-BR"/>
        </w:rPr>
        <w:t>IV</w:t>
      </w:r>
      <w:r>
        <w:rPr>
          <w:rFonts w:hint="default" w:ascii="Arial" w:hAnsi="Arial" w:cs="Arial"/>
          <w:i/>
          <w:color w:val="auto"/>
          <w:sz w:val="22"/>
          <w:szCs w:val="22"/>
          <w:lang w:val="pt-BR" w:eastAsia="pt-BR"/>
        </w:rPr>
        <w:t xml:space="preserve"> - a restituir a coisa, finda a locação, no estado em que a recebeu, salvas as deteriorações naturais ao uso regular.</w:t>
      </w:r>
    </w:p>
    <w:p w14:paraId="27E9D0C7">
      <w:pPr>
        <w:widowControl/>
        <w:autoSpaceDE/>
        <w:autoSpaceDN/>
        <w:ind w:left="2552"/>
        <w:jc w:val="both"/>
        <w:rPr>
          <w:rFonts w:hint="default" w:ascii="Arial" w:hAnsi="Arial" w:cs="Arial"/>
          <w:i/>
          <w:color w:val="auto"/>
          <w:sz w:val="22"/>
          <w:szCs w:val="22"/>
          <w:lang w:val="pt-BR" w:eastAsia="pt-BR"/>
        </w:rPr>
      </w:pPr>
    </w:p>
    <w:p w14:paraId="658B0B6E">
      <w:pPr>
        <w:widowControl/>
        <w:autoSpaceDE/>
        <w:autoSpaceDN/>
        <w:ind w:left="2552"/>
        <w:jc w:val="both"/>
        <w:rPr>
          <w:rFonts w:hint="default" w:ascii="Arial" w:hAnsi="Arial" w:cs="Arial"/>
          <w:i/>
          <w:color w:val="auto"/>
          <w:sz w:val="22"/>
          <w:szCs w:val="22"/>
          <w:lang w:val="pt-BR" w:eastAsia="pt-BR"/>
        </w:rPr>
      </w:pPr>
      <w:r>
        <w:rPr>
          <w:rFonts w:hint="default" w:ascii="Arial" w:hAnsi="Arial" w:cs="Arial"/>
          <w:b/>
          <w:bCs/>
          <w:i/>
          <w:color w:val="auto"/>
          <w:sz w:val="22"/>
          <w:szCs w:val="22"/>
          <w:lang w:val="pt-BR" w:eastAsia="pt-BR"/>
        </w:rPr>
        <w:t>Art. 570.</w:t>
      </w:r>
      <w:r>
        <w:rPr>
          <w:rFonts w:hint="default" w:ascii="Arial" w:hAnsi="Arial" w:cs="Arial"/>
          <w:i/>
          <w:color w:val="auto"/>
          <w:sz w:val="22"/>
          <w:szCs w:val="22"/>
          <w:lang w:val="pt-BR" w:eastAsia="pt-BR"/>
        </w:rPr>
        <w:t xml:space="preserve"> Se o locatário empregar a coisa em uso diverso do ajustado, ou do a que se destina, ou se ela se danificar por abuso do locatário, poderá o locador, além de rescindir o contrato, exigir perdas e danos.</w:t>
      </w:r>
    </w:p>
    <w:p w14:paraId="4C1A2601">
      <w:pPr>
        <w:widowControl/>
        <w:autoSpaceDE/>
        <w:autoSpaceDN/>
        <w:ind w:left="2552"/>
        <w:jc w:val="both"/>
        <w:rPr>
          <w:rFonts w:hint="default" w:ascii="Arial" w:hAnsi="Arial" w:cs="Arial"/>
          <w:i/>
          <w:color w:val="auto"/>
          <w:sz w:val="22"/>
          <w:szCs w:val="22"/>
          <w:lang w:val="pt-BR" w:eastAsia="pt-BR"/>
        </w:rPr>
      </w:pPr>
    </w:p>
    <w:p w14:paraId="118977B7">
      <w:pPr>
        <w:widowControl/>
        <w:autoSpaceDE/>
        <w:autoSpaceDN/>
        <w:ind w:left="2552"/>
        <w:jc w:val="both"/>
        <w:rPr>
          <w:rFonts w:hint="default" w:ascii="Arial" w:hAnsi="Arial" w:cs="Arial"/>
          <w:i/>
          <w:color w:val="auto"/>
          <w:sz w:val="22"/>
          <w:szCs w:val="22"/>
          <w:lang w:val="pt-BR" w:eastAsia="pt-BR"/>
        </w:rPr>
      </w:pPr>
      <w:r>
        <w:rPr>
          <w:rFonts w:hint="default" w:ascii="Arial" w:hAnsi="Arial" w:cs="Arial"/>
          <w:b/>
          <w:bCs/>
          <w:i/>
          <w:color w:val="auto"/>
          <w:sz w:val="22"/>
          <w:szCs w:val="22"/>
          <w:lang w:val="pt-BR" w:eastAsia="pt-BR"/>
        </w:rPr>
        <w:t>Art. 571.</w:t>
      </w:r>
      <w:r>
        <w:rPr>
          <w:rFonts w:hint="default" w:ascii="Arial" w:hAnsi="Arial" w:cs="Arial"/>
          <w:i/>
          <w:color w:val="auto"/>
          <w:sz w:val="22"/>
          <w:szCs w:val="22"/>
          <w:lang w:val="pt-BR" w:eastAsia="pt-BR"/>
        </w:rPr>
        <w:t xml:space="preserve"> Havendo prazo estipulado à duração do contrato, antes do vencimento não poderá o locador reaver a coisa alugada, senão ressarcindo ao locatário as perdas e danos resultantes, nem o locatário devolvê-la ao locador, senão pagando, proporcionalmente, a multa prevista no contrato.</w:t>
      </w:r>
    </w:p>
    <w:p w14:paraId="6C7A576D">
      <w:pPr>
        <w:widowControl/>
        <w:autoSpaceDE/>
        <w:autoSpaceDN/>
        <w:ind w:left="2552"/>
        <w:jc w:val="both"/>
        <w:rPr>
          <w:rFonts w:hint="default" w:ascii="Arial" w:hAnsi="Arial" w:cs="Arial"/>
          <w:i/>
          <w:color w:val="auto"/>
          <w:sz w:val="22"/>
          <w:szCs w:val="22"/>
          <w:lang w:val="pt-BR" w:eastAsia="pt-BR"/>
        </w:rPr>
      </w:pPr>
    </w:p>
    <w:p w14:paraId="23C48C48">
      <w:pPr>
        <w:widowControl/>
        <w:autoSpaceDE/>
        <w:autoSpaceDN/>
        <w:ind w:left="2552"/>
        <w:jc w:val="both"/>
        <w:rPr>
          <w:rFonts w:hint="default" w:ascii="Arial" w:hAnsi="Arial" w:cs="Arial"/>
          <w:i/>
          <w:color w:val="auto"/>
          <w:sz w:val="22"/>
          <w:szCs w:val="22"/>
          <w:lang w:val="pt-BR" w:eastAsia="pt-BR"/>
        </w:rPr>
      </w:pPr>
      <w:r>
        <w:rPr>
          <w:rFonts w:hint="default" w:ascii="Arial" w:hAnsi="Arial" w:cs="Arial"/>
          <w:i/>
          <w:color w:val="auto"/>
          <w:sz w:val="22"/>
          <w:szCs w:val="22"/>
          <w:lang w:val="pt-BR" w:eastAsia="pt-BR"/>
        </w:rPr>
        <w:t>Parágrafo único. O locatário gozará do direito de retenção, enquanto não for ressarcido.</w:t>
      </w:r>
    </w:p>
    <w:p w14:paraId="034769A0">
      <w:pPr>
        <w:widowControl/>
        <w:autoSpaceDE/>
        <w:autoSpaceDN/>
        <w:ind w:left="2552"/>
        <w:jc w:val="both"/>
        <w:rPr>
          <w:rFonts w:hint="default" w:ascii="Arial" w:hAnsi="Arial" w:cs="Arial"/>
          <w:i/>
          <w:color w:val="auto"/>
          <w:sz w:val="22"/>
          <w:szCs w:val="22"/>
          <w:lang w:val="pt-BR" w:eastAsia="pt-BR"/>
        </w:rPr>
      </w:pPr>
    </w:p>
    <w:p w14:paraId="14D5E026">
      <w:pPr>
        <w:widowControl/>
        <w:autoSpaceDE/>
        <w:autoSpaceDN/>
        <w:ind w:left="2552"/>
        <w:jc w:val="both"/>
        <w:rPr>
          <w:rFonts w:hint="default" w:ascii="Arial" w:hAnsi="Arial" w:cs="Arial"/>
          <w:i/>
          <w:color w:val="auto"/>
          <w:sz w:val="22"/>
          <w:szCs w:val="22"/>
          <w:lang w:val="pt-BR" w:eastAsia="pt-BR"/>
        </w:rPr>
      </w:pPr>
      <w:r>
        <w:rPr>
          <w:rFonts w:hint="default" w:ascii="Arial" w:hAnsi="Arial" w:cs="Arial"/>
          <w:b/>
          <w:bCs/>
          <w:i/>
          <w:color w:val="auto"/>
          <w:sz w:val="22"/>
          <w:szCs w:val="22"/>
          <w:lang w:val="pt-BR" w:eastAsia="pt-BR"/>
        </w:rPr>
        <w:t>Art. 572</w:t>
      </w:r>
      <w:r>
        <w:rPr>
          <w:rFonts w:hint="default" w:ascii="Arial" w:hAnsi="Arial" w:cs="Arial"/>
          <w:i/>
          <w:color w:val="auto"/>
          <w:sz w:val="22"/>
          <w:szCs w:val="22"/>
          <w:lang w:val="pt-BR" w:eastAsia="pt-BR"/>
        </w:rPr>
        <w:t>. Se a obrigação de pagar o aluguel pelo tempo que faltar constituir indenização excessiva, será facultado ao juiz fixá-la em bases razoáveis.</w:t>
      </w:r>
    </w:p>
    <w:p w14:paraId="388F7A95">
      <w:pPr>
        <w:widowControl/>
        <w:autoSpaceDE/>
        <w:autoSpaceDN/>
        <w:ind w:left="2552"/>
        <w:jc w:val="both"/>
        <w:rPr>
          <w:rFonts w:hint="default" w:ascii="Arial" w:hAnsi="Arial" w:cs="Arial"/>
          <w:i/>
          <w:color w:val="auto"/>
          <w:sz w:val="22"/>
          <w:szCs w:val="22"/>
          <w:lang w:val="pt-BR" w:eastAsia="pt-BR"/>
        </w:rPr>
      </w:pPr>
    </w:p>
    <w:p w14:paraId="50A351B0">
      <w:pPr>
        <w:widowControl/>
        <w:autoSpaceDE/>
        <w:autoSpaceDN/>
        <w:ind w:left="2552"/>
        <w:jc w:val="both"/>
        <w:rPr>
          <w:rFonts w:hint="default" w:ascii="Arial" w:hAnsi="Arial" w:cs="Arial"/>
          <w:i/>
          <w:color w:val="auto"/>
          <w:sz w:val="22"/>
          <w:szCs w:val="22"/>
          <w:lang w:val="pt-BR" w:eastAsia="pt-BR"/>
        </w:rPr>
      </w:pPr>
      <w:r>
        <w:rPr>
          <w:rFonts w:hint="default" w:ascii="Arial" w:hAnsi="Arial" w:cs="Arial"/>
          <w:b/>
          <w:bCs/>
          <w:i/>
          <w:color w:val="auto"/>
          <w:sz w:val="22"/>
          <w:szCs w:val="22"/>
          <w:lang w:val="pt-BR" w:eastAsia="pt-BR"/>
        </w:rPr>
        <w:t>Art. 573</w:t>
      </w:r>
      <w:r>
        <w:rPr>
          <w:rFonts w:hint="default" w:ascii="Arial" w:hAnsi="Arial" w:cs="Arial"/>
          <w:i/>
          <w:color w:val="auto"/>
          <w:sz w:val="22"/>
          <w:szCs w:val="22"/>
          <w:lang w:val="pt-BR" w:eastAsia="pt-BR"/>
        </w:rPr>
        <w:t>. A locação por tempo determinado cessa de pleno direito findo o prazo estipulado, independentemente de notificação ou aviso.</w:t>
      </w:r>
    </w:p>
    <w:p w14:paraId="0E8D70A3">
      <w:pPr>
        <w:widowControl/>
        <w:autoSpaceDE/>
        <w:autoSpaceDN/>
        <w:ind w:left="2552"/>
        <w:jc w:val="both"/>
        <w:rPr>
          <w:rFonts w:hint="default" w:ascii="Arial" w:hAnsi="Arial" w:cs="Arial"/>
          <w:i/>
          <w:color w:val="auto"/>
          <w:sz w:val="22"/>
          <w:szCs w:val="22"/>
          <w:lang w:val="pt-BR" w:eastAsia="pt-BR"/>
        </w:rPr>
      </w:pPr>
    </w:p>
    <w:p w14:paraId="6738F6D2">
      <w:pPr>
        <w:widowControl/>
        <w:autoSpaceDE/>
        <w:autoSpaceDN/>
        <w:ind w:left="2552"/>
        <w:jc w:val="both"/>
        <w:rPr>
          <w:rFonts w:hint="default" w:ascii="Arial" w:hAnsi="Arial" w:cs="Arial"/>
          <w:i/>
          <w:color w:val="auto"/>
          <w:sz w:val="22"/>
          <w:szCs w:val="22"/>
          <w:lang w:val="pt-BR" w:eastAsia="pt-BR"/>
        </w:rPr>
      </w:pPr>
      <w:r>
        <w:rPr>
          <w:rFonts w:hint="default" w:ascii="Arial" w:hAnsi="Arial" w:cs="Arial"/>
          <w:b/>
          <w:bCs/>
          <w:i/>
          <w:color w:val="auto"/>
          <w:sz w:val="22"/>
          <w:szCs w:val="22"/>
          <w:lang w:val="pt-BR" w:eastAsia="pt-BR"/>
        </w:rPr>
        <w:t>Art. 574</w:t>
      </w:r>
      <w:r>
        <w:rPr>
          <w:rFonts w:hint="default" w:ascii="Arial" w:hAnsi="Arial" w:cs="Arial"/>
          <w:i/>
          <w:color w:val="auto"/>
          <w:sz w:val="22"/>
          <w:szCs w:val="22"/>
          <w:lang w:val="pt-BR" w:eastAsia="pt-BR"/>
        </w:rPr>
        <w:t>. Se, findo o prazo, o locatário continuar na posse da coisa alugada, sem oposição do locador, presumir-se-á prorrogada a locação pelo mesmo aluguel, mas sem prazo determinado.</w:t>
      </w:r>
    </w:p>
    <w:p w14:paraId="0C96CCB2">
      <w:pPr>
        <w:widowControl/>
        <w:autoSpaceDE/>
        <w:autoSpaceDN/>
        <w:ind w:left="2552"/>
        <w:jc w:val="both"/>
        <w:rPr>
          <w:rFonts w:hint="default" w:ascii="Arial" w:hAnsi="Arial" w:cs="Arial"/>
          <w:i/>
          <w:color w:val="auto"/>
          <w:sz w:val="22"/>
          <w:szCs w:val="22"/>
          <w:lang w:val="pt-BR" w:eastAsia="pt-BR"/>
        </w:rPr>
      </w:pPr>
    </w:p>
    <w:p w14:paraId="3CE8BD69">
      <w:pPr>
        <w:widowControl/>
        <w:autoSpaceDE/>
        <w:autoSpaceDN/>
        <w:ind w:left="2552"/>
        <w:jc w:val="both"/>
        <w:rPr>
          <w:rFonts w:hint="default" w:ascii="Arial" w:hAnsi="Arial" w:cs="Arial"/>
          <w:i/>
          <w:color w:val="auto"/>
          <w:sz w:val="22"/>
          <w:szCs w:val="22"/>
          <w:lang w:val="pt-BR" w:eastAsia="pt-BR"/>
        </w:rPr>
      </w:pPr>
      <w:r>
        <w:rPr>
          <w:rFonts w:hint="default" w:ascii="Arial" w:hAnsi="Arial" w:cs="Arial"/>
          <w:b/>
          <w:bCs/>
          <w:i/>
          <w:color w:val="auto"/>
          <w:sz w:val="22"/>
          <w:szCs w:val="22"/>
          <w:lang w:val="pt-BR" w:eastAsia="pt-BR"/>
        </w:rPr>
        <w:t>Art. 575.</w:t>
      </w:r>
      <w:r>
        <w:rPr>
          <w:rFonts w:hint="default" w:ascii="Arial" w:hAnsi="Arial" w:cs="Arial"/>
          <w:i/>
          <w:color w:val="auto"/>
          <w:sz w:val="22"/>
          <w:szCs w:val="22"/>
          <w:lang w:val="pt-BR" w:eastAsia="pt-BR"/>
        </w:rPr>
        <w:t xml:space="preserve"> Se, notificado o locatário, não restituir a coisa, pagará, enquanto a tiver em seu poder, o aluguel que o locador arbitrar, e responderá pelo dano que ela venha a sofrer, embora proveniente de caso fortuito.</w:t>
      </w:r>
    </w:p>
    <w:p w14:paraId="1E0315BD">
      <w:pPr>
        <w:widowControl/>
        <w:autoSpaceDE/>
        <w:autoSpaceDN/>
        <w:ind w:left="2552"/>
        <w:jc w:val="both"/>
        <w:rPr>
          <w:rFonts w:hint="default" w:ascii="Arial" w:hAnsi="Arial" w:cs="Arial"/>
          <w:i/>
          <w:color w:val="auto"/>
          <w:sz w:val="22"/>
          <w:szCs w:val="22"/>
          <w:lang w:val="pt-BR" w:eastAsia="pt-BR"/>
        </w:rPr>
      </w:pPr>
    </w:p>
    <w:p w14:paraId="2BA46C08">
      <w:pPr>
        <w:widowControl/>
        <w:autoSpaceDE/>
        <w:autoSpaceDN/>
        <w:ind w:left="2552"/>
        <w:jc w:val="both"/>
        <w:rPr>
          <w:rFonts w:hint="default" w:ascii="Arial" w:hAnsi="Arial" w:cs="Arial"/>
          <w:i/>
          <w:color w:val="auto"/>
          <w:sz w:val="22"/>
          <w:szCs w:val="22"/>
          <w:lang w:val="pt-BR" w:eastAsia="pt-BR"/>
        </w:rPr>
      </w:pPr>
      <w:r>
        <w:rPr>
          <w:rFonts w:hint="default" w:ascii="Arial" w:hAnsi="Arial" w:cs="Arial"/>
          <w:i/>
          <w:color w:val="auto"/>
          <w:sz w:val="22"/>
          <w:szCs w:val="22"/>
          <w:lang w:val="pt-BR" w:eastAsia="pt-BR"/>
        </w:rPr>
        <w:t>Parágrafo único. Se o aluguel arbitrado for manifestamente excessivo, poderá o juiz reduzi-lo, mas tendo sempre em conta o seu caráter de penalidade</w:t>
      </w:r>
    </w:p>
    <w:p w14:paraId="03D7DC63">
      <w:pPr>
        <w:pStyle w:val="155"/>
        <w:spacing w:before="1" w:line="360" w:lineRule="auto"/>
        <w:ind w:left="0" w:leftChars="0" w:firstLine="0" w:firstLineChars="0"/>
        <w:jc w:val="both"/>
        <w:rPr>
          <w:rFonts w:hint="default" w:ascii="Arial" w:hAnsi="Arial" w:cs="Arial"/>
          <w:spacing w:val="-2"/>
          <w:sz w:val="22"/>
          <w:szCs w:val="22"/>
        </w:rPr>
      </w:pPr>
    </w:p>
    <w:p w14:paraId="1391A441">
      <w:pPr>
        <w:pStyle w:val="155"/>
        <w:spacing w:line="360" w:lineRule="auto"/>
        <w:ind w:left="0" w:leftChars="0" w:firstLine="0" w:firstLineChars="0"/>
        <w:jc w:val="both"/>
        <w:rPr>
          <w:rFonts w:hint="default" w:ascii="Arial" w:hAnsi="Arial" w:cs="Arial"/>
          <w:b/>
          <w:color w:val="000000" w:themeColor="text1"/>
          <w:sz w:val="22"/>
          <w:szCs w:val="22"/>
          <w:highlight w:val="none"/>
          <w14:textFill>
            <w14:solidFill>
              <w14:schemeClr w14:val="tx1"/>
            </w14:solidFill>
          </w14:textFill>
        </w:rPr>
      </w:pPr>
      <w:r>
        <w:rPr>
          <w:rFonts w:hint="default" w:ascii="Arial" w:hAnsi="Arial" w:cs="Arial"/>
          <w:b/>
          <w:color w:val="000000" w:themeColor="text1"/>
          <w:sz w:val="22"/>
          <w:szCs w:val="22"/>
          <w:highlight w:val="none"/>
          <w:lang w:val="pt-BR"/>
          <w14:textFill>
            <w14:solidFill>
              <w14:schemeClr w14:val="tx1"/>
            </w14:solidFill>
          </w14:textFill>
        </w:rPr>
        <w:t>5</w:t>
      </w:r>
      <w:r>
        <w:rPr>
          <w:rFonts w:hint="default" w:ascii="Arial" w:hAnsi="Arial" w:cs="Arial"/>
          <w:b/>
          <w:color w:val="000000" w:themeColor="text1"/>
          <w:sz w:val="22"/>
          <w:szCs w:val="22"/>
          <w:highlight w:val="none"/>
          <w14:textFill>
            <w14:solidFill>
              <w14:schemeClr w14:val="tx1"/>
            </w14:solidFill>
          </w14:textFill>
        </w:rPr>
        <w:t>.7</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Ne</w:t>
      </w:r>
      <w:r>
        <w:rPr>
          <w:rFonts w:hint="default" w:ascii="Arial" w:hAnsi="Arial" w:cs="Arial"/>
          <w:b/>
          <w:color w:val="auto"/>
          <w:sz w:val="22"/>
          <w:szCs w:val="22"/>
          <w:highlight w:val="none"/>
        </w:rPr>
        <w:t>cess</w:t>
      </w:r>
      <w:r>
        <w:rPr>
          <w:rFonts w:hint="default" w:ascii="Arial" w:hAnsi="Arial" w:cs="Arial"/>
          <w:b/>
          <w:color w:val="000000" w:themeColor="text1"/>
          <w:sz w:val="22"/>
          <w:szCs w:val="22"/>
          <w:highlight w:val="none"/>
          <w14:textFill>
            <w14:solidFill>
              <w14:schemeClr w14:val="tx1"/>
            </w14:solidFill>
          </w14:textFill>
        </w:rPr>
        <w:t>idade</w:t>
      </w:r>
      <w:r>
        <w:rPr>
          <w:rFonts w:hint="default" w:ascii="Arial" w:hAnsi="Arial" w:cs="Arial"/>
          <w:b/>
          <w:color w:val="000000" w:themeColor="text1"/>
          <w:spacing w:val="-2"/>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de</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Consolidação</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para toda</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 xml:space="preserve">a </w:t>
      </w:r>
      <w:r>
        <w:rPr>
          <w:rFonts w:hint="default" w:ascii="Arial" w:hAnsi="Arial" w:cs="Arial"/>
          <w:b/>
          <w:color w:val="000000" w:themeColor="text1"/>
          <w:spacing w:val="-2"/>
          <w:sz w:val="22"/>
          <w:szCs w:val="22"/>
          <w:highlight w:val="none"/>
          <w14:textFill>
            <w14:solidFill>
              <w14:schemeClr w14:val="tx1"/>
            </w14:solidFill>
          </w14:textFill>
        </w:rPr>
        <w:t>estrutura:</w:t>
      </w:r>
    </w:p>
    <w:p w14:paraId="637BBCFF">
      <w:pPr>
        <w:pStyle w:val="155"/>
        <w:tabs>
          <w:tab w:val="left" w:pos="427"/>
        </w:tabs>
        <w:spacing w:line="360" w:lineRule="auto"/>
        <w:ind w:left="0" w:leftChars="0" w:firstLine="0" w:firstLineChars="0"/>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pacing w:val="-10"/>
          <w:sz w:val="22"/>
          <w:szCs w:val="22"/>
          <w:highlight w:val="none"/>
          <w14:textFill>
            <w14:solidFill>
              <w14:schemeClr w14:val="tx1"/>
            </w14:solidFill>
          </w14:textFill>
        </w:rPr>
        <w:t>(</w:t>
      </w:r>
      <w:r>
        <w:rPr>
          <w:rFonts w:hint="default" w:ascii="Arial" w:hAnsi="Arial" w:cs="Arial"/>
          <w:color w:val="000000" w:themeColor="text1"/>
          <w:spacing w:val="-10"/>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w:t>
      </w:r>
      <w:r>
        <w:rPr>
          <w:rFonts w:hint="default" w:ascii="Arial" w:hAnsi="Arial" w:cs="Arial"/>
          <w:color w:val="000000" w:themeColor="text1"/>
          <w:spacing w:val="-3"/>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Aquisição</w:t>
      </w:r>
      <w:r>
        <w:rPr>
          <w:rFonts w:hint="default" w:ascii="Arial" w:hAnsi="Arial" w:cs="Arial"/>
          <w:color w:val="000000" w:themeColor="text1"/>
          <w:spacing w:val="2"/>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consolidada</w:t>
      </w:r>
      <w:r>
        <w:rPr>
          <w:rFonts w:hint="default" w:ascii="Arial" w:hAnsi="Arial" w:cs="Arial"/>
          <w:color w:val="000000" w:themeColor="text1"/>
          <w:spacing w:val="-3"/>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para</w:t>
      </w:r>
      <w:r>
        <w:rPr>
          <w:rFonts w:hint="default" w:ascii="Arial" w:hAnsi="Arial" w:cs="Arial"/>
          <w:color w:val="000000" w:themeColor="text1"/>
          <w:spacing w:val="-2"/>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toda</w:t>
      </w:r>
      <w:r>
        <w:rPr>
          <w:rFonts w:hint="default" w:ascii="Arial" w:hAnsi="Arial" w:cs="Arial"/>
          <w:color w:val="000000" w:themeColor="text1"/>
          <w:spacing w:val="-1"/>
          <w:sz w:val="22"/>
          <w:szCs w:val="22"/>
          <w:highlight w:val="none"/>
          <w14:textFill>
            <w14:solidFill>
              <w14:schemeClr w14:val="tx1"/>
            </w14:solidFill>
          </w14:textFill>
        </w:rPr>
        <w:t xml:space="preserve"> </w:t>
      </w:r>
      <w:r>
        <w:rPr>
          <w:rFonts w:hint="default" w:ascii="Arial" w:hAnsi="Arial" w:cs="Arial"/>
          <w:color w:val="000000" w:themeColor="text1"/>
          <w:spacing w:val="-2"/>
          <w:sz w:val="22"/>
          <w:szCs w:val="22"/>
          <w:highlight w:val="none"/>
          <w14:textFill>
            <w14:solidFill>
              <w14:schemeClr w14:val="tx1"/>
            </w14:solidFill>
          </w14:textFill>
        </w:rPr>
        <w:t>estrutura</w:t>
      </w:r>
    </w:p>
    <w:p w14:paraId="5F622C16">
      <w:pPr>
        <w:pStyle w:val="155"/>
        <w:spacing w:before="1" w:line="360" w:lineRule="auto"/>
        <w:ind w:left="0" w:leftChars="0" w:firstLine="0" w:firstLineChars="0"/>
        <w:jc w:val="both"/>
        <w:rPr>
          <w:rFonts w:hint="default" w:ascii="Arial" w:hAnsi="Arial" w:cs="Arial"/>
          <w:color w:val="000000" w:themeColor="text1"/>
          <w:spacing w:val="-2"/>
          <w:sz w:val="22"/>
          <w:szCs w:val="22"/>
          <w:highlight w:val="none"/>
          <w14:textFill>
            <w14:solidFill>
              <w14:schemeClr w14:val="tx1"/>
            </w14:solidFill>
          </w14:textFill>
        </w:rPr>
      </w:pPr>
      <w:r>
        <w:rPr>
          <w:rFonts w:hint="default" w:ascii="Arial" w:hAnsi="Arial" w:cs="Arial"/>
          <w:color w:val="000000" w:themeColor="text1"/>
          <w:spacing w:val="-10"/>
          <w:sz w:val="22"/>
          <w:szCs w:val="22"/>
          <w:highlight w:val="none"/>
          <w14:textFill>
            <w14:solidFill>
              <w14:schemeClr w14:val="tx1"/>
            </w14:solidFill>
          </w14:textFill>
        </w:rPr>
        <w:t>(</w:t>
      </w:r>
      <w:r>
        <w:rPr>
          <w:rFonts w:hint="default" w:ascii="Arial" w:hAnsi="Arial" w:cs="Arial"/>
          <w:color w:val="000000" w:themeColor="text1"/>
          <w:spacing w:val="-10"/>
          <w:sz w:val="22"/>
          <w:szCs w:val="22"/>
          <w:highlight w:val="none"/>
          <w:lang w:val="pt-BR"/>
          <w14:textFill>
            <w14:solidFill>
              <w14:schemeClr w14:val="tx1"/>
            </w14:solidFill>
          </w14:textFill>
        </w:rPr>
        <w:t>X</w:t>
      </w:r>
      <w:r>
        <w:rPr>
          <w:rFonts w:hint="default" w:ascii="Arial" w:hAnsi="Arial" w:cs="Arial"/>
          <w:color w:val="000000" w:themeColor="text1"/>
          <w:sz w:val="22"/>
          <w:szCs w:val="22"/>
          <w:highlight w:val="none"/>
          <w14:textFill>
            <w14:solidFill>
              <w14:schemeClr w14:val="tx1"/>
            </w14:solidFill>
          </w14:textFill>
        </w:rPr>
        <w:t>)</w:t>
      </w:r>
      <w:r>
        <w:rPr>
          <w:rFonts w:hint="default" w:ascii="Arial" w:hAnsi="Arial" w:cs="Arial"/>
          <w:color w:val="000000" w:themeColor="text1"/>
          <w:spacing w:val="-5"/>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Aquisição</w:t>
      </w:r>
      <w:r>
        <w:rPr>
          <w:rFonts w:hint="default" w:ascii="Arial" w:hAnsi="Arial" w:cs="Arial"/>
          <w:color w:val="000000" w:themeColor="text1"/>
          <w:spacing w:val="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exclusiva da</w:t>
      </w:r>
      <w:r>
        <w:rPr>
          <w:rFonts w:hint="default" w:ascii="Arial" w:hAnsi="Arial" w:cs="Arial"/>
          <w:color w:val="000000" w:themeColor="text1"/>
          <w:spacing w:val="-2"/>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unidade</w:t>
      </w:r>
      <w:r>
        <w:rPr>
          <w:rFonts w:hint="default" w:ascii="Arial" w:hAnsi="Arial" w:cs="Arial"/>
          <w:color w:val="000000" w:themeColor="text1"/>
          <w:spacing w:val="-3"/>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administrativa</w:t>
      </w:r>
      <w:r>
        <w:rPr>
          <w:rFonts w:hint="default" w:ascii="Arial" w:hAnsi="Arial" w:cs="Arial"/>
          <w:color w:val="000000" w:themeColor="text1"/>
          <w:spacing w:val="-1"/>
          <w:sz w:val="22"/>
          <w:szCs w:val="22"/>
          <w:highlight w:val="none"/>
          <w14:textFill>
            <w14:solidFill>
              <w14:schemeClr w14:val="tx1"/>
            </w14:solidFill>
          </w14:textFill>
        </w:rPr>
        <w:t xml:space="preserve"> </w:t>
      </w:r>
      <w:r>
        <w:rPr>
          <w:rFonts w:hint="default" w:ascii="Arial" w:hAnsi="Arial" w:cs="Arial"/>
          <w:color w:val="000000" w:themeColor="text1"/>
          <w:spacing w:val="-2"/>
          <w:sz w:val="22"/>
          <w:szCs w:val="22"/>
          <w:highlight w:val="none"/>
          <w14:textFill>
            <w14:solidFill>
              <w14:schemeClr w14:val="tx1"/>
            </w14:solidFill>
          </w14:textFill>
        </w:rPr>
        <w:t>demandante</w:t>
      </w:r>
    </w:p>
    <w:p w14:paraId="031F5905">
      <w:pPr>
        <w:pStyle w:val="155"/>
        <w:spacing w:before="1" w:line="360" w:lineRule="auto"/>
        <w:ind w:left="0" w:leftChars="0" w:firstLine="0" w:firstLineChars="0"/>
        <w:jc w:val="both"/>
        <w:rPr>
          <w:rFonts w:hint="default" w:ascii="Arial" w:hAnsi="Arial" w:cs="Arial"/>
          <w:spacing w:val="-2"/>
          <w:sz w:val="22"/>
          <w:szCs w:val="22"/>
          <w:lang w:val="pt-BR" w:eastAsia="zh-CN"/>
        </w:rPr>
      </w:pPr>
    </w:p>
    <w:p w14:paraId="4F5BD80C">
      <w:pPr>
        <w:pStyle w:val="155"/>
        <w:spacing w:line="360" w:lineRule="auto"/>
        <w:ind w:left="0" w:leftChars="0" w:firstLine="0" w:firstLineChars="0"/>
        <w:jc w:val="both"/>
        <w:rPr>
          <w:rFonts w:hint="default" w:ascii="Arial" w:hAnsi="Arial" w:cs="Arial"/>
          <w:b/>
          <w:sz w:val="22"/>
          <w:szCs w:val="22"/>
          <w:highlight w:val="none"/>
        </w:rPr>
      </w:pPr>
      <w:r>
        <w:rPr>
          <w:rFonts w:hint="default" w:ascii="Arial" w:hAnsi="Arial" w:cs="Arial"/>
          <w:b/>
          <w:sz w:val="22"/>
          <w:szCs w:val="22"/>
          <w:highlight w:val="none"/>
          <w:lang w:val="pt-BR"/>
        </w:rPr>
        <w:t>5</w:t>
      </w:r>
      <w:r>
        <w:rPr>
          <w:rFonts w:hint="default" w:ascii="Arial" w:hAnsi="Arial" w:cs="Arial"/>
          <w:b/>
          <w:sz w:val="22"/>
          <w:szCs w:val="22"/>
          <w:highlight w:val="none"/>
        </w:rPr>
        <w:t>.8</w:t>
      </w:r>
      <w:r>
        <w:rPr>
          <w:rFonts w:hint="default" w:ascii="Arial" w:hAnsi="Arial" w:cs="Arial"/>
          <w:b/>
          <w:spacing w:val="-4"/>
          <w:sz w:val="22"/>
          <w:szCs w:val="22"/>
          <w:highlight w:val="none"/>
        </w:rPr>
        <w:t xml:space="preserve"> </w:t>
      </w:r>
      <w:r>
        <w:rPr>
          <w:rFonts w:hint="default" w:ascii="Arial" w:hAnsi="Arial" w:cs="Arial"/>
          <w:b/>
          <w:sz w:val="22"/>
          <w:szCs w:val="22"/>
          <w:highlight w:val="none"/>
        </w:rPr>
        <w:t>Viabilidade</w:t>
      </w:r>
      <w:r>
        <w:rPr>
          <w:rFonts w:hint="default" w:ascii="Arial" w:hAnsi="Arial" w:cs="Arial"/>
          <w:b/>
          <w:spacing w:val="-2"/>
          <w:sz w:val="22"/>
          <w:szCs w:val="22"/>
          <w:highlight w:val="none"/>
        </w:rPr>
        <w:t xml:space="preserve"> </w:t>
      </w:r>
      <w:r>
        <w:rPr>
          <w:rFonts w:hint="default" w:ascii="Arial" w:hAnsi="Arial" w:cs="Arial"/>
          <w:b/>
          <w:sz w:val="22"/>
          <w:szCs w:val="22"/>
          <w:highlight w:val="none"/>
        </w:rPr>
        <w:t>da</w:t>
      </w:r>
      <w:r>
        <w:rPr>
          <w:rFonts w:hint="default" w:ascii="Arial" w:hAnsi="Arial" w:cs="Arial"/>
          <w:b/>
          <w:spacing w:val="-2"/>
          <w:sz w:val="22"/>
          <w:szCs w:val="22"/>
          <w:highlight w:val="none"/>
        </w:rPr>
        <w:t xml:space="preserve"> </w:t>
      </w:r>
      <w:r>
        <w:rPr>
          <w:rFonts w:hint="default" w:ascii="Arial" w:hAnsi="Arial" w:cs="Arial"/>
          <w:b/>
          <w:sz w:val="22"/>
          <w:szCs w:val="22"/>
          <w:highlight w:val="none"/>
        </w:rPr>
        <w:t>adoção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da</w:t>
      </w:r>
      <w:r>
        <w:rPr>
          <w:rFonts w:hint="default" w:ascii="Arial" w:hAnsi="Arial" w:cs="Arial"/>
          <w:b/>
          <w:spacing w:val="-2"/>
          <w:sz w:val="22"/>
          <w:szCs w:val="22"/>
          <w:highlight w:val="none"/>
        </w:rPr>
        <w:t xml:space="preserve"> </w:t>
      </w:r>
      <w:r>
        <w:rPr>
          <w:rFonts w:hint="default" w:ascii="Arial" w:hAnsi="Arial" w:cs="Arial"/>
          <w:b/>
          <w:sz w:val="22"/>
          <w:szCs w:val="22"/>
          <w:highlight w:val="none"/>
        </w:rPr>
        <w:t>modalidade</w:t>
      </w:r>
      <w:r>
        <w:rPr>
          <w:rFonts w:hint="default" w:ascii="Arial" w:hAnsi="Arial" w:cs="Arial"/>
          <w:b/>
          <w:spacing w:val="-2"/>
          <w:sz w:val="22"/>
          <w:szCs w:val="22"/>
          <w:highlight w:val="none"/>
        </w:rPr>
        <w:t xml:space="preserve"> </w:t>
      </w:r>
      <w:r>
        <w:rPr>
          <w:rFonts w:hint="default" w:ascii="Arial" w:hAnsi="Arial" w:cs="Arial"/>
          <w:b/>
          <w:sz w:val="22"/>
          <w:szCs w:val="22"/>
          <w:highlight w:val="none"/>
        </w:rPr>
        <w:t>na</w:t>
      </w:r>
      <w:r>
        <w:rPr>
          <w:rFonts w:hint="default" w:ascii="Arial" w:hAnsi="Arial" w:cs="Arial"/>
          <w:b/>
          <w:spacing w:val="-2"/>
          <w:sz w:val="22"/>
          <w:szCs w:val="22"/>
          <w:highlight w:val="none"/>
        </w:rPr>
        <w:t xml:space="preserve"> </w:t>
      </w:r>
      <w:r>
        <w:rPr>
          <w:rFonts w:hint="default" w:ascii="Arial" w:hAnsi="Arial" w:cs="Arial"/>
          <w:b/>
          <w:sz w:val="22"/>
          <w:szCs w:val="22"/>
          <w:highlight w:val="none"/>
        </w:rPr>
        <w:t>forma</w:t>
      </w:r>
      <w:r>
        <w:rPr>
          <w:rFonts w:hint="default" w:ascii="Arial" w:hAnsi="Arial" w:cs="Arial"/>
          <w:b/>
          <w:spacing w:val="-1"/>
          <w:sz w:val="22"/>
          <w:szCs w:val="22"/>
          <w:highlight w:val="none"/>
        </w:rPr>
        <w:t xml:space="preserve"> </w:t>
      </w:r>
      <w:r>
        <w:rPr>
          <w:rFonts w:hint="default" w:ascii="Arial" w:hAnsi="Arial" w:cs="Arial"/>
          <w:b/>
          <w:spacing w:val="-2"/>
          <w:sz w:val="22"/>
          <w:szCs w:val="22"/>
          <w:highlight w:val="none"/>
        </w:rPr>
        <w:t>eletrônica:</w:t>
      </w:r>
    </w:p>
    <w:p w14:paraId="25E8E1C5">
      <w:pPr>
        <w:pStyle w:val="155"/>
        <w:tabs>
          <w:tab w:val="left" w:pos="427"/>
        </w:tabs>
        <w:spacing w:line="360" w:lineRule="auto"/>
        <w:ind w:left="0" w:leftChars="0" w:firstLine="0" w:firstLineChars="0"/>
        <w:jc w:val="both"/>
        <w:rPr>
          <w:rFonts w:hint="default" w:ascii="Arial" w:hAnsi="Arial" w:cs="Arial"/>
          <w:sz w:val="22"/>
          <w:szCs w:val="22"/>
          <w:highlight w:val="none"/>
        </w:rPr>
      </w:pPr>
      <w:r>
        <w:rPr>
          <w:rFonts w:hint="default" w:ascii="Arial" w:hAnsi="Arial" w:cs="Arial"/>
          <w:spacing w:val="-10"/>
          <w:sz w:val="22"/>
          <w:szCs w:val="22"/>
          <w:highlight w:val="none"/>
        </w:rPr>
        <w:t>(</w:t>
      </w:r>
      <w:r>
        <w:rPr>
          <w:rFonts w:hint="default" w:ascii="Arial" w:hAnsi="Arial" w:cs="Arial"/>
          <w:spacing w:val="-10"/>
          <w:sz w:val="22"/>
          <w:szCs w:val="22"/>
          <w:highlight w:val="none"/>
          <w:lang w:val="pt-BR"/>
        </w:rPr>
        <w:t xml:space="preserve"> x </w:t>
      </w:r>
      <w:r>
        <w:rPr>
          <w:rFonts w:hint="default" w:ascii="Arial" w:hAnsi="Arial" w:cs="Arial"/>
          <w:sz w:val="22"/>
          <w:szCs w:val="22"/>
          <w:highlight w:val="none"/>
        </w:rPr>
        <w:t>)</w:t>
      </w:r>
      <w:r>
        <w:rPr>
          <w:rFonts w:hint="default" w:ascii="Arial" w:hAnsi="Arial" w:cs="Arial"/>
          <w:spacing w:val="-2"/>
          <w:sz w:val="22"/>
          <w:szCs w:val="22"/>
          <w:highlight w:val="none"/>
        </w:rPr>
        <w:t xml:space="preserve"> </w:t>
      </w:r>
      <w:r>
        <w:rPr>
          <w:rFonts w:hint="default" w:ascii="Arial" w:hAnsi="Arial" w:cs="Arial"/>
          <w:spacing w:val="-5"/>
          <w:sz w:val="22"/>
          <w:szCs w:val="22"/>
          <w:highlight w:val="none"/>
        </w:rPr>
        <w:t>Sim</w:t>
      </w:r>
    </w:p>
    <w:p w14:paraId="200D1175">
      <w:pPr>
        <w:pStyle w:val="155"/>
        <w:spacing w:before="1" w:line="360" w:lineRule="auto"/>
        <w:ind w:left="0" w:leftChars="0" w:firstLine="0" w:firstLineChars="0"/>
        <w:jc w:val="both"/>
        <w:rPr>
          <w:rFonts w:hint="default" w:ascii="Arial" w:hAnsi="Arial" w:cs="Arial"/>
          <w:sz w:val="22"/>
          <w:szCs w:val="22"/>
          <w:highlight w:val="none"/>
        </w:rPr>
      </w:pPr>
      <w:r>
        <w:rPr>
          <w:rFonts w:hint="default" w:ascii="Arial" w:hAnsi="Arial" w:cs="Arial"/>
          <w:spacing w:val="-10"/>
          <w:sz w:val="22"/>
          <w:szCs w:val="22"/>
          <w:highlight w:val="none"/>
        </w:rPr>
        <w:t>(</w:t>
      </w:r>
      <w:r>
        <w:rPr>
          <w:rFonts w:hint="default" w:ascii="Arial" w:hAnsi="Arial" w:cs="Arial"/>
          <w:spacing w:val="-10"/>
          <w:sz w:val="22"/>
          <w:szCs w:val="22"/>
          <w:highlight w:val="none"/>
          <w:lang w:val="pt-BR"/>
        </w:rPr>
        <w:t xml:space="preserve">    </w:t>
      </w:r>
      <w:r>
        <w:rPr>
          <w:rFonts w:hint="default" w:ascii="Arial" w:hAnsi="Arial" w:cs="Arial"/>
          <w:sz w:val="22"/>
          <w:szCs w:val="22"/>
          <w:highlight w:val="none"/>
        </w:rPr>
        <w:t>) Não</w:t>
      </w:r>
    </w:p>
    <w:p w14:paraId="6E1B465A">
      <w:pPr>
        <w:keepNext w:val="0"/>
        <w:keepLines w:val="0"/>
        <w:pageBreakBefore w:val="0"/>
        <w:widowControl/>
        <w:kinsoku/>
        <w:wordWrap/>
        <w:overflowPunct/>
        <w:topLinePunct w:val="0"/>
        <w:bidi w:val="0"/>
        <w:adjustRightInd/>
        <w:snapToGrid/>
        <w:spacing w:line="360" w:lineRule="auto"/>
        <w:jc w:val="both"/>
        <w:textAlignment w:val="auto"/>
        <w:rPr>
          <w:rFonts w:hint="default" w:ascii="Arial" w:hAnsi="Arial" w:cs="Arial"/>
          <w:sz w:val="22"/>
          <w:szCs w:val="22"/>
          <w:highlight w:val="none"/>
          <w:lang w:val="pt-BR"/>
        </w:rPr>
      </w:pPr>
      <w:r>
        <w:rPr>
          <w:rFonts w:hint="default" w:ascii="Arial" w:hAnsi="Arial" w:cs="Arial"/>
          <w:spacing w:val="-2"/>
          <w:sz w:val="22"/>
          <w:szCs w:val="22"/>
          <w:highlight w:val="none"/>
        </w:rPr>
        <w:t>Justificar:</w:t>
      </w:r>
      <w:r>
        <w:rPr>
          <w:rFonts w:hint="default" w:ascii="Arial" w:hAnsi="Arial" w:cs="Arial"/>
          <w:spacing w:val="-2"/>
          <w:sz w:val="22"/>
          <w:szCs w:val="22"/>
          <w:highlight w:val="none"/>
          <w:lang w:val="pt-BR"/>
        </w:rPr>
        <w:t xml:space="preserve"> </w:t>
      </w:r>
      <w:r>
        <w:rPr>
          <w:rFonts w:hint="default" w:ascii="Arial" w:hAnsi="Arial" w:cs="Arial"/>
          <w:sz w:val="22"/>
          <w:szCs w:val="22"/>
          <w:highlight w:val="none"/>
          <w:lang w:val="pt-BR"/>
        </w:rPr>
        <w:t xml:space="preserve">Considerando que a Lei de Licitações e Contratos Administrativos (Lei n° 14.133/2021) determina objetivamente e com clareza que as licitações devem transcorrer de forma eletrônica, de preferência, e que, contudo, quando o processo não for possível nesta modalidade a lei admite que seja aplicada a modalidade pregão presencial, com motivação devida, oportunidade em que a sessão pública deverá ser registrada em ata e gravada em áudio e vídeo, conforme descreve a lei no seu artigo 17, paragrafo 2°, portanto, em obediência ao determinado na lei, principalmente quando se trata do dever de atender a preferência, conforme a lei, para esta licitação será adotada a forma eletrônica. </w:t>
      </w:r>
    </w:p>
    <w:p w14:paraId="64E3A1E3">
      <w:pPr>
        <w:keepNext w:val="0"/>
        <w:keepLines w:val="0"/>
        <w:widowControl/>
        <w:numPr>
          <w:ilvl w:val="0"/>
          <w:numId w:val="0"/>
        </w:numPr>
        <w:suppressLineNumbers w:val="0"/>
        <w:ind w:leftChars="0"/>
        <w:jc w:val="left"/>
        <w:rPr>
          <w:rFonts w:hint="default" w:ascii="Arial" w:hAnsi="Arial" w:cs="Arial"/>
          <w:b/>
          <w:bCs/>
          <w:sz w:val="22"/>
          <w:szCs w:val="22"/>
          <w:highlight w:val="none"/>
          <w:lang w:val="pt-BR"/>
        </w:rPr>
      </w:pPr>
      <w:bookmarkStart w:id="59" w:name="_bookmark318"/>
      <w:bookmarkEnd w:id="59"/>
      <w:r>
        <w:rPr>
          <w:rFonts w:hint="default" w:ascii="Arial" w:hAnsi="Arial" w:cs="Arial"/>
          <w:b/>
          <w:bCs/>
          <w:sz w:val="22"/>
          <w:szCs w:val="22"/>
          <w:lang w:val="pt-BR"/>
        </w:rPr>
        <w:t>5.9.</w:t>
      </w:r>
      <w:r>
        <w:rPr>
          <w:rFonts w:hint="default" w:ascii="Arial" w:hAnsi="Arial" w:cs="Arial"/>
          <w:sz w:val="22"/>
          <w:szCs w:val="22"/>
          <w:lang w:val="pt-BR"/>
        </w:rPr>
        <w:t xml:space="preserve"> </w:t>
      </w:r>
      <w:r>
        <w:rPr>
          <w:rFonts w:hint="default" w:ascii="Arial" w:hAnsi="Arial" w:cs="Arial"/>
          <w:sz w:val="22"/>
          <w:szCs w:val="22"/>
          <w:highlight w:val="none"/>
          <w:lang w:val="pt-BR"/>
        </w:rPr>
        <w:t xml:space="preserve"> </w:t>
      </w:r>
      <w:r>
        <w:rPr>
          <w:rFonts w:hint="default" w:ascii="Arial" w:hAnsi="Arial" w:cs="Arial"/>
          <w:b/>
          <w:bCs/>
          <w:sz w:val="22"/>
          <w:szCs w:val="22"/>
          <w:highlight w:val="none"/>
          <w:lang w:val="pt-BR"/>
        </w:rPr>
        <w:t>DAS CONDIÇÕES PARA PARTICIPAÇÃO DE EMPRESAS EM</w:t>
      </w:r>
      <w:r>
        <w:rPr>
          <w:rFonts w:hint="default" w:ascii="Arial" w:hAnsi="Arial" w:cs="Arial"/>
          <w:sz w:val="22"/>
          <w:szCs w:val="22"/>
          <w:highlight w:val="none"/>
          <w:lang w:val="pt-BR"/>
        </w:rPr>
        <w:t xml:space="preserve"> </w:t>
      </w:r>
      <w:r>
        <w:rPr>
          <w:rFonts w:hint="default" w:ascii="Arial" w:hAnsi="Arial" w:cs="Arial"/>
          <w:b/>
          <w:bCs/>
          <w:sz w:val="22"/>
          <w:szCs w:val="22"/>
          <w:highlight w:val="none"/>
          <w:lang w:val="pt-BR"/>
        </w:rPr>
        <w:t>CONSÓRCIO:</w:t>
      </w:r>
    </w:p>
    <w:p w14:paraId="4649BD03">
      <w:pPr>
        <w:keepNext w:val="0"/>
        <w:keepLines w:val="0"/>
        <w:widowControl/>
        <w:numPr>
          <w:ilvl w:val="0"/>
          <w:numId w:val="0"/>
        </w:numPr>
        <w:suppressLineNumbers w:val="0"/>
        <w:ind w:leftChars="0" w:right="0" w:rightChars="0"/>
        <w:jc w:val="left"/>
        <w:rPr>
          <w:rFonts w:hint="default" w:ascii="Arial" w:hAnsi="Arial" w:cs="Arial"/>
          <w:sz w:val="22"/>
          <w:szCs w:val="22"/>
          <w:highlight w:val="none"/>
          <w:lang w:val="pt-BR"/>
        </w:rPr>
      </w:pPr>
    </w:p>
    <w:p w14:paraId="1BA3F5E3">
      <w:pPr>
        <w:keepNext w:val="0"/>
        <w:keepLines w:val="0"/>
        <w:pageBreakBefore w:val="0"/>
        <w:widowControl w:val="0"/>
        <w:tabs>
          <w:tab w:val="left" w:pos="2410"/>
        </w:tabs>
        <w:kinsoku/>
        <w:wordWrap/>
        <w:overflowPunct/>
        <w:topLinePunct w:val="0"/>
        <w:autoSpaceDE w:val="0"/>
        <w:autoSpaceDN w:val="0"/>
        <w:bidi w:val="0"/>
        <w:snapToGrid/>
        <w:spacing w:before="0" w:beforeAutospacing="0" w:after="0" w:afterAutospacing="0" w:line="360" w:lineRule="auto"/>
        <w:ind w:left="0" w:firstLine="0" w:firstLineChars="0"/>
        <w:jc w:val="both"/>
        <w:rPr>
          <w:rFonts w:hint="default" w:ascii="Arial" w:hAnsi="Arial" w:cs="Arial"/>
          <w:color w:val="000000"/>
          <w:sz w:val="22"/>
          <w:szCs w:val="22"/>
          <w:highlight w:val="none"/>
        </w:rPr>
      </w:pPr>
      <w:r>
        <w:rPr>
          <w:rFonts w:hint="default" w:ascii="Arial" w:hAnsi="Arial" w:cs="Arial"/>
          <w:b/>
          <w:sz w:val="22"/>
          <w:szCs w:val="22"/>
          <w:highlight w:val="none"/>
          <w:lang w:val="pt-BR"/>
        </w:rPr>
        <w:t>5</w:t>
      </w:r>
      <w:r>
        <w:rPr>
          <w:rFonts w:hint="default" w:ascii="Arial" w:hAnsi="Arial" w:cs="Arial"/>
          <w:b/>
          <w:sz w:val="22"/>
          <w:szCs w:val="22"/>
          <w:highlight w:val="none"/>
        </w:rPr>
        <w:t>.</w:t>
      </w:r>
      <w:r>
        <w:rPr>
          <w:rFonts w:hint="default" w:ascii="Arial" w:hAnsi="Arial" w:cs="Arial"/>
          <w:b/>
          <w:sz w:val="22"/>
          <w:szCs w:val="22"/>
          <w:highlight w:val="none"/>
          <w:lang w:val="pt-BR"/>
        </w:rPr>
        <w:t>9.</w:t>
      </w:r>
      <w:r>
        <w:rPr>
          <w:rFonts w:hint="default" w:ascii="Arial" w:hAnsi="Arial" w:cs="Arial"/>
          <w:b/>
          <w:sz w:val="22"/>
          <w:szCs w:val="22"/>
          <w:highlight w:val="none"/>
        </w:rPr>
        <w:t>1.</w:t>
      </w:r>
      <w:r>
        <w:rPr>
          <w:rFonts w:hint="default" w:ascii="Arial" w:hAnsi="Arial" w:cs="Arial"/>
          <w:sz w:val="22"/>
          <w:szCs w:val="22"/>
          <w:highlight w:val="none"/>
        </w:rPr>
        <w:t xml:space="preserve"> </w:t>
      </w:r>
      <w:r>
        <w:rPr>
          <w:rFonts w:hint="default" w:ascii="Arial" w:hAnsi="Arial" w:cs="Arial"/>
          <w:color w:val="000000"/>
          <w:sz w:val="22"/>
          <w:szCs w:val="22"/>
          <w:highlight w:val="none"/>
        </w:rPr>
        <w:t xml:space="preserve">Poderão participar deste </w:t>
      </w:r>
      <w:r>
        <w:rPr>
          <w:rFonts w:hint="default" w:ascii="Arial" w:hAnsi="Arial" w:cs="Arial"/>
          <w:color w:val="000000"/>
          <w:sz w:val="22"/>
          <w:szCs w:val="22"/>
          <w:highlight w:val="none"/>
          <w:lang w:val="pt-BR"/>
        </w:rPr>
        <w:t>processo</w:t>
      </w:r>
      <w:r>
        <w:rPr>
          <w:rFonts w:hint="default" w:ascii="Arial" w:hAnsi="Arial" w:cs="Arial"/>
          <w:sz w:val="22"/>
          <w:szCs w:val="22"/>
          <w:highlight w:val="none"/>
        </w:rPr>
        <w:t xml:space="preserve"> quaisquer empresas interessadas que se enquadrem no ramo de atividade pertinente ao objeto da licitação</w:t>
      </w:r>
      <w:r>
        <w:rPr>
          <w:rFonts w:hint="default" w:ascii="Arial" w:hAnsi="Arial" w:cs="Arial"/>
          <w:color w:val="000000"/>
          <w:sz w:val="22"/>
          <w:szCs w:val="22"/>
          <w:highlight w:val="none"/>
        </w:rPr>
        <w:t xml:space="preserve"> e que atenderem a todas as exigências, inclusive quanto à documentação.</w:t>
      </w:r>
    </w:p>
    <w:p w14:paraId="38D50A30">
      <w:pPr>
        <w:keepNext w:val="0"/>
        <w:keepLines w:val="0"/>
        <w:pageBreakBefore w:val="0"/>
        <w:kinsoku/>
        <w:wordWrap/>
        <w:overflowPunct/>
        <w:topLinePunct w:val="0"/>
        <w:autoSpaceDE w:val="0"/>
        <w:autoSpaceDN w:val="0"/>
        <w:bidi w:val="0"/>
        <w:snapToGrid/>
        <w:spacing w:before="0" w:beforeAutospacing="0" w:after="0" w:afterAutospacing="0" w:line="360" w:lineRule="auto"/>
        <w:ind w:left="0" w:firstLine="0" w:firstLineChars="0"/>
        <w:jc w:val="both"/>
        <w:rPr>
          <w:rFonts w:hint="default" w:ascii="Arial" w:hAnsi="Arial" w:cs="Arial"/>
          <w:b w:val="0"/>
          <w:bCs/>
          <w:color w:val="000000"/>
          <w:sz w:val="22"/>
          <w:szCs w:val="22"/>
          <w:highlight w:val="none"/>
        </w:rPr>
      </w:pPr>
      <w:r>
        <w:rPr>
          <w:rFonts w:hint="default" w:ascii="Arial" w:hAnsi="Arial" w:cs="Arial"/>
          <w:b/>
          <w:sz w:val="22"/>
          <w:szCs w:val="22"/>
          <w:highlight w:val="none"/>
          <w:lang w:val="pt-BR"/>
        </w:rPr>
        <w:t>5.9</w:t>
      </w:r>
      <w:r>
        <w:rPr>
          <w:rFonts w:hint="default" w:ascii="Arial" w:hAnsi="Arial" w:cs="Arial"/>
          <w:b/>
          <w:sz w:val="22"/>
          <w:szCs w:val="22"/>
          <w:highlight w:val="none"/>
        </w:rPr>
        <w:t>.2.</w:t>
      </w:r>
      <w:r>
        <w:rPr>
          <w:rFonts w:hint="default" w:ascii="Arial" w:hAnsi="Arial" w:cs="Arial"/>
          <w:sz w:val="22"/>
          <w:szCs w:val="22"/>
          <w:highlight w:val="none"/>
        </w:rPr>
        <w:t xml:space="preserve"> </w:t>
      </w:r>
      <w:r>
        <w:rPr>
          <w:rFonts w:hint="default" w:ascii="Arial" w:hAnsi="Arial" w:cs="Arial"/>
          <w:b w:val="0"/>
          <w:bCs/>
          <w:color w:val="000000"/>
          <w:sz w:val="22"/>
          <w:szCs w:val="22"/>
          <w:highlight w:val="none"/>
        </w:rPr>
        <w:t xml:space="preserve">Não poderão participar deste </w:t>
      </w:r>
      <w:r>
        <w:rPr>
          <w:rFonts w:hint="default" w:ascii="Arial" w:hAnsi="Arial" w:cs="Arial"/>
          <w:b w:val="0"/>
          <w:bCs/>
          <w:color w:val="000000"/>
          <w:sz w:val="22"/>
          <w:szCs w:val="22"/>
          <w:highlight w:val="none"/>
          <w:lang w:val="pt-BR"/>
        </w:rPr>
        <w:t>processo</w:t>
      </w:r>
      <w:r>
        <w:rPr>
          <w:rFonts w:hint="default" w:ascii="Arial" w:hAnsi="Arial" w:cs="Arial"/>
          <w:b w:val="0"/>
          <w:bCs/>
          <w:color w:val="000000"/>
          <w:sz w:val="22"/>
          <w:szCs w:val="22"/>
          <w:highlight w:val="none"/>
        </w:rPr>
        <w:t>:</w:t>
      </w:r>
    </w:p>
    <w:p w14:paraId="6008C63B">
      <w:pPr>
        <w:keepNext w:val="0"/>
        <w:keepLines w:val="0"/>
        <w:pageBreakBefore w:val="0"/>
        <w:tabs>
          <w:tab w:val="left" w:pos="1134"/>
        </w:tabs>
        <w:kinsoku/>
        <w:wordWrap/>
        <w:overflowPunct/>
        <w:topLinePunct w:val="0"/>
        <w:autoSpaceDE w:val="0"/>
        <w:autoSpaceDN w:val="0"/>
        <w:bidi w:val="0"/>
        <w:snapToGrid/>
        <w:spacing w:before="0" w:beforeAutospacing="0" w:after="0" w:afterAutospacing="0" w:line="360" w:lineRule="auto"/>
        <w:ind w:left="0" w:firstLine="0" w:firstLineChars="0"/>
        <w:jc w:val="both"/>
        <w:rPr>
          <w:rFonts w:hint="default" w:ascii="Arial" w:hAnsi="Arial" w:cs="Arial"/>
          <w:b/>
          <w:color w:val="000000"/>
          <w:sz w:val="22"/>
          <w:szCs w:val="22"/>
          <w:highlight w:val="none"/>
        </w:rPr>
      </w:pPr>
      <w:r>
        <w:rPr>
          <w:rFonts w:hint="default" w:ascii="Arial" w:hAnsi="Arial" w:cs="Arial"/>
          <w:b/>
          <w:color w:val="000000"/>
          <w:sz w:val="22"/>
          <w:szCs w:val="22"/>
          <w:highlight w:val="none"/>
          <w:lang w:val="pt-BR"/>
        </w:rPr>
        <w:t>5</w:t>
      </w:r>
      <w:r>
        <w:rPr>
          <w:rFonts w:hint="default" w:ascii="Arial" w:hAnsi="Arial" w:cs="Arial"/>
          <w:b/>
          <w:color w:val="000000"/>
          <w:sz w:val="22"/>
          <w:szCs w:val="22"/>
          <w:highlight w:val="none"/>
        </w:rPr>
        <w:t>.</w:t>
      </w:r>
      <w:r>
        <w:rPr>
          <w:rFonts w:hint="default" w:ascii="Arial" w:hAnsi="Arial" w:cs="Arial"/>
          <w:b/>
          <w:color w:val="000000"/>
          <w:sz w:val="22"/>
          <w:szCs w:val="22"/>
          <w:highlight w:val="none"/>
          <w:lang w:val="pt-BR"/>
        </w:rPr>
        <w:t>9</w:t>
      </w:r>
      <w:r>
        <w:rPr>
          <w:rFonts w:hint="default" w:ascii="Arial" w:hAnsi="Arial" w:cs="Arial"/>
          <w:b/>
          <w:color w:val="000000"/>
          <w:sz w:val="22"/>
          <w:szCs w:val="22"/>
          <w:highlight w:val="none"/>
        </w:rPr>
        <w:t>.</w:t>
      </w:r>
      <w:r>
        <w:rPr>
          <w:rFonts w:hint="default" w:ascii="Arial" w:hAnsi="Arial" w:cs="Arial"/>
          <w:b/>
          <w:color w:val="000000"/>
          <w:sz w:val="22"/>
          <w:szCs w:val="22"/>
          <w:highlight w:val="none"/>
          <w:lang w:val="pt-BR"/>
        </w:rPr>
        <w:t>2.1.</w:t>
      </w:r>
      <w:r>
        <w:rPr>
          <w:rFonts w:hint="default" w:ascii="Arial" w:hAnsi="Arial" w:cs="Arial"/>
          <w:color w:val="000000"/>
          <w:sz w:val="22"/>
          <w:szCs w:val="22"/>
          <w:highlight w:val="none"/>
        </w:rPr>
        <w:t xml:space="preserve"> Empresas que não atenderem às condições d</w:t>
      </w:r>
      <w:r>
        <w:rPr>
          <w:rFonts w:hint="default" w:ascii="Arial" w:hAnsi="Arial" w:cs="Arial"/>
          <w:color w:val="000000"/>
          <w:sz w:val="22"/>
          <w:szCs w:val="22"/>
          <w:highlight w:val="none"/>
          <w:lang w:val="pt-BR"/>
        </w:rPr>
        <w:t>o</w:t>
      </w:r>
      <w:r>
        <w:rPr>
          <w:rFonts w:hint="default" w:ascii="Arial" w:hAnsi="Arial" w:cs="Arial"/>
          <w:color w:val="000000"/>
          <w:sz w:val="22"/>
          <w:szCs w:val="22"/>
          <w:highlight w:val="none"/>
        </w:rPr>
        <w:t xml:space="preserve"> </w:t>
      </w:r>
      <w:r>
        <w:rPr>
          <w:rFonts w:hint="default" w:ascii="Arial" w:hAnsi="Arial" w:cs="Arial"/>
          <w:color w:val="000000"/>
          <w:sz w:val="22"/>
          <w:szCs w:val="22"/>
          <w:highlight w:val="none"/>
          <w:lang w:val="pt-BR"/>
        </w:rPr>
        <w:t>E</w:t>
      </w:r>
      <w:r>
        <w:rPr>
          <w:rFonts w:hint="default" w:ascii="Arial" w:hAnsi="Arial" w:cs="Arial"/>
          <w:color w:val="000000"/>
          <w:sz w:val="22"/>
          <w:szCs w:val="22"/>
          <w:highlight w:val="none"/>
        </w:rPr>
        <w:t>dital</w:t>
      </w:r>
      <w:r>
        <w:rPr>
          <w:rFonts w:hint="default" w:ascii="Arial" w:hAnsi="Arial" w:cs="Arial"/>
          <w:color w:val="000000"/>
          <w:sz w:val="22"/>
          <w:szCs w:val="22"/>
          <w:highlight w:val="none"/>
          <w:lang w:val="pt-BR"/>
        </w:rPr>
        <w:t xml:space="preserve"> e seus Anexos</w:t>
      </w:r>
      <w:r>
        <w:rPr>
          <w:rFonts w:hint="default" w:ascii="Arial" w:hAnsi="Arial" w:cs="Arial"/>
          <w:color w:val="000000"/>
          <w:sz w:val="22"/>
          <w:szCs w:val="22"/>
          <w:highlight w:val="none"/>
        </w:rPr>
        <w:t>;</w:t>
      </w:r>
    </w:p>
    <w:p w14:paraId="47162F70">
      <w:pPr>
        <w:keepNext w:val="0"/>
        <w:keepLines w:val="0"/>
        <w:pageBreakBefore w:val="0"/>
        <w:tabs>
          <w:tab w:val="left" w:pos="1134"/>
        </w:tabs>
        <w:kinsoku/>
        <w:wordWrap/>
        <w:overflowPunct/>
        <w:topLinePunct w:val="0"/>
        <w:autoSpaceDE w:val="0"/>
        <w:autoSpaceDN w:val="0"/>
        <w:bidi w:val="0"/>
        <w:snapToGrid/>
        <w:spacing w:before="0" w:beforeAutospacing="0" w:after="0" w:afterAutospacing="0" w:line="360" w:lineRule="auto"/>
        <w:ind w:left="0" w:firstLine="0" w:firstLineChars="0"/>
        <w:jc w:val="both"/>
        <w:rPr>
          <w:rFonts w:hint="default" w:ascii="Arial" w:hAnsi="Arial" w:cs="Arial"/>
          <w:color w:val="000000"/>
          <w:sz w:val="22"/>
          <w:szCs w:val="22"/>
          <w:highlight w:val="none"/>
        </w:rPr>
      </w:pPr>
      <w:r>
        <w:rPr>
          <w:rFonts w:hint="default" w:ascii="Arial" w:hAnsi="Arial" w:cs="Arial"/>
          <w:b/>
          <w:color w:val="000000"/>
          <w:sz w:val="22"/>
          <w:szCs w:val="22"/>
          <w:highlight w:val="none"/>
          <w:lang w:val="pt-BR"/>
        </w:rPr>
        <w:t>5.9</w:t>
      </w:r>
      <w:r>
        <w:rPr>
          <w:rFonts w:hint="default" w:ascii="Arial" w:hAnsi="Arial" w:cs="Arial"/>
          <w:b/>
          <w:color w:val="000000"/>
          <w:sz w:val="22"/>
          <w:szCs w:val="22"/>
          <w:highlight w:val="none"/>
        </w:rPr>
        <w:t>.</w:t>
      </w:r>
      <w:r>
        <w:rPr>
          <w:rFonts w:hint="default" w:ascii="Arial" w:hAnsi="Arial" w:cs="Arial"/>
          <w:b/>
          <w:color w:val="000000"/>
          <w:sz w:val="22"/>
          <w:szCs w:val="22"/>
          <w:highlight w:val="none"/>
          <w:lang w:val="pt-BR"/>
        </w:rPr>
        <w:t>2.2.</w:t>
      </w:r>
      <w:r>
        <w:rPr>
          <w:rFonts w:hint="default" w:ascii="Arial" w:hAnsi="Arial" w:cs="Arial"/>
          <w:color w:val="000000"/>
          <w:sz w:val="22"/>
          <w:szCs w:val="22"/>
          <w:highlight w:val="none"/>
        </w:rPr>
        <w:t xml:space="preserve"> Empresas que estejam em processo de falência ou concordata, sob concurso de credores, em dissolução ou em liquidação;</w:t>
      </w:r>
    </w:p>
    <w:p w14:paraId="75609833">
      <w:pPr>
        <w:pStyle w:val="137"/>
        <w:keepNext w:val="0"/>
        <w:keepLines w:val="0"/>
        <w:pageBreakBefore w:val="0"/>
        <w:numPr>
          <w:ilvl w:val="0"/>
          <w:numId w:val="0"/>
        </w:numPr>
        <w:kinsoku/>
        <w:wordWrap/>
        <w:overflowPunct/>
        <w:topLinePunct w:val="0"/>
        <w:autoSpaceDE w:val="0"/>
        <w:autoSpaceDN w:val="0"/>
        <w:bidi w:val="0"/>
        <w:snapToGrid/>
        <w:spacing w:before="0" w:beforeAutospacing="0" w:after="0" w:afterAutospacing="0" w:line="360" w:lineRule="auto"/>
        <w:ind w:left="0" w:leftChars="0" w:firstLine="0" w:firstLineChars="0"/>
        <w:rPr>
          <w:rFonts w:hint="default" w:ascii="Arial" w:hAnsi="Arial" w:cs="Arial"/>
          <w:sz w:val="22"/>
          <w:szCs w:val="22"/>
          <w:highlight w:val="none"/>
        </w:rPr>
      </w:pPr>
      <w:r>
        <w:rPr>
          <w:rFonts w:hint="default" w:cs="Arial"/>
          <w:b/>
          <w:color w:val="000000"/>
          <w:sz w:val="22"/>
          <w:szCs w:val="22"/>
          <w:highlight w:val="none"/>
          <w:lang w:val="pt-BR"/>
        </w:rPr>
        <w:t>5</w:t>
      </w:r>
      <w:r>
        <w:rPr>
          <w:rFonts w:hint="default" w:ascii="Arial" w:hAnsi="Arial" w:cs="Arial"/>
          <w:b/>
          <w:color w:val="000000"/>
          <w:sz w:val="22"/>
          <w:szCs w:val="22"/>
          <w:highlight w:val="none"/>
          <w:lang w:val="pt-BR"/>
        </w:rPr>
        <w:t xml:space="preserve">.9.2.3. </w:t>
      </w:r>
      <w:r>
        <w:rPr>
          <w:rFonts w:hint="default" w:ascii="Arial" w:hAnsi="Arial" w:cs="Arial"/>
          <w:color w:val="000000"/>
          <w:sz w:val="22"/>
          <w:szCs w:val="22"/>
          <w:highlight w:val="none"/>
          <w:lang w:val="pt-BR"/>
        </w:rPr>
        <w:t>P</w:t>
      </w:r>
      <w:r>
        <w:rPr>
          <w:rFonts w:hint="default" w:ascii="Arial" w:hAnsi="Arial" w:cs="Arial"/>
          <w:sz w:val="22"/>
          <w:szCs w:val="22"/>
          <w:highlight w:val="none"/>
        </w:rPr>
        <w:t>essoa física ou jurídica que se encontre, ao tempo da licitação, impossibilitada de participar da licitação em decorrência de sanção que lhe foi imposta;</w:t>
      </w:r>
    </w:p>
    <w:p w14:paraId="67384AA2">
      <w:pPr>
        <w:keepNext w:val="0"/>
        <w:keepLines w:val="0"/>
        <w:pageBreakBefore w:val="0"/>
        <w:tabs>
          <w:tab w:val="left" w:pos="1134"/>
        </w:tabs>
        <w:kinsoku/>
        <w:wordWrap/>
        <w:overflowPunct/>
        <w:topLinePunct w:val="0"/>
        <w:autoSpaceDE w:val="0"/>
        <w:autoSpaceDN w:val="0"/>
        <w:bidi w:val="0"/>
        <w:snapToGrid/>
        <w:spacing w:before="0" w:beforeAutospacing="0" w:after="0" w:afterAutospacing="0" w:line="360" w:lineRule="auto"/>
        <w:ind w:left="0" w:firstLine="0" w:firstLineChars="0"/>
        <w:jc w:val="both"/>
        <w:rPr>
          <w:rFonts w:hint="default" w:ascii="Arial" w:hAnsi="Arial" w:cs="Arial"/>
          <w:color w:val="000000"/>
          <w:sz w:val="22"/>
          <w:szCs w:val="22"/>
          <w:highlight w:val="none"/>
        </w:rPr>
      </w:pPr>
      <w:r>
        <w:rPr>
          <w:rFonts w:hint="default" w:ascii="Arial" w:hAnsi="Arial" w:cs="Arial"/>
          <w:b/>
          <w:bCs/>
          <w:color w:val="000000"/>
          <w:sz w:val="22"/>
          <w:szCs w:val="22"/>
          <w:highlight w:val="none"/>
          <w:lang w:val="pt-BR"/>
        </w:rPr>
        <w:t>5.9.2.4.</w:t>
      </w:r>
      <w:r>
        <w:rPr>
          <w:rFonts w:hint="default" w:ascii="Arial" w:hAnsi="Arial" w:cs="Arial"/>
          <w:b/>
          <w:bCs/>
          <w:color w:val="000000"/>
          <w:sz w:val="22"/>
          <w:szCs w:val="22"/>
          <w:highlight w:val="none"/>
        </w:rPr>
        <w:t xml:space="preserve"> </w:t>
      </w:r>
      <w:r>
        <w:rPr>
          <w:rFonts w:hint="default" w:ascii="Arial" w:hAnsi="Arial" w:cs="Arial"/>
          <w:color w:val="000000"/>
          <w:sz w:val="22"/>
          <w:szCs w:val="22"/>
          <w:highlight w:val="none"/>
        </w:rPr>
        <w:t>Empresas inadimplentes em obrigações assumidas com a Prefeitura Municipal de Sinop/MT;</w:t>
      </w:r>
    </w:p>
    <w:p w14:paraId="3745C845">
      <w:pPr>
        <w:keepNext w:val="0"/>
        <w:keepLines w:val="0"/>
        <w:pageBreakBefore w:val="0"/>
        <w:tabs>
          <w:tab w:val="left" w:pos="1134"/>
        </w:tabs>
        <w:kinsoku/>
        <w:wordWrap/>
        <w:overflowPunct/>
        <w:topLinePunct w:val="0"/>
        <w:autoSpaceDE w:val="0"/>
        <w:autoSpaceDN w:val="0"/>
        <w:bidi w:val="0"/>
        <w:snapToGrid/>
        <w:spacing w:before="0" w:beforeAutospacing="0" w:after="0" w:afterAutospacing="0" w:line="360" w:lineRule="auto"/>
        <w:ind w:left="0" w:firstLine="0" w:firstLineChars="0"/>
        <w:jc w:val="both"/>
        <w:rPr>
          <w:rFonts w:hint="default" w:ascii="Arial" w:hAnsi="Arial" w:cs="Arial"/>
          <w:color w:val="000000"/>
          <w:sz w:val="22"/>
          <w:szCs w:val="22"/>
          <w:highlight w:val="none"/>
        </w:rPr>
      </w:pPr>
      <w:r>
        <w:rPr>
          <w:rFonts w:hint="default" w:ascii="Arial" w:hAnsi="Arial" w:cs="Arial"/>
          <w:b/>
          <w:color w:val="000000"/>
          <w:sz w:val="22"/>
          <w:szCs w:val="22"/>
          <w:highlight w:val="none"/>
          <w:lang w:val="pt-BR"/>
        </w:rPr>
        <w:t>5.9.2.5.</w:t>
      </w:r>
      <w:r>
        <w:rPr>
          <w:rFonts w:hint="default" w:ascii="Arial" w:hAnsi="Arial" w:cs="Arial"/>
          <w:color w:val="000000"/>
          <w:sz w:val="22"/>
          <w:szCs w:val="22"/>
          <w:highlight w:val="none"/>
        </w:rPr>
        <w:t xml:space="preserve"> Empresas cujo objeto social não seja pertinente e compatível com o objeto dest</w:t>
      </w:r>
      <w:r>
        <w:rPr>
          <w:rFonts w:hint="default" w:ascii="Arial" w:hAnsi="Arial" w:cs="Arial"/>
          <w:color w:val="000000"/>
          <w:sz w:val="22"/>
          <w:szCs w:val="22"/>
          <w:highlight w:val="none"/>
          <w:lang w:val="pt-BR"/>
        </w:rPr>
        <w:t>a licitação</w:t>
      </w:r>
      <w:r>
        <w:rPr>
          <w:rFonts w:hint="default" w:ascii="Arial" w:hAnsi="Arial" w:cs="Arial"/>
          <w:color w:val="000000"/>
          <w:sz w:val="22"/>
          <w:szCs w:val="22"/>
          <w:highlight w:val="none"/>
        </w:rPr>
        <w:t>;</w:t>
      </w:r>
    </w:p>
    <w:p w14:paraId="2907C4CE">
      <w:pPr>
        <w:pStyle w:val="137"/>
        <w:keepNext w:val="0"/>
        <w:keepLines w:val="0"/>
        <w:pageBreakBefore w:val="0"/>
        <w:numPr>
          <w:ilvl w:val="0"/>
          <w:numId w:val="0"/>
        </w:numPr>
        <w:kinsoku/>
        <w:wordWrap/>
        <w:overflowPunct/>
        <w:topLinePunct w:val="0"/>
        <w:autoSpaceDE w:val="0"/>
        <w:autoSpaceDN w:val="0"/>
        <w:bidi w:val="0"/>
        <w:snapToGrid/>
        <w:spacing w:before="0" w:beforeAutospacing="0" w:after="0" w:afterAutospacing="0" w:line="360" w:lineRule="auto"/>
        <w:ind w:left="0" w:leftChars="0" w:firstLine="0" w:firstLineChars="0"/>
        <w:rPr>
          <w:rFonts w:hint="default" w:ascii="Arial" w:hAnsi="Arial" w:cs="Arial"/>
          <w:sz w:val="22"/>
          <w:szCs w:val="22"/>
          <w:highlight w:val="none"/>
        </w:rPr>
      </w:pPr>
      <w:r>
        <w:rPr>
          <w:rFonts w:hint="default" w:cs="Arial"/>
          <w:b/>
          <w:color w:val="000000"/>
          <w:sz w:val="22"/>
          <w:szCs w:val="22"/>
          <w:highlight w:val="none"/>
          <w:lang w:val="pt-BR"/>
        </w:rPr>
        <w:t>5</w:t>
      </w:r>
      <w:r>
        <w:rPr>
          <w:rFonts w:hint="default" w:ascii="Arial" w:hAnsi="Arial" w:cs="Arial"/>
          <w:b/>
          <w:color w:val="000000"/>
          <w:sz w:val="22"/>
          <w:szCs w:val="22"/>
          <w:highlight w:val="none"/>
          <w:lang w:val="pt-BR"/>
        </w:rPr>
        <w:t>.9.2.6.</w:t>
      </w:r>
      <w:r>
        <w:rPr>
          <w:rFonts w:hint="default" w:ascii="Arial" w:hAnsi="Arial" w:cs="Arial"/>
          <w:color w:val="000000"/>
          <w:sz w:val="22"/>
          <w:szCs w:val="22"/>
          <w:highlight w:val="none"/>
        </w:rPr>
        <w:t xml:space="preserve"> </w:t>
      </w:r>
      <w:r>
        <w:rPr>
          <w:rFonts w:hint="default" w:ascii="Arial" w:hAnsi="Arial" w:cs="Arial"/>
          <w:sz w:val="22"/>
          <w:szCs w:val="22"/>
          <w:highlight w:val="none"/>
          <w:lang w:val="pt-BR"/>
        </w:rPr>
        <w:t>A</w:t>
      </w:r>
      <w:r>
        <w:rPr>
          <w:rFonts w:hint="default" w:ascii="Arial" w:hAnsi="Arial" w:cs="Arial"/>
          <w:sz w:val="22"/>
          <w:szCs w:val="22"/>
          <w:highlight w:val="none"/>
        </w:rPr>
        <w:t>quele que mantenha vínculo de natureza técnica, comercial, econômica, financeira, trabalhista ou civil com dirigente do órgão ou entidade contratante ou com agente público que desempenhe função na licitação ou atue na fiscalização ou na gestão d</w:t>
      </w:r>
      <w:r>
        <w:rPr>
          <w:rFonts w:hint="default" w:ascii="Arial" w:hAnsi="Arial" w:cs="Arial"/>
          <w:sz w:val="22"/>
          <w:szCs w:val="22"/>
          <w:highlight w:val="none"/>
          <w:lang w:val="pt-BR"/>
        </w:rPr>
        <w:t>a</w:t>
      </w:r>
      <w:r>
        <w:rPr>
          <w:rFonts w:hint="default" w:ascii="Arial" w:hAnsi="Arial" w:cs="Arial"/>
          <w:color w:val="auto"/>
          <w:sz w:val="22"/>
          <w:szCs w:val="22"/>
          <w:highlight w:val="none"/>
          <w:lang w:val="pt-BR"/>
        </w:rPr>
        <w:t xml:space="preserve">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w:t>
      </w:r>
      <w:r>
        <w:rPr>
          <w:rFonts w:hint="default" w:ascii="Arial" w:hAnsi="Arial" w:cs="Arial"/>
          <w:sz w:val="22"/>
          <w:szCs w:val="22"/>
          <w:highlight w:val="none"/>
        </w:rPr>
        <w:t>, ou que deles seja cônjuge, companheiro ou parente em linha reta, colateral ou por afinidade, até o terceiro grau;</w:t>
      </w:r>
    </w:p>
    <w:p w14:paraId="06453C71">
      <w:pPr>
        <w:pStyle w:val="128"/>
        <w:keepNext w:val="0"/>
        <w:keepLines w:val="0"/>
        <w:pageBreakBefore w:val="0"/>
        <w:numPr>
          <w:ilvl w:val="0"/>
          <w:numId w:val="0"/>
        </w:numPr>
        <w:tabs>
          <w:tab w:val="left" w:pos="993"/>
          <w:tab w:val="left" w:pos="1134"/>
        </w:tabs>
        <w:kinsoku/>
        <w:wordWrap/>
        <w:overflowPunct/>
        <w:topLinePunct w:val="0"/>
        <w:autoSpaceDE w:val="0"/>
        <w:autoSpaceDN w:val="0"/>
        <w:bidi w:val="0"/>
        <w:snapToGrid/>
        <w:spacing w:before="0" w:beforeAutospacing="0" w:after="0" w:afterAutospacing="0" w:line="360" w:lineRule="auto"/>
        <w:ind w:leftChars="0" w:right="0" w:rightChars="0"/>
        <w:contextualSpacing/>
        <w:jc w:val="both"/>
        <w:rPr>
          <w:rFonts w:hint="default" w:ascii="Arial" w:hAnsi="Arial" w:cs="Arial"/>
          <w:color w:val="000000"/>
          <w:sz w:val="22"/>
          <w:szCs w:val="22"/>
          <w:highlight w:val="none"/>
        </w:rPr>
      </w:pPr>
      <w:r>
        <w:rPr>
          <w:rFonts w:hint="default" w:ascii="Arial" w:hAnsi="Arial" w:cs="Arial"/>
          <w:b/>
          <w:bCs/>
          <w:color w:val="000000"/>
          <w:sz w:val="22"/>
          <w:szCs w:val="22"/>
          <w:highlight w:val="none"/>
          <w:lang w:val="pt-BR"/>
        </w:rPr>
        <w:t>5.9.2.7.</w:t>
      </w:r>
      <w:r>
        <w:rPr>
          <w:rFonts w:hint="default" w:ascii="Arial" w:hAnsi="Arial" w:cs="Arial"/>
          <w:color w:val="000000"/>
          <w:sz w:val="22"/>
          <w:szCs w:val="22"/>
          <w:highlight w:val="none"/>
          <w:lang w:val="pt-BR"/>
        </w:rPr>
        <w:t xml:space="preserve"> </w:t>
      </w:r>
      <w:r>
        <w:rPr>
          <w:rFonts w:hint="default" w:ascii="Arial" w:hAnsi="Arial" w:cs="Arial"/>
          <w:color w:val="000000"/>
          <w:sz w:val="22"/>
          <w:szCs w:val="22"/>
          <w:highlight w:val="none"/>
        </w:rPr>
        <w:t>Empresas estrangeiras não autorizadas a funcionar no país;</w:t>
      </w:r>
    </w:p>
    <w:p w14:paraId="32B2314D">
      <w:pPr>
        <w:keepNext w:val="0"/>
        <w:keepLines w:val="0"/>
        <w:pageBreakBefore w:val="0"/>
        <w:numPr>
          <w:ilvl w:val="0"/>
          <w:numId w:val="0"/>
        </w:numPr>
        <w:tabs>
          <w:tab w:val="left" w:pos="1134"/>
        </w:tabs>
        <w:kinsoku/>
        <w:wordWrap/>
        <w:overflowPunct/>
        <w:topLinePunct w:val="0"/>
        <w:autoSpaceDE w:val="0"/>
        <w:autoSpaceDN w:val="0"/>
        <w:bidi w:val="0"/>
        <w:snapToGrid/>
        <w:spacing w:before="0" w:beforeAutospacing="0" w:after="0" w:afterAutospacing="0" w:line="360" w:lineRule="auto"/>
        <w:ind w:leftChars="0" w:right="0" w:rightChars="0"/>
        <w:jc w:val="both"/>
        <w:rPr>
          <w:rFonts w:hint="default" w:ascii="Arial" w:hAnsi="Arial" w:cs="Arial"/>
          <w:sz w:val="22"/>
          <w:szCs w:val="22"/>
          <w:highlight w:val="none"/>
        </w:rPr>
      </w:pPr>
      <w:r>
        <w:rPr>
          <w:rFonts w:hint="default" w:ascii="Arial" w:hAnsi="Arial" w:cs="Arial"/>
          <w:b/>
          <w:bCs/>
          <w:sz w:val="22"/>
          <w:szCs w:val="22"/>
          <w:highlight w:val="none"/>
          <w:lang w:val="pt-BR"/>
        </w:rPr>
        <w:t>5.9.2.8.</w:t>
      </w:r>
      <w:r>
        <w:rPr>
          <w:rFonts w:hint="default" w:ascii="Arial" w:hAnsi="Arial" w:cs="Arial"/>
          <w:sz w:val="22"/>
          <w:szCs w:val="22"/>
          <w:highlight w:val="none"/>
          <w:lang w:val="pt-BR"/>
        </w:rPr>
        <w:t xml:space="preserve"> </w:t>
      </w:r>
      <w:r>
        <w:rPr>
          <w:rFonts w:hint="default" w:ascii="Arial" w:hAnsi="Arial" w:cs="Arial"/>
          <w:sz w:val="22"/>
          <w:szCs w:val="22"/>
          <w:highlight w:val="none"/>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14:paraId="39B0FFF4">
      <w:pPr>
        <w:pStyle w:val="137"/>
        <w:keepNext w:val="0"/>
        <w:keepLines w:val="0"/>
        <w:pageBreakBefore w:val="0"/>
        <w:numPr>
          <w:ilvl w:val="2"/>
          <w:numId w:val="0"/>
        </w:numPr>
        <w:tabs>
          <w:tab w:val="left" w:pos="1200"/>
        </w:tabs>
        <w:kinsoku/>
        <w:wordWrap/>
        <w:overflowPunct/>
        <w:topLinePunct w:val="0"/>
        <w:autoSpaceDE w:val="0"/>
        <w:autoSpaceDN w:val="0"/>
        <w:bidi w:val="0"/>
        <w:snapToGrid/>
        <w:spacing w:before="0" w:beforeAutospacing="0" w:after="0" w:afterAutospacing="0" w:line="360" w:lineRule="auto"/>
        <w:ind w:leftChars="0" w:right="0" w:rightChars="0"/>
        <w:rPr>
          <w:rFonts w:hint="default" w:ascii="Arial" w:hAnsi="Arial" w:cs="Arial"/>
          <w:sz w:val="22"/>
          <w:szCs w:val="22"/>
          <w:highlight w:val="none"/>
        </w:rPr>
      </w:pPr>
      <w:r>
        <w:rPr>
          <w:rFonts w:hint="default" w:cs="Arial"/>
          <w:b/>
          <w:bCs/>
          <w:sz w:val="22"/>
          <w:szCs w:val="22"/>
          <w:highlight w:val="none"/>
          <w:lang w:val="pt-BR"/>
        </w:rPr>
        <w:t>5</w:t>
      </w:r>
      <w:r>
        <w:rPr>
          <w:rFonts w:hint="default" w:ascii="Arial" w:hAnsi="Arial" w:cs="Arial"/>
          <w:b/>
          <w:bCs/>
          <w:sz w:val="22"/>
          <w:szCs w:val="22"/>
          <w:highlight w:val="none"/>
          <w:lang w:val="pt-BR"/>
        </w:rPr>
        <w:t>.9.2.9.</w:t>
      </w:r>
      <w:r>
        <w:rPr>
          <w:rFonts w:hint="default" w:ascii="Arial" w:hAnsi="Arial" w:cs="Arial"/>
          <w:sz w:val="22"/>
          <w:szCs w:val="22"/>
          <w:highlight w:val="none"/>
          <w:lang w:val="pt-BR"/>
        </w:rPr>
        <w:t xml:space="preserve"> A</w:t>
      </w:r>
      <w:r>
        <w:rPr>
          <w:rFonts w:hint="default" w:ascii="Arial" w:hAnsi="Arial" w:cs="Arial"/>
          <w:sz w:val="22"/>
          <w:szCs w:val="22"/>
          <w:highlight w:val="none"/>
        </w:rPr>
        <w:t>utor do anteprojeto, do projeto básico ou do projeto executivo, pessoa física ou jurídica, quando a licitação versar sobre serviços ou fornecimento de bens a ele relacionados;</w:t>
      </w:r>
    </w:p>
    <w:p w14:paraId="74CB1894">
      <w:pPr>
        <w:pStyle w:val="137"/>
        <w:keepNext w:val="0"/>
        <w:keepLines w:val="0"/>
        <w:pageBreakBefore w:val="0"/>
        <w:numPr>
          <w:ilvl w:val="2"/>
          <w:numId w:val="0"/>
        </w:numPr>
        <w:kinsoku/>
        <w:wordWrap/>
        <w:overflowPunct/>
        <w:topLinePunct w:val="0"/>
        <w:autoSpaceDE w:val="0"/>
        <w:autoSpaceDN w:val="0"/>
        <w:bidi w:val="0"/>
        <w:snapToGrid/>
        <w:spacing w:before="0" w:beforeAutospacing="0" w:after="0" w:afterAutospacing="0" w:line="360" w:lineRule="auto"/>
        <w:ind w:leftChars="0" w:right="0" w:rightChars="0"/>
        <w:rPr>
          <w:rFonts w:hint="default" w:ascii="Arial" w:hAnsi="Arial" w:cs="Arial"/>
          <w:sz w:val="22"/>
          <w:szCs w:val="22"/>
          <w:highlight w:val="none"/>
        </w:rPr>
      </w:pPr>
      <w:r>
        <w:rPr>
          <w:rFonts w:hint="default" w:cs="Arial"/>
          <w:b/>
          <w:bCs/>
          <w:sz w:val="22"/>
          <w:szCs w:val="22"/>
          <w:highlight w:val="none"/>
          <w:lang w:val="pt-BR"/>
        </w:rPr>
        <w:t>5</w:t>
      </w:r>
      <w:r>
        <w:rPr>
          <w:rFonts w:hint="default" w:ascii="Arial" w:hAnsi="Arial" w:cs="Arial"/>
          <w:b/>
          <w:bCs/>
          <w:sz w:val="22"/>
          <w:szCs w:val="22"/>
          <w:highlight w:val="none"/>
          <w:lang w:val="pt-BR"/>
        </w:rPr>
        <w:t xml:space="preserve">.9.2.10. </w:t>
      </w:r>
      <w:r>
        <w:rPr>
          <w:rFonts w:hint="default" w:ascii="Arial" w:hAnsi="Arial" w:cs="Arial"/>
          <w:sz w:val="22"/>
          <w:szCs w:val="22"/>
          <w:highlight w:val="none"/>
          <w:lang w:val="pt-BR"/>
        </w:rPr>
        <w:t>E</w:t>
      </w:r>
      <w:r>
        <w:rPr>
          <w:rFonts w:hint="default" w:ascii="Arial" w:hAnsi="Arial" w:cs="Arial"/>
          <w:sz w:val="22"/>
          <w:szCs w:val="22"/>
          <w:highlight w:val="none"/>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7E7F86F9">
      <w:pPr>
        <w:pStyle w:val="137"/>
        <w:keepNext w:val="0"/>
        <w:keepLines w:val="0"/>
        <w:pageBreakBefore w:val="0"/>
        <w:numPr>
          <w:ilvl w:val="2"/>
          <w:numId w:val="0"/>
        </w:numPr>
        <w:kinsoku/>
        <w:wordWrap/>
        <w:overflowPunct/>
        <w:topLinePunct w:val="0"/>
        <w:autoSpaceDE w:val="0"/>
        <w:autoSpaceDN w:val="0"/>
        <w:bidi w:val="0"/>
        <w:snapToGrid/>
        <w:spacing w:before="0" w:beforeAutospacing="0" w:after="0" w:afterAutospacing="0" w:line="360" w:lineRule="auto"/>
        <w:ind w:leftChars="0" w:right="0" w:rightChars="0"/>
        <w:rPr>
          <w:rFonts w:hint="default" w:ascii="Arial" w:hAnsi="Arial" w:cs="Arial"/>
          <w:sz w:val="22"/>
          <w:szCs w:val="22"/>
          <w:highlight w:val="none"/>
        </w:rPr>
      </w:pPr>
      <w:r>
        <w:rPr>
          <w:rFonts w:hint="default" w:cs="Arial"/>
          <w:b/>
          <w:bCs/>
          <w:sz w:val="22"/>
          <w:szCs w:val="22"/>
          <w:highlight w:val="none"/>
          <w:lang w:val="pt-BR"/>
        </w:rPr>
        <w:t>5</w:t>
      </w:r>
      <w:r>
        <w:rPr>
          <w:rFonts w:hint="default" w:ascii="Arial" w:hAnsi="Arial" w:cs="Arial"/>
          <w:b/>
          <w:bCs/>
          <w:sz w:val="22"/>
          <w:szCs w:val="22"/>
          <w:highlight w:val="none"/>
          <w:lang w:val="pt-BR"/>
        </w:rPr>
        <w:t>.9.2.11.</w:t>
      </w:r>
      <w:r>
        <w:rPr>
          <w:rFonts w:hint="default" w:ascii="Arial" w:hAnsi="Arial" w:cs="Arial"/>
          <w:sz w:val="22"/>
          <w:szCs w:val="22"/>
          <w:highlight w:val="none"/>
          <w:lang w:val="pt-BR"/>
        </w:rPr>
        <w:t xml:space="preserve"> E</w:t>
      </w:r>
      <w:r>
        <w:rPr>
          <w:rFonts w:hint="default" w:ascii="Arial" w:hAnsi="Arial" w:cs="Arial"/>
          <w:sz w:val="22"/>
          <w:szCs w:val="22"/>
          <w:highlight w:val="none"/>
        </w:rPr>
        <w:t>mpresas controladoras, controladas ou coligadas, nos termos da Lei nº 6.404</w:t>
      </w:r>
      <w:r>
        <w:rPr>
          <w:rFonts w:hint="default" w:ascii="Arial" w:hAnsi="Arial" w:cs="Arial"/>
          <w:sz w:val="22"/>
          <w:szCs w:val="22"/>
          <w:highlight w:val="none"/>
          <w:lang w:val="pt-BR"/>
        </w:rPr>
        <w:t>/</w:t>
      </w:r>
      <w:r>
        <w:rPr>
          <w:rFonts w:hint="default" w:ascii="Arial" w:hAnsi="Arial" w:cs="Arial"/>
          <w:sz w:val="22"/>
          <w:szCs w:val="22"/>
          <w:highlight w:val="none"/>
        </w:rPr>
        <w:t>1976, concorrendo entre si;</w:t>
      </w:r>
    </w:p>
    <w:p w14:paraId="14284EC2">
      <w:pPr>
        <w:pStyle w:val="137"/>
        <w:keepNext w:val="0"/>
        <w:keepLines w:val="0"/>
        <w:pageBreakBefore w:val="0"/>
        <w:numPr>
          <w:ilvl w:val="2"/>
          <w:numId w:val="0"/>
        </w:numPr>
        <w:kinsoku/>
        <w:wordWrap/>
        <w:overflowPunct/>
        <w:topLinePunct w:val="0"/>
        <w:autoSpaceDE w:val="0"/>
        <w:autoSpaceDN w:val="0"/>
        <w:bidi w:val="0"/>
        <w:snapToGrid/>
        <w:spacing w:before="0" w:beforeAutospacing="0" w:after="0" w:afterAutospacing="0" w:line="360" w:lineRule="auto"/>
        <w:ind w:leftChars="0" w:right="0" w:rightChars="0"/>
        <w:rPr>
          <w:rFonts w:hint="default" w:ascii="Arial" w:hAnsi="Arial" w:cs="Arial"/>
          <w:sz w:val="22"/>
          <w:szCs w:val="22"/>
          <w:highlight w:val="none"/>
        </w:rPr>
      </w:pPr>
      <w:r>
        <w:rPr>
          <w:rFonts w:hint="default" w:cs="Arial"/>
          <w:b/>
          <w:bCs/>
          <w:sz w:val="22"/>
          <w:szCs w:val="22"/>
          <w:highlight w:val="none"/>
          <w:lang w:val="pt-BR"/>
        </w:rPr>
        <w:t>5</w:t>
      </w:r>
      <w:r>
        <w:rPr>
          <w:rFonts w:hint="default" w:ascii="Arial" w:hAnsi="Arial" w:cs="Arial"/>
          <w:b/>
          <w:bCs/>
          <w:sz w:val="22"/>
          <w:szCs w:val="22"/>
          <w:highlight w:val="none"/>
          <w:lang w:val="pt-BR"/>
        </w:rPr>
        <w:t>.9.2.12.</w:t>
      </w:r>
      <w:r>
        <w:rPr>
          <w:rFonts w:hint="default" w:ascii="Arial" w:hAnsi="Arial" w:cs="Arial"/>
          <w:sz w:val="22"/>
          <w:szCs w:val="22"/>
          <w:highlight w:val="none"/>
          <w:lang w:val="pt-BR"/>
        </w:rPr>
        <w:t xml:space="preserve"> P</w:t>
      </w:r>
      <w:r>
        <w:rPr>
          <w:rFonts w:hint="default" w:ascii="Arial" w:hAnsi="Arial" w:cs="Arial"/>
          <w:sz w:val="22"/>
          <w:szCs w:val="22"/>
          <w:highlight w:val="none"/>
        </w:rPr>
        <w:t xml:space="preserve">essoa física ou jurídica que, nos 5 (cinco) anos anteriores à divulgação do </w:t>
      </w:r>
      <w:r>
        <w:rPr>
          <w:rFonts w:hint="default" w:ascii="Arial" w:hAnsi="Arial" w:cs="Arial"/>
          <w:sz w:val="22"/>
          <w:szCs w:val="22"/>
          <w:highlight w:val="none"/>
          <w:lang w:val="pt-BR"/>
        </w:rPr>
        <w:t>E</w:t>
      </w:r>
      <w:r>
        <w:rPr>
          <w:rFonts w:hint="default" w:ascii="Arial" w:hAnsi="Arial" w:cs="Arial"/>
          <w:sz w:val="22"/>
          <w:szCs w:val="22"/>
          <w:highlight w:val="none"/>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98F299A">
      <w:pPr>
        <w:pStyle w:val="137"/>
        <w:keepNext w:val="0"/>
        <w:keepLines w:val="0"/>
        <w:pageBreakBefore w:val="0"/>
        <w:numPr>
          <w:ilvl w:val="2"/>
          <w:numId w:val="0"/>
        </w:numPr>
        <w:kinsoku/>
        <w:wordWrap/>
        <w:overflowPunct/>
        <w:topLinePunct w:val="0"/>
        <w:autoSpaceDE w:val="0"/>
        <w:autoSpaceDN w:val="0"/>
        <w:bidi w:val="0"/>
        <w:snapToGrid/>
        <w:spacing w:before="0" w:beforeAutospacing="0" w:after="0" w:afterAutospacing="0" w:line="360" w:lineRule="auto"/>
        <w:ind w:leftChars="0" w:right="0" w:rightChars="0"/>
        <w:rPr>
          <w:rFonts w:hint="default" w:ascii="Arial" w:hAnsi="Arial" w:cs="Arial"/>
          <w:sz w:val="22"/>
          <w:szCs w:val="22"/>
          <w:highlight w:val="none"/>
        </w:rPr>
      </w:pPr>
      <w:r>
        <w:rPr>
          <w:rFonts w:hint="default" w:cs="Arial"/>
          <w:b/>
          <w:bCs/>
          <w:sz w:val="22"/>
          <w:szCs w:val="22"/>
          <w:highlight w:val="none"/>
          <w:lang w:val="pt-BR"/>
        </w:rPr>
        <w:t>5</w:t>
      </w:r>
      <w:r>
        <w:rPr>
          <w:rFonts w:hint="default" w:ascii="Arial" w:hAnsi="Arial" w:cs="Arial"/>
          <w:b/>
          <w:bCs/>
          <w:sz w:val="22"/>
          <w:szCs w:val="22"/>
          <w:highlight w:val="none"/>
          <w:lang w:val="pt-BR"/>
        </w:rPr>
        <w:t>.9.2.13.</w:t>
      </w:r>
      <w:r>
        <w:rPr>
          <w:rFonts w:hint="default" w:ascii="Arial" w:hAnsi="Arial" w:cs="Arial"/>
          <w:sz w:val="22"/>
          <w:szCs w:val="22"/>
          <w:highlight w:val="none"/>
          <w:lang w:val="pt-BR"/>
        </w:rPr>
        <w:t xml:space="preserve"> A</w:t>
      </w:r>
      <w:r>
        <w:rPr>
          <w:rFonts w:hint="default" w:ascii="Arial" w:hAnsi="Arial" w:cs="Arial"/>
          <w:sz w:val="22"/>
          <w:szCs w:val="22"/>
          <w:highlight w:val="none"/>
        </w:rPr>
        <w:t>gente público do órgão ou entidade licitante;</w:t>
      </w:r>
    </w:p>
    <w:p w14:paraId="5E87EDFA">
      <w:pPr>
        <w:pStyle w:val="137"/>
        <w:keepNext w:val="0"/>
        <w:keepLines w:val="0"/>
        <w:pageBreakBefore w:val="0"/>
        <w:numPr>
          <w:ilvl w:val="2"/>
          <w:numId w:val="0"/>
        </w:numPr>
        <w:kinsoku/>
        <w:wordWrap/>
        <w:overflowPunct/>
        <w:topLinePunct w:val="0"/>
        <w:autoSpaceDE w:val="0"/>
        <w:autoSpaceDN w:val="0"/>
        <w:bidi w:val="0"/>
        <w:snapToGrid/>
        <w:spacing w:before="0" w:beforeAutospacing="0" w:after="0" w:afterAutospacing="0" w:line="360" w:lineRule="auto"/>
        <w:ind w:leftChars="0" w:right="0" w:rightChars="0"/>
        <w:rPr>
          <w:rFonts w:hint="default" w:ascii="Arial" w:hAnsi="Arial" w:cs="Arial"/>
          <w:sz w:val="22"/>
          <w:szCs w:val="22"/>
          <w:highlight w:val="none"/>
        </w:rPr>
      </w:pPr>
      <w:r>
        <w:rPr>
          <w:rFonts w:hint="default" w:cs="Arial"/>
          <w:b/>
          <w:bCs/>
          <w:sz w:val="22"/>
          <w:szCs w:val="22"/>
          <w:highlight w:val="none"/>
          <w:lang w:val="pt-BR"/>
        </w:rPr>
        <w:t>5</w:t>
      </w:r>
      <w:r>
        <w:rPr>
          <w:rFonts w:hint="default" w:ascii="Arial" w:hAnsi="Arial" w:cs="Arial"/>
          <w:b/>
          <w:bCs/>
          <w:sz w:val="22"/>
          <w:szCs w:val="22"/>
          <w:highlight w:val="none"/>
          <w:lang w:val="pt-BR"/>
        </w:rPr>
        <w:t>.9.2.14.</w:t>
      </w:r>
      <w:r>
        <w:rPr>
          <w:rFonts w:hint="default" w:ascii="Arial" w:hAnsi="Arial" w:cs="Arial"/>
          <w:sz w:val="22"/>
          <w:szCs w:val="22"/>
          <w:highlight w:val="none"/>
          <w:lang w:val="pt-BR"/>
        </w:rPr>
        <w:t xml:space="preserve"> </w:t>
      </w:r>
      <w:r>
        <w:rPr>
          <w:rFonts w:hint="default" w:ascii="Arial" w:hAnsi="Arial" w:cs="Arial"/>
          <w:sz w:val="22"/>
          <w:szCs w:val="22"/>
          <w:highlight w:val="none"/>
        </w:rPr>
        <w:t>Organizações da Sociedade Civil de Interesse Público - OSCIP, atuando nessa condição;</w:t>
      </w:r>
    </w:p>
    <w:p w14:paraId="3A3C3991">
      <w:pPr>
        <w:pStyle w:val="137"/>
        <w:keepNext w:val="0"/>
        <w:keepLines w:val="0"/>
        <w:pageBreakBefore w:val="0"/>
        <w:numPr>
          <w:ilvl w:val="2"/>
          <w:numId w:val="0"/>
        </w:numPr>
        <w:kinsoku/>
        <w:wordWrap/>
        <w:overflowPunct/>
        <w:topLinePunct w:val="0"/>
        <w:autoSpaceDE w:val="0"/>
        <w:autoSpaceDN w:val="0"/>
        <w:bidi w:val="0"/>
        <w:snapToGrid/>
        <w:spacing w:before="0" w:beforeAutospacing="0" w:after="0" w:afterAutospacing="0" w:line="360" w:lineRule="auto"/>
        <w:ind w:leftChars="0" w:right="0" w:rightChars="0"/>
        <w:rPr>
          <w:rFonts w:hint="default" w:ascii="Arial" w:hAnsi="Arial" w:cs="Arial"/>
          <w:color w:val="auto"/>
          <w:sz w:val="22"/>
          <w:szCs w:val="22"/>
          <w:highlight w:val="none"/>
          <w:u w:val="none"/>
        </w:rPr>
      </w:pPr>
      <w:r>
        <w:rPr>
          <w:rFonts w:hint="default" w:cs="Arial"/>
          <w:b/>
          <w:bCs/>
          <w:sz w:val="22"/>
          <w:szCs w:val="22"/>
          <w:highlight w:val="none"/>
          <w:lang w:val="pt-BR"/>
        </w:rPr>
        <w:t>5</w:t>
      </w:r>
      <w:r>
        <w:rPr>
          <w:rFonts w:hint="default" w:ascii="Arial" w:hAnsi="Arial" w:cs="Arial"/>
          <w:b/>
          <w:bCs/>
          <w:sz w:val="22"/>
          <w:szCs w:val="22"/>
          <w:highlight w:val="none"/>
          <w:lang w:val="pt-BR"/>
        </w:rPr>
        <w:t>.9.2.15.</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Não poderá participar, direta ou indiretamente, da licitação ou da execução </w:t>
      </w:r>
      <w:r>
        <w:rPr>
          <w:rFonts w:hint="default" w:ascii="Arial" w:hAnsi="Arial" w:cs="Arial"/>
          <w:color w:val="auto"/>
          <w:sz w:val="22"/>
          <w:szCs w:val="22"/>
          <w:highlight w:val="none"/>
          <w:lang w:val="pt-BR"/>
        </w:rPr>
        <w:t xml:space="preserve">da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w:t>
      </w:r>
      <w:r>
        <w:rPr>
          <w:rFonts w:hint="default" w:ascii="Arial" w:hAnsi="Arial" w:cs="Arial"/>
          <w:sz w:val="22"/>
          <w:szCs w:val="22"/>
          <w:highlight w:val="none"/>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"http://www.planalto.gov.br/ccivil_03/_ato2019-2022/2021/lei/L14133.htm" \l "art9§1" </w:instrText>
      </w:r>
      <w:r>
        <w:rPr>
          <w:rFonts w:hint="default" w:ascii="Arial" w:hAnsi="Arial" w:cs="Arial"/>
          <w:color w:val="auto"/>
          <w:sz w:val="22"/>
          <w:szCs w:val="22"/>
          <w:highlight w:val="none"/>
          <w:u w:val="none"/>
        </w:rPr>
        <w:fldChar w:fldCharType="separate"/>
      </w:r>
      <w:r>
        <w:rPr>
          <w:rStyle w:val="15"/>
          <w:rFonts w:hint="default" w:ascii="Arial" w:hAnsi="Arial" w:cs="Arial"/>
          <w:color w:val="auto"/>
          <w:sz w:val="22"/>
          <w:szCs w:val="22"/>
          <w:highlight w:val="none"/>
          <w:u w:val="none"/>
        </w:rPr>
        <w:t>§ 1º do art. 9º da Lei</w:t>
      </w:r>
      <w:r>
        <w:rPr>
          <w:rStyle w:val="15"/>
          <w:rFonts w:hint="default" w:ascii="Arial" w:hAnsi="Arial" w:cs="Arial"/>
          <w:color w:val="auto"/>
          <w:sz w:val="22"/>
          <w:szCs w:val="22"/>
          <w:highlight w:val="none"/>
          <w:u w:val="none"/>
          <w:lang w:val="pt-BR"/>
        </w:rPr>
        <w:t xml:space="preserve"> Federal</w:t>
      </w:r>
      <w:r>
        <w:rPr>
          <w:rStyle w:val="15"/>
          <w:rFonts w:hint="default" w:ascii="Arial" w:hAnsi="Arial" w:cs="Arial"/>
          <w:color w:val="auto"/>
          <w:sz w:val="22"/>
          <w:szCs w:val="22"/>
          <w:highlight w:val="none"/>
          <w:u w:val="none"/>
        </w:rPr>
        <w:t xml:space="preserve"> nº 14.133</w:t>
      </w:r>
      <w:r>
        <w:rPr>
          <w:rStyle w:val="15"/>
          <w:rFonts w:hint="default" w:ascii="Arial" w:hAnsi="Arial" w:cs="Arial"/>
          <w:color w:val="auto"/>
          <w:sz w:val="22"/>
          <w:szCs w:val="22"/>
          <w:highlight w:val="none"/>
          <w:u w:val="none"/>
          <w:lang w:val="pt-BR"/>
        </w:rPr>
        <w:t>/</w:t>
      </w:r>
      <w:r>
        <w:rPr>
          <w:rStyle w:val="15"/>
          <w:rFonts w:hint="default" w:ascii="Arial" w:hAnsi="Arial" w:cs="Arial"/>
          <w:color w:val="auto"/>
          <w:sz w:val="22"/>
          <w:szCs w:val="22"/>
          <w:highlight w:val="none"/>
          <w:u w:val="none"/>
        </w:rPr>
        <w:t>2021</w:t>
      </w:r>
      <w:r>
        <w:rPr>
          <w:rStyle w:val="15"/>
          <w:rFonts w:hint="default" w:ascii="Arial" w:hAnsi="Arial" w:cs="Arial"/>
          <w:color w:val="auto"/>
          <w:sz w:val="22"/>
          <w:szCs w:val="22"/>
          <w:highlight w:val="none"/>
          <w:u w:val="none"/>
        </w:rPr>
        <w:fldChar w:fldCharType="end"/>
      </w:r>
      <w:r>
        <w:rPr>
          <w:rFonts w:hint="default" w:ascii="Arial" w:hAnsi="Arial" w:cs="Arial"/>
          <w:color w:val="auto"/>
          <w:sz w:val="22"/>
          <w:szCs w:val="22"/>
          <w:highlight w:val="none"/>
          <w:u w:val="none"/>
        </w:rPr>
        <w:t>.</w:t>
      </w:r>
    </w:p>
    <w:p w14:paraId="30D0F6BA">
      <w:pPr>
        <w:pStyle w:val="134"/>
        <w:keepNext w:val="0"/>
        <w:keepLines w:val="0"/>
        <w:pageBreakBefore w:val="0"/>
        <w:numPr>
          <w:ilvl w:val="1"/>
          <w:numId w:val="0"/>
        </w:numPr>
        <w:tabs>
          <w:tab w:val="left" w:pos="480"/>
        </w:tabs>
        <w:kinsoku/>
        <w:wordWrap/>
        <w:overflowPunct/>
        <w:topLinePunct w:val="0"/>
        <w:autoSpaceDE w:val="0"/>
        <w:autoSpaceDN w:val="0"/>
        <w:bidi w:val="0"/>
        <w:snapToGrid/>
        <w:spacing w:before="0" w:beforeAutospacing="0" w:after="0" w:afterAutospacing="0" w:line="360" w:lineRule="auto"/>
        <w:ind w:leftChars="0" w:right="0" w:rightChars="0"/>
        <w:rPr>
          <w:rFonts w:hint="default" w:ascii="Arial" w:hAnsi="Arial" w:cs="Arial"/>
          <w:sz w:val="22"/>
          <w:szCs w:val="22"/>
          <w:highlight w:val="none"/>
        </w:rPr>
      </w:pPr>
      <w:r>
        <w:rPr>
          <w:rFonts w:hint="default" w:cs="Arial"/>
          <w:b/>
          <w:bCs/>
          <w:sz w:val="22"/>
          <w:szCs w:val="22"/>
          <w:highlight w:val="none"/>
          <w:lang w:val="pt-BR"/>
        </w:rPr>
        <w:t>5</w:t>
      </w:r>
      <w:r>
        <w:rPr>
          <w:rFonts w:hint="default" w:ascii="Arial" w:hAnsi="Arial" w:cs="Arial"/>
          <w:b/>
          <w:bCs/>
          <w:sz w:val="22"/>
          <w:szCs w:val="22"/>
          <w:highlight w:val="none"/>
          <w:lang w:val="pt-BR"/>
        </w:rPr>
        <w:t xml:space="preserve">.9.3. </w:t>
      </w:r>
      <w:r>
        <w:rPr>
          <w:rFonts w:hint="default" w:ascii="Arial" w:hAnsi="Arial" w:cs="Arial"/>
          <w:sz w:val="22"/>
          <w:szCs w:val="22"/>
          <w:highlight w:val="none"/>
        </w:rPr>
        <w:t xml:space="preserve">O impedimento de que trata o item </w:t>
      </w:r>
      <w:r>
        <w:rPr>
          <w:rFonts w:hint="default" w:cs="Arial"/>
          <w:b/>
          <w:bCs/>
          <w:sz w:val="22"/>
          <w:szCs w:val="22"/>
          <w:highlight w:val="none"/>
          <w:lang w:val="pt-BR"/>
        </w:rPr>
        <w:t>5</w:t>
      </w:r>
      <w:r>
        <w:rPr>
          <w:rFonts w:hint="default" w:ascii="Arial" w:hAnsi="Arial" w:cs="Arial"/>
          <w:b/>
          <w:bCs/>
          <w:sz w:val="22"/>
          <w:szCs w:val="22"/>
          <w:highlight w:val="none"/>
          <w:lang w:val="pt-BR"/>
        </w:rPr>
        <w:t>.9.2.3.</w:t>
      </w:r>
      <w:r>
        <w:rPr>
          <w:rFonts w:hint="default" w:ascii="Arial" w:hAnsi="Arial" w:cs="Arial"/>
          <w:b/>
          <w:bCs/>
          <w:sz w:val="22"/>
          <w:szCs w:val="22"/>
          <w:highlight w:val="none"/>
        </w:rPr>
        <w:t xml:space="preserve"> </w:t>
      </w:r>
      <w:r>
        <w:rPr>
          <w:rFonts w:hint="default" w:ascii="Arial" w:hAnsi="Arial" w:cs="Arial"/>
          <w:sz w:val="22"/>
          <w:szCs w:val="22"/>
          <w:highlight w:val="none"/>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978FE09">
      <w:pPr>
        <w:pStyle w:val="134"/>
        <w:keepNext w:val="0"/>
        <w:keepLines w:val="0"/>
        <w:pageBreakBefore w:val="0"/>
        <w:numPr>
          <w:ilvl w:val="1"/>
          <w:numId w:val="0"/>
        </w:numPr>
        <w:tabs>
          <w:tab w:val="left" w:pos="480"/>
        </w:tabs>
        <w:kinsoku/>
        <w:wordWrap/>
        <w:overflowPunct/>
        <w:topLinePunct w:val="0"/>
        <w:autoSpaceDE w:val="0"/>
        <w:autoSpaceDN w:val="0"/>
        <w:bidi w:val="0"/>
        <w:snapToGrid/>
        <w:spacing w:before="0" w:beforeAutospacing="0" w:after="0" w:afterAutospacing="0" w:line="360" w:lineRule="auto"/>
        <w:ind w:leftChars="0" w:right="0" w:rightChars="0"/>
        <w:rPr>
          <w:rFonts w:hint="default" w:ascii="Arial" w:hAnsi="Arial" w:cs="Arial"/>
          <w:sz w:val="22"/>
          <w:szCs w:val="22"/>
          <w:highlight w:val="none"/>
        </w:rPr>
      </w:pPr>
      <w:r>
        <w:rPr>
          <w:rFonts w:hint="default" w:cs="Arial"/>
          <w:b/>
          <w:bCs/>
          <w:sz w:val="22"/>
          <w:szCs w:val="22"/>
          <w:highlight w:val="none"/>
          <w:lang w:val="pt-BR"/>
        </w:rPr>
        <w:t>5</w:t>
      </w:r>
      <w:r>
        <w:rPr>
          <w:rFonts w:hint="default" w:ascii="Arial" w:hAnsi="Arial" w:cs="Arial"/>
          <w:b/>
          <w:bCs/>
          <w:sz w:val="22"/>
          <w:szCs w:val="22"/>
          <w:highlight w:val="none"/>
          <w:lang w:val="pt-BR"/>
        </w:rPr>
        <w:t>.9.4.</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A critério da Administração e exclusivamente a seu serviço, o autor dos projetos e a empresa a que se referem os itens </w:t>
      </w:r>
      <w:r>
        <w:rPr>
          <w:rFonts w:hint="default" w:cs="Arial"/>
          <w:b/>
          <w:bCs/>
          <w:sz w:val="22"/>
          <w:szCs w:val="22"/>
          <w:highlight w:val="none"/>
          <w:lang w:val="pt-BR"/>
        </w:rPr>
        <w:t>5</w:t>
      </w:r>
      <w:r>
        <w:rPr>
          <w:rFonts w:hint="default" w:ascii="Arial" w:hAnsi="Arial" w:cs="Arial"/>
          <w:b/>
          <w:bCs/>
          <w:sz w:val="22"/>
          <w:szCs w:val="22"/>
          <w:highlight w:val="none"/>
          <w:lang w:val="pt-BR"/>
        </w:rPr>
        <w:t>.9.2.9.</w:t>
      </w:r>
      <w:r>
        <w:rPr>
          <w:rFonts w:hint="default" w:ascii="Arial" w:hAnsi="Arial" w:cs="Arial"/>
          <w:sz w:val="22"/>
          <w:szCs w:val="22"/>
          <w:highlight w:val="none"/>
        </w:rPr>
        <w:t xml:space="preserve"> </w:t>
      </w:r>
      <w:r>
        <w:rPr>
          <w:rFonts w:hint="default" w:ascii="Arial" w:hAnsi="Arial" w:cs="Arial"/>
          <w:b/>
          <w:bCs/>
          <w:sz w:val="22"/>
          <w:szCs w:val="22"/>
          <w:highlight w:val="none"/>
        </w:rPr>
        <w:t xml:space="preserve">e </w:t>
      </w:r>
      <w:r>
        <w:rPr>
          <w:rFonts w:hint="default" w:ascii="Arial" w:hAnsi="Arial" w:cs="Arial"/>
          <w:b/>
          <w:bCs/>
          <w:sz w:val="22"/>
          <w:szCs w:val="22"/>
          <w:highlight w:val="none"/>
        </w:rPr>
        <w:fldChar w:fldCharType="begin"/>
      </w:r>
      <w:r>
        <w:rPr>
          <w:rFonts w:hint="default" w:ascii="Arial" w:hAnsi="Arial" w:cs="Arial"/>
          <w:b/>
          <w:bCs/>
          <w:sz w:val="22"/>
          <w:szCs w:val="22"/>
          <w:highlight w:val="none"/>
        </w:rPr>
        <w:instrText xml:space="preserve"> REF _Ref114659913 \r \h  \* MERGEFORMAT </w:instrText>
      </w:r>
      <w:r>
        <w:rPr>
          <w:rFonts w:hint="default" w:ascii="Arial" w:hAnsi="Arial" w:cs="Arial"/>
          <w:b/>
          <w:bCs/>
          <w:sz w:val="22"/>
          <w:szCs w:val="22"/>
          <w:highlight w:val="none"/>
        </w:rPr>
        <w:fldChar w:fldCharType="separate"/>
      </w:r>
      <w:r>
        <w:rPr>
          <w:rFonts w:hint="default" w:cs="Arial"/>
          <w:b/>
          <w:bCs/>
          <w:sz w:val="22"/>
          <w:szCs w:val="22"/>
          <w:highlight w:val="none"/>
          <w:lang w:val="pt-BR"/>
        </w:rPr>
        <w:t>5</w:t>
      </w:r>
      <w:r>
        <w:rPr>
          <w:rFonts w:hint="default" w:ascii="Arial" w:hAnsi="Arial" w:cs="Arial"/>
          <w:b/>
          <w:bCs/>
          <w:sz w:val="22"/>
          <w:szCs w:val="22"/>
          <w:highlight w:val="none"/>
          <w:lang w:val="pt-BR"/>
        </w:rPr>
        <w:t>.9</w:t>
      </w:r>
      <w:r>
        <w:rPr>
          <w:rFonts w:hint="default" w:ascii="Arial" w:hAnsi="Arial" w:cs="Arial"/>
          <w:b/>
          <w:bCs/>
          <w:sz w:val="22"/>
          <w:szCs w:val="22"/>
          <w:highlight w:val="none"/>
        </w:rPr>
        <w:t>.</w:t>
      </w:r>
      <w:r>
        <w:rPr>
          <w:rFonts w:hint="default" w:ascii="Arial" w:hAnsi="Arial" w:cs="Arial"/>
          <w:b/>
          <w:bCs/>
          <w:sz w:val="22"/>
          <w:szCs w:val="22"/>
          <w:highlight w:val="none"/>
          <w:lang w:val="pt-BR"/>
        </w:rPr>
        <w:t>2</w:t>
      </w:r>
      <w:r>
        <w:rPr>
          <w:rFonts w:hint="default" w:ascii="Arial" w:hAnsi="Arial" w:cs="Arial"/>
          <w:b/>
          <w:bCs/>
          <w:sz w:val="22"/>
          <w:szCs w:val="22"/>
          <w:highlight w:val="none"/>
        </w:rPr>
        <w:t>.</w:t>
      </w:r>
      <w:r>
        <w:rPr>
          <w:rFonts w:hint="default" w:ascii="Arial" w:hAnsi="Arial" w:cs="Arial"/>
          <w:b/>
          <w:bCs/>
          <w:sz w:val="22"/>
          <w:szCs w:val="22"/>
          <w:highlight w:val="none"/>
        </w:rPr>
        <w:fldChar w:fldCharType="end"/>
      </w:r>
      <w:r>
        <w:rPr>
          <w:rFonts w:hint="default" w:ascii="Arial" w:hAnsi="Arial" w:cs="Arial"/>
          <w:b/>
          <w:bCs/>
          <w:sz w:val="22"/>
          <w:szCs w:val="22"/>
          <w:highlight w:val="none"/>
          <w:lang w:val="pt-BR"/>
        </w:rPr>
        <w:t>10.</w:t>
      </w:r>
      <w:r>
        <w:rPr>
          <w:rFonts w:hint="default" w:ascii="Arial" w:hAnsi="Arial" w:cs="Arial"/>
          <w:b/>
          <w:bCs/>
          <w:sz w:val="22"/>
          <w:szCs w:val="22"/>
          <w:highlight w:val="none"/>
        </w:rPr>
        <w:t xml:space="preserve"> </w:t>
      </w:r>
      <w:r>
        <w:rPr>
          <w:rFonts w:hint="default" w:ascii="Arial" w:hAnsi="Arial" w:cs="Arial"/>
          <w:sz w:val="22"/>
          <w:szCs w:val="22"/>
          <w:highlight w:val="none"/>
        </w:rPr>
        <w:t xml:space="preserve">poderão participar no apoio das atividades de planejamento da contratação, de execução da licitação ou de gestão </w:t>
      </w:r>
      <w:r>
        <w:rPr>
          <w:rFonts w:hint="default" w:ascii="Arial" w:hAnsi="Arial" w:cs="Arial"/>
          <w:color w:val="auto"/>
          <w:sz w:val="22"/>
          <w:szCs w:val="22"/>
          <w:highlight w:val="none"/>
          <w:lang w:val="pt-BR"/>
        </w:rPr>
        <w:t>do Contrato</w:t>
      </w:r>
      <w:r>
        <w:rPr>
          <w:rFonts w:hint="default" w:ascii="Arial" w:hAnsi="Arial" w:cs="Arial"/>
          <w:sz w:val="22"/>
          <w:szCs w:val="22"/>
          <w:highlight w:val="none"/>
        </w:rPr>
        <w:t>, desde que sob supervisão exclusiva de agentes públicos do órgão ou entidade.</w:t>
      </w:r>
    </w:p>
    <w:p w14:paraId="6B1EEEAE">
      <w:pPr>
        <w:pStyle w:val="134"/>
        <w:keepNext w:val="0"/>
        <w:keepLines w:val="0"/>
        <w:pageBreakBefore w:val="0"/>
        <w:numPr>
          <w:ilvl w:val="1"/>
          <w:numId w:val="0"/>
        </w:numPr>
        <w:tabs>
          <w:tab w:val="left" w:pos="480"/>
        </w:tabs>
        <w:kinsoku/>
        <w:wordWrap/>
        <w:overflowPunct/>
        <w:topLinePunct w:val="0"/>
        <w:autoSpaceDE w:val="0"/>
        <w:autoSpaceDN w:val="0"/>
        <w:bidi w:val="0"/>
        <w:snapToGrid/>
        <w:spacing w:before="0" w:beforeAutospacing="0" w:after="0" w:afterAutospacing="0" w:line="360" w:lineRule="auto"/>
        <w:ind w:leftChars="0" w:right="0" w:rightChars="0"/>
        <w:rPr>
          <w:rFonts w:hint="default" w:ascii="Arial" w:hAnsi="Arial" w:cs="Arial"/>
          <w:sz w:val="22"/>
          <w:szCs w:val="22"/>
          <w:highlight w:val="none"/>
        </w:rPr>
      </w:pPr>
      <w:r>
        <w:rPr>
          <w:rFonts w:hint="default" w:cs="Arial"/>
          <w:b/>
          <w:bCs/>
          <w:sz w:val="22"/>
          <w:szCs w:val="22"/>
          <w:highlight w:val="none"/>
          <w:lang w:val="pt-BR"/>
        </w:rPr>
        <w:t>5</w:t>
      </w:r>
      <w:r>
        <w:rPr>
          <w:rFonts w:hint="default" w:ascii="Arial" w:hAnsi="Arial" w:cs="Arial"/>
          <w:b/>
          <w:bCs/>
          <w:sz w:val="22"/>
          <w:szCs w:val="22"/>
          <w:highlight w:val="none"/>
          <w:lang w:val="pt-BR"/>
        </w:rPr>
        <w:t xml:space="preserve">.9.5. </w:t>
      </w:r>
      <w:r>
        <w:rPr>
          <w:rFonts w:hint="default" w:ascii="Arial" w:hAnsi="Arial" w:cs="Arial"/>
          <w:sz w:val="22"/>
          <w:szCs w:val="22"/>
          <w:highlight w:val="none"/>
        </w:rPr>
        <w:t>Equiparam-se aos autores do projeto as empresas integrantes do mesmo grupo econômico.</w:t>
      </w:r>
    </w:p>
    <w:p w14:paraId="4989C097">
      <w:pPr>
        <w:pStyle w:val="134"/>
        <w:keepNext w:val="0"/>
        <w:keepLines w:val="0"/>
        <w:pageBreakBefore w:val="0"/>
        <w:numPr>
          <w:ilvl w:val="1"/>
          <w:numId w:val="0"/>
        </w:numPr>
        <w:tabs>
          <w:tab w:val="left" w:pos="480"/>
        </w:tabs>
        <w:kinsoku/>
        <w:wordWrap/>
        <w:overflowPunct/>
        <w:topLinePunct w:val="0"/>
        <w:autoSpaceDE w:val="0"/>
        <w:autoSpaceDN w:val="0"/>
        <w:bidi w:val="0"/>
        <w:snapToGrid/>
        <w:spacing w:before="0" w:beforeAutospacing="0" w:after="0" w:afterAutospacing="0" w:line="360" w:lineRule="auto"/>
        <w:ind w:leftChars="0" w:right="0" w:rightChars="0"/>
        <w:rPr>
          <w:rFonts w:hint="default" w:ascii="Arial" w:hAnsi="Arial" w:cs="Arial"/>
          <w:sz w:val="22"/>
          <w:szCs w:val="22"/>
          <w:highlight w:val="none"/>
        </w:rPr>
      </w:pPr>
      <w:r>
        <w:rPr>
          <w:rFonts w:hint="default" w:cs="Arial"/>
          <w:b/>
          <w:bCs/>
          <w:sz w:val="22"/>
          <w:szCs w:val="22"/>
          <w:highlight w:val="none"/>
          <w:lang w:val="pt-BR"/>
        </w:rPr>
        <w:t>5</w:t>
      </w:r>
      <w:r>
        <w:rPr>
          <w:rFonts w:hint="default" w:ascii="Arial" w:hAnsi="Arial" w:cs="Arial"/>
          <w:b/>
          <w:bCs/>
          <w:sz w:val="22"/>
          <w:szCs w:val="22"/>
          <w:highlight w:val="none"/>
          <w:lang w:val="pt-BR"/>
        </w:rPr>
        <w:t xml:space="preserve">.9.6. </w:t>
      </w:r>
      <w:r>
        <w:rPr>
          <w:rFonts w:hint="default" w:ascii="Arial" w:hAnsi="Arial" w:cs="Arial"/>
          <w:sz w:val="22"/>
          <w:szCs w:val="22"/>
          <w:highlight w:val="none"/>
        </w:rPr>
        <w:t xml:space="preserve">O disposto nos itens </w:t>
      </w:r>
      <w:r>
        <w:rPr>
          <w:rFonts w:hint="default" w:cs="Arial"/>
          <w:sz w:val="22"/>
          <w:szCs w:val="22"/>
          <w:highlight w:val="none"/>
          <w:lang w:val="pt-BR"/>
        </w:rPr>
        <w:t>5</w:t>
      </w:r>
      <w:r>
        <w:rPr>
          <w:rFonts w:hint="default" w:ascii="Arial" w:hAnsi="Arial" w:cs="Arial"/>
          <w:b/>
          <w:bCs/>
          <w:sz w:val="22"/>
          <w:szCs w:val="22"/>
          <w:highlight w:val="none"/>
          <w:lang w:val="pt-BR"/>
        </w:rPr>
        <w:t>.9.2.9.</w:t>
      </w:r>
      <w:r>
        <w:rPr>
          <w:rFonts w:hint="default" w:ascii="Arial" w:hAnsi="Arial" w:cs="Arial"/>
          <w:sz w:val="22"/>
          <w:szCs w:val="22"/>
          <w:highlight w:val="none"/>
        </w:rPr>
        <w:t xml:space="preserve"> </w:t>
      </w:r>
      <w:r>
        <w:rPr>
          <w:rFonts w:hint="default" w:ascii="Arial" w:hAnsi="Arial" w:cs="Arial"/>
          <w:b/>
          <w:bCs/>
          <w:sz w:val="22"/>
          <w:szCs w:val="22"/>
          <w:highlight w:val="none"/>
        </w:rPr>
        <w:t xml:space="preserve">e </w:t>
      </w:r>
      <w:r>
        <w:rPr>
          <w:rFonts w:hint="default" w:ascii="Arial" w:hAnsi="Arial" w:cs="Arial"/>
          <w:b/>
          <w:bCs/>
          <w:sz w:val="22"/>
          <w:szCs w:val="22"/>
          <w:highlight w:val="none"/>
        </w:rPr>
        <w:fldChar w:fldCharType="begin"/>
      </w:r>
      <w:r>
        <w:rPr>
          <w:rFonts w:hint="default" w:ascii="Arial" w:hAnsi="Arial" w:cs="Arial"/>
          <w:b/>
          <w:bCs/>
          <w:sz w:val="22"/>
          <w:szCs w:val="22"/>
          <w:highlight w:val="none"/>
        </w:rPr>
        <w:instrText xml:space="preserve"> REF _Ref114659913 \r \h  \* MERGEFORMAT </w:instrText>
      </w:r>
      <w:r>
        <w:rPr>
          <w:rFonts w:hint="default" w:ascii="Arial" w:hAnsi="Arial" w:cs="Arial"/>
          <w:b/>
          <w:bCs/>
          <w:sz w:val="22"/>
          <w:szCs w:val="22"/>
          <w:highlight w:val="none"/>
        </w:rPr>
        <w:fldChar w:fldCharType="separate"/>
      </w:r>
      <w:r>
        <w:rPr>
          <w:rFonts w:hint="default" w:cs="Arial"/>
          <w:b/>
          <w:bCs/>
          <w:sz w:val="22"/>
          <w:szCs w:val="22"/>
          <w:highlight w:val="none"/>
          <w:lang w:val="pt-BR"/>
        </w:rPr>
        <w:t>5</w:t>
      </w:r>
      <w:r>
        <w:rPr>
          <w:rFonts w:hint="default" w:ascii="Arial" w:hAnsi="Arial" w:cs="Arial"/>
          <w:b/>
          <w:bCs/>
          <w:sz w:val="22"/>
          <w:szCs w:val="22"/>
          <w:highlight w:val="none"/>
          <w:lang w:val="pt-BR"/>
        </w:rPr>
        <w:t>.9</w:t>
      </w:r>
      <w:r>
        <w:rPr>
          <w:rFonts w:hint="default" w:ascii="Arial" w:hAnsi="Arial" w:cs="Arial"/>
          <w:b/>
          <w:bCs/>
          <w:sz w:val="22"/>
          <w:szCs w:val="22"/>
          <w:highlight w:val="none"/>
        </w:rPr>
        <w:t>.</w:t>
      </w:r>
      <w:r>
        <w:rPr>
          <w:rFonts w:hint="default" w:ascii="Arial" w:hAnsi="Arial" w:cs="Arial"/>
          <w:b/>
          <w:bCs/>
          <w:sz w:val="22"/>
          <w:szCs w:val="22"/>
          <w:highlight w:val="none"/>
          <w:lang w:val="pt-BR"/>
        </w:rPr>
        <w:t>2</w:t>
      </w:r>
      <w:r>
        <w:rPr>
          <w:rFonts w:hint="default" w:ascii="Arial" w:hAnsi="Arial" w:cs="Arial"/>
          <w:b/>
          <w:bCs/>
          <w:sz w:val="22"/>
          <w:szCs w:val="22"/>
          <w:highlight w:val="none"/>
        </w:rPr>
        <w:t>.</w:t>
      </w:r>
      <w:r>
        <w:rPr>
          <w:rFonts w:hint="default" w:ascii="Arial" w:hAnsi="Arial" w:cs="Arial"/>
          <w:b/>
          <w:bCs/>
          <w:sz w:val="22"/>
          <w:szCs w:val="22"/>
          <w:highlight w:val="none"/>
        </w:rPr>
        <w:fldChar w:fldCharType="end"/>
      </w:r>
      <w:r>
        <w:rPr>
          <w:rFonts w:hint="default" w:ascii="Arial" w:hAnsi="Arial" w:cs="Arial"/>
          <w:b/>
          <w:bCs/>
          <w:sz w:val="22"/>
          <w:szCs w:val="22"/>
          <w:highlight w:val="none"/>
          <w:lang w:val="pt-BR"/>
        </w:rPr>
        <w:t xml:space="preserve">10. </w:t>
      </w:r>
      <w:r>
        <w:rPr>
          <w:rFonts w:hint="default" w:ascii="Arial" w:hAnsi="Arial" w:cs="Arial"/>
          <w:sz w:val="22"/>
          <w:szCs w:val="22"/>
          <w:highlight w:val="none"/>
        </w:rPr>
        <w:t>não impede a licitação ou a contratação de serviço que inclua como encargo d</w:t>
      </w:r>
      <w:r>
        <w:rPr>
          <w:rFonts w:hint="default" w:ascii="Arial" w:hAnsi="Arial" w:cs="Arial"/>
          <w:sz w:val="22"/>
          <w:szCs w:val="22"/>
          <w:highlight w:val="none"/>
          <w:lang w:val="pt-BR"/>
        </w:rPr>
        <w:t>a</w:t>
      </w:r>
      <w:r>
        <w:rPr>
          <w:rFonts w:hint="default" w:ascii="Arial" w:hAnsi="Arial" w:cs="Arial"/>
          <w:sz w:val="22"/>
          <w:szCs w:val="22"/>
          <w:highlight w:val="none"/>
        </w:rPr>
        <w:t xml:space="preserve"> </w:t>
      </w:r>
      <w:r>
        <w:rPr>
          <w:rFonts w:hint="default" w:ascii="Arial" w:hAnsi="Arial" w:cs="Arial"/>
          <w:sz w:val="22"/>
          <w:szCs w:val="22"/>
          <w:highlight w:val="none"/>
          <w:lang w:val="pt-BR"/>
        </w:rPr>
        <w:t>C</w:t>
      </w:r>
      <w:r>
        <w:rPr>
          <w:rFonts w:hint="default" w:ascii="Arial" w:hAnsi="Arial" w:cs="Arial"/>
          <w:sz w:val="22"/>
          <w:szCs w:val="22"/>
          <w:highlight w:val="none"/>
        </w:rPr>
        <w:t>ontratad</w:t>
      </w:r>
      <w:r>
        <w:rPr>
          <w:rFonts w:hint="default" w:ascii="Arial" w:hAnsi="Arial" w:cs="Arial"/>
          <w:sz w:val="22"/>
          <w:szCs w:val="22"/>
          <w:highlight w:val="none"/>
          <w:lang w:val="pt-BR"/>
        </w:rPr>
        <w:t>a</w:t>
      </w:r>
      <w:r>
        <w:rPr>
          <w:rFonts w:hint="default" w:ascii="Arial" w:hAnsi="Arial" w:cs="Arial"/>
          <w:sz w:val="22"/>
          <w:szCs w:val="22"/>
          <w:highlight w:val="none"/>
        </w:rPr>
        <w:t xml:space="preserve"> a elaboração do projeto básico e do projeto executivo, nas contratações integradas, e do projeto executivo, nos demais regimes de execução.</w:t>
      </w:r>
    </w:p>
    <w:p w14:paraId="636F976B">
      <w:pPr>
        <w:pStyle w:val="134"/>
        <w:keepNext w:val="0"/>
        <w:keepLines w:val="0"/>
        <w:pageBreakBefore w:val="0"/>
        <w:numPr>
          <w:ilvl w:val="1"/>
          <w:numId w:val="0"/>
        </w:numPr>
        <w:tabs>
          <w:tab w:val="left" w:pos="480"/>
        </w:tabs>
        <w:kinsoku/>
        <w:wordWrap/>
        <w:overflowPunct/>
        <w:topLinePunct w:val="0"/>
        <w:autoSpaceDE w:val="0"/>
        <w:autoSpaceDN w:val="0"/>
        <w:bidi w:val="0"/>
        <w:snapToGrid/>
        <w:spacing w:before="0" w:beforeAutospacing="0" w:after="0" w:afterAutospacing="0" w:line="360" w:lineRule="auto"/>
        <w:ind w:leftChars="0" w:right="0" w:rightChars="0"/>
        <w:rPr>
          <w:rFonts w:hint="default" w:ascii="Arial" w:hAnsi="Arial" w:cs="Arial"/>
          <w:sz w:val="22"/>
          <w:szCs w:val="22"/>
          <w:highlight w:val="none"/>
        </w:rPr>
      </w:pPr>
      <w:r>
        <w:rPr>
          <w:rFonts w:hint="default" w:cs="Arial"/>
          <w:b/>
          <w:bCs/>
          <w:sz w:val="22"/>
          <w:szCs w:val="22"/>
          <w:highlight w:val="none"/>
          <w:lang w:val="pt-BR"/>
        </w:rPr>
        <w:t>5</w:t>
      </w:r>
      <w:r>
        <w:rPr>
          <w:rFonts w:hint="default" w:ascii="Arial" w:hAnsi="Arial" w:cs="Arial"/>
          <w:b/>
          <w:bCs/>
          <w:sz w:val="22"/>
          <w:szCs w:val="22"/>
          <w:highlight w:val="none"/>
          <w:lang w:val="pt-BR"/>
        </w:rPr>
        <w:t>.9.7.</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"http://www.planalto.gov.br/ccivil_03/_ato2019-2022/2021/lei/L14133.htm" \h </w:instrText>
      </w:r>
      <w:r>
        <w:rPr>
          <w:rFonts w:hint="default" w:ascii="Arial" w:hAnsi="Arial" w:cs="Arial"/>
          <w:color w:val="auto"/>
          <w:sz w:val="22"/>
          <w:szCs w:val="22"/>
          <w:highlight w:val="none"/>
          <w:u w:val="none"/>
        </w:rPr>
        <w:fldChar w:fldCharType="separate"/>
      </w:r>
      <w:r>
        <w:rPr>
          <w:rStyle w:val="15"/>
          <w:rFonts w:hint="default" w:ascii="Arial" w:hAnsi="Arial" w:cs="Arial"/>
          <w:color w:val="auto"/>
          <w:sz w:val="22"/>
          <w:szCs w:val="22"/>
          <w:highlight w:val="none"/>
          <w:u w:val="none"/>
        </w:rPr>
        <w:t xml:space="preserve">Lei </w:t>
      </w:r>
      <w:r>
        <w:rPr>
          <w:rStyle w:val="15"/>
          <w:rFonts w:hint="default" w:ascii="Arial" w:hAnsi="Arial" w:cs="Arial"/>
          <w:color w:val="auto"/>
          <w:sz w:val="22"/>
          <w:szCs w:val="22"/>
          <w:highlight w:val="none"/>
          <w:u w:val="none"/>
          <w:lang w:val="pt-BR"/>
        </w:rPr>
        <w:t xml:space="preserve">Federal </w:t>
      </w:r>
      <w:r>
        <w:rPr>
          <w:rStyle w:val="15"/>
          <w:rFonts w:hint="default" w:ascii="Arial" w:hAnsi="Arial" w:cs="Arial"/>
          <w:color w:val="auto"/>
          <w:sz w:val="22"/>
          <w:szCs w:val="22"/>
          <w:highlight w:val="none"/>
          <w:u w:val="none"/>
        </w:rPr>
        <w:t>nº 14.133/2021</w:t>
      </w:r>
      <w:r>
        <w:rPr>
          <w:rStyle w:val="15"/>
          <w:rFonts w:hint="default" w:ascii="Arial" w:hAnsi="Arial" w:cs="Arial"/>
          <w:color w:val="auto"/>
          <w:sz w:val="22"/>
          <w:szCs w:val="22"/>
          <w:highlight w:val="none"/>
          <w:u w:val="none"/>
        </w:rPr>
        <w:fldChar w:fldCharType="end"/>
      </w:r>
      <w:r>
        <w:rPr>
          <w:rFonts w:hint="default" w:ascii="Arial" w:hAnsi="Arial" w:cs="Arial"/>
          <w:color w:val="auto"/>
          <w:sz w:val="22"/>
          <w:szCs w:val="22"/>
          <w:highlight w:val="none"/>
          <w:u w:val="none"/>
        </w:rPr>
        <w:t>.</w:t>
      </w:r>
    </w:p>
    <w:p w14:paraId="22EC48B4">
      <w:pPr>
        <w:pStyle w:val="134"/>
        <w:keepNext w:val="0"/>
        <w:keepLines w:val="0"/>
        <w:pageBreakBefore w:val="0"/>
        <w:numPr>
          <w:ilvl w:val="1"/>
          <w:numId w:val="0"/>
        </w:numPr>
        <w:tabs>
          <w:tab w:val="left" w:pos="480"/>
        </w:tabs>
        <w:kinsoku/>
        <w:wordWrap/>
        <w:overflowPunct/>
        <w:topLinePunct w:val="0"/>
        <w:autoSpaceDE w:val="0"/>
        <w:autoSpaceDN w:val="0"/>
        <w:bidi w:val="0"/>
        <w:snapToGrid/>
        <w:spacing w:before="0" w:beforeAutospacing="0" w:after="0" w:afterAutospacing="0" w:line="360" w:lineRule="auto"/>
        <w:ind w:leftChars="0" w:right="0" w:rightChars="0"/>
        <w:rPr>
          <w:rFonts w:hint="default" w:ascii="Arial" w:hAnsi="Arial" w:cs="Arial"/>
          <w:sz w:val="22"/>
          <w:szCs w:val="22"/>
          <w:highlight w:val="none"/>
        </w:rPr>
      </w:pPr>
      <w:r>
        <w:rPr>
          <w:rFonts w:hint="default" w:cs="Arial"/>
          <w:b/>
          <w:bCs/>
          <w:sz w:val="22"/>
          <w:szCs w:val="22"/>
          <w:highlight w:val="none"/>
          <w:lang w:val="pt-BR"/>
        </w:rPr>
        <w:t>5</w:t>
      </w:r>
      <w:r>
        <w:rPr>
          <w:rFonts w:hint="default" w:ascii="Arial" w:hAnsi="Arial" w:cs="Arial"/>
          <w:b/>
          <w:bCs/>
          <w:sz w:val="22"/>
          <w:szCs w:val="22"/>
          <w:highlight w:val="none"/>
          <w:lang w:val="pt-BR"/>
        </w:rPr>
        <w:t>.9.8.</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A vedação de que trata o item </w:t>
      </w:r>
      <w:r>
        <w:rPr>
          <w:rFonts w:hint="default" w:ascii="Arial" w:hAnsi="Arial" w:cs="Arial"/>
          <w:b/>
          <w:bCs/>
          <w:sz w:val="22"/>
          <w:szCs w:val="22"/>
          <w:highlight w:val="none"/>
          <w:lang w:val="pt-BR"/>
        </w:rPr>
        <w:t>4.9.2.13.</w:t>
      </w:r>
      <w:r>
        <w:rPr>
          <w:rFonts w:hint="default" w:ascii="Arial" w:hAnsi="Arial" w:cs="Arial"/>
          <w:sz w:val="22"/>
          <w:szCs w:val="22"/>
          <w:highlight w:val="none"/>
        </w:rPr>
        <w:t xml:space="preserve"> estende-se a terceiro que auxilie a condução da contratação na qualidade de integrante de </w:t>
      </w:r>
      <w:r>
        <w:rPr>
          <w:rFonts w:hint="default" w:ascii="Arial" w:hAnsi="Arial" w:cs="Arial"/>
          <w:sz w:val="22"/>
          <w:szCs w:val="22"/>
          <w:highlight w:val="none"/>
          <w:lang w:val="pt-BR"/>
        </w:rPr>
        <w:t>E</w:t>
      </w:r>
      <w:r>
        <w:rPr>
          <w:rFonts w:hint="default" w:ascii="Arial" w:hAnsi="Arial" w:cs="Arial"/>
          <w:sz w:val="22"/>
          <w:szCs w:val="22"/>
          <w:highlight w:val="none"/>
        </w:rPr>
        <w:t xml:space="preserve">quipe de </w:t>
      </w:r>
      <w:r>
        <w:rPr>
          <w:rFonts w:hint="default" w:ascii="Arial" w:hAnsi="Arial" w:cs="Arial"/>
          <w:sz w:val="22"/>
          <w:szCs w:val="22"/>
          <w:highlight w:val="none"/>
          <w:lang w:val="pt-BR"/>
        </w:rPr>
        <w:t>A</w:t>
      </w:r>
      <w:r>
        <w:rPr>
          <w:rFonts w:hint="default" w:ascii="Arial" w:hAnsi="Arial" w:cs="Arial"/>
          <w:sz w:val="22"/>
          <w:szCs w:val="22"/>
          <w:highlight w:val="none"/>
        </w:rPr>
        <w:t>poio, profissional especializado ou funcionário ou representante de empresa que preste assessoria técnica.</w:t>
      </w:r>
    </w:p>
    <w:p w14:paraId="722F1659">
      <w:pPr>
        <w:pStyle w:val="128"/>
        <w:keepNext w:val="0"/>
        <w:keepLines w:val="0"/>
        <w:pageBreakBefore w:val="0"/>
        <w:widowControl w:val="0"/>
        <w:numPr>
          <w:ilvl w:val="0"/>
          <w:numId w:val="0"/>
        </w:numPr>
        <w:tabs>
          <w:tab w:val="left" w:pos="426"/>
        </w:tabs>
        <w:kinsoku/>
        <w:wordWrap/>
        <w:overflowPunct/>
        <w:topLinePunct w:val="0"/>
        <w:autoSpaceDE w:val="0"/>
        <w:autoSpaceDN w:val="0"/>
        <w:bidi w:val="0"/>
        <w:adjustRightInd w:val="0"/>
        <w:snapToGrid/>
        <w:spacing w:before="0" w:beforeAutospacing="0" w:after="0" w:afterAutospacing="0" w:line="360" w:lineRule="auto"/>
        <w:ind w:leftChars="0" w:right="0" w:rightChars="0"/>
        <w:contextualSpacing/>
        <w:jc w:val="both"/>
        <w:textAlignment w:val="baseline"/>
        <w:rPr>
          <w:rFonts w:hint="default" w:ascii="Arial" w:hAnsi="Arial" w:cs="Arial"/>
          <w:sz w:val="22"/>
          <w:szCs w:val="22"/>
          <w:highlight w:val="none"/>
        </w:rPr>
      </w:pPr>
      <w:r>
        <w:rPr>
          <w:rFonts w:hint="default" w:ascii="Arial" w:hAnsi="Arial" w:cs="Arial"/>
          <w:b/>
          <w:bCs/>
          <w:color w:val="000000"/>
          <w:sz w:val="22"/>
          <w:szCs w:val="22"/>
          <w:highlight w:val="none"/>
          <w:lang w:val="pt-BR"/>
        </w:rPr>
        <w:t>5.9.9.</w:t>
      </w:r>
      <w:r>
        <w:rPr>
          <w:rFonts w:hint="default" w:ascii="Arial" w:hAnsi="Arial" w:cs="Arial"/>
          <w:color w:val="000000"/>
          <w:sz w:val="22"/>
          <w:szCs w:val="22"/>
          <w:highlight w:val="none"/>
          <w:lang w:val="pt-BR"/>
        </w:rPr>
        <w:t xml:space="preserve"> </w:t>
      </w:r>
      <w:r>
        <w:rPr>
          <w:rFonts w:hint="default" w:ascii="Arial" w:hAnsi="Arial" w:cs="Arial"/>
          <w:color w:val="000000"/>
          <w:sz w:val="22"/>
          <w:szCs w:val="22"/>
          <w:highlight w:val="none"/>
        </w:rPr>
        <w:t>Será permitida a participação de consórcio de empresas, sendo exigidas:</w:t>
      </w:r>
    </w:p>
    <w:p w14:paraId="63B16715">
      <w:pPr>
        <w:pStyle w:val="128"/>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0" w:beforeAutospacing="0" w:after="0" w:afterAutospacing="0" w:line="360" w:lineRule="auto"/>
        <w:ind w:left="0" w:leftChars="0" w:firstLine="0" w:firstLineChars="0"/>
        <w:contextualSpacing/>
        <w:jc w:val="both"/>
        <w:textAlignment w:val="baseline"/>
        <w:rPr>
          <w:rFonts w:hint="default" w:ascii="Arial" w:hAnsi="Arial" w:cs="Arial"/>
          <w:sz w:val="22"/>
          <w:szCs w:val="22"/>
          <w:highlight w:val="none"/>
        </w:rPr>
      </w:pPr>
      <w:r>
        <w:rPr>
          <w:rFonts w:hint="default" w:ascii="Arial" w:hAnsi="Arial" w:cs="Arial"/>
          <w:b/>
          <w:bCs/>
          <w:color w:val="000000"/>
          <w:sz w:val="22"/>
          <w:szCs w:val="22"/>
          <w:highlight w:val="none"/>
          <w:lang w:val="pt-BR"/>
        </w:rPr>
        <w:t>5.9.9.1.</w:t>
      </w:r>
      <w:r>
        <w:rPr>
          <w:rFonts w:hint="default" w:ascii="Arial" w:hAnsi="Arial" w:cs="Arial"/>
          <w:color w:val="000000"/>
          <w:sz w:val="22"/>
          <w:szCs w:val="22"/>
          <w:highlight w:val="none"/>
          <w:lang w:val="pt-BR"/>
        </w:rPr>
        <w:t xml:space="preserve"> </w:t>
      </w:r>
      <w:r>
        <w:rPr>
          <w:rFonts w:hint="default" w:ascii="Arial" w:hAnsi="Arial" w:cs="Arial"/>
          <w:color w:val="000000"/>
          <w:sz w:val="22"/>
          <w:szCs w:val="22"/>
          <w:highlight w:val="none"/>
        </w:rPr>
        <w:t>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highlight w:val="none"/>
          <w:lang w:val="pt-BR"/>
        </w:rPr>
        <w:t xml:space="preserve"> E</w:t>
      </w:r>
      <w:r>
        <w:rPr>
          <w:rFonts w:hint="default" w:ascii="Arial" w:hAnsi="Arial" w:cs="Arial"/>
          <w:color w:val="000000"/>
          <w:sz w:val="22"/>
          <w:szCs w:val="22"/>
          <w:highlight w:val="none"/>
        </w:rPr>
        <w:t>dital e representará as consorciadas perante o município;</w:t>
      </w:r>
    </w:p>
    <w:p w14:paraId="0B8CD48C">
      <w:pPr>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0" w:beforeAutospacing="0" w:after="0" w:afterAutospacing="0" w:line="360" w:lineRule="auto"/>
        <w:ind w:left="0" w:leftChars="0" w:firstLine="0" w:firstLineChars="0"/>
        <w:jc w:val="both"/>
        <w:textAlignment w:val="baseline"/>
        <w:rPr>
          <w:rFonts w:hint="default" w:ascii="Arial" w:hAnsi="Arial" w:cs="Arial"/>
          <w:sz w:val="22"/>
          <w:szCs w:val="22"/>
          <w:highlight w:val="none"/>
        </w:rPr>
      </w:pPr>
      <w:r>
        <w:rPr>
          <w:rFonts w:hint="default" w:ascii="Arial" w:hAnsi="Arial" w:cs="Arial"/>
          <w:b/>
          <w:bCs/>
          <w:color w:val="000000"/>
          <w:sz w:val="22"/>
          <w:szCs w:val="22"/>
          <w:highlight w:val="none"/>
          <w:lang w:val="pt-BR"/>
        </w:rPr>
        <w:t xml:space="preserve">5.9.9.2. </w:t>
      </w:r>
      <w:r>
        <w:rPr>
          <w:rFonts w:hint="default" w:ascii="Arial" w:hAnsi="Arial" w:cs="Arial"/>
          <w:color w:val="000000"/>
          <w:sz w:val="22"/>
          <w:szCs w:val="22"/>
          <w:highlight w:val="none"/>
        </w:rPr>
        <w:t xml:space="preserve">A apresentação da documentação de habilitação especificada no </w:t>
      </w:r>
      <w:r>
        <w:rPr>
          <w:rFonts w:hint="default" w:ascii="Arial" w:hAnsi="Arial" w:cs="Arial"/>
          <w:color w:val="000000"/>
          <w:sz w:val="22"/>
          <w:szCs w:val="22"/>
          <w:highlight w:val="none"/>
          <w:lang w:val="pt-BR"/>
        </w:rPr>
        <w:t>E</w:t>
      </w:r>
      <w:r>
        <w:rPr>
          <w:rFonts w:hint="default" w:ascii="Arial" w:hAnsi="Arial" w:cs="Arial"/>
          <w:color w:val="000000"/>
          <w:sz w:val="22"/>
          <w:szCs w:val="22"/>
          <w:highlight w:val="none"/>
        </w:rPr>
        <w:t>dital por empresa consorciada;</w:t>
      </w:r>
    </w:p>
    <w:p w14:paraId="7DE5CC76">
      <w:pPr>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0" w:beforeAutospacing="0" w:after="0" w:afterAutospacing="0" w:line="360" w:lineRule="auto"/>
        <w:ind w:left="0" w:leftChars="0" w:firstLine="0" w:firstLineChars="0"/>
        <w:jc w:val="both"/>
        <w:textAlignment w:val="baseline"/>
        <w:rPr>
          <w:rFonts w:hint="default" w:ascii="Arial" w:hAnsi="Arial" w:cs="Arial"/>
          <w:sz w:val="22"/>
          <w:szCs w:val="22"/>
          <w:highlight w:val="none"/>
        </w:rPr>
      </w:pPr>
      <w:r>
        <w:rPr>
          <w:rFonts w:hint="default" w:ascii="Arial" w:hAnsi="Arial" w:cs="Arial"/>
          <w:b/>
          <w:bCs/>
          <w:color w:val="000000"/>
          <w:sz w:val="22"/>
          <w:szCs w:val="22"/>
          <w:highlight w:val="none"/>
          <w:lang w:val="pt-BR"/>
        </w:rPr>
        <w:t>5.9.9.3.</w:t>
      </w:r>
      <w:r>
        <w:rPr>
          <w:rFonts w:hint="default" w:ascii="Arial" w:hAnsi="Arial" w:cs="Arial"/>
          <w:color w:val="000000"/>
          <w:sz w:val="22"/>
          <w:szCs w:val="22"/>
          <w:highlight w:val="none"/>
          <w:lang w:val="pt-BR"/>
        </w:rPr>
        <w:t xml:space="preserve"> </w:t>
      </w:r>
      <w:r>
        <w:rPr>
          <w:rFonts w:hint="default" w:ascii="Arial" w:hAnsi="Arial" w:cs="Arial"/>
          <w:color w:val="000000"/>
          <w:sz w:val="22"/>
          <w:szCs w:val="22"/>
          <w:highlight w:val="none"/>
        </w:rPr>
        <w:t xml:space="preserve">A comprovação da capacidade técnica do consórcio pelo somatório dos quantitativos de cada empresa consorciada, na forma estabelecida no </w:t>
      </w:r>
      <w:r>
        <w:rPr>
          <w:rFonts w:hint="default" w:ascii="Arial" w:hAnsi="Arial" w:cs="Arial"/>
          <w:color w:val="000000"/>
          <w:sz w:val="22"/>
          <w:szCs w:val="22"/>
          <w:highlight w:val="none"/>
          <w:lang w:val="pt-BR"/>
        </w:rPr>
        <w:t>E</w:t>
      </w:r>
      <w:r>
        <w:rPr>
          <w:rFonts w:hint="default" w:ascii="Arial" w:hAnsi="Arial" w:cs="Arial"/>
          <w:color w:val="000000"/>
          <w:sz w:val="22"/>
          <w:szCs w:val="22"/>
          <w:highlight w:val="none"/>
        </w:rPr>
        <w:t>dital;</w:t>
      </w:r>
    </w:p>
    <w:p w14:paraId="7A01F725">
      <w:pPr>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0" w:beforeAutospacing="0" w:after="0" w:afterAutospacing="0" w:line="360" w:lineRule="auto"/>
        <w:ind w:left="0" w:leftChars="0" w:firstLine="0" w:firstLineChars="0"/>
        <w:jc w:val="both"/>
        <w:textAlignment w:val="baseline"/>
        <w:rPr>
          <w:rFonts w:hint="default" w:ascii="Arial" w:hAnsi="Arial" w:cs="Arial"/>
          <w:sz w:val="22"/>
          <w:szCs w:val="22"/>
          <w:highlight w:val="none"/>
        </w:rPr>
      </w:pPr>
      <w:r>
        <w:rPr>
          <w:rFonts w:hint="default" w:ascii="Arial" w:hAnsi="Arial" w:cs="Arial"/>
          <w:b/>
          <w:bCs/>
          <w:color w:val="000000"/>
          <w:sz w:val="22"/>
          <w:szCs w:val="22"/>
          <w:highlight w:val="none"/>
          <w:lang w:val="pt-BR"/>
        </w:rPr>
        <w:t>5.9.9.4.</w:t>
      </w:r>
      <w:r>
        <w:rPr>
          <w:rFonts w:hint="default" w:ascii="Arial" w:hAnsi="Arial" w:cs="Arial"/>
          <w:color w:val="000000"/>
          <w:sz w:val="22"/>
          <w:szCs w:val="22"/>
          <w:highlight w:val="none"/>
          <w:lang w:val="pt-BR"/>
        </w:rPr>
        <w:t xml:space="preserve"> </w:t>
      </w:r>
      <w:r>
        <w:rPr>
          <w:rFonts w:hint="default" w:ascii="Arial" w:hAnsi="Arial" w:cs="Arial"/>
          <w:color w:val="000000"/>
          <w:sz w:val="22"/>
          <w:szCs w:val="22"/>
          <w:highlight w:val="none"/>
        </w:rPr>
        <w:t xml:space="preserve">A demonstração, por cada empresa consorciada, do atendimento aos índices contábeis definidos no </w:t>
      </w:r>
      <w:r>
        <w:rPr>
          <w:rFonts w:hint="default" w:ascii="Arial" w:hAnsi="Arial" w:cs="Arial"/>
          <w:color w:val="000000"/>
          <w:sz w:val="22"/>
          <w:szCs w:val="22"/>
          <w:highlight w:val="none"/>
          <w:lang w:val="pt-BR"/>
        </w:rPr>
        <w:t>E</w:t>
      </w:r>
      <w:r>
        <w:rPr>
          <w:rFonts w:hint="default" w:ascii="Arial" w:hAnsi="Arial" w:cs="Arial"/>
          <w:color w:val="000000"/>
          <w:sz w:val="22"/>
          <w:szCs w:val="22"/>
          <w:highlight w:val="none"/>
        </w:rPr>
        <w:t>dital, para fins de qualificação econômico-financeira;</w:t>
      </w:r>
    </w:p>
    <w:p w14:paraId="56849DA8">
      <w:pPr>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0" w:beforeAutospacing="0" w:after="0" w:afterAutospacing="0" w:line="360" w:lineRule="auto"/>
        <w:ind w:left="0" w:leftChars="0" w:firstLine="0" w:firstLineChars="0"/>
        <w:jc w:val="both"/>
        <w:textAlignment w:val="baseline"/>
        <w:rPr>
          <w:rFonts w:hint="default" w:ascii="Arial" w:hAnsi="Arial" w:cs="Arial"/>
          <w:sz w:val="22"/>
          <w:szCs w:val="22"/>
          <w:highlight w:val="none"/>
        </w:rPr>
      </w:pPr>
      <w:r>
        <w:rPr>
          <w:rFonts w:hint="default" w:ascii="Arial" w:hAnsi="Arial" w:cs="Arial"/>
          <w:b/>
          <w:bCs/>
          <w:color w:val="000000"/>
          <w:sz w:val="22"/>
          <w:szCs w:val="22"/>
          <w:highlight w:val="none"/>
          <w:lang w:val="pt-BR"/>
        </w:rPr>
        <w:t xml:space="preserve">5.9.9.5. </w:t>
      </w:r>
      <w:r>
        <w:rPr>
          <w:rFonts w:hint="default" w:ascii="Arial" w:hAnsi="Arial" w:cs="Arial"/>
          <w:color w:val="000000"/>
          <w:sz w:val="22"/>
          <w:szCs w:val="22"/>
          <w:highlight w:val="none"/>
        </w:rPr>
        <w:t>A responsabilidade solidária das empresas consorciadas pelas obrigações do consórcio, nas etapas da licitação e durante a vigência d</w:t>
      </w:r>
      <w:r>
        <w:rPr>
          <w:rFonts w:hint="default" w:ascii="Arial" w:hAnsi="Arial" w:cs="Arial"/>
          <w:color w:val="auto"/>
          <w:sz w:val="22"/>
          <w:szCs w:val="22"/>
          <w:highlight w:val="none"/>
          <w:lang w:val="pt-BR"/>
        </w:rPr>
        <w:t xml:space="preserve">a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 ou Contrato, quando for o caso</w:t>
      </w:r>
      <w:r>
        <w:rPr>
          <w:rFonts w:hint="default" w:ascii="Arial" w:hAnsi="Arial" w:cs="Arial"/>
          <w:color w:val="000000"/>
          <w:sz w:val="22"/>
          <w:szCs w:val="22"/>
          <w:highlight w:val="none"/>
        </w:rPr>
        <w:t>;</w:t>
      </w:r>
    </w:p>
    <w:p w14:paraId="0CDAB311">
      <w:pPr>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0" w:beforeAutospacing="0" w:after="0" w:afterAutospacing="0" w:line="360" w:lineRule="auto"/>
        <w:ind w:left="0" w:leftChars="0" w:firstLine="0" w:firstLineChars="0"/>
        <w:jc w:val="both"/>
        <w:textAlignment w:val="baseline"/>
        <w:rPr>
          <w:rFonts w:hint="default" w:ascii="Arial" w:hAnsi="Arial" w:cs="Arial"/>
          <w:sz w:val="22"/>
          <w:szCs w:val="22"/>
          <w:highlight w:val="none"/>
        </w:rPr>
      </w:pPr>
      <w:r>
        <w:rPr>
          <w:rFonts w:hint="default" w:ascii="Arial" w:hAnsi="Arial" w:cs="Arial"/>
          <w:b/>
          <w:bCs/>
          <w:color w:val="000000"/>
          <w:sz w:val="22"/>
          <w:szCs w:val="22"/>
          <w:highlight w:val="none"/>
          <w:lang w:val="pt-BR"/>
        </w:rPr>
        <w:t>5.9.9.6.</w:t>
      </w:r>
      <w:r>
        <w:rPr>
          <w:rFonts w:hint="default" w:ascii="Arial" w:hAnsi="Arial" w:cs="Arial"/>
          <w:color w:val="000000"/>
          <w:sz w:val="22"/>
          <w:szCs w:val="22"/>
          <w:highlight w:val="none"/>
          <w:lang w:val="pt-BR"/>
        </w:rPr>
        <w:t xml:space="preserve"> </w:t>
      </w:r>
      <w:r>
        <w:rPr>
          <w:rFonts w:hint="default" w:ascii="Arial" w:hAnsi="Arial" w:cs="Arial"/>
          <w:color w:val="000000"/>
          <w:sz w:val="22"/>
          <w:szCs w:val="22"/>
          <w:highlight w:val="none"/>
        </w:rPr>
        <w:t>A obrigatoriedade de liderança por empresa brasileira no consórcio formado por empresas brasileiras e estrangeiras; e</w:t>
      </w:r>
    </w:p>
    <w:p w14:paraId="6E20D780">
      <w:pPr>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0" w:beforeAutospacing="0" w:after="0" w:afterAutospacing="0" w:line="360" w:lineRule="auto"/>
        <w:ind w:left="0" w:leftChars="0" w:firstLine="0" w:firstLineChars="0"/>
        <w:jc w:val="both"/>
        <w:textAlignment w:val="baseline"/>
        <w:rPr>
          <w:rFonts w:hint="default" w:ascii="Arial" w:hAnsi="Arial" w:cs="Arial"/>
          <w:sz w:val="22"/>
          <w:szCs w:val="22"/>
          <w:highlight w:val="none"/>
        </w:rPr>
      </w:pPr>
      <w:r>
        <w:rPr>
          <w:rFonts w:hint="default" w:ascii="Arial" w:hAnsi="Arial" w:cs="Arial"/>
          <w:b/>
          <w:bCs/>
          <w:color w:val="000000"/>
          <w:sz w:val="22"/>
          <w:szCs w:val="22"/>
          <w:highlight w:val="none"/>
          <w:lang w:val="pt-BR"/>
        </w:rPr>
        <w:t xml:space="preserve">5.9.9.7. </w:t>
      </w:r>
      <w:r>
        <w:rPr>
          <w:rFonts w:hint="default" w:ascii="Arial" w:hAnsi="Arial" w:cs="Arial"/>
          <w:color w:val="000000"/>
          <w:sz w:val="22"/>
          <w:szCs w:val="22"/>
          <w:highlight w:val="none"/>
        </w:rPr>
        <w:t xml:space="preserve">A constituição e o registro do consórcio antes da celebração </w:t>
      </w:r>
      <w:r>
        <w:rPr>
          <w:rFonts w:hint="default" w:ascii="Arial" w:hAnsi="Arial" w:cs="Arial"/>
          <w:color w:val="auto"/>
          <w:sz w:val="22"/>
          <w:szCs w:val="22"/>
          <w:highlight w:val="none"/>
          <w:lang w:val="pt-BR"/>
        </w:rPr>
        <w:t xml:space="preserve">da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 ou Contrato, quando for o caso</w:t>
      </w:r>
      <w:r>
        <w:rPr>
          <w:rFonts w:hint="default" w:ascii="Arial" w:hAnsi="Arial" w:cs="Arial"/>
          <w:color w:val="000000"/>
          <w:sz w:val="22"/>
          <w:szCs w:val="22"/>
          <w:highlight w:val="none"/>
        </w:rPr>
        <w:t>.</w:t>
      </w:r>
    </w:p>
    <w:p w14:paraId="73EF561C">
      <w:pPr>
        <w:keepNext w:val="0"/>
        <w:keepLines w:val="0"/>
        <w:pageBreakBefore w:val="0"/>
        <w:widowControl w:val="0"/>
        <w:numPr>
          <w:ilvl w:val="0"/>
          <w:numId w:val="0"/>
        </w:numPr>
        <w:tabs>
          <w:tab w:val="left" w:pos="142"/>
          <w:tab w:val="left" w:pos="426"/>
          <w:tab w:val="left" w:pos="851"/>
        </w:tabs>
        <w:kinsoku/>
        <w:wordWrap/>
        <w:overflowPunct/>
        <w:topLinePunct w:val="0"/>
        <w:autoSpaceDE w:val="0"/>
        <w:autoSpaceDN w:val="0"/>
        <w:bidi w:val="0"/>
        <w:adjustRightInd w:val="0"/>
        <w:snapToGrid/>
        <w:spacing w:before="0" w:beforeAutospacing="0" w:after="0" w:afterAutospacing="0" w:line="360" w:lineRule="auto"/>
        <w:ind w:left="0" w:leftChars="0" w:firstLine="0" w:firstLineChars="0"/>
        <w:jc w:val="both"/>
        <w:textAlignment w:val="baseline"/>
        <w:rPr>
          <w:rFonts w:hint="default" w:ascii="Arial" w:hAnsi="Arial" w:cs="Arial"/>
          <w:sz w:val="22"/>
          <w:szCs w:val="22"/>
          <w:highlight w:val="none"/>
        </w:rPr>
      </w:pPr>
      <w:r>
        <w:rPr>
          <w:rFonts w:hint="default" w:ascii="Arial" w:hAnsi="Arial" w:cs="Arial"/>
          <w:b/>
          <w:bCs/>
          <w:color w:val="000000"/>
          <w:sz w:val="22"/>
          <w:szCs w:val="22"/>
          <w:highlight w:val="none"/>
          <w:lang w:val="pt-BR"/>
        </w:rPr>
        <w:t xml:space="preserve">5.9.10. </w:t>
      </w:r>
      <w:r>
        <w:rPr>
          <w:rFonts w:hint="default" w:ascii="Arial" w:hAnsi="Arial" w:cs="Arial"/>
          <w:color w:val="000000"/>
          <w:sz w:val="22"/>
          <w:szCs w:val="22"/>
          <w:highlight w:val="none"/>
        </w:rPr>
        <w:t>Fica vedada a participação de empresa consorciada, na mesma licitação, por meio de mais de um consórcio ou isoladamente.</w:t>
      </w:r>
    </w:p>
    <w:p w14:paraId="26DD7CD3">
      <w:pPr>
        <w:pStyle w:val="26"/>
        <w:keepNext w:val="0"/>
        <w:keepLines w:val="0"/>
        <w:pageBreakBefore w:val="0"/>
        <w:widowControl w:val="0"/>
        <w:numPr>
          <w:ilvl w:val="0"/>
          <w:numId w:val="0"/>
        </w:numPr>
        <w:tabs>
          <w:tab w:val="left" w:pos="142"/>
          <w:tab w:val="left" w:pos="426"/>
          <w:tab w:val="left" w:pos="851"/>
          <w:tab w:val="left" w:pos="1276"/>
          <w:tab w:val="left" w:pos="1843"/>
        </w:tabs>
        <w:kinsoku/>
        <w:wordWrap/>
        <w:overflowPunct/>
        <w:topLinePunct w:val="0"/>
        <w:autoSpaceDE w:val="0"/>
        <w:autoSpaceDN w:val="0"/>
        <w:bidi w:val="0"/>
        <w:adjustRightInd w:val="0"/>
        <w:snapToGrid/>
        <w:spacing w:before="0" w:beforeAutospacing="0" w:after="0" w:afterAutospacing="0" w:line="360" w:lineRule="auto"/>
        <w:ind w:left="0" w:leftChars="0" w:firstLine="0" w:firstLineChars="0"/>
        <w:textAlignment w:val="baseline"/>
        <w:rPr>
          <w:rFonts w:hint="default" w:ascii="Arial" w:hAnsi="Arial" w:cs="Arial"/>
          <w:sz w:val="22"/>
          <w:szCs w:val="22"/>
          <w:highlight w:val="none"/>
        </w:rPr>
      </w:pPr>
      <w:r>
        <w:rPr>
          <w:rFonts w:hint="default" w:ascii="Arial" w:hAnsi="Arial" w:cs="Arial"/>
          <w:b/>
          <w:bCs/>
          <w:sz w:val="22"/>
          <w:szCs w:val="22"/>
          <w:highlight w:val="none"/>
          <w:lang w:val="pt-BR"/>
        </w:rPr>
        <w:t>5.9.11.</w:t>
      </w:r>
      <w:r>
        <w:rPr>
          <w:rFonts w:hint="default" w:ascii="Arial" w:hAnsi="Arial" w:cs="Arial"/>
          <w:sz w:val="22"/>
          <w:szCs w:val="22"/>
          <w:highlight w:val="none"/>
          <w:lang w:val="pt-BR"/>
        </w:rPr>
        <w:t xml:space="preserve"> </w:t>
      </w:r>
      <w:r>
        <w:rPr>
          <w:rFonts w:hint="default" w:ascii="Arial" w:hAnsi="Arial" w:cs="Arial"/>
          <w:sz w:val="22"/>
          <w:szCs w:val="22"/>
          <w:highlight w:val="none"/>
        </w:rPr>
        <w:t>Sob pena de inabilitação ou desclassificação, todos os documentos apresentados deverão referir-se ao mesmo CNPJ constante n</w:t>
      </w:r>
      <w:r>
        <w:rPr>
          <w:rFonts w:hint="default" w:ascii="Arial" w:hAnsi="Arial" w:cs="Arial"/>
          <w:sz w:val="22"/>
          <w:szCs w:val="22"/>
          <w:highlight w:val="none"/>
          <w:lang w:val="pt-BR"/>
        </w:rPr>
        <w:t>o credenciamento junto à plataforma eletrônica</w:t>
      </w:r>
      <w:r>
        <w:rPr>
          <w:rFonts w:hint="default" w:ascii="Arial" w:hAnsi="Arial" w:cs="Arial"/>
          <w:sz w:val="22"/>
          <w:szCs w:val="22"/>
          <w:highlight w:val="none"/>
        </w:rPr>
        <w:t xml:space="preserve">. </w:t>
      </w:r>
    </w:p>
    <w:p w14:paraId="41DF14D3">
      <w:pPr>
        <w:pStyle w:val="134"/>
        <w:keepNext w:val="0"/>
        <w:keepLines w:val="0"/>
        <w:pageBreakBefore w:val="0"/>
        <w:numPr>
          <w:ilvl w:val="0"/>
          <w:numId w:val="0"/>
        </w:numPr>
        <w:kinsoku/>
        <w:wordWrap/>
        <w:overflowPunct/>
        <w:topLinePunct w:val="0"/>
        <w:autoSpaceDE w:val="0"/>
        <w:autoSpaceDN w:val="0"/>
        <w:bidi w:val="0"/>
        <w:snapToGrid/>
        <w:spacing w:before="0" w:beforeAutospacing="0" w:after="0" w:afterAutospacing="0" w:line="360" w:lineRule="auto"/>
        <w:ind w:left="0" w:leftChars="0" w:firstLine="0" w:firstLineChars="0"/>
        <w:rPr>
          <w:rFonts w:hint="default" w:ascii="Arial" w:hAnsi="Arial" w:eastAsia="Times New Roman" w:cs="Arial"/>
          <w:color w:val="auto"/>
          <w:sz w:val="22"/>
          <w:szCs w:val="22"/>
          <w:highlight w:val="none"/>
        </w:rPr>
      </w:pPr>
      <w:r>
        <w:rPr>
          <w:rFonts w:hint="default" w:cs="Arial"/>
          <w:b/>
          <w:bCs/>
          <w:color w:val="auto"/>
          <w:sz w:val="22"/>
          <w:szCs w:val="22"/>
          <w:highlight w:val="none"/>
          <w:lang w:val="pt-BR"/>
        </w:rPr>
        <w:t>5</w:t>
      </w:r>
      <w:r>
        <w:rPr>
          <w:rFonts w:hint="default" w:ascii="Arial" w:hAnsi="Arial" w:cs="Arial"/>
          <w:b/>
          <w:bCs/>
          <w:color w:val="auto"/>
          <w:sz w:val="22"/>
          <w:szCs w:val="22"/>
          <w:highlight w:val="none"/>
          <w:lang w:val="pt-BR"/>
        </w:rPr>
        <w:t xml:space="preserve">.9.12. </w:t>
      </w:r>
      <w:r>
        <w:rPr>
          <w:rFonts w:hint="default" w:ascii="Arial" w:hAnsi="Arial" w:cs="Arial"/>
          <w:color w:val="auto"/>
          <w:sz w:val="22"/>
          <w:szCs w:val="22"/>
          <w:highlight w:val="none"/>
        </w:rPr>
        <w:t xml:space="preserve">Será </w:t>
      </w:r>
      <w:r>
        <w:rPr>
          <w:rFonts w:hint="default" w:ascii="Arial" w:hAnsi="Arial" w:cs="Arial"/>
          <w:b w:val="0"/>
          <w:bCs w:val="0"/>
          <w:color w:val="auto"/>
          <w:sz w:val="22"/>
          <w:szCs w:val="22"/>
          <w:highlight w:val="none"/>
          <w:u w:val="none"/>
        </w:rPr>
        <w:t xml:space="preserve">concedido tratamento favorecido para as </w:t>
      </w:r>
      <w:r>
        <w:rPr>
          <w:rFonts w:hint="default" w:ascii="Arial" w:hAnsi="Arial" w:cs="Arial"/>
          <w:b w:val="0"/>
          <w:bCs w:val="0"/>
          <w:color w:val="auto"/>
          <w:sz w:val="22"/>
          <w:szCs w:val="22"/>
          <w:highlight w:val="none"/>
          <w:u w:val="none"/>
          <w:lang w:val="pt-BR"/>
        </w:rPr>
        <w:t>M</w:t>
      </w:r>
      <w:r>
        <w:rPr>
          <w:rFonts w:hint="default" w:ascii="Arial" w:hAnsi="Arial" w:cs="Arial"/>
          <w:b w:val="0"/>
          <w:bCs w:val="0"/>
          <w:color w:val="auto"/>
          <w:sz w:val="22"/>
          <w:szCs w:val="22"/>
          <w:highlight w:val="none"/>
          <w:u w:val="none"/>
        </w:rPr>
        <w:t xml:space="preserve">icroempresas e </w:t>
      </w:r>
      <w:r>
        <w:rPr>
          <w:rFonts w:hint="default" w:ascii="Arial" w:hAnsi="Arial" w:cs="Arial"/>
          <w:b w:val="0"/>
          <w:bCs w:val="0"/>
          <w:color w:val="auto"/>
          <w:sz w:val="22"/>
          <w:szCs w:val="22"/>
          <w:highlight w:val="none"/>
          <w:u w:val="none"/>
          <w:lang w:val="pt-BR"/>
        </w:rPr>
        <w:t>E</w:t>
      </w:r>
      <w:r>
        <w:rPr>
          <w:rFonts w:hint="default" w:ascii="Arial" w:hAnsi="Arial" w:cs="Arial"/>
          <w:b w:val="0"/>
          <w:bCs w:val="0"/>
          <w:color w:val="auto"/>
          <w:sz w:val="22"/>
          <w:szCs w:val="22"/>
          <w:highlight w:val="none"/>
          <w:u w:val="none"/>
        </w:rPr>
        <w:t xml:space="preserve">mpresas de </w:t>
      </w:r>
      <w:r>
        <w:rPr>
          <w:rFonts w:hint="default" w:ascii="Arial" w:hAnsi="Arial" w:cs="Arial"/>
          <w:b w:val="0"/>
          <w:bCs w:val="0"/>
          <w:color w:val="auto"/>
          <w:sz w:val="22"/>
          <w:szCs w:val="22"/>
          <w:highlight w:val="none"/>
          <w:u w:val="none"/>
          <w:lang w:val="pt-BR"/>
        </w:rPr>
        <w:t>P</w:t>
      </w:r>
      <w:r>
        <w:rPr>
          <w:rFonts w:hint="default" w:ascii="Arial" w:hAnsi="Arial" w:cs="Arial"/>
          <w:b w:val="0"/>
          <w:bCs w:val="0"/>
          <w:color w:val="auto"/>
          <w:sz w:val="22"/>
          <w:szCs w:val="22"/>
          <w:highlight w:val="none"/>
          <w:u w:val="none"/>
        </w:rPr>
        <w:t xml:space="preserve">equeno </w:t>
      </w:r>
      <w:r>
        <w:rPr>
          <w:rFonts w:hint="default" w:ascii="Arial" w:hAnsi="Arial" w:cs="Arial"/>
          <w:b w:val="0"/>
          <w:bCs w:val="0"/>
          <w:color w:val="auto"/>
          <w:sz w:val="22"/>
          <w:szCs w:val="22"/>
          <w:highlight w:val="none"/>
          <w:u w:val="none"/>
          <w:lang w:val="pt-BR"/>
        </w:rPr>
        <w:t>P</w:t>
      </w:r>
      <w:r>
        <w:rPr>
          <w:rFonts w:hint="default" w:ascii="Arial" w:hAnsi="Arial" w:cs="Arial"/>
          <w:b w:val="0"/>
          <w:bCs w:val="0"/>
          <w:color w:val="auto"/>
          <w:sz w:val="22"/>
          <w:szCs w:val="22"/>
          <w:highlight w:val="none"/>
          <w:u w:val="none"/>
        </w:rPr>
        <w:t xml:space="preserve">orte, para as </w:t>
      </w:r>
      <w:r>
        <w:rPr>
          <w:rFonts w:hint="default" w:ascii="Arial" w:hAnsi="Arial" w:cs="Arial"/>
          <w:b w:val="0"/>
          <w:bCs w:val="0"/>
          <w:color w:val="auto"/>
          <w:sz w:val="22"/>
          <w:szCs w:val="22"/>
          <w:highlight w:val="none"/>
          <w:u w:val="none"/>
          <w:lang w:val="pt-BR"/>
        </w:rPr>
        <w:t>S</w:t>
      </w:r>
      <w:r>
        <w:rPr>
          <w:rFonts w:hint="default" w:ascii="Arial" w:hAnsi="Arial" w:cs="Arial"/>
          <w:b w:val="0"/>
          <w:bCs w:val="0"/>
          <w:color w:val="auto"/>
          <w:sz w:val="22"/>
          <w:szCs w:val="22"/>
          <w:highlight w:val="none"/>
          <w:u w:val="none"/>
        </w:rPr>
        <w:t xml:space="preserve">ociedades </w:t>
      </w:r>
      <w:r>
        <w:rPr>
          <w:rFonts w:hint="default" w:ascii="Arial" w:hAnsi="Arial" w:cs="Arial"/>
          <w:b w:val="0"/>
          <w:bCs w:val="0"/>
          <w:color w:val="auto"/>
          <w:sz w:val="22"/>
          <w:szCs w:val="22"/>
          <w:highlight w:val="none"/>
          <w:u w:val="none"/>
          <w:lang w:val="pt-BR"/>
        </w:rPr>
        <w:t>C</w:t>
      </w:r>
      <w:r>
        <w:rPr>
          <w:rFonts w:hint="default" w:ascii="Arial" w:hAnsi="Arial" w:cs="Arial"/>
          <w:b w:val="0"/>
          <w:bCs w:val="0"/>
          <w:color w:val="auto"/>
          <w:sz w:val="22"/>
          <w:szCs w:val="22"/>
          <w:highlight w:val="none"/>
          <w:u w:val="none"/>
        </w:rPr>
        <w:t xml:space="preserve">ooperativas </w:t>
      </w:r>
      <w:r>
        <w:rPr>
          <w:rFonts w:hint="default" w:ascii="Arial" w:hAnsi="Arial" w:eastAsia="Times New Roman" w:cs="Arial"/>
          <w:b w:val="0"/>
          <w:bCs w:val="0"/>
          <w:color w:val="auto"/>
          <w:sz w:val="22"/>
          <w:szCs w:val="22"/>
          <w:highlight w:val="none"/>
          <w:u w:val="none"/>
        </w:rPr>
        <w:t xml:space="preserve">mencionadas no </w:t>
      </w:r>
      <w:r>
        <w:rPr>
          <w:rFonts w:hint="default" w:ascii="Arial" w:hAnsi="Arial" w:cs="Arial"/>
          <w:b w:val="0"/>
          <w:bCs w:val="0"/>
          <w:color w:val="auto"/>
          <w:sz w:val="22"/>
          <w:szCs w:val="22"/>
          <w:highlight w:val="none"/>
          <w:u w:val="none"/>
        </w:rPr>
        <w:fldChar w:fldCharType="begin"/>
      </w:r>
      <w:r>
        <w:rPr>
          <w:rFonts w:hint="default" w:ascii="Arial" w:hAnsi="Arial" w:cs="Arial"/>
          <w:b w:val="0"/>
          <w:bCs w:val="0"/>
          <w:color w:val="auto"/>
          <w:sz w:val="22"/>
          <w:szCs w:val="22"/>
          <w:highlight w:val="none"/>
          <w:u w:val="none"/>
        </w:rPr>
        <w:instrText xml:space="preserve"> HYPERLINK "http://www.planalto.gov.br/ccivil_03/_ato2019-2022/2021/lei/L14133.htm" \l "art16" \h </w:instrText>
      </w:r>
      <w:r>
        <w:rPr>
          <w:rFonts w:hint="default" w:ascii="Arial" w:hAnsi="Arial" w:cs="Arial"/>
          <w:b w:val="0"/>
          <w:bCs w:val="0"/>
          <w:color w:val="auto"/>
          <w:sz w:val="22"/>
          <w:szCs w:val="22"/>
          <w:highlight w:val="none"/>
          <w:u w:val="none"/>
        </w:rPr>
        <w:fldChar w:fldCharType="separate"/>
      </w:r>
      <w:r>
        <w:rPr>
          <w:rStyle w:val="15"/>
          <w:rFonts w:hint="default" w:ascii="Arial" w:hAnsi="Arial" w:eastAsia="Times New Roman" w:cs="Arial"/>
          <w:b w:val="0"/>
          <w:bCs w:val="0"/>
          <w:color w:val="auto"/>
          <w:sz w:val="22"/>
          <w:szCs w:val="22"/>
          <w:highlight w:val="none"/>
          <w:u w:val="none"/>
        </w:rPr>
        <w:t xml:space="preserve">artigo </w:t>
      </w:r>
      <w:r>
        <w:rPr>
          <w:rStyle w:val="15"/>
          <w:rFonts w:hint="default" w:ascii="Arial" w:hAnsi="Arial" w:cs="Arial"/>
          <w:b w:val="0"/>
          <w:bCs w:val="0"/>
          <w:color w:val="auto"/>
          <w:sz w:val="22"/>
          <w:szCs w:val="22"/>
          <w:highlight w:val="none"/>
          <w:u w:val="none"/>
        </w:rPr>
        <w:t xml:space="preserve">16 da Lei </w:t>
      </w:r>
      <w:r>
        <w:rPr>
          <w:rStyle w:val="15"/>
          <w:rFonts w:hint="default" w:ascii="Arial" w:hAnsi="Arial" w:cs="Arial"/>
          <w:b w:val="0"/>
          <w:bCs w:val="0"/>
          <w:color w:val="auto"/>
          <w:sz w:val="22"/>
          <w:szCs w:val="22"/>
          <w:highlight w:val="none"/>
          <w:u w:val="none"/>
          <w:lang w:val="pt-BR"/>
        </w:rPr>
        <w:t xml:space="preserve">Federal </w:t>
      </w:r>
      <w:r>
        <w:rPr>
          <w:rStyle w:val="15"/>
          <w:rFonts w:hint="default" w:ascii="Arial" w:hAnsi="Arial" w:cs="Arial"/>
          <w:b w:val="0"/>
          <w:bCs w:val="0"/>
          <w:color w:val="auto"/>
          <w:sz w:val="22"/>
          <w:szCs w:val="22"/>
          <w:highlight w:val="none"/>
          <w:u w:val="none"/>
        </w:rPr>
        <w:t>nº 14.133</w:t>
      </w:r>
      <w:r>
        <w:rPr>
          <w:rStyle w:val="15"/>
          <w:rFonts w:hint="default" w:ascii="Arial" w:hAnsi="Arial" w:cs="Arial"/>
          <w:b w:val="0"/>
          <w:bCs w:val="0"/>
          <w:color w:val="auto"/>
          <w:sz w:val="22"/>
          <w:szCs w:val="22"/>
          <w:highlight w:val="none"/>
          <w:u w:val="none"/>
          <w:lang w:val="pt-BR"/>
        </w:rPr>
        <w:t>/</w:t>
      </w:r>
      <w:r>
        <w:rPr>
          <w:rStyle w:val="15"/>
          <w:rFonts w:hint="default" w:ascii="Arial" w:hAnsi="Arial" w:cs="Arial"/>
          <w:b w:val="0"/>
          <w:bCs w:val="0"/>
          <w:color w:val="auto"/>
          <w:sz w:val="22"/>
          <w:szCs w:val="22"/>
          <w:highlight w:val="none"/>
          <w:u w:val="none"/>
        </w:rPr>
        <w:t>2021</w:t>
      </w:r>
      <w:r>
        <w:rPr>
          <w:rStyle w:val="15"/>
          <w:rFonts w:hint="default" w:ascii="Arial" w:hAnsi="Arial" w:cs="Arial"/>
          <w:b w:val="0"/>
          <w:bCs w:val="0"/>
          <w:color w:val="auto"/>
          <w:sz w:val="22"/>
          <w:szCs w:val="22"/>
          <w:highlight w:val="none"/>
          <w:u w:val="none"/>
        </w:rPr>
        <w:fldChar w:fldCharType="end"/>
      </w:r>
      <w:r>
        <w:rPr>
          <w:rFonts w:hint="default" w:ascii="Arial" w:hAnsi="Arial" w:cs="Arial"/>
          <w:b w:val="0"/>
          <w:bCs w:val="0"/>
          <w:color w:val="auto"/>
          <w:sz w:val="22"/>
          <w:szCs w:val="22"/>
          <w:highlight w:val="none"/>
          <w:u w:val="none"/>
        </w:rPr>
        <w:t xml:space="preserve">, para o </w:t>
      </w:r>
      <w:r>
        <w:rPr>
          <w:rFonts w:hint="default" w:ascii="Arial" w:hAnsi="Arial" w:cs="Arial"/>
          <w:b w:val="0"/>
          <w:bCs w:val="0"/>
          <w:color w:val="auto"/>
          <w:sz w:val="22"/>
          <w:szCs w:val="22"/>
          <w:highlight w:val="none"/>
          <w:u w:val="none"/>
          <w:lang w:val="pt-BR"/>
        </w:rPr>
        <w:t>A</w:t>
      </w:r>
      <w:r>
        <w:rPr>
          <w:rFonts w:hint="default" w:ascii="Arial" w:hAnsi="Arial" w:cs="Arial"/>
          <w:b w:val="0"/>
          <w:bCs w:val="0"/>
          <w:color w:val="auto"/>
          <w:sz w:val="22"/>
          <w:szCs w:val="22"/>
          <w:highlight w:val="none"/>
          <w:u w:val="none"/>
        </w:rPr>
        <w:t xml:space="preserve">gricultor </w:t>
      </w:r>
      <w:r>
        <w:rPr>
          <w:rFonts w:hint="default" w:ascii="Arial" w:hAnsi="Arial" w:cs="Arial"/>
          <w:b w:val="0"/>
          <w:bCs w:val="0"/>
          <w:color w:val="auto"/>
          <w:sz w:val="22"/>
          <w:szCs w:val="22"/>
          <w:highlight w:val="none"/>
          <w:u w:val="none"/>
          <w:lang w:val="pt-BR"/>
        </w:rPr>
        <w:t>F</w:t>
      </w:r>
      <w:r>
        <w:rPr>
          <w:rFonts w:hint="default" w:ascii="Arial" w:hAnsi="Arial" w:cs="Arial"/>
          <w:b w:val="0"/>
          <w:bCs w:val="0"/>
          <w:color w:val="auto"/>
          <w:sz w:val="22"/>
          <w:szCs w:val="22"/>
          <w:highlight w:val="none"/>
          <w:u w:val="none"/>
        </w:rPr>
        <w:t xml:space="preserve">amiliar, o </w:t>
      </w:r>
      <w:r>
        <w:rPr>
          <w:rFonts w:hint="default" w:ascii="Arial" w:hAnsi="Arial" w:cs="Arial"/>
          <w:b w:val="0"/>
          <w:bCs w:val="0"/>
          <w:color w:val="auto"/>
          <w:sz w:val="22"/>
          <w:szCs w:val="22"/>
          <w:highlight w:val="none"/>
          <w:u w:val="none"/>
          <w:lang w:val="pt-BR"/>
        </w:rPr>
        <w:t>P</w:t>
      </w:r>
      <w:r>
        <w:rPr>
          <w:rFonts w:hint="default" w:ascii="Arial" w:hAnsi="Arial" w:cs="Arial"/>
          <w:b w:val="0"/>
          <w:bCs w:val="0"/>
          <w:color w:val="auto"/>
          <w:sz w:val="22"/>
          <w:szCs w:val="22"/>
          <w:highlight w:val="none"/>
          <w:u w:val="none"/>
        </w:rPr>
        <w:t xml:space="preserve">rodutor </w:t>
      </w:r>
      <w:r>
        <w:rPr>
          <w:rFonts w:hint="default" w:ascii="Arial" w:hAnsi="Arial" w:cs="Arial"/>
          <w:b w:val="0"/>
          <w:bCs w:val="0"/>
          <w:color w:val="auto"/>
          <w:sz w:val="22"/>
          <w:szCs w:val="22"/>
          <w:highlight w:val="none"/>
          <w:u w:val="none"/>
          <w:lang w:val="pt-BR"/>
        </w:rPr>
        <w:t>R</w:t>
      </w:r>
      <w:r>
        <w:rPr>
          <w:rFonts w:hint="default" w:ascii="Arial" w:hAnsi="Arial" w:cs="Arial"/>
          <w:b w:val="0"/>
          <w:bCs w:val="0"/>
          <w:color w:val="auto"/>
          <w:sz w:val="22"/>
          <w:szCs w:val="22"/>
          <w:highlight w:val="none"/>
          <w:u w:val="none"/>
        </w:rPr>
        <w:t xml:space="preserve">ural pessoa física e para o </w:t>
      </w:r>
      <w:r>
        <w:rPr>
          <w:rFonts w:hint="default" w:ascii="Arial" w:hAnsi="Arial" w:cs="Arial"/>
          <w:b w:val="0"/>
          <w:bCs w:val="0"/>
          <w:color w:val="auto"/>
          <w:sz w:val="22"/>
          <w:szCs w:val="22"/>
          <w:highlight w:val="none"/>
          <w:u w:val="none"/>
          <w:lang w:val="pt-BR"/>
        </w:rPr>
        <w:t>M</w:t>
      </w:r>
      <w:r>
        <w:rPr>
          <w:rFonts w:hint="default" w:ascii="Arial" w:hAnsi="Arial" w:cs="Arial"/>
          <w:b w:val="0"/>
          <w:bCs w:val="0"/>
          <w:color w:val="auto"/>
          <w:sz w:val="22"/>
          <w:szCs w:val="22"/>
          <w:highlight w:val="none"/>
          <w:u w:val="none"/>
        </w:rPr>
        <w:t xml:space="preserve">icroempreendedor </w:t>
      </w:r>
      <w:r>
        <w:rPr>
          <w:rFonts w:hint="default" w:ascii="Arial" w:hAnsi="Arial" w:cs="Arial"/>
          <w:b w:val="0"/>
          <w:bCs w:val="0"/>
          <w:color w:val="auto"/>
          <w:sz w:val="22"/>
          <w:szCs w:val="22"/>
          <w:highlight w:val="none"/>
          <w:u w:val="none"/>
          <w:lang w:val="pt-BR"/>
        </w:rPr>
        <w:t>I</w:t>
      </w:r>
      <w:r>
        <w:rPr>
          <w:rFonts w:hint="default" w:ascii="Arial" w:hAnsi="Arial" w:cs="Arial"/>
          <w:b w:val="0"/>
          <w:bCs w:val="0"/>
          <w:color w:val="auto"/>
          <w:sz w:val="22"/>
          <w:szCs w:val="22"/>
          <w:highlight w:val="none"/>
          <w:u w:val="none"/>
        </w:rPr>
        <w:t xml:space="preserve">ndividual - MEI, nos limites previstos da </w:t>
      </w:r>
      <w:r>
        <w:rPr>
          <w:rFonts w:hint="default" w:ascii="Arial" w:hAnsi="Arial" w:cs="Arial"/>
          <w:b w:val="0"/>
          <w:bCs w:val="0"/>
          <w:color w:val="auto"/>
          <w:sz w:val="22"/>
          <w:szCs w:val="22"/>
          <w:highlight w:val="none"/>
          <w:u w:val="none"/>
        </w:rPr>
        <w:fldChar w:fldCharType="begin"/>
      </w:r>
      <w:r>
        <w:rPr>
          <w:rFonts w:hint="default" w:ascii="Arial" w:hAnsi="Arial" w:cs="Arial"/>
          <w:b w:val="0"/>
          <w:bCs w:val="0"/>
          <w:color w:val="auto"/>
          <w:sz w:val="22"/>
          <w:szCs w:val="22"/>
          <w:highlight w:val="none"/>
          <w:u w:val="none"/>
        </w:rPr>
        <w:instrText xml:space="preserve"> HYPERLINK "https://www.planalto.gov.br/ccivil_03/leis/lcp/lcp123.htm" \h </w:instrText>
      </w:r>
      <w:r>
        <w:rPr>
          <w:rFonts w:hint="default" w:ascii="Arial" w:hAnsi="Arial" w:cs="Arial"/>
          <w:b w:val="0"/>
          <w:bCs w:val="0"/>
          <w:color w:val="auto"/>
          <w:sz w:val="22"/>
          <w:szCs w:val="22"/>
          <w:highlight w:val="none"/>
          <w:u w:val="none"/>
        </w:rPr>
        <w:fldChar w:fldCharType="separate"/>
      </w:r>
      <w:r>
        <w:rPr>
          <w:rStyle w:val="15"/>
          <w:rFonts w:hint="default" w:ascii="Arial" w:hAnsi="Arial" w:cs="Arial"/>
          <w:b w:val="0"/>
          <w:bCs w:val="0"/>
          <w:color w:val="auto"/>
          <w:sz w:val="22"/>
          <w:szCs w:val="22"/>
          <w:highlight w:val="none"/>
          <w:u w:val="none"/>
        </w:rPr>
        <w:t>Lei Complementar nº 123</w:t>
      </w:r>
      <w:r>
        <w:rPr>
          <w:rStyle w:val="15"/>
          <w:rFonts w:hint="default" w:ascii="Arial" w:hAnsi="Arial" w:cs="Arial"/>
          <w:b w:val="0"/>
          <w:bCs w:val="0"/>
          <w:color w:val="auto"/>
          <w:sz w:val="22"/>
          <w:szCs w:val="22"/>
          <w:highlight w:val="none"/>
          <w:u w:val="none"/>
          <w:lang w:val="pt-BR"/>
        </w:rPr>
        <w:t>/</w:t>
      </w:r>
      <w:r>
        <w:rPr>
          <w:rStyle w:val="15"/>
          <w:rFonts w:hint="default" w:ascii="Arial" w:hAnsi="Arial" w:cs="Arial"/>
          <w:b w:val="0"/>
          <w:bCs w:val="0"/>
          <w:color w:val="auto"/>
          <w:sz w:val="22"/>
          <w:szCs w:val="22"/>
          <w:highlight w:val="none"/>
          <w:u w:val="none"/>
        </w:rPr>
        <w:t>2006</w:t>
      </w:r>
      <w:r>
        <w:rPr>
          <w:rStyle w:val="15"/>
          <w:rFonts w:hint="default" w:ascii="Arial" w:hAnsi="Arial" w:cs="Arial"/>
          <w:b w:val="0"/>
          <w:bCs w:val="0"/>
          <w:color w:val="auto"/>
          <w:sz w:val="22"/>
          <w:szCs w:val="22"/>
          <w:highlight w:val="none"/>
          <w:u w:val="none"/>
        </w:rPr>
        <w:fldChar w:fldCharType="end"/>
      </w:r>
      <w:r>
        <w:rPr>
          <w:rFonts w:hint="default" w:ascii="Arial" w:hAnsi="Arial" w:cs="Arial"/>
          <w:b w:val="0"/>
          <w:bCs w:val="0"/>
          <w:color w:val="auto"/>
          <w:sz w:val="22"/>
          <w:szCs w:val="22"/>
          <w:highlight w:val="none"/>
          <w:u w:val="none"/>
        </w:rPr>
        <w:t xml:space="preserve"> e do De</w:t>
      </w:r>
      <w:r>
        <w:rPr>
          <w:rFonts w:hint="default" w:ascii="Arial" w:hAnsi="Arial" w:cs="Arial"/>
          <w:color w:val="auto"/>
          <w:sz w:val="22"/>
          <w:szCs w:val="22"/>
          <w:highlight w:val="none"/>
        </w:rPr>
        <w:t>creto n.º 8.538</w:t>
      </w:r>
      <w:r>
        <w:rPr>
          <w:rFonts w:hint="default" w:ascii="Arial" w:hAnsi="Arial" w:cs="Arial"/>
          <w:color w:val="auto"/>
          <w:sz w:val="22"/>
          <w:szCs w:val="22"/>
          <w:highlight w:val="none"/>
          <w:lang w:val="pt-BR"/>
        </w:rPr>
        <w:t>/</w:t>
      </w:r>
      <w:r>
        <w:rPr>
          <w:rFonts w:hint="default" w:ascii="Arial" w:hAnsi="Arial" w:cs="Arial"/>
          <w:color w:val="auto"/>
          <w:sz w:val="22"/>
          <w:szCs w:val="22"/>
          <w:highlight w:val="none"/>
        </w:rPr>
        <w:t>2015.</w:t>
      </w:r>
    </w:p>
    <w:p w14:paraId="07A0E191">
      <w:pPr>
        <w:pStyle w:val="138"/>
        <w:keepNext w:val="0"/>
        <w:keepLines w:val="0"/>
        <w:pageBreakBefore w:val="0"/>
        <w:numPr>
          <w:ilvl w:val="0"/>
          <w:numId w:val="0"/>
        </w:numPr>
        <w:kinsoku/>
        <w:wordWrap/>
        <w:overflowPunct/>
        <w:topLinePunct w:val="0"/>
        <w:autoSpaceDE w:val="0"/>
        <w:autoSpaceDN w:val="0"/>
        <w:bidi w:val="0"/>
        <w:snapToGrid/>
        <w:spacing w:before="0" w:beforeAutospacing="0" w:after="0" w:afterAutospacing="0" w:line="360" w:lineRule="auto"/>
        <w:ind w:left="0" w:leftChars="0" w:firstLine="0" w:firstLineChars="0"/>
        <w:rPr>
          <w:rFonts w:hint="default" w:ascii="Arial" w:hAnsi="Arial" w:cs="Arial"/>
          <w:i w:val="0"/>
          <w:iCs w:val="0"/>
          <w:color w:val="auto"/>
          <w:sz w:val="22"/>
          <w:szCs w:val="22"/>
          <w:highlight w:val="none"/>
        </w:rPr>
      </w:pPr>
      <w:r>
        <w:rPr>
          <w:rFonts w:hint="default" w:cs="Arial"/>
          <w:b/>
          <w:bCs/>
          <w:i w:val="0"/>
          <w:iCs w:val="0"/>
          <w:color w:val="auto"/>
          <w:sz w:val="22"/>
          <w:szCs w:val="22"/>
          <w:highlight w:val="none"/>
          <w:lang w:val="pt-BR"/>
        </w:rPr>
        <w:t>5</w:t>
      </w:r>
      <w:r>
        <w:rPr>
          <w:rFonts w:hint="default" w:ascii="Arial" w:hAnsi="Arial" w:cs="Arial"/>
          <w:b/>
          <w:bCs/>
          <w:i w:val="0"/>
          <w:iCs w:val="0"/>
          <w:color w:val="auto"/>
          <w:sz w:val="22"/>
          <w:szCs w:val="22"/>
          <w:highlight w:val="none"/>
          <w:lang w:val="pt-BR"/>
        </w:rPr>
        <w:t xml:space="preserve">.9.13. </w:t>
      </w:r>
      <w:r>
        <w:rPr>
          <w:rFonts w:hint="default" w:ascii="Arial" w:hAnsi="Arial" w:cs="Arial"/>
          <w:i w:val="0"/>
          <w:iCs w:val="0"/>
          <w:color w:val="auto"/>
          <w:sz w:val="22"/>
          <w:szCs w:val="22"/>
          <w:highlight w:val="none"/>
        </w:rPr>
        <w:t xml:space="preserve">A obtenção do benefício a que se refere o item anterior fica limitada às </w:t>
      </w:r>
      <w:r>
        <w:rPr>
          <w:rFonts w:hint="default" w:ascii="Arial" w:hAnsi="Arial" w:cs="Arial"/>
          <w:i w:val="0"/>
          <w:iCs w:val="0"/>
          <w:color w:val="auto"/>
          <w:sz w:val="22"/>
          <w:szCs w:val="22"/>
          <w:highlight w:val="none"/>
          <w:lang w:val="pt-BR"/>
        </w:rPr>
        <w:t>M</w:t>
      </w:r>
      <w:r>
        <w:rPr>
          <w:rFonts w:hint="default" w:ascii="Arial" w:hAnsi="Arial" w:cs="Arial"/>
          <w:i w:val="0"/>
          <w:iCs w:val="0"/>
          <w:color w:val="auto"/>
          <w:sz w:val="22"/>
          <w:szCs w:val="22"/>
          <w:highlight w:val="none"/>
        </w:rPr>
        <w:t xml:space="preserve">icroempresas e às </w:t>
      </w:r>
      <w:r>
        <w:rPr>
          <w:rFonts w:hint="default" w:ascii="Arial" w:hAnsi="Arial" w:cs="Arial"/>
          <w:i w:val="0"/>
          <w:iCs w:val="0"/>
          <w:color w:val="auto"/>
          <w:sz w:val="22"/>
          <w:szCs w:val="22"/>
          <w:highlight w:val="none"/>
          <w:lang w:val="pt-BR"/>
        </w:rPr>
        <w:t>E</w:t>
      </w:r>
      <w:r>
        <w:rPr>
          <w:rFonts w:hint="default" w:ascii="Arial" w:hAnsi="Arial" w:cs="Arial"/>
          <w:i w:val="0"/>
          <w:iCs w:val="0"/>
          <w:color w:val="auto"/>
          <w:sz w:val="22"/>
          <w:szCs w:val="22"/>
          <w:highlight w:val="none"/>
        </w:rPr>
        <w:t xml:space="preserve">mpresas de </w:t>
      </w:r>
      <w:r>
        <w:rPr>
          <w:rFonts w:hint="default" w:ascii="Arial" w:hAnsi="Arial" w:cs="Arial"/>
          <w:i w:val="0"/>
          <w:iCs w:val="0"/>
          <w:color w:val="auto"/>
          <w:sz w:val="22"/>
          <w:szCs w:val="22"/>
          <w:highlight w:val="none"/>
          <w:lang w:val="pt-BR"/>
        </w:rPr>
        <w:t>P</w:t>
      </w:r>
      <w:r>
        <w:rPr>
          <w:rFonts w:hint="default" w:ascii="Arial" w:hAnsi="Arial" w:cs="Arial"/>
          <w:i w:val="0"/>
          <w:iCs w:val="0"/>
          <w:color w:val="auto"/>
          <w:sz w:val="22"/>
          <w:szCs w:val="22"/>
          <w:highlight w:val="none"/>
        </w:rPr>
        <w:t xml:space="preserve">equeno </w:t>
      </w:r>
      <w:r>
        <w:rPr>
          <w:rFonts w:hint="default" w:ascii="Arial" w:hAnsi="Arial" w:cs="Arial"/>
          <w:i w:val="0"/>
          <w:iCs w:val="0"/>
          <w:color w:val="auto"/>
          <w:sz w:val="22"/>
          <w:szCs w:val="22"/>
          <w:highlight w:val="none"/>
          <w:lang w:val="pt-BR"/>
        </w:rPr>
        <w:t>P</w:t>
      </w:r>
      <w:r>
        <w:rPr>
          <w:rFonts w:hint="default" w:ascii="Arial" w:hAnsi="Arial" w:cs="Arial"/>
          <w:i w:val="0"/>
          <w:iCs w:val="0"/>
          <w:color w:val="auto"/>
          <w:sz w:val="22"/>
          <w:szCs w:val="22"/>
          <w:highlight w:val="none"/>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ascii="Arial" w:hAnsi="Arial" w:cs="Arial"/>
          <w:i w:val="0"/>
          <w:iCs w:val="0"/>
          <w:color w:val="auto"/>
          <w:sz w:val="22"/>
          <w:szCs w:val="22"/>
          <w:highlight w:val="none"/>
          <w:lang w:val="pt-BR"/>
        </w:rPr>
        <w:t>E</w:t>
      </w:r>
      <w:r>
        <w:rPr>
          <w:rFonts w:hint="default" w:ascii="Arial" w:hAnsi="Arial" w:cs="Arial"/>
          <w:i w:val="0"/>
          <w:iCs w:val="0"/>
          <w:color w:val="auto"/>
          <w:sz w:val="22"/>
          <w:szCs w:val="22"/>
          <w:highlight w:val="none"/>
        </w:rPr>
        <w:t xml:space="preserve">mpresa de </w:t>
      </w:r>
      <w:r>
        <w:rPr>
          <w:rFonts w:hint="default" w:ascii="Arial" w:hAnsi="Arial" w:cs="Arial"/>
          <w:i w:val="0"/>
          <w:iCs w:val="0"/>
          <w:color w:val="auto"/>
          <w:sz w:val="22"/>
          <w:szCs w:val="22"/>
          <w:highlight w:val="none"/>
          <w:lang w:val="pt-BR"/>
        </w:rPr>
        <w:t>P</w:t>
      </w:r>
      <w:r>
        <w:rPr>
          <w:rFonts w:hint="default" w:ascii="Arial" w:hAnsi="Arial" w:cs="Arial"/>
          <w:i w:val="0"/>
          <w:iCs w:val="0"/>
          <w:color w:val="auto"/>
          <w:sz w:val="22"/>
          <w:szCs w:val="22"/>
          <w:highlight w:val="none"/>
        </w:rPr>
        <w:t xml:space="preserve">equeno </w:t>
      </w:r>
      <w:r>
        <w:rPr>
          <w:rFonts w:hint="default" w:ascii="Arial" w:hAnsi="Arial" w:cs="Arial"/>
          <w:i w:val="0"/>
          <w:iCs w:val="0"/>
          <w:color w:val="auto"/>
          <w:sz w:val="22"/>
          <w:szCs w:val="22"/>
          <w:highlight w:val="none"/>
          <w:lang w:val="pt-BR"/>
        </w:rPr>
        <w:t>P</w:t>
      </w:r>
      <w:r>
        <w:rPr>
          <w:rFonts w:hint="default" w:ascii="Arial" w:hAnsi="Arial" w:cs="Arial"/>
          <w:i w:val="0"/>
          <w:iCs w:val="0"/>
          <w:color w:val="auto"/>
          <w:sz w:val="22"/>
          <w:szCs w:val="22"/>
          <w:highlight w:val="none"/>
        </w:rPr>
        <w:t>orte.</w:t>
      </w:r>
    </w:p>
    <w:p w14:paraId="4F57AE52">
      <w:pPr>
        <w:pStyle w:val="21"/>
        <w:keepNext w:val="0"/>
        <w:keepLines w:val="0"/>
        <w:pageBreakBefore w:val="0"/>
        <w:widowControl/>
        <w:suppressLineNumbers w:val="0"/>
        <w:kinsoku/>
        <w:wordWrap/>
        <w:overflowPunct/>
        <w:topLinePunct w:val="0"/>
        <w:autoSpaceDE w:val="0"/>
        <w:autoSpaceDN w:val="0"/>
        <w:bidi w:val="0"/>
        <w:snapToGrid/>
        <w:spacing w:before="0" w:beforeAutospacing="0" w:after="0" w:afterAutospacing="0" w:line="360" w:lineRule="auto"/>
        <w:ind w:left="0" w:firstLine="0" w:firstLineChars="0"/>
        <w:jc w:val="both"/>
        <w:rPr>
          <w:rFonts w:hint="default" w:ascii="Arial" w:hAnsi="Arial" w:cs="Arial"/>
          <w:i w:val="0"/>
          <w:iCs w:val="0"/>
          <w:sz w:val="22"/>
          <w:szCs w:val="22"/>
          <w:highlight w:val="none"/>
          <w:lang w:val="pt-BR"/>
        </w:rPr>
      </w:pPr>
      <w:r>
        <w:rPr>
          <w:rFonts w:hint="default" w:ascii="Arial" w:hAnsi="Arial" w:cs="Arial"/>
          <w:b/>
          <w:bCs/>
          <w:i w:val="0"/>
          <w:iCs w:val="0"/>
          <w:sz w:val="22"/>
          <w:szCs w:val="22"/>
          <w:highlight w:val="none"/>
          <w:lang w:val="pt-BR"/>
        </w:rPr>
        <w:t>5.9.14.</w:t>
      </w:r>
      <w:r>
        <w:rPr>
          <w:rFonts w:hint="default" w:ascii="Arial" w:hAnsi="Arial" w:cs="Arial"/>
          <w:i w:val="0"/>
          <w:iCs w:val="0"/>
          <w:sz w:val="22"/>
          <w:szCs w:val="22"/>
          <w:highlight w:val="none"/>
          <w:lang w:val="pt-BR"/>
        </w:rPr>
        <w:t xml:space="preserve"> Não será concedido tratamento diferenciado </w:t>
      </w:r>
      <w:r>
        <w:rPr>
          <w:rFonts w:hint="default" w:ascii="Arial" w:hAnsi="Arial" w:cs="Arial"/>
          <w:i w:val="0"/>
          <w:iCs w:val="0"/>
          <w:sz w:val="22"/>
          <w:szCs w:val="22"/>
          <w:highlight w:val="none"/>
        </w:rPr>
        <w:t xml:space="preserve">no caso de licitação para aquisição de bens ou contratação de serviços </w:t>
      </w:r>
      <w:r>
        <w:rPr>
          <w:rFonts w:hint="default" w:ascii="Arial" w:hAnsi="Arial" w:cs="Arial"/>
          <w:i w:val="0"/>
          <w:iCs w:val="0"/>
          <w:sz w:val="22"/>
          <w:szCs w:val="22"/>
          <w:highlight w:val="none"/>
          <w:lang w:val="pt-BR"/>
        </w:rPr>
        <w:t>comuns, até mesmo de engenharia</w:t>
      </w:r>
      <w:r>
        <w:rPr>
          <w:rFonts w:hint="default" w:ascii="Arial" w:hAnsi="Arial" w:cs="Arial"/>
          <w:i w:val="0"/>
          <w:iCs w:val="0"/>
          <w:sz w:val="22"/>
          <w:szCs w:val="22"/>
          <w:highlight w:val="none"/>
        </w:rPr>
        <w:t xml:space="preserve">, ao item </w:t>
      </w:r>
      <w:r>
        <w:rPr>
          <w:rFonts w:hint="default" w:ascii="Arial" w:hAnsi="Arial" w:cs="Arial"/>
          <w:i w:val="0"/>
          <w:iCs w:val="0"/>
          <w:sz w:val="22"/>
          <w:szCs w:val="22"/>
          <w:highlight w:val="none"/>
          <w:lang w:val="pt-BR"/>
        </w:rPr>
        <w:t xml:space="preserve">ou lote </w:t>
      </w:r>
      <w:r>
        <w:rPr>
          <w:rFonts w:hint="default" w:ascii="Arial" w:hAnsi="Arial" w:cs="Arial"/>
          <w:i w:val="0"/>
          <w:iCs w:val="0"/>
          <w:sz w:val="22"/>
          <w:szCs w:val="22"/>
          <w:highlight w:val="none"/>
        </w:rPr>
        <w:t xml:space="preserve">cujo valor estimado for superior à receita bruta máxima admitida para fins de enquadramento como </w:t>
      </w:r>
      <w:r>
        <w:rPr>
          <w:rFonts w:hint="default" w:ascii="Arial" w:hAnsi="Arial" w:cs="Arial"/>
          <w:i w:val="0"/>
          <w:iCs w:val="0"/>
          <w:sz w:val="22"/>
          <w:szCs w:val="22"/>
          <w:highlight w:val="none"/>
          <w:lang w:val="pt-BR"/>
        </w:rPr>
        <w:t>E</w:t>
      </w:r>
      <w:r>
        <w:rPr>
          <w:rFonts w:hint="default" w:ascii="Arial" w:hAnsi="Arial" w:cs="Arial"/>
          <w:i w:val="0"/>
          <w:iCs w:val="0"/>
          <w:sz w:val="22"/>
          <w:szCs w:val="22"/>
          <w:highlight w:val="none"/>
        </w:rPr>
        <w:t xml:space="preserve">mpresa de </w:t>
      </w:r>
      <w:r>
        <w:rPr>
          <w:rFonts w:hint="default" w:ascii="Arial" w:hAnsi="Arial" w:cs="Arial"/>
          <w:i w:val="0"/>
          <w:iCs w:val="0"/>
          <w:sz w:val="22"/>
          <w:szCs w:val="22"/>
          <w:highlight w:val="none"/>
          <w:lang w:val="pt-BR"/>
        </w:rPr>
        <w:t>P</w:t>
      </w:r>
      <w:r>
        <w:rPr>
          <w:rFonts w:hint="default" w:ascii="Arial" w:hAnsi="Arial" w:cs="Arial"/>
          <w:i w:val="0"/>
          <w:iCs w:val="0"/>
          <w:sz w:val="22"/>
          <w:szCs w:val="22"/>
          <w:highlight w:val="none"/>
        </w:rPr>
        <w:t>equeno</w:t>
      </w:r>
      <w:r>
        <w:rPr>
          <w:rFonts w:hint="default" w:ascii="Arial" w:hAnsi="Arial" w:cs="Arial"/>
          <w:i w:val="0"/>
          <w:iCs w:val="0"/>
          <w:sz w:val="22"/>
          <w:szCs w:val="22"/>
          <w:highlight w:val="none"/>
          <w:lang w:val="pt-BR"/>
        </w:rPr>
        <w:t xml:space="preserve"> P</w:t>
      </w:r>
      <w:r>
        <w:rPr>
          <w:rFonts w:hint="default" w:ascii="Arial" w:hAnsi="Arial" w:cs="Arial"/>
          <w:i w:val="0"/>
          <w:iCs w:val="0"/>
          <w:sz w:val="22"/>
          <w:szCs w:val="22"/>
          <w:highlight w:val="none"/>
        </w:rPr>
        <w:t>orte</w:t>
      </w:r>
      <w:r>
        <w:rPr>
          <w:rFonts w:hint="default" w:ascii="Arial" w:hAnsi="Arial" w:cs="Arial"/>
          <w:i w:val="0"/>
          <w:iCs w:val="0"/>
          <w:sz w:val="22"/>
          <w:szCs w:val="22"/>
          <w:highlight w:val="none"/>
          <w:lang w:val="pt-BR"/>
        </w:rPr>
        <w:t>.</w:t>
      </w:r>
    </w:p>
    <w:p w14:paraId="6E35BA7F">
      <w:pPr>
        <w:keepNext w:val="0"/>
        <w:keepLines w:val="0"/>
        <w:widowControl/>
        <w:numPr>
          <w:ilvl w:val="0"/>
          <w:numId w:val="0"/>
        </w:numPr>
        <w:suppressLineNumbers w:val="0"/>
        <w:spacing w:line="360" w:lineRule="auto"/>
        <w:ind w:leftChars="0"/>
        <w:jc w:val="both"/>
        <w:rPr>
          <w:rFonts w:hint="default" w:ascii="Arial" w:hAnsi="Arial" w:eastAsia="SimSun" w:cs="Arial"/>
          <w:color w:val="000000"/>
          <w:kern w:val="0"/>
          <w:sz w:val="22"/>
          <w:szCs w:val="22"/>
          <w:lang w:val="en-US" w:eastAsia="zh-CN" w:bidi="ar"/>
        </w:rPr>
      </w:pPr>
    </w:p>
    <w:p w14:paraId="7D704288">
      <w:pPr>
        <w:keepNext w:val="0"/>
        <w:keepLines w:val="0"/>
        <w:pageBreakBefore w:val="0"/>
        <w:numPr>
          <w:ilvl w:val="0"/>
          <w:numId w:val="0"/>
        </w:numPr>
        <w:kinsoku/>
        <w:wordWrap/>
        <w:overflowPunct/>
        <w:topLinePunct w:val="0"/>
        <w:autoSpaceDE/>
        <w:autoSpaceDN/>
        <w:bidi w:val="0"/>
        <w:adjustRightInd/>
        <w:snapToGrid/>
        <w:spacing w:after="0" w:line="360" w:lineRule="auto"/>
        <w:ind w:leftChars="0" w:right="0" w:rightChars="0"/>
        <w:contextualSpacing/>
        <w:jc w:val="both"/>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5.10. EVENTUAL NECESSIDADE DE APRESENTAÇÃO DE AMOSTRA, PROTÓTIPO OU CATÁLOGO:</w:t>
      </w:r>
    </w:p>
    <w:p w14:paraId="36E4CF28">
      <w:pPr>
        <w:keepNext w:val="0"/>
        <w:keepLines w:val="0"/>
        <w:pageBreakBefore w:val="0"/>
        <w:numPr>
          <w:ilvl w:val="0"/>
          <w:numId w:val="0"/>
        </w:numPr>
        <w:kinsoku/>
        <w:wordWrap/>
        <w:overflowPunct/>
        <w:topLinePunct w:val="0"/>
        <w:autoSpaceDE/>
        <w:autoSpaceDN/>
        <w:bidi w:val="0"/>
        <w:adjustRightInd/>
        <w:snapToGrid/>
        <w:spacing w:after="0" w:line="360" w:lineRule="auto"/>
        <w:ind w:leftChars="0" w:right="0" w:rightChars="0"/>
        <w:contextualSpacing/>
        <w:jc w:val="both"/>
        <w:rPr>
          <w:rFonts w:hint="default" w:ascii="Arial" w:hAnsi="Arial" w:eastAsia="SimSun" w:cs="Arial"/>
          <w:color w:val="000000"/>
          <w:kern w:val="0"/>
          <w:sz w:val="22"/>
          <w:szCs w:val="22"/>
          <w:lang w:val="en-US" w:eastAsia="zh-CN" w:bidi="ar"/>
        </w:rPr>
      </w:pPr>
      <w:r>
        <w:rPr>
          <w:rFonts w:hint="default" w:ascii="Arial" w:hAnsi="Arial" w:cs="Arial"/>
          <w:b w:val="0"/>
          <w:bCs w:val="0"/>
          <w:color w:val="000000" w:themeColor="text1"/>
          <w:sz w:val="22"/>
          <w:szCs w:val="22"/>
          <w:highlight w:val="none"/>
          <w:lang w:val="pt-BR"/>
          <w14:textFill>
            <w14:solidFill>
              <w14:schemeClr w14:val="tx1"/>
            </w14:solidFill>
          </w14:textFill>
        </w:rPr>
        <w:t>(Não se aplica)</w:t>
      </w:r>
    </w:p>
    <w:p w14:paraId="561A4AE5">
      <w:pPr>
        <w:keepNext w:val="0"/>
        <w:keepLines w:val="0"/>
        <w:pageBreakBefore w:val="0"/>
        <w:numPr>
          <w:ilvl w:val="0"/>
          <w:numId w:val="0"/>
        </w:numPr>
        <w:kinsoku/>
        <w:wordWrap/>
        <w:overflowPunct/>
        <w:topLinePunct w:val="0"/>
        <w:autoSpaceDE/>
        <w:autoSpaceDN/>
        <w:bidi w:val="0"/>
        <w:adjustRightInd/>
        <w:snapToGrid/>
        <w:spacing w:after="0" w:line="360" w:lineRule="auto"/>
        <w:ind w:leftChars="0" w:right="0" w:rightChars="0"/>
        <w:contextualSpacing/>
        <w:jc w:val="both"/>
        <w:rPr>
          <w:rFonts w:hint="default" w:ascii="Arial" w:hAnsi="Arial" w:cs="Arial"/>
          <w:sz w:val="22"/>
          <w:szCs w:val="22"/>
          <w:highlight w:val="yellow"/>
        </w:rPr>
      </w:pPr>
    </w:p>
    <w:p w14:paraId="638D4545">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5.11. EVENTUAL NECESSIDADE DE VISITA TÉCNICA, QUANDO APLICÁVEL:</w:t>
      </w:r>
    </w:p>
    <w:p w14:paraId="526AE86E">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5.11.1.</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(Sim).</w:t>
      </w:r>
    </w:p>
    <w:p w14:paraId="55B4361C">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color w:val="auto"/>
          <w:sz w:val="22"/>
          <w:szCs w:val="22"/>
        </w:rPr>
      </w:pPr>
      <w:r>
        <w:rPr>
          <w:rFonts w:hint="default" w:ascii="Arial" w:hAnsi="Arial" w:cs="Arial"/>
          <w:b/>
          <w:bCs/>
          <w:color w:val="auto"/>
          <w:sz w:val="22"/>
          <w:szCs w:val="22"/>
          <w:lang w:val="pt-BR"/>
        </w:rPr>
        <w:t>5.11.2.</w:t>
      </w:r>
      <w:r>
        <w:rPr>
          <w:rFonts w:hint="default" w:ascii="Arial" w:hAnsi="Arial" w:cs="Arial"/>
          <w:color w:val="auto"/>
          <w:sz w:val="22"/>
          <w:szCs w:val="22"/>
          <w:lang w:val="pt-BR"/>
        </w:rPr>
        <w:t xml:space="preserve"> </w:t>
      </w:r>
      <w:r>
        <w:rPr>
          <w:rFonts w:hint="default" w:ascii="Arial" w:hAnsi="Arial" w:cs="Arial"/>
          <w:color w:val="auto"/>
          <w:sz w:val="22"/>
          <w:szCs w:val="22"/>
        </w:rPr>
        <w:t xml:space="preserve">As empresas interessadas deverão realizar vistoria nas instalações desta PREFEITURA onde serão instalados os equipamentos e executados os serviços ou no caso da opção pela não realização da vistoria, apresentar declaração abdicando do direito de se cientificar das peculiaridades, dos atuais equipamentos de rede e de segurança, das condições no local, do ambiente, das possíveis dificuldades, do padrão das instalações, configurações e da forma dos equipamentos da PREFEITURA, assumindo total responsabilidade pelo cumprimento das instalações e configurações e garantia do perfeito funcionamento dos subsistemas do Centro de Processamento de Dados da PREFEITURA, conforme ANEXO VI – MODELO DE DECLARACAO DE DESISTÊNCIA DE VISTORIA TÉCNICA, o qual deverá ser anexado juntamente com a documentação de habilitação. </w:t>
      </w:r>
    </w:p>
    <w:p w14:paraId="59D453E9">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color w:val="auto"/>
          <w:sz w:val="22"/>
          <w:szCs w:val="22"/>
        </w:rPr>
      </w:pPr>
      <w:r>
        <w:rPr>
          <w:rFonts w:hint="default" w:ascii="Arial" w:hAnsi="Arial" w:cs="Arial"/>
          <w:b/>
          <w:bCs/>
          <w:color w:val="auto"/>
          <w:sz w:val="22"/>
          <w:szCs w:val="22"/>
          <w:lang w:val="pt-BR"/>
        </w:rPr>
        <w:t>5.11.3.</w:t>
      </w:r>
      <w:r>
        <w:rPr>
          <w:rFonts w:hint="default" w:ascii="Arial" w:hAnsi="Arial" w:cs="Arial"/>
          <w:color w:val="auto"/>
          <w:sz w:val="22"/>
          <w:szCs w:val="22"/>
          <w:lang w:val="pt-BR"/>
        </w:rPr>
        <w:t xml:space="preserve"> </w:t>
      </w:r>
      <w:r>
        <w:rPr>
          <w:rFonts w:hint="default" w:ascii="Arial" w:hAnsi="Arial" w:cs="Arial"/>
          <w:color w:val="auto"/>
          <w:sz w:val="22"/>
          <w:szCs w:val="22"/>
        </w:rPr>
        <w:t>A vistoria técnica tem como objetivo que a licitante se cientifique das peculiaridades, dos atuais equipamentos da PREFEITURA, das condições no local, do ambiente, das possíveis dificuldades, do padrão das instalações, configurações dos atuais equipamentos da PREFEITURA, assumindo total responsabilidade pelo cumprimento das instalações e configurações e garantia do perfeito funcionamento dos subsistemas do Centro de Processamento de Dados, conforme ANEXO V – MODELO DE DECLARACAO DE VISTORIA TÉCNICA, o qual deverá ser anexado juntamente com a documentação de habilitação;</w:t>
      </w:r>
    </w:p>
    <w:p w14:paraId="1D9A2716">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color w:val="auto"/>
          <w:sz w:val="22"/>
          <w:szCs w:val="22"/>
        </w:rPr>
      </w:pPr>
      <w:r>
        <w:rPr>
          <w:rFonts w:hint="default" w:ascii="Arial" w:hAnsi="Arial" w:cs="Arial"/>
          <w:b/>
          <w:bCs/>
          <w:color w:val="auto"/>
          <w:sz w:val="22"/>
          <w:szCs w:val="22"/>
          <w:lang w:val="pt-BR"/>
        </w:rPr>
        <w:t>5.11.4.</w:t>
      </w:r>
      <w:r>
        <w:rPr>
          <w:rFonts w:hint="default" w:ascii="Arial" w:hAnsi="Arial" w:cs="Arial"/>
          <w:color w:val="auto"/>
          <w:sz w:val="22"/>
          <w:szCs w:val="22"/>
          <w:lang w:val="pt-BR"/>
        </w:rPr>
        <w:t xml:space="preserve"> </w:t>
      </w:r>
      <w:r>
        <w:rPr>
          <w:rFonts w:hint="default" w:ascii="Arial" w:hAnsi="Arial" w:cs="Arial"/>
          <w:color w:val="auto"/>
          <w:sz w:val="22"/>
          <w:szCs w:val="22"/>
        </w:rPr>
        <w:t>O requisito de vistoria se faz necessário para que os licitantes tenham condições de absorver a maior quantidade de informações necessárias para a elaboração de suas propostas e o devido cumprimento contratual pela vencedora, com o objetivo de garantir maior segurança para a administração pública;</w:t>
      </w:r>
    </w:p>
    <w:p w14:paraId="57FAAC5F">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color w:val="auto"/>
          <w:sz w:val="22"/>
          <w:szCs w:val="22"/>
        </w:rPr>
      </w:pPr>
      <w:r>
        <w:rPr>
          <w:rFonts w:hint="default" w:ascii="Arial" w:hAnsi="Arial" w:cs="Arial"/>
          <w:b/>
          <w:bCs/>
          <w:color w:val="auto"/>
          <w:sz w:val="22"/>
          <w:szCs w:val="22"/>
          <w:lang w:val="pt-BR"/>
        </w:rPr>
        <w:t>5.11.5.</w:t>
      </w:r>
      <w:r>
        <w:rPr>
          <w:rFonts w:hint="default" w:ascii="Arial" w:hAnsi="Arial" w:cs="Arial"/>
          <w:color w:val="auto"/>
          <w:sz w:val="22"/>
          <w:szCs w:val="22"/>
          <w:lang w:val="pt-BR"/>
        </w:rPr>
        <w:t xml:space="preserve"> </w:t>
      </w:r>
      <w:r>
        <w:rPr>
          <w:rFonts w:hint="default" w:ascii="Arial" w:hAnsi="Arial" w:cs="Arial"/>
          <w:color w:val="auto"/>
          <w:sz w:val="22"/>
          <w:szCs w:val="22"/>
        </w:rPr>
        <w:t>A vistoria técnica deverá ser realizada no prazo de até 2 (dois) dias antes da data de abertura da licitação;</w:t>
      </w:r>
    </w:p>
    <w:p w14:paraId="1850C1A4">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color w:val="auto"/>
          <w:sz w:val="22"/>
          <w:szCs w:val="22"/>
        </w:rPr>
      </w:pPr>
      <w:r>
        <w:rPr>
          <w:rFonts w:hint="default" w:ascii="Arial" w:hAnsi="Arial" w:cs="Arial"/>
          <w:b/>
          <w:bCs/>
          <w:color w:val="auto"/>
          <w:sz w:val="22"/>
          <w:szCs w:val="22"/>
          <w:lang w:val="pt-BR"/>
        </w:rPr>
        <w:t>5.11.6.</w:t>
      </w:r>
      <w:r>
        <w:rPr>
          <w:rFonts w:hint="default" w:ascii="Arial" w:hAnsi="Arial" w:cs="Arial"/>
          <w:color w:val="auto"/>
          <w:sz w:val="22"/>
          <w:szCs w:val="22"/>
          <w:lang w:val="pt-BR"/>
        </w:rPr>
        <w:t xml:space="preserve"> </w:t>
      </w:r>
      <w:r>
        <w:rPr>
          <w:rFonts w:hint="default" w:ascii="Arial" w:hAnsi="Arial" w:cs="Arial"/>
          <w:color w:val="auto"/>
          <w:sz w:val="22"/>
          <w:szCs w:val="22"/>
        </w:rPr>
        <w:t xml:space="preserve">O agendamento da vistoria deverá ser previamente efetuado por meio dos telefones (66) 3520-7202, ou pelo e-mail </w:t>
      </w:r>
      <w:r>
        <w:rPr>
          <w:rFonts w:hint="default" w:ascii="Arial" w:hAnsi="Arial" w:cs="Arial"/>
          <w:color w:val="auto"/>
          <w:sz w:val="22"/>
          <w:szCs w:val="22"/>
        </w:rPr>
        <w:fldChar w:fldCharType="begin"/>
      </w:r>
      <w:r>
        <w:rPr>
          <w:rFonts w:hint="default" w:ascii="Arial" w:hAnsi="Arial" w:cs="Arial"/>
          <w:color w:val="auto"/>
          <w:sz w:val="22"/>
          <w:szCs w:val="22"/>
        </w:rPr>
        <w:instrText xml:space="preserve">HYPERLINK "mailto:ti@sinop.mt.gov.br"</w:instrText>
      </w:r>
      <w:r>
        <w:rPr>
          <w:rFonts w:hint="default" w:ascii="Arial" w:hAnsi="Arial" w:cs="Arial"/>
          <w:color w:val="auto"/>
          <w:sz w:val="22"/>
          <w:szCs w:val="22"/>
        </w:rPr>
        <w:fldChar w:fldCharType="separate"/>
      </w:r>
      <w:r>
        <w:rPr>
          <w:rStyle w:val="15"/>
          <w:rFonts w:hint="default" w:ascii="Arial" w:hAnsi="Arial" w:cs="Arial"/>
          <w:color w:val="auto"/>
          <w:sz w:val="22"/>
          <w:szCs w:val="22"/>
        </w:rPr>
        <w:t>ti@sinop.mt.gov.br</w:t>
      </w:r>
      <w:r>
        <w:rPr>
          <w:rStyle w:val="15"/>
          <w:rFonts w:hint="default" w:ascii="Arial" w:hAnsi="Arial" w:cs="Arial"/>
          <w:color w:val="auto"/>
          <w:sz w:val="22"/>
          <w:szCs w:val="22"/>
        </w:rPr>
        <w:fldChar w:fldCharType="end"/>
      </w:r>
      <w:r>
        <w:rPr>
          <w:rFonts w:hint="default" w:ascii="Arial" w:hAnsi="Arial" w:cs="Arial"/>
          <w:color w:val="auto"/>
          <w:sz w:val="22"/>
          <w:szCs w:val="22"/>
        </w:rPr>
        <w:t xml:space="preserve"> mencionando o número do edital, as informações de contato da licitante que efetuará a vistoria;</w:t>
      </w:r>
    </w:p>
    <w:p w14:paraId="75D82213">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color w:val="auto"/>
          <w:sz w:val="22"/>
          <w:szCs w:val="22"/>
          <w:lang w:val="pt-BR"/>
        </w:rPr>
      </w:pPr>
      <w:r>
        <w:rPr>
          <w:rFonts w:hint="default" w:ascii="Arial" w:hAnsi="Arial" w:cs="Arial"/>
          <w:b/>
          <w:bCs/>
          <w:color w:val="auto"/>
          <w:sz w:val="22"/>
          <w:szCs w:val="22"/>
          <w:lang w:val="pt-BR"/>
        </w:rPr>
        <w:t xml:space="preserve">5.11.7. </w:t>
      </w:r>
      <w:r>
        <w:rPr>
          <w:rFonts w:hint="default" w:ascii="Arial" w:hAnsi="Arial" w:cs="Arial"/>
          <w:color w:val="auto"/>
          <w:sz w:val="22"/>
          <w:szCs w:val="22"/>
        </w:rPr>
        <w:t>Efetuada a vistoria será lavrado, por representante da PREFEITURA, designado para tanto, o respectivo atestado de vistoria, conforme ANEXO V – MODELO DE DECLARACAO DE VISTORIA TÉCNICA, o qual deverá ser preenchido e assinado por responsável do interessado em participar da licitação, que deverá ser anexado juntamente com a documentação de habilitação</w:t>
      </w:r>
      <w:r>
        <w:rPr>
          <w:rFonts w:hint="default" w:ascii="Arial" w:hAnsi="Arial" w:cs="Arial"/>
          <w:color w:val="auto"/>
          <w:sz w:val="22"/>
          <w:szCs w:val="22"/>
          <w:lang w:val="pt-BR"/>
        </w:rPr>
        <w:t>.</w:t>
      </w:r>
    </w:p>
    <w:p w14:paraId="3766DBF6">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bCs/>
          <w:sz w:val="22"/>
          <w:szCs w:val="22"/>
          <w:highlight w:val="yellow"/>
          <w:lang w:val="pt-BR"/>
        </w:rPr>
      </w:pPr>
    </w:p>
    <w:p w14:paraId="72AA0DCA">
      <w:pPr>
        <w:keepNext w:val="0"/>
        <w:keepLines w:val="0"/>
        <w:pageBreakBefore w:val="0"/>
        <w:numPr>
          <w:ilvl w:val="0"/>
          <w:numId w:val="0"/>
        </w:numPr>
        <w:tabs>
          <w:tab w:val="left" w:pos="200"/>
          <w:tab w:val="left" w:pos="400"/>
        </w:tabs>
        <w:kinsoku/>
        <w:wordWrap/>
        <w:overflowPunct/>
        <w:topLinePunct w:val="0"/>
        <w:autoSpaceDE/>
        <w:autoSpaceDN/>
        <w:bidi w:val="0"/>
        <w:adjustRightInd/>
        <w:snapToGrid/>
        <w:spacing w:after="0" w:line="360" w:lineRule="auto"/>
        <w:ind w:leftChars="0"/>
        <w:contextualSpacing/>
        <w:jc w:val="both"/>
        <w:rPr>
          <w:rFonts w:hint="default" w:ascii="Arial" w:hAnsi="Arial" w:cs="Arial"/>
          <w:b/>
          <w:bCs/>
          <w:sz w:val="22"/>
          <w:szCs w:val="22"/>
          <w:highlight w:val="none"/>
          <w:lang w:val="pt-BR"/>
        </w:rPr>
      </w:pPr>
      <w:r>
        <w:rPr>
          <w:rFonts w:hint="default" w:ascii="Arial" w:hAnsi="Arial" w:cs="Arial"/>
          <w:b/>
          <w:sz w:val="22"/>
          <w:szCs w:val="22"/>
          <w:highlight w:val="none"/>
          <w:lang w:val="pt-BR"/>
        </w:rPr>
        <w:t>5</w:t>
      </w:r>
      <w:r>
        <w:rPr>
          <w:rFonts w:hint="default" w:ascii="Arial" w:hAnsi="Arial" w:cs="Arial"/>
          <w:b/>
          <w:sz w:val="22"/>
          <w:szCs w:val="22"/>
          <w:highlight w:val="none"/>
        </w:rPr>
        <w:t>.</w:t>
      </w:r>
      <w:r>
        <w:rPr>
          <w:rFonts w:hint="default" w:ascii="Arial" w:hAnsi="Arial" w:cs="Arial"/>
          <w:b/>
          <w:sz w:val="22"/>
          <w:szCs w:val="22"/>
          <w:highlight w:val="none"/>
          <w:lang w:val="pt-BR"/>
        </w:rPr>
        <w:t xml:space="preserve">12. </w:t>
      </w:r>
      <w:r>
        <w:rPr>
          <w:rFonts w:hint="default" w:ascii="Arial" w:hAnsi="Arial" w:cs="Arial"/>
          <w:b/>
          <w:bCs/>
          <w:sz w:val="22"/>
          <w:szCs w:val="22"/>
          <w:highlight w:val="none"/>
          <w:lang w:val="pt-BR"/>
        </w:rPr>
        <w:t>EVENTUAL NECESSIDADE DE REGISTRO E LICENÇAS QUANDO OBRIGATÓRIO POR LEI:</w:t>
      </w:r>
    </w:p>
    <w:p w14:paraId="548E648C">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 xml:space="preserve">5.12.1. </w:t>
      </w:r>
      <w:r>
        <w:rPr>
          <w:rFonts w:hint="default" w:ascii="Arial" w:hAnsi="Arial" w:cs="Arial"/>
          <w:b w:val="0"/>
          <w:bCs w:val="0"/>
          <w:sz w:val="22"/>
          <w:szCs w:val="22"/>
          <w:highlight w:val="none"/>
          <w:lang w:val="pt-BR"/>
        </w:rPr>
        <w:t>(Não se aplica).</w:t>
      </w:r>
    </w:p>
    <w:p w14:paraId="58B01233">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bCs/>
          <w:sz w:val="22"/>
          <w:szCs w:val="22"/>
          <w:highlight w:val="yellow"/>
          <w:lang w:val="pt-BR"/>
        </w:rPr>
      </w:pPr>
    </w:p>
    <w:p w14:paraId="74CE3280">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color w:val="000000" w:themeColor="text1"/>
          <w:sz w:val="22"/>
          <w:szCs w:val="22"/>
          <w:highlight w:val="none"/>
          <w:lang w:val="pt-BR"/>
          <w14:textFill>
            <w14:solidFill>
              <w14:schemeClr w14:val="tx1"/>
            </w14:solidFill>
          </w14:textFill>
        </w:rPr>
      </w:pPr>
      <w:r>
        <w:rPr>
          <w:rFonts w:hint="default" w:ascii="Arial" w:hAnsi="Arial" w:cs="Arial"/>
          <w:b/>
          <w:color w:val="000000" w:themeColor="text1"/>
          <w:sz w:val="22"/>
          <w:szCs w:val="22"/>
          <w:highlight w:val="none"/>
          <w:lang w:val="pt-BR"/>
          <w14:textFill>
            <w14:solidFill>
              <w14:schemeClr w14:val="tx1"/>
            </w14:solidFill>
          </w14:textFill>
        </w:rPr>
        <w:t>5</w:t>
      </w:r>
      <w:r>
        <w:rPr>
          <w:rFonts w:hint="default" w:ascii="Arial" w:hAnsi="Arial" w:cs="Arial"/>
          <w:b/>
          <w:color w:val="000000" w:themeColor="text1"/>
          <w:sz w:val="22"/>
          <w:szCs w:val="22"/>
          <w:highlight w:val="none"/>
          <w14:textFill>
            <w14:solidFill>
              <w14:schemeClr w14:val="tx1"/>
            </w14:solidFill>
          </w14:textFill>
        </w:rPr>
        <w:t>.</w:t>
      </w:r>
      <w:r>
        <w:rPr>
          <w:rFonts w:hint="default" w:ascii="Arial" w:hAnsi="Arial" w:cs="Arial"/>
          <w:b/>
          <w:color w:val="000000" w:themeColor="text1"/>
          <w:sz w:val="22"/>
          <w:szCs w:val="22"/>
          <w:highlight w:val="none"/>
          <w:lang w:val="pt-BR"/>
          <w14:textFill>
            <w14:solidFill>
              <w14:schemeClr w14:val="tx1"/>
            </w14:solidFill>
          </w14:textFill>
        </w:rPr>
        <w:t>13.</w:t>
      </w:r>
      <w:r>
        <w:rPr>
          <w:rFonts w:hint="default" w:ascii="Arial" w:hAnsi="Arial" w:cs="Arial"/>
          <w:b/>
          <w:color w:val="000000" w:themeColor="text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lang w:val="pt-BR"/>
          <w14:textFill>
            <w14:solidFill>
              <w14:schemeClr w14:val="tx1"/>
            </w14:solidFill>
          </w14:textFill>
        </w:rPr>
        <w:t>ATESTADO DE CAPACIDADE TÉCNICA, NOS TERMOS DO REGULAMENTO PRÓPRIO INSTITUÍDO PELO MUNICÍPIO:</w:t>
      </w:r>
    </w:p>
    <w:p w14:paraId="4835CBA5">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color w:val="000000" w:themeColor="text1"/>
          <w:sz w:val="22"/>
          <w:szCs w:val="22"/>
          <w:highlight w:val="none"/>
          <w:lang w:val="pt-BR"/>
          <w14:textFill>
            <w14:solidFill>
              <w14:schemeClr w14:val="tx1"/>
            </w14:solidFill>
          </w14:textFill>
        </w:rPr>
      </w:pPr>
    </w:p>
    <w:p w14:paraId="7D38049D">
      <w:pPr>
        <w:pStyle w:val="166"/>
        <w:pageBreakBefore w:val="0"/>
        <w:kinsoku/>
        <w:wordWrap/>
        <w:overflowPunct/>
        <w:topLinePunct w:val="0"/>
        <w:autoSpaceDE/>
        <w:autoSpaceDN/>
        <w:bidi w:val="0"/>
        <w:adjustRightInd/>
        <w:snapToGrid/>
        <w:spacing w:before="0" w:after="0" w:line="360" w:lineRule="auto"/>
        <w:ind w:left="0" w:firstLine="0"/>
        <w:jc w:val="both"/>
        <w:textAlignment w:val="auto"/>
        <w:rPr>
          <w:rFonts w:hint="default" w:ascii="Arial" w:hAnsi="Arial" w:cs="Arial"/>
          <w:b/>
          <w:bCs/>
          <w:sz w:val="22"/>
          <w:szCs w:val="22"/>
          <w:lang w:eastAsia="zh-CN"/>
        </w:rPr>
      </w:pPr>
      <w:r>
        <w:rPr>
          <w:rFonts w:hint="default" w:ascii="Arial" w:hAnsi="Arial" w:cs="Arial"/>
          <w:b/>
          <w:bCs/>
          <w:i w:val="0"/>
          <w:iCs/>
          <w:color w:val="000000" w:themeColor="text1"/>
          <w:sz w:val="22"/>
          <w:szCs w:val="22"/>
          <w:highlight w:val="none"/>
          <w:lang w:val="pt-BR"/>
          <w14:textFill>
            <w14:solidFill>
              <w14:schemeClr w14:val="tx1"/>
            </w14:solidFill>
          </w14:textFill>
        </w:rPr>
        <w:t>5.1</w:t>
      </w:r>
      <w:r>
        <w:rPr>
          <w:rFonts w:hint="default" w:cs="Arial"/>
          <w:b/>
          <w:bCs/>
          <w:i w:val="0"/>
          <w:iCs/>
          <w:color w:val="000000" w:themeColor="text1"/>
          <w:sz w:val="22"/>
          <w:szCs w:val="22"/>
          <w:highlight w:val="none"/>
          <w:lang w:val="pt-BR"/>
          <w14:textFill>
            <w14:solidFill>
              <w14:schemeClr w14:val="tx1"/>
            </w14:solidFill>
          </w14:textFill>
        </w:rPr>
        <w:t>3</w:t>
      </w:r>
      <w:r>
        <w:rPr>
          <w:rFonts w:hint="default" w:ascii="Arial" w:hAnsi="Arial" w:cs="Arial"/>
          <w:b/>
          <w:bCs/>
          <w:i w:val="0"/>
          <w:iCs/>
          <w:color w:val="000000" w:themeColor="text1"/>
          <w:sz w:val="22"/>
          <w:szCs w:val="22"/>
          <w:highlight w:val="none"/>
          <w:lang w:val="pt-BR"/>
          <w14:textFill>
            <w14:solidFill>
              <w14:schemeClr w14:val="tx1"/>
            </w14:solidFill>
          </w14:textFill>
        </w:rPr>
        <w:t>.1.</w:t>
      </w:r>
      <w:r>
        <w:rPr>
          <w:rFonts w:hint="default" w:ascii="Arial" w:hAnsi="Arial" w:cs="Arial"/>
          <w:i w:val="0"/>
          <w:iCs/>
          <w:color w:val="000000" w:themeColor="text1"/>
          <w:sz w:val="22"/>
          <w:szCs w:val="22"/>
          <w:highlight w:val="none"/>
          <w:lang w:val="pt-BR"/>
          <w14:textFill>
            <w14:solidFill>
              <w14:schemeClr w14:val="tx1"/>
            </w14:solidFill>
          </w14:textFill>
        </w:rPr>
        <w:t xml:space="preserve"> </w:t>
      </w:r>
      <w:r>
        <w:rPr>
          <w:rFonts w:hint="default" w:ascii="Arial" w:hAnsi="Arial" w:cs="Arial"/>
          <w:b/>
          <w:bCs/>
          <w:sz w:val="22"/>
          <w:szCs w:val="22"/>
          <w:lang w:eastAsia="zh-CN"/>
        </w:rPr>
        <w:t>COMPROVAÇÃO DE CAPACIDADE TÉCNICA PARA EXECUÇÃO DOS SERVIÇOS;</w:t>
      </w:r>
    </w:p>
    <w:p w14:paraId="5CE53F66">
      <w:pPr>
        <w:pStyle w:val="163"/>
        <w:pageBreakBefore w:val="0"/>
        <w:kinsoku/>
        <w:wordWrap/>
        <w:overflowPunct/>
        <w:topLinePunct w:val="0"/>
        <w:autoSpaceDE/>
        <w:autoSpaceDN/>
        <w:bidi w:val="0"/>
        <w:adjustRightInd/>
        <w:snapToGrid/>
        <w:spacing w:after="0" w:line="360" w:lineRule="auto"/>
        <w:ind w:left="0" w:firstLine="0"/>
        <w:jc w:val="both"/>
        <w:textAlignment w:val="auto"/>
        <w:rPr>
          <w:rFonts w:hint="default" w:ascii="Arial" w:hAnsi="Arial" w:cs="Arial"/>
          <w:sz w:val="22"/>
          <w:szCs w:val="22"/>
        </w:rPr>
      </w:pPr>
      <w:r>
        <w:rPr>
          <w:rFonts w:hint="default" w:ascii="Arial" w:hAnsi="Arial" w:cs="Arial"/>
          <w:b/>
          <w:bCs/>
          <w:sz w:val="22"/>
          <w:szCs w:val="22"/>
        </w:rPr>
        <w:t>Comprovação das Capacidades Técnicas para a Solução de Data Center e Serviços:</w:t>
      </w:r>
    </w:p>
    <w:p w14:paraId="1E2146C3">
      <w:pPr>
        <w:pStyle w:val="165"/>
        <w:pageBreakBefore w:val="0"/>
        <w:numPr>
          <w:ilvl w:val="0"/>
          <w:numId w:val="0"/>
        </w:numPr>
        <w:tabs>
          <w:tab w:val="left" w:pos="1276"/>
        </w:tabs>
        <w:kinsoku/>
        <w:wordWrap/>
        <w:overflowPunct/>
        <w:topLinePunct w:val="0"/>
        <w:autoSpaceDE/>
        <w:autoSpaceDN/>
        <w:bidi w:val="0"/>
        <w:adjustRightInd/>
        <w:snapToGrid/>
        <w:spacing w:after="0"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5.13.2. </w:t>
      </w:r>
      <w:r>
        <w:rPr>
          <w:rFonts w:hint="default" w:ascii="Arial" w:hAnsi="Arial" w:cs="Arial"/>
          <w:sz w:val="22"/>
          <w:szCs w:val="22"/>
        </w:rPr>
        <w:t>Para o LOTE 001 – Locação de Solução de Data Center Modular Outdoor:</w:t>
      </w:r>
    </w:p>
    <w:p w14:paraId="74C87E01">
      <w:pPr>
        <w:pStyle w:val="165"/>
        <w:pageBreakBefore w:val="0"/>
        <w:numPr>
          <w:ilvl w:val="0"/>
          <w:numId w:val="0"/>
        </w:numPr>
        <w:tabs>
          <w:tab w:val="left" w:pos="1276"/>
        </w:tabs>
        <w:kinsoku/>
        <w:wordWrap/>
        <w:overflowPunct/>
        <w:topLinePunct w:val="0"/>
        <w:autoSpaceDE/>
        <w:autoSpaceDN/>
        <w:bidi w:val="0"/>
        <w:adjustRightInd/>
        <w:snapToGrid/>
        <w:spacing w:after="0"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5.13.3.</w:t>
      </w:r>
      <w:r>
        <w:rPr>
          <w:rFonts w:hint="default" w:ascii="Arial" w:hAnsi="Arial" w:cs="Arial"/>
          <w:sz w:val="22"/>
          <w:szCs w:val="22"/>
          <w:lang w:val="pt-BR"/>
        </w:rPr>
        <w:t xml:space="preserve"> </w:t>
      </w:r>
      <w:r>
        <w:rPr>
          <w:rFonts w:hint="default" w:ascii="Arial" w:hAnsi="Arial" w:cs="Arial"/>
          <w:sz w:val="22"/>
          <w:szCs w:val="22"/>
        </w:rPr>
        <w:t>Serviço mensal locação de solução de data center modular outdoor com de manutenção preventiva e corretiva, deverão ser realizadas em um ou mais atestados, emitidos em nome da licitante;</w:t>
      </w:r>
    </w:p>
    <w:p w14:paraId="16F3BB70">
      <w:pPr>
        <w:pStyle w:val="165"/>
        <w:pageBreakBefore w:val="0"/>
        <w:numPr>
          <w:ilvl w:val="0"/>
          <w:numId w:val="0"/>
        </w:numPr>
        <w:tabs>
          <w:tab w:val="left" w:pos="1276"/>
        </w:tabs>
        <w:kinsoku/>
        <w:wordWrap/>
        <w:overflowPunct/>
        <w:topLinePunct w:val="0"/>
        <w:autoSpaceDE/>
        <w:autoSpaceDN/>
        <w:bidi w:val="0"/>
        <w:adjustRightInd/>
        <w:snapToGrid/>
        <w:spacing w:after="0"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5.13.4.</w:t>
      </w:r>
      <w:r>
        <w:rPr>
          <w:rFonts w:hint="default" w:ascii="Arial" w:hAnsi="Arial" w:cs="Arial"/>
          <w:sz w:val="22"/>
          <w:szCs w:val="22"/>
          <w:lang w:val="pt-BR"/>
        </w:rPr>
        <w:t xml:space="preserve"> </w:t>
      </w:r>
      <w:r>
        <w:rPr>
          <w:rFonts w:hint="default" w:ascii="Arial" w:hAnsi="Arial" w:cs="Arial"/>
          <w:sz w:val="22"/>
          <w:szCs w:val="22"/>
        </w:rPr>
        <w:t>Deve-se apresentar Atestado(s) de Capacidade Técnica emitido(s) por entidades governamentais ou empresas privadas, comprovando a execução satisfatória de serviços similares aos solicitados.</w:t>
      </w:r>
    </w:p>
    <w:p w14:paraId="3C833A67">
      <w:pPr>
        <w:pStyle w:val="163"/>
        <w:pageBreakBefore w:val="0"/>
        <w:kinsoku/>
        <w:wordWrap/>
        <w:overflowPunct/>
        <w:topLinePunct w:val="0"/>
        <w:autoSpaceDE/>
        <w:autoSpaceDN/>
        <w:bidi w:val="0"/>
        <w:adjustRightInd/>
        <w:snapToGrid/>
        <w:spacing w:after="0" w:line="360" w:lineRule="auto"/>
        <w:ind w:left="0" w:firstLine="0"/>
        <w:jc w:val="both"/>
        <w:textAlignment w:val="auto"/>
        <w:rPr>
          <w:rFonts w:hint="default" w:ascii="Arial" w:hAnsi="Arial" w:cs="Arial"/>
          <w:sz w:val="22"/>
          <w:szCs w:val="22"/>
        </w:rPr>
      </w:pPr>
      <w:r>
        <w:rPr>
          <w:rFonts w:hint="default" w:ascii="Arial" w:hAnsi="Arial" w:cs="Arial"/>
          <w:b/>
          <w:bCs/>
          <w:sz w:val="22"/>
          <w:szCs w:val="22"/>
        </w:rPr>
        <w:t>A solução inclui:</w:t>
      </w:r>
    </w:p>
    <w:p w14:paraId="1B042A21">
      <w:pPr>
        <w:pStyle w:val="165"/>
        <w:pageBreakBefore w:val="0"/>
        <w:numPr>
          <w:ilvl w:val="0"/>
          <w:numId w:val="0"/>
        </w:numPr>
        <w:tabs>
          <w:tab w:val="left" w:pos="1276"/>
        </w:tabs>
        <w:kinsoku/>
        <w:wordWrap/>
        <w:overflowPunct/>
        <w:topLinePunct w:val="0"/>
        <w:autoSpaceDE/>
        <w:autoSpaceDN/>
        <w:bidi w:val="0"/>
        <w:adjustRightInd/>
        <w:snapToGrid/>
        <w:spacing w:after="0"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5.13.5.</w:t>
      </w:r>
      <w:r>
        <w:rPr>
          <w:rFonts w:hint="default" w:ascii="Arial" w:hAnsi="Arial" w:cs="Arial"/>
          <w:sz w:val="22"/>
          <w:szCs w:val="22"/>
          <w:lang w:val="pt-BR"/>
        </w:rPr>
        <w:t xml:space="preserve"> </w:t>
      </w:r>
      <w:r>
        <w:rPr>
          <w:rFonts w:hint="default" w:ascii="Arial" w:hAnsi="Arial" w:cs="Arial"/>
          <w:sz w:val="22"/>
          <w:szCs w:val="22"/>
        </w:rPr>
        <w:t>Locação de solução física de Data Center em ambiente outdoor container ou similar de 20 pés ou mais contendo no mínimo os seguintes itens abaixo;</w:t>
      </w:r>
    </w:p>
    <w:p w14:paraId="5C672B8C">
      <w:pPr>
        <w:pStyle w:val="163"/>
        <w:pageBreakBefore w:val="0"/>
        <w:kinsoku/>
        <w:wordWrap/>
        <w:overflowPunct/>
        <w:topLinePunct w:val="0"/>
        <w:autoSpaceDE/>
        <w:autoSpaceDN/>
        <w:bidi w:val="0"/>
        <w:adjustRightInd/>
        <w:snapToGrid/>
        <w:spacing w:after="0" w:line="360" w:lineRule="auto"/>
        <w:ind w:left="0" w:firstLine="0"/>
        <w:jc w:val="both"/>
        <w:textAlignment w:val="auto"/>
        <w:rPr>
          <w:rFonts w:hint="default" w:ascii="Arial" w:hAnsi="Arial" w:cs="Arial"/>
          <w:sz w:val="22"/>
          <w:szCs w:val="22"/>
        </w:rPr>
      </w:pPr>
      <w:r>
        <w:rPr>
          <w:rFonts w:hint="default" w:ascii="Arial" w:hAnsi="Arial" w:cs="Arial"/>
          <w:sz w:val="22"/>
          <w:szCs w:val="22"/>
        </w:rPr>
        <w:t>Locação, implantação, manutenção e suporte de sistema de climatização de precisão para ambiente de TI com sistema N+1 redundante e potência mínima de 20 kW.</w:t>
      </w:r>
    </w:p>
    <w:p w14:paraId="58F63F0C">
      <w:pPr>
        <w:pStyle w:val="163"/>
        <w:pageBreakBefore w:val="0"/>
        <w:kinsoku/>
        <w:wordWrap/>
        <w:overflowPunct/>
        <w:topLinePunct w:val="0"/>
        <w:autoSpaceDE/>
        <w:autoSpaceDN/>
        <w:bidi w:val="0"/>
        <w:adjustRightInd/>
        <w:snapToGrid/>
        <w:spacing w:after="0" w:line="360" w:lineRule="auto"/>
        <w:ind w:left="0" w:firstLine="0"/>
        <w:jc w:val="both"/>
        <w:textAlignment w:val="auto"/>
        <w:rPr>
          <w:rFonts w:hint="default" w:ascii="Arial" w:hAnsi="Arial" w:cs="Arial"/>
          <w:sz w:val="22"/>
          <w:szCs w:val="22"/>
        </w:rPr>
      </w:pPr>
      <w:r>
        <w:rPr>
          <w:rFonts w:hint="default" w:ascii="Arial" w:hAnsi="Arial" w:cs="Arial"/>
          <w:sz w:val="22"/>
          <w:szCs w:val="22"/>
        </w:rPr>
        <w:t>Locação, implantação, manutenção e suporte de sistema de energia ininterrupta (UPS/no-break) redundante de no mínimo 20 kW, incluindo banco de baterias.</w:t>
      </w:r>
    </w:p>
    <w:p w14:paraId="04EF28F9">
      <w:pPr>
        <w:pStyle w:val="163"/>
        <w:pageBreakBefore w:val="0"/>
        <w:kinsoku/>
        <w:wordWrap/>
        <w:overflowPunct/>
        <w:topLinePunct w:val="0"/>
        <w:autoSpaceDE/>
        <w:autoSpaceDN/>
        <w:bidi w:val="0"/>
        <w:adjustRightInd/>
        <w:snapToGrid/>
        <w:spacing w:after="0" w:line="360" w:lineRule="auto"/>
        <w:ind w:left="0" w:firstLine="0"/>
        <w:jc w:val="both"/>
        <w:textAlignment w:val="auto"/>
        <w:rPr>
          <w:rFonts w:hint="default" w:ascii="Arial" w:hAnsi="Arial" w:cs="Arial"/>
          <w:sz w:val="22"/>
          <w:szCs w:val="22"/>
        </w:rPr>
      </w:pPr>
      <w:r>
        <w:rPr>
          <w:rFonts w:hint="default" w:ascii="Arial" w:hAnsi="Arial" w:cs="Arial"/>
          <w:sz w:val="22"/>
          <w:szCs w:val="22"/>
        </w:rPr>
        <w:t>Locação, implantação, manutenção e suporte de sistema de DCIM, gerenciando sensores de GMG, UPS/no-break e ar-condicionado de precisão.</w:t>
      </w:r>
    </w:p>
    <w:p w14:paraId="235A7940">
      <w:pPr>
        <w:pStyle w:val="163"/>
        <w:pageBreakBefore w:val="0"/>
        <w:kinsoku/>
        <w:wordWrap/>
        <w:overflowPunct/>
        <w:topLinePunct w:val="0"/>
        <w:autoSpaceDE/>
        <w:autoSpaceDN/>
        <w:bidi w:val="0"/>
        <w:adjustRightInd/>
        <w:snapToGrid/>
        <w:spacing w:after="0" w:line="360" w:lineRule="auto"/>
        <w:ind w:left="0" w:firstLine="0"/>
        <w:jc w:val="both"/>
        <w:textAlignment w:val="auto"/>
        <w:rPr>
          <w:rFonts w:hint="default" w:ascii="Arial" w:hAnsi="Arial" w:cs="Arial"/>
          <w:sz w:val="22"/>
          <w:szCs w:val="22"/>
        </w:rPr>
      </w:pPr>
      <w:r>
        <w:rPr>
          <w:rFonts w:hint="default" w:ascii="Arial" w:hAnsi="Arial" w:cs="Arial"/>
          <w:sz w:val="22"/>
          <w:szCs w:val="22"/>
        </w:rPr>
        <w:t>Locação e implantação de RPDU de no mínimo 6 unidades.</w:t>
      </w:r>
    </w:p>
    <w:p w14:paraId="2B0FF55D">
      <w:pPr>
        <w:pStyle w:val="163"/>
        <w:pageBreakBefore w:val="0"/>
        <w:kinsoku/>
        <w:wordWrap/>
        <w:overflowPunct/>
        <w:topLinePunct w:val="0"/>
        <w:autoSpaceDE/>
        <w:autoSpaceDN/>
        <w:bidi w:val="0"/>
        <w:adjustRightInd/>
        <w:snapToGrid/>
        <w:spacing w:after="0" w:line="360" w:lineRule="auto"/>
        <w:ind w:left="0" w:firstLine="0"/>
        <w:jc w:val="both"/>
        <w:textAlignment w:val="auto"/>
        <w:rPr>
          <w:rFonts w:hint="default" w:ascii="Arial" w:hAnsi="Arial" w:cs="Arial"/>
          <w:sz w:val="22"/>
          <w:szCs w:val="22"/>
        </w:rPr>
      </w:pPr>
      <w:r>
        <w:rPr>
          <w:rFonts w:hint="default" w:ascii="Arial" w:hAnsi="Arial" w:cs="Arial"/>
          <w:sz w:val="22"/>
          <w:szCs w:val="22"/>
        </w:rPr>
        <w:t>Locação e implantação de ATS de no mínimo 4 unidades.</w:t>
      </w:r>
    </w:p>
    <w:p w14:paraId="728146E2">
      <w:pPr>
        <w:pStyle w:val="163"/>
        <w:pageBreakBefore w:val="0"/>
        <w:kinsoku/>
        <w:wordWrap/>
        <w:overflowPunct/>
        <w:topLinePunct w:val="0"/>
        <w:autoSpaceDE/>
        <w:autoSpaceDN/>
        <w:bidi w:val="0"/>
        <w:adjustRightInd/>
        <w:snapToGrid/>
        <w:spacing w:after="0" w:line="360" w:lineRule="auto"/>
        <w:ind w:left="0" w:firstLine="0"/>
        <w:jc w:val="both"/>
        <w:textAlignment w:val="auto"/>
        <w:rPr>
          <w:rFonts w:hint="default" w:ascii="Arial" w:hAnsi="Arial" w:cs="Arial"/>
          <w:sz w:val="22"/>
          <w:szCs w:val="22"/>
        </w:rPr>
      </w:pPr>
      <w:r>
        <w:rPr>
          <w:rFonts w:hint="default" w:ascii="Arial" w:hAnsi="Arial" w:cs="Arial"/>
          <w:sz w:val="22"/>
          <w:szCs w:val="22"/>
        </w:rPr>
        <w:t>Locação e implantação de sistema de vídeo monitoramento com no mínimo 2 câmeras.</w:t>
      </w:r>
    </w:p>
    <w:p w14:paraId="64E21528">
      <w:pPr>
        <w:pStyle w:val="163"/>
        <w:pageBreakBefore w:val="0"/>
        <w:kinsoku/>
        <w:wordWrap/>
        <w:overflowPunct/>
        <w:topLinePunct w:val="0"/>
        <w:autoSpaceDE/>
        <w:autoSpaceDN/>
        <w:bidi w:val="0"/>
        <w:adjustRightInd/>
        <w:snapToGrid/>
        <w:spacing w:after="0" w:line="360" w:lineRule="auto"/>
        <w:ind w:left="0" w:firstLine="0"/>
        <w:jc w:val="both"/>
        <w:textAlignment w:val="auto"/>
        <w:rPr>
          <w:rFonts w:hint="default" w:ascii="Arial" w:hAnsi="Arial" w:cs="Arial"/>
          <w:sz w:val="22"/>
          <w:szCs w:val="22"/>
        </w:rPr>
      </w:pPr>
      <w:r>
        <w:rPr>
          <w:rFonts w:hint="default" w:ascii="Arial" w:hAnsi="Arial" w:cs="Arial"/>
          <w:sz w:val="22"/>
          <w:szCs w:val="22"/>
        </w:rPr>
        <w:t>Locação e implantação de sistema de controle ambiental com no mínimo 20 sensores.</w:t>
      </w:r>
    </w:p>
    <w:p w14:paraId="60F8A761">
      <w:pPr>
        <w:pStyle w:val="163"/>
        <w:pageBreakBefore w:val="0"/>
        <w:kinsoku/>
        <w:wordWrap/>
        <w:overflowPunct/>
        <w:topLinePunct w:val="0"/>
        <w:autoSpaceDE/>
        <w:autoSpaceDN/>
        <w:bidi w:val="0"/>
        <w:adjustRightInd/>
        <w:snapToGrid/>
        <w:spacing w:after="0" w:line="360" w:lineRule="auto"/>
        <w:ind w:left="0" w:firstLine="0"/>
        <w:jc w:val="both"/>
        <w:textAlignment w:val="auto"/>
        <w:rPr>
          <w:rFonts w:hint="default" w:ascii="Arial" w:hAnsi="Arial" w:cs="Arial"/>
          <w:sz w:val="22"/>
          <w:szCs w:val="22"/>
        </w:rPr>
      </w:pPr>
      <w:r>
        <w:rPr>
          <w:rFonts w:hint="default" w:ascii="Arial" w:hAnsi="Arial" w:cs="Arial"/>
          <w:sz w:val="22"/>
          <w:szCs w:val="22"/>
        </w:rPr>
        <w:t>Locação e implantação de sistema de combate a incêndio com 5 nós.</w:t>
      </w:r>
    </w:p>
    <w:p w14:paraId="0FC4E219">
      <w:pPr>
        <w:pStyle w:val="163"/>
        <w:pageBreakBefore w:val="0"/>
        <w:kinsoku/>
        <w:wordWrap/>
        <w:overflowPunct/>
        <w:topLinePunct w:val="0"/>
        <w:autoSpaceDE/>
        <w:autoSpaceDN/>
        <w:bidi w:val="0"/>
        <w:adjustRightInd/>
        <w:snapToGrid/>
        <w:spacing w:after="0" w:line="360" w:lineRule="auto"/>
        <w:ind w:left="0" w:firstLine="0"/>
        <w:jc w:val="both"/>
        <w:textAlignment w:val="auto"/>
        <w:rPr>
          <w:rFonts w:hint="default" w:ascii="Arial" w:hAnsi="Arial" w:cs="Arial"/>
          <w:sz w:val="22"/>
          <w:szCs w:val="22"/>
        </w:rPr>
      </w:pPr>
      <w:r>
        <w:rPr>
          <w:rFonts w:hint="default" w:ascii="Arial" w:hAnsi="Arial" w:cs="Arial"/>
          <w:sz w:val="22"/>
          <w:szCs w:val="22"/>
        </w:rPr>
        <w:t>Elaboração de projeto executivo para implementação de solução de alta disponibilidade.</w:t>
      </w:r>
    </w:p>
    <w:p w14:paraId="2536FD79">
      <w:pPr>
        <w:pStyle w:val="165"/>
        <w:pageBreakBefore w:val="0"/>
        <w:numPr>
          <w:ilvl w:val="0"/>
          <w:numId w:val="0"/>
        </w:numPr>
        <w:tabs>
          <w:tab w:val="left" w:pos="1276"/>
        </w:tabs>
        <w:kinsoku/>
        <w:wordWrap/>
        <w:overflowPunct/>
        <w:topLinePunct w:val="0"/>
        <w:autoSpaceDE/>
        <w:autoSpaceDN/>
        <w:bidi w:val="0"/>
        <w:adjustRightInd/>
        <w:snapToGrid/>
        <w:spacing w:after="0"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5.13.6.</w:t>
      </w:r>
      <w:r>
        <w:rPr>
          <w:rFonts w:hint="default" w:ascii="Arial" w:hAnsi="Arial" w:cs="Arial"/>
          <w:sz w:val="22"/>
          <w:szCs w:val="22"/>
          <w:lang w:val="pt-BR"/>
        </w:rPr>
        <w:t xml:space="preserve"> </w:t>
      </w:r>
      <w:r>
        <w:rPr>
          <w:rFonts w:hint="default" w:ascii="Arial" w:hAnsi="Arial" w:cs="Arial"/>
          <w:sz w:val="22"/>
          <w:szCs w:val="22"/>
        </w:rPr>
        <w:t>A comprovação técnica para o ite</w:t>
      </w:r>
      <w:r>
        <w:rPr>
          <w:rFonts w:hint="default" w:ascii="Arial" w:hAnsi="Arial" w:cs="Arial"/>
          <w:sz w:val="22"/>
          <w:szCs w:val="22"/>
          <w:lang w:val="pt-BR"/>
        </w:rPr>
        <w:t>m</w:t>
      </w:r>
      <w:r>
        <w:rPr>
          <w:rFonts w:hint="default" w:ascii="Arial" w:hAnsi="Arial" w:cs="Arial"/>
          <w:sz w:val="22"/>
          <w:szCs w:val="22"/>
        </w:rPr>
        <w:t xml:space="preserve"> 02  serviços de movimentação de equipamentos (Moving) deverá ser feita através de um ou mais atestados emitidos em nome do licitante.</w:t>
      </w:r>
    </w:p>
    <w:p w14:paraId="5EF34B97">
      <w:pPr>
        <w:pStyle w:val="165"/>
        <w:pageBreakBefore w:val="0"/>
        <w:numPr>
          <w:ilvl w:val="0"/>
          <w:numId w:val="0"/>
        </w:numPr>
        <w:tabs>
          <w:tab w:val="left" w:pos="1276"/>
        </w:tabs>
        <w:kinsoku/>
        <w:wordWrap/>
        <w:overflowPunct/>
        <w:topLinePunct w:val="0"/>
        <w:autoSpaceDE/>
        <w:autoSpaceDN/>
        <w:bidi w:val="0"/>
        <w:adjustRightInd/>
        <w:snapToGrid/>
        <w:spacing w:after="0"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5.13.7.</w:t>
      </w:r>
      <w:r>
        <w:rPr>
          <w:rFonts w:hint="default" w:ascii="Arial" w:hAnsi="Arial" w:cs="Arial"/>
          <w:sz w:val="22"/>
          <w:szCs w:val="22"/>
          <w:lang w:val="pt-BR"/>
        </w:rPr>
        <w:t xml:space="preserve"> </w:t>
      </w:r>
      <w:r>
        <w:rPr>
          <w:rFonts w:hint="default" w:ascii="Arial" w:hAnsi="Arial" w:cs="Arial"/>
          <w:sz w:val="22"/>
          <w:szCs w:val="22"/>
        </w:rPr>
        <w:t>Será aceito somatório de atestados para comprovação d</w:t>
      </w:r>
      <w:r>
        <w:rPr>
          <w:rFonts w:hint="default" w:ascii="Arial" w:hAnsi="Arial" w:cs="Arial"/>
          <w:sz w:val="22"/>
          <w:szCs w:val="22"/>
          <w:lang w:val="pt-BR"/>
        </w:rPr>
        <w:t>e</w:t>
      </w:r>
      <w:r>
        <w:rPr>
          <w:rFonts w:hint="default" w:ascii="Arial" w:hAnsi="Arial" w:cs="Arial"/>
          <w:sz w:val="22"/>
          <w:szCs w:val="22"/>
        </w:rPr>
        <w:t xml:space="preserve"> cada um</w:t>
      </w:r>
      <w:r>
        <w:rPr>
          <w:rFonts w:hint="default" w:ascii="Arial" w:hAnsi="Arial" w:cs="Arial"/>
          <w:sz w:val="22"/>
          <w:szCs w:val="22"/>
          <w:lang w:val="pt-BR"/>
        </w:rPr>
        <w:t xml:space="preserve"> dos</w:t>
      </w:r>
      <w:r>
        <w:rPr>
          <w:rFonts w:hint="default" w:ascii="Arial" w:hAnsi="Arial" w:cs="Arial"/>
          <w:sz w:val="22"/>
          <w:szCs w:val="22"/>
        </w:rPr>
        <w:t xml:space="preserve"> subitens listados acima;</w:t>
      </w:r>
    </w:p>
    <w:p w14:paraId="33B86356">
      <w:pPr>
        <w:pStyle w:val="165"/>
        <w:pageBreakBefore w:val="0"/>
        <w:numPr>
          <w:ilvl w:val="0"/>
          <w:numId w:val="0"/>
        </w:numPr>
        <w:tabs>
          <w:tab w:val="left" w:pos="1276"/>
        </w:tabs>
        <w:kinsoku/>
        <w:wordWrap/>
        <w:overflowPunct/>
        <w:topLinePunct w:val="0"/>
        <w:autoSpaceDE/>
        <w:autoSpaceDN/>
        <w:bidi w:val="0"/>
        <w:adjustRightInd/>
        <w:snapToGrid/>
        <w:spacing w:after="0"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5.13.8. </w:t>
      </w:r>
      <w:r>
        <w:rPr>
          <w:rFonts w:hint="default" w:ascii="Arial" w:hAnsi="Arial" w:cs="Arial"/>
          <w:sz w:val="22"/>
          <w:szCs w:val="22"/>
        </w:rPr>
        <w:t>A licitante deverá informar os dados de contato do(s) emitente(s) do(s) Atestado(s): telefone, endereço, e-mail;</w:t>
      </w:r>
    </w:p>
    <w:p w14:paraId="49D501A4">
      <w:pPr>
        <w:pStyle w:val="165"/>
        <w:pageBreakBefore w:val="0"/>
        <w:numPr>
          <w:ilvl w:val="0"/>
          <w:numId w:val="0"/>
        </w:numPr>
        <w:tabs>
          <w:tab w:val="left" w:pos="1276"/>
        </w:tabs>
        <w:kinsoku/>
        <w:wordWrap/>
        <w:overflowPunct/>
        <w:topLinePunct w:val="0"/>
        <w:autoSpaceDE/>
        <w:autoSpaceDN/>
        <w:bidi w:val="0"/>
        <w:adjustRightInd/>
        <w:snapToGrid/>
        <w:spacing w:after="0"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5.13.9.</w:t>
      </w:r>
      <w:r>
        <w:rPr>
          <w:rFonts w:hint="default" w:ascii="Arial" w:hAnsi="Arial" w:cs="Arial"/>
          <w:sz w:val="22"/>
          <w:szCs w:val="22"/>
          <w:lang w:val="pt-BR"/>
        </w:rPr>
        <w:t xml:space="preserve"> </w:t>
      </w:r>
      <w:r>
        <w:rPr>
          <w:rFonts w:hint="default" w:ascii="Arial" w:hAnsi="Arial" w:cs="Arial"/>
          <w:sz w:val="22"/>
          <w:szCs w:val="22"/>
        </w:rPr>
        <w:t>Atestados emitidos por empresas do mesmo grupo empresarial da licitante não serão aceitos, considerando-se empresas do mesmo grupo as que são controladoras, controladas, ou que possuem um sócio em comum com a licitante.</w:t>
      </w:r>
    </w:p>
    <w:p w14:paraId="5C03B3B4">
      <w:pPr>
        <w:pStyle w:val="165"/>
        <w:pageBreakBefore w:val="0"/>
        <w:numPr>
          <w:ilvl w:val="0"/>
          <w:numId w:val="0"/>
        </w:numPr>
        <w:tabs>
          <w:tab w:val="left" w:pos="1276"/>
        </w:tabs>
        <w:kinsoku/>
        <w:wordWrap/>
        <w:overflowPunct/>
        <w:topLinePunct w:val="0"/>
        <w:autoSpaceDE/>
        <w:autoSpaceDN/>
        <w:bidi w:val="0"/>
        <w:adjustRightInd/>
        <w:snapToGrid/>
        <w:spacing w:after="0"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5.13.10.</w:t>
      </w:r>
      <w:r>
        <w:rPr>
          <w:rFonts w:hint="default" w:ascii="Arial" w:hAnsi="Arial" w:cs="Arial"/>
          <w:sz w:val="22"/>
          <w:szCs w:val="22"/>
          <w:lang w:val="pt-BR"/>
        </w:rPr>
        <w:t xml:space="preserve"> </w:t>
      </w:r>
      <w:r>
        <w:rPr>
          <w:rFonts w:hint="default" w:ascii="Arial" w:hAnsi="Arial" w:cs="Arial"/>
          <w:sz w:val="22"/>
          <w:szCs w:val="22"/>
        </w:rPr>
        <w:t>Atestados do mesmo grupo empresarial para os mesmos projetos e período serão contabilizados como um único atestado, prevalecendo o de maior volume.</w:t>
      </w:r>
    </w:p>
    <w:p w14:paraId="155C9F59">
      <w:pPr>
        <w:pStyle w:val="165"/>
        <w:pageBreakBefore w:val="0"/>
        <w:numPr>
          <w:ilvl w:val="0"/>
          <w:numId w:val="0"/>
        </w:numPr>
        <w:tabs>
          <w:tab w:val="left" w:pos="1276"/>
        </w:tabs>
        <w:kinsoku/>
        <w:wordWrap/>
        <w:overflowPunct/>
        <w:topLinePunct w:val="0"/>
        <w:autoSpaceDE/>
        <w:autoSpaceDN/>
        <w:bidi w:val="0"/>
        <w:adjustRightInd/>
        <w:snapToGrid/>
        <w:spacing w:after="0"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5.13.11.</w:t>
      </w:r>
      <w:r>
        <w:rPr>
          <w:rFonts w:hint="default" w:ascii="Arial" w:hAnsi="Arial" w:cs="Arial"/>
          <w:sz w:val="22"/>
          <w:szCs w:val="22"/>
          <w:lang w:val="pt-BR"/>
        </w:rPr>
        <w:t xml:space="preserve"> </w:t>
      </w:r>
      <w:r>
        <w:rPr>
          <w:rFonts w:hint="default" w:ascii="Arial" w:hAnsi="Arial" w:cs="Arial"/>
          <w:sz w:val="22"/>
          <w:szCs w:val="22"/>
        </w:rPr>
        <w:t>Os atestados apresentados podem ser verificados pelo Órgão Contratante para autenticidade, e a impossibilidade de verificação tornará o atestado inválido.</w:t>
      </w:r>
    </w:p>
    <w:p w14:paraId="4849C4D8">
      <w:pPr>
        <w:pStyle w:val="165"/>
        <w:pageBreakBefore w:val="0"/>
        <w:numPr>
          <w:ilvl w:val="0"/>
          <w:numId w:val="0"/>
        </w:numPr>
        <w:tabs>
          <w:tab w:val="left" w:pos="1276"/>
        </w:tabs>
        <w:kinsoku/>
        <w:wordWrap/>
        <w:overflowPunct/>
        <w:topLinePunct w:val="0"/>
        <w:autoSpaceDE/>
        <w:autoSpaceDN/>
        <w:bidi w:val="0"/>
        <w:adjustRightInd/>
        <w:snapToGrid/>
        <w:spacing w:after="0"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5.13.12.</w:t>
      </w:r>
      <w:r>
        <w:rPr>
          <w:rFonts w:hint="default" w:ascii="Arial" w:hAnsi="Arial" w:cs="Arial"/>
          <w:sz w:val="22"/>
          <w:szCs w:val="22"/>
          <w:lang w:val="pt-BR"/>
        </w:rPr>
        <w:t xml:space="preserve"> </w:t>
      </w:r>
      <w:r>
        <w:rPr>
          <w:rFonts w:hint="default" w:ascii="Arial" w:hAnsi="Arial" w:cs="Arial"/>
          <w:sz w:val="22"/>
          <w:szCs w:val="22"/>
        </w:rPr>
        <w:t>Divergências encontradas entre atestados e verificações podem levar à inabilitação no processo licitatório e outras penalidades.</w:t>
      </w:r>
    </w:p>
    <w:p w14:paraId="40AF7ABA">
      <w:pPr>
        <w:pStyle w:val="165"/>
        <w:pageBreakBefore w:val="0"/>
        <w:numPr>
          <w:ilvl w:val="0"/>
          <w:numId w:val="0"/>
        </w:numPr>
        <w:tabs>
          <w:tab w:val="left" w:pos="1276"/>
        </w:tabs>
        <w:kinsoku/>
        <w:wordWrap/>
        <w:overflowPunct/>
        <w:topLinePunct w:val="0"/>
        <w:autoSpaceDE/>
        <w:autoSpaceDN/>
        <w:bidi w:val="0"/>
        <w:adjustRightInd/>
        <w:snapToGrid/>
        <w:spacing w:after="0" w:line="360" w:lineRule="auto"/>
        <w:ind w:leftChars="0"/>
        <w:jc w:val="both"/>
        <w:textAlignment w:val="auto"/>
        <w:rPr>
          <w:rFonts w:hint="default" w:ascii="Arial" w:hAnsi="Arial" w:cs="Arial"/>
          <w:sz w:val="22"/>
          <w:szCs w:val="22"/>
        </w:rPr>
      </w:pPr>
    </w:p>
    <w:p w14:paraId="5D6FE24A">
      <w:pPr>
        <w:pStyle w:val="163"/>
        <w:pageBreakBefore w:val="0"/>
        <w:kinsoku/>
        <w:wordWrap/>
        <w:overflowPunct/>
        <w:topLinePunct w:val="0"/>
        <w:autoSpaceDE/>
        <w:autoSpaceDN/>
        <w:bidi w:val="0"/>
        <w:adjustRightInd/>
        <w:snapToGrid/>
        <w:spacing w:after="0" w:line="360" w:lineRule="auto"/>
        <w:ind w:left="0" w:firstLine="0"/>
        <w:jc w:val="both"/>
        <w:textAlignment w:val="auto"/>
        <w:rPr>
          <w:rFonts w:hint="default" w:ascii="Arial" w:hAnsi="Arial" w:cs="Arial"/>
          <w:b/>
          <w:bCs/>
          <w:sz w:val="22"/>
          <w:szCs w:val="22"/>
        </w:rPr>
      </w:pPr>
      <w:r>
        <w:rPr>
          <w:rFonts w:hint="default" w:ascii="Arial" w:hAnsi="Arial" w:cs="Arial"/>
          <w:b/>
          <w:bCs/>
          <w:sz w:val="22"/>
          <w:szCs w:val="22"/>
        </w:rPr>
        <w:t>Declarações Requeridas:</w:t>
      </w:r>
    </w:p>
    <w:p w14:paraId="74562597">
      <w:pPr>
        <w:pStyle w:val="165"/>
        <w:pageBreakBefore w:val="0"/>
        <w:numPr>
          <w:ilvl w:val="0"/>
          <w:numId w:val="0"/>
        </w:numPr>
        <w:tabs>
          <w:tab w:val="left" w:pos="1276"/>
        </w:tabs>
        <w:kinsoku/>
        <w:wordWrap/>
        <w:overflowPunct/>
        <w:topLinePunct w:val="0"/>
        <w:autoSpaceDE/>
        <w:autoSpaceDN/>
        <w:bidi w:val="0"/>
        <w:adjustRightInd/>
        <w:snapToGrid/>
        <w:spacing w:after="0"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5.13.13.</w:t>
      </w:r>
      <w:r>
        <w:rPr>
          <w:rFonts w:hint="default" w:ascii="Arial" w:hAnsi="Arial" w:cs="Arial"/>
          <w:sz w:val="22"/>
          <w:szCs w:val="22"/>
          <w:lang w:val="pt-BR"/>
        </w:rPr>
        <w:t xml:space="preserve"> </w:t>
      </w:r>
      <w:r>
        <w:rPr>
          <w:rFonts w:hint="default" w:ascii="Arial" w:hAnsi="Arial" w:cs="Arial"/>
          <w:sz w:val="22"/>
          <w:szCs w:val="22"/>
        </w:rPr>
        <w:t>Declaração de cumprimento das normas da ABNT e, em especial, da NBR 5462 relacionada a Confiabilidade e Mantenabilidade.</w:t>
      </w:r>
    </w:p>
    <w:p w14:paraId="32A09938">
      <w:pPr>
        <w:pStyle w:val="163"/>
        <w:pageBreakBefore w:val="0"/>
        <w:kinsoku/>
        <w:wordWrap/>
        <w:overflowPunct/>
        <w:topLinePunct w:val="0"/>
        <w:autoSpaceDE/>
        <w:autoSpaceDN/>
        <w:bidi w:val="0"/>
        <w:adjustRightInd/>
        <w:snapToGrid/>
        <w:spacing w:after="0" w:line="360" w:lineRule="auto"/>
        <w:ind w:left="0" w:firstLine="0"/>
        <w:jc w:val="both"/>
        <w:textAlignment w:val="auto"/>
        <w:rPr>
          <w:rFonts w:hint="default" w:ascii="Arial" w:hAnsi="Arial" w:cs="Arial"/>
          <w:sz w:val="22"/>
          <w:szCs w:val="22"/>
        </w:rPr>
      </w:pPr>
      <w:r>
        <w:rPr>
          <w:rFonts w:hint="default" w:ascii="Arial" w:hAnsi="Arial" w:cs="Arial"/>
          <w:b/>
          <w:bCs/>
          <w:sz w:val="22"/>
          <w:szCs w:val="22"/>
        </w:rPr>
        <w:t>Registro dos Atestados:</w:t>
      </w:r>
    </w:p>
    <w:p w14:paraId="7866416A">
      <w:pPr>
        <w:pStyle w:val="165"/>
        <w:pageBreakBefore w:val="0"/>
        <w:numPr>
          <w:ilvl w:val="0"/>
          <w:numId w:val="0"/>
        </w:numPr>
        <w:tabs>
          <w:tab w:val="left" w:pos="1276"/>
        </w:tabs>
        <w:kinsoku/>
        <w:wordWrap/>
        <w:overflowPunct/>
        <w:topLinePunct w:val="0"/>
        <w:autoSpaceDE/>
        <w:autoSpaceDN/>
        <w:bidi w:val="0"/>
        <w:adjustRightInd/>
        <w:snapToGrid/>
        <w:spacing w:after="0"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5.13.14.</w:t>
      </w:r>
      <w:r>
        <w:rPr>
          <w:rFonts w:hint="default" w:ascii="Arial" w:hAnsi="Arial" w:cs="Arial"/>
          <w:sz w:val="22"/>
          <w:szCs w:val="22"/>
          <w:lang w:val="pt-BR"/>
        </w:rPr>
        <w:t xml:space="preserve"> </w:t>
      </w:r>
      <w:r>
        <w:rPr>
          <w:rFonts w:hint="default" w:ascii="Arial" w:hAnsi="Arial" w:cs="Arial"/>
          <w:sz w:val="22"/>
          <w:szCs w:val="22"/>
        </w:rPr>
        <w:t>Todos os atestados devem estar devidamente registrados na entidade de classe correspondente à área de atuação da empresa.</w:t>
      </w:r>
    </w:p>
    <w:p w14:paraId="33E65679">
      <w:pPr>
        <w:pStyle w:val="165"/>
        <w:pageBreakBefore w:val="0"/>
        <w:numPr>
          <w:ilvl w:val="0"/>
          <w:numId w:val="0"/>
        </w:numPr>
        <w:tabs>
          <w:tab w:val="left" w:pos="1276"/>
        </w:tabs>
        <w:kinsoku/>
        <w:wordWrap/>
        <w:overflowPunct/>
        <w:topLinePunct w:val="0"/>
        <w:autoSpaceDE/>
        <w:autoSpaceDN/>
        <w:bidi w:val="0"/>
        <w:adjustRightInd/>
        <w:snapToGrid/>
        <w:spacing w:after="0"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5.13.15.</w:t>
      </w:r>
      <w:r>
        <w:rPr>
          <w:rFonts w:hint="default" w:ascii="Arial" w:hAnsi="Arial" w:cs="Arial"/>
          <w:sz w:val="22"/>
          <w:szCs w:val="22"/>
          <w:lang w:val="pt-BR"/>
        </w:rPr>
        <w:t xml:space="preserve"> </w:t>
      </w:r>
      <w:r>
        <w:rPr>
          <w:rFonts w:hint="default" w:ascii="Arial" w:hAnsi="Arial" w:cs="Arial"/>
          <w:sz w:val="22"/>
          <w:szCs w:val="22"/>
        </w:rPr>
        <w:t>A CONTRATADA deverá possuir Engenheiro, responsável técnico da empresa, registrados no CREA, com pelo menos 02 anos de experiência. Este profissional será alocado sempre que necessário para a realização de vistorias, emissão de laudos e termos de responsabilidade técnica junto ao CREA, de todas as atividades pertinentes às suas funções, incluindo: instalação e remoção de equipamentos, com a indicação das condições técnicas mínimas no que se refere a adequações estruturais, rede elétrica, ar condicionado, rede lógica, automação e segurança do ambiente contemplado pelo Centro de Processamento de Dados.</w:t>
      </w:r>
    </w:p>
    <w:p w14:paraId="33303D17">
      <w:pPr>
        <w:pStyle w:val="165"/>
        <w:pageBreakBefore w:val="0"/>
        <w:numPr>
          <w:ilvl w:val="0"/>
          <w:numId w:val="0"/>
        </w:numPr>
        <w:tabs>
          <w:tab w:val="left" w:pos="1276"/>
        </w:tabs>
        <w:kinsoku/>
        <w:wordWrap/>
        <w:overflowPunct/>
        <w:topLinePunct w:val="0"/>
        <w:autoSpaceDE/>
        <w:autoSpaceDN/>
        <w:bidi w:val="0"/>
        <w:adjustRightInd/>
        <w:snapToGrid/>
        <w:spacing w:after="0"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5.13.16.</w:t>
      </w:r>
      <w:r>
        <w:rPr>
          <w:rFonts w:hint="default" w:ascii="Arial" w:hAnsi="Arial" w:cs="Arial"/>
          <w:sz w:val="22"/>
          <w:szCs w:val="22"/>
          <w:lang w:val="pt-BR"/>
        </w:rPr>
        <w:t xml:space="preserve"> </w:t>
      </w:r>
      <w:r>
        <w:rPr>
          <w:rFonts w:hint="default" w:ascii="Arial" w:hAnsi="Arial" w:cs="Arial"/>
          <w:sz w:val="22"/>
          <w:szCs w:val="22"/>
        </w:rPr>
        <w:t>A CONTRANTADA deverá possuir pelo menos 01 (um) engenheiro civil ou arquiteto. Este profissional será o responsável por todos os assuntos relativos à parte civil e instalações em geral e material, métodos e processos durante a implantação do solução de Data Center.</w:t>
      </w:r>
    </w:p>
    <w:p w14:paraId="0ED7CA47">
      <w:pPr>
        <w:pStyle w:val="165"/>
        <w:pageBreakBefore w:val="0"/>
        <w:numPr>
          <w:ilvl w:val="0"/>
          <w:numId w:val="0"/>
        </w:numPr>
        <w:tabs>
          <w:tab w:val="left" w:pos="1276"/>
        </w:tabs>
        <w:kinsoku/>
        <w:wordWrap/>
        <w:overflowPunct/>
        <w:topLinePunct w:val="0"/>
        <w:autoSpaceDE/>
        <w:autoSpaceDN/>
        <w:bidi w:val="0"/>
        <w:adjustRightInd/>
        <w:snapToGrid/>
        <w:spacing w:after="0"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5.13.17.</w:t>
      </w:r>
      <w:r>
        <w:rPr>
          <w:rFonts w:hint="default" w:ascii="Arial" w:hAnsi="Arial" w:cs="Arial"/>
          <w:sz w:val="22"/>
          <w:szCs w:val="22"/>
          <w:lang w:val="pt-BR"/>
        </w:rPr>
        <w:t xml:space="preserve"> </w:t>
      </w:r>
      <w:r>
        <w:rPr>
          <w:rFonts w:hint="default" w:ascii="Arial" w:hAnsi="Arial" w:cs="Arial"/>
          <w:sz w:val="22"/>
          <w:szCs w:val="22"/>
        </w:rPr>
        <w:t>A CONTRATADA ainda deverá apresentar obrigatoriamente, para comprovação de capacidade técnica-profissional de seus responsáveis técnicos, atestado(s) de capacidade técnica, expedido(s) por pessoa(s) jurídica(s) de direito público ou privado, comprovando que os profissionais realizaram serviços de natureza semelhante ao objeto deste presente termo, acompanhado(s) da(s) respectiva(s) certidão(ões) de acervo técnico (CAT) dos profissionais que se responsabilizaram pela execução dos serviços, emitidas pelo CREA da região em que foram realizados.</w:t>
      </w:r>
    </w:p>
    <w:p w14:paraId="66154333">
      <w:pPr>
        <w:pStyle w:val="166"/>
        <w:pageBreakBefore w:val="0"/>
        <w:widowControl/>
        <w:kinsoku/>
        <w:wordWrap/>
        <w:overflowPunct/>
        <w:topLinePunct w:val="0"/>
        <w:autoSpaceDE/>
        <w:autoSpaceDN/>
        <w:bidi w:val="0"/>
        <w:adjustRightInd/>
        <w:snapToGrid/>
        <w:spacing w:before="0" w:after="0" w:line="360" w:lineRule="auto"/>
        <w:ind w:left="0" w:firstLine="0"/>
        <w:jc w:val="both"/>
        <w:textAlignment w:val="auto"/>
        <w:rPr>
          <w:rFonts w:hint="default" w:ascii="Arial" w:hAnsi="Arial" w:cs="Arial"/>
          <w:b/>
          <w:bCs/>
          <w:sz w:val="22"/>
          <w:szCs w:val="22"/>
          <w:lang w:eastAsia="zh-CN"/>
        </w:rPr>
      </w:pPr>
      <w:r>
        <w:rPr>
          <w:rFonts w:hint="default" w:ascii="Arial" w:hAnsi="Arial" w:cs="Arial"/>
          <w:b/>
          <w:bCs/>
          <w:sz w:val="22"/>
          <w:szCs w:val="22"/>
          <w:lang w:eastAsia="zh-CN"/>
        </w:rPr>
        <w:t>CRITÉRIOS DE ACEITABILIDADE DAS PROPOSTAS</w:t>
      </w:r>
    </w:p>
    <w:p w14:paraId="759985B2">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Chars="0"/>
        <w:jc w:val="both"/>
        <w:textAlignment w:val="auto"/>
        <w:rPr>
          <w:rFonts w:hint="default" w:ascii="Arial" w:hAnsi="Arial" w:cs="Arial"/>
          <w:color w:val="auto"/>
          <w:sz w:val="22"/>
          <w:szCs w:val="22"/>
        </w:rPr>
      </w:pPr>
      <w:r>
        <w:rPr>
          <w:rFonts w:hint="default" w:ascii="Arial" w:hAnsi="Arial" w:cs="Arial"/>
          <w:b/>
          <w:bCs/>
          <w:color w:val="auto"/>
          <w:sz w:val="22"/>
          <w:szCs w:val="22"/>
          <w:lang w:val="pt-BR"/>
        </w:rPr>
        <w:t>5.13.18.</w:t>
      </w:r>
      <w:r>
        <w:rPr>
          <w:rFonts w:hint="default" w:ascii="Arial" w:hAnsi="Arial" w:cs="Arial"/>
          <w:color w:val="auto"/>
          <w:sz w:val="22"/>
          <w:szCs w:val="22"/>
          <w:lang w:val="pt-BR"/>
        </w:rPr>
        <w:t xml:space="preserve"> </w:t>
      </w:r>
      <w:r>
        <w:rPr>
          <w:rFonts w:hint="default" w:ascii="Arial" w:hAnsi="Arial" w:cs="Arial"/>
          <w:color w:val="auto"/>
          <w:sz w:val="22"/>
          <w:szCs w:val="22"/>
        </w:rPr>
        <w:t>Os preços devem ser compatíveis com os preços praticados na Administração Pública, de acordo com o</w:t>
      </w:r>
      <w:r>
        <w:rPr>
          <w:rFonts w:hint="default" w:ascii="Arial" w:hAnsi="Arial" w:cs="Arial"/>
          <w:color w:val="auto"/>
          <w:sz w:val="22"/>
          <w:szCs w:val="22"/>
          <w:lang w:val="pt-BR"/>
        </w:rPr>
        <w:t xml:space="preserve"> </w:t>
      </w:r>
      <w:r>
        <w:rPr>
          <w:rFonts w:hint="default" w:ascii="Arial" w:hAnsi="Arial" w:eastAsia="sans-serif" w:cs="Arial"/>
          <w:i w:val="0"/>
          <w:iCs w:val="0"/>
          <w:caps w:val="0"/>
          <w:color w:val="162937"/>
          <w:spacing w:val="0"/>
          <w:sz w:val="22"/>
          <w:szCs w:val="22"/>
          <w:shd w:val="clear" w:fill="FFFFFF"/>
        </w:rPr>
        <w:t>Art. 23</w:t>
      </w:r>
      <w:r>
        <w:rPr>
          <w:rFonts w:hint="default" w:ascii="Arial" w:hAnsi="Arial" w:eastAsia="sans-serif" w:cs="Arial"/>
          <w:i w:val="0"/>
          <w:iCs w:val="0"/>
          <w:caps w:val="0"/>
          <w:color w:val="162937"/>
          <w:spacing w:val="0"/>
          <w:sz w:val="22"/>
          <w:szCs w:val="22"/>
          <w:shd w:val="clear" w:fill="FFFFFF"/>
          <w:lang w:val="pt-BR"/>
        </w:rPr>
        <w:t xml:space="preserve"> da Lei 14.133/21, a qual diz que o</w:t>
      </w:r>
      <w:r>
        <w:rPr>
          <w:rFonts w:hint="default" w:ascii="Arial" w:hAnsi="Arial" w:eastAsia="sans-serif" w:cs="Arial"/>
          <w:i w:val="0"/>
          <w:iCs w:val="0"/>
          <w:caps w:val="0"/>
          <w:color w:val="162937"/>
          <w:spacing w:val="0"/>
          <w:sz w:val="22"/>
          <w:szCs w:val="22"/>
          <w:shd w:val="clear" w:fill="FFFFFF"/>
        </w:rPr>
        <w:t xml:space="preserve"> valor previamente estimado da contratação deverá ser compatível com os valores praticados pelo mercado, considerados os preços constantes de bancos de dados públicos e as quantidades a serem contratadas, observadas a potencial economia de escala e as peculiaridades do local de execução do objeto.</w:t>
      </w:r>
      <w:r>
        <w:rPr>
          <w:rFonts w:hint="default" w:ascii="Arial" w:hAnsi="Arial" w:cs="Arial"/>
          <w:color w:val="auto"/>
          <w:sz w:val="22"/>
          <w:szCs w:val="22"/>
        </w:rPr>
        <w:t xml:space="preserve"> Os preços não poderão ser superiores aos valores estimados constantes </w:t>
      </w:r>
      <w:r>
        <w:rPr>
          <w:rFonts w:hint="default" w:ascii="Arial" w:hAnsi="Arial" w:cs="Arial"/>
          <w:color w:val="auto"/>
          <w:sz w:val="22"/>
          <w:szCs w:val="22"/>
          <w:lang w:val="pt-BR"/>
        </w:rPr>
        <w:t>na</w:t>
      </w:r>
      <w:r>
        <w:rPr>
          <w:rFonts w:hint="default" w:ascii="Arial" w:hAnsi="Arial" w:cs="Arial"/>
          <w:color w:val="auto"/>
          <w:sz w:val="22"/>
          <w:szCs w:val="22"/>
        </w:rPr>
        <w:t xml:space="preserve"> </w:t>
      </w:r>
      <w:r>
        <w:rPr>
          <w:rFonts w:hint="default" w:ascii="Arial" w:hAnsi="Arial" w:cs="Arial"/>
          <w:color w:val="auto"/>
          <w:sz w:val="22"/>
          <w:szCs w:val="22"/>
          <w:lang w:val="pt-BR"/>
        </w:rPr>
        <w:t>e</w:t>
      </w:r>
      <w:r>
        <w:rPr>
          <w:rFonts w:hint="default" w:ascii="Arial" w:hAnsi="Arial" w:cs="Arial"/>
          <w:color w:val="auto"/>
          <w:sz w:val="22"/>
          <w:szCs w:val="22"/>
        </w:rPr>
        <w:t>stimativa de Custos.</w:t>
      </w:r>
    </w:p>
    <w:p w14:paraId="04F6B6DC">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5.13.19.</w:t>
      </w:r>
      <w:r>
        <w:rPr>
          <w:rFonts w:hint="default" w:ascii="Arial" w:hAnsi="Arial" w:cs="Arial"/>
          <w:sz w:val="22"/>
          <w:szCs w:val="22"/>
          <w:lang w:val="pt-BR"/>
        </w:rPr>
        <w:t xml:space="preserve"> </w:t>
      </w:r>
      <w:r>
        <w:rPr>
          <w:rFonts w:hint="default" w:ascii="Arial" w:hAnsi="Arial" w:cs="Arial"/>
          <w:sz w:val="22"/>
          <w:szCs w:val="22"/>
        </w:rPr>
        <w:t xml:space="preserve">Os custos relativos ao fornecimento das licenças, documentação e serviços de suporte técnico, bem como quaisquer outras despesas que incidam ou venham a incidir sobre o objeto desta licitação devem estar inclusos nos preços ofertados da proposta, conforme modelo no Anexo </w:t>
      </w:r>
      <w:r>
        <w:rPr>
          <w:rFonts w:hint="default" w:ascii="Arial" w:hAnsi="Arial" w:cs="Arial"/>
          <w:sz w:val="22"/>
          <w:szCs w:val="22"/>
          <w:lang w:val="pt-BR"/>
        </w:rPr>
        <w:t>I</w:t>
      </w:r>
      <w:r>
        <w:rPr>
          <w:rFonts w:hint="default" w:ascii="Arial" w:hAnsi="Arial" w:cs="Arial"/>
          <w:sz w:val="22"/>
          <w:szCs w:val="22"/>
        </w:rPr>
        <w:t>I – Modelo de Proposta</w:t>
      </w:r>
      <w:r>
        <w:rPr>
          <w:rFonts w:hint="default" w:ascii="Arial" w:hAnsi="Arial" w:cs="Arial"/>
          <w:sz w:val="22"/>
          <w:szCs w:val="22"/>
          <w:lang w:val="pt-BR"/>
        </w:rPr>
        <w:t xml:space="preserve"> Readequada</w:t>
      </w:r>
      <w:r>
        <w:rPr>
          <w:rFonts w:hint="default" w:ascii="Arial" w:hAnsi="Arial" w:cs="Arial"/>
          <w:sz w:val="22"/>
          <w:szCs w:val="22"/>
        </w:rPr>
        <w:t>.</w:t>
      </w:r>
    </w:p>
    <w:p w14:paraId="180795D6">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5.13.20.</w:t>
      </w:r>
      <w:r>
        <w:rPr>
          <w:rFonts w:hint="default" w:ascii="Arial" w:hAnsi="Arial" w:cs="Arial"/>
          <w:sz w:val="22"/>
          <w:szCs w:val="22"/>
          <w:lang w:val="pt-BR"/>
        </w:rPr>
        <w:t xml:space="preserve"> </w:t>
      </w:r>
      <w:r>
        <w:rPr>
          <w:rFonts w:hint="default" w:ascii="Arial" w:hAnsi="Arial" w:cs="Arial"/>
          <w:sz w:val="22"/>
          <w:szCs w:val="22"/>
        </w:rPr>
        <w:t>Os Manuais técnicos, os atestados de capacidade devem ser preferencialmente em português, mas poderão ser aceitos, excepcionalmente, em língua inglesa, caso não haja a documentação escrita em língua portuguesa.</w:t>
      </w:r>
    </w:p>
    <w:p w14:paraId="2D6B531E">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5.13.21. </w:t>
      </w:r>
      <w:r>
        <w:rPr>
          <w:rFonts w:hint="default" w:ascii="Arial" w:hAnsi="Arial" w:cs="Arial"/>
          <w:sz w:val="22"/>
          <w:szCs w:val="22"/>
        </w:rPr>
        <w:t>Todos os componentes necessários ao perfeito funcionamento de cada um dos ITENS do objeto devem estar discriminados e precificados na proposta.</w:t>
      </w:r>
    </w:p>
    <w:p w14:paraId="6A5B0B76">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5.13.22.</w:t>
      </w:r>
      <w:r>
        <w:rPr>
          <w:rFonts w:hint="default" w:ascii="Arial" w:hAnsi="Arial" w:cs="Arial"/>
          <w:sz w:val="22"/>
          <w:szCs w:val="22"/>
          <w:lang w:val="pt-BR"/>
        </w:rPr>
        <w:t xml:space="preserve"> </w:t>
      </w:r>
      <w:r>
        <w:rPr>
          <w:rFonts w:hint="default" w:ascii="Arial" w:hAnsi="Arial" w:cs="Arial"/>
          <w:sz w:val="22"/>
          <w:szCs w:val="22"/>
        </w:rPr>
        <w:t>Qualquer item adicional à Planilha de Formação de Preço, que vier a ser necessário para garantir o perfeito funcionamento, quando ocorrer a implantação em campo, será de total responsabilidade da CONTRATADA, não cabendo ônus algum a PREFEITURA.</w:t>
      </w:r>
    </w:p>
    <w:p w14:paraId="2B78650F">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5.13.23.</w:t>
      </w:r>
      <w:r>
        <w:rPr>
          <w:rFonts w:hint="default" w:ascii="Arial" w:hAnsi="Arial" w:cs="Arial"/>
          <w:sz w:val="22"/>
          <w:szCs w:val="22"/>
          <w:lang w:val="pt-BR"/>
        </w:rPr>
        <w:t xml:space="preserve"> </w:t>
      </w:r>
      <w:r>
        <w:rPr>
          <w:rFonts w:hint="default" w:ascii="Arial" w:hAnsi="Arial" w:cs="Arial"/>
          <w:sz w:val="22"/>
          <w:szCs w:val="22"/>
        </w:rPr>
        <w:t>Apresentar juntamente com a Proposta de Preços toda documentação necessária para subsidiar o julgamento técnico das soluções ofertadas para atendimento das funcionalidades descritas neste Termo de Referência;</w:t>
      </w:r>
    </w:p>
    <w:p w14:paraId="1E056400">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5.13.24.</w:t>
      </w:r>
      <w:r>
        <w:rPr>
          <w:rFonts w:hint="default" w:ascii="Arial" w:hAnsi="Arial" w:cs="Arial"/>
          <w:sz w:val="22"/>
          <w:szCs w:val="22"/>
          <w:highlight w:val="none"/>
          <w:lang w:val="pt-BR"/>
        </w:rPr>
        <w:t xml:space="preserve"> </w:t>
      </w:r>
      <w:r>
        <w:rPr>
          <w:rFonts w:hint="default" w:ascii="Arial" w:hAnsi="Arial" w:cs="Arial"/>
          <w:sz w:val="22"/>
          <w:szCs w:val="22"/>
          <w:highlight w:val="none"/>
        </w:rPr>
        <w:t>A PREFEITURA</w:t>
      </w:r>
      <w:r>
        <w:rPr>
          <w:rFonts w:hint="default" w:ascii="Arial" w:hAnsi="Arial" w:cs="Arial"/>
          <w:sz w:val="22"/>
          <w:szCs w:val="22"/>
        </w:rPr>
        <w:t xml:space="preserve"> poderá fazer diligências/consultas no sentido de sanar dúvidas quanto ao atendimento das especificações relativas aos equipamentos ofertados.</w:t>
      </w:r>
    </w:p>
    <w:p w14:paraId="511C492F">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5.13.25.</w:t>
      </w:r>
      <w:r>
        <w:rPr>
          <w:rFonts w:hint="default" w:ascii="Arial" w:hAnsi="Arial" w:cs="Arial"/>
          <w:sz w:val="22"/>
          <w:szCs w:val="22"/>
          <w:lang w:val="pt-BR"/>
        </w:rPr>
        <w:t xml:space="preserve"> </w:t>
      </w:r>
      <w:r>
        <w:rPr>
          <w:rFonts w:hint="default" w:ascii="Arial" w:hAnsi="Arial" w:cs="Arial"/>
          <w:sz w:val="22"/>
          <w:szCs w:val="22"/>
        </w:rPr>
        <w:t>Apresentar comprovação ponto a ponto, por escrito, por meio de documentação oficial do fabricante, do atendimento as especificações mínimas dos produtos.</w:t>
      </w:r>
    </w:p>
    <w:p w14:paraId="113108B4">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5.13.26.</w:t>
      </w:r>
      <w:r>
        <w:rPr>
          <w:rFonts w:hint="default" w:ascii="Arial" w:hAnsi="Arial" w:cs="Arial"/>
          <w:sz w:val="22"/>
          <w:szCs w:val="22"/>
          <w:lang w:val="pt-BR"/>
        </w:rPr>
        <w:t xml:space="preserve"> </w:t>
      </w:r>
      <w:r>
        <w:rPr>
          <w:rFonts w:hint="default" w:ascii="Arial" w:hAnsi="Arial" w:cs="Arial"/>
          <w:sz w:val="22"/>
          <w:szCs w:val="22"/>
        </w:rPr>
        <w:t>A aprovação da COMPROVAÇÃO PONTUAL DE ATENDIMENTO À ESPECIFICAÇÃO TÉCNICA, suportado pela equipe técnica, é condição necessária para a adjudicação do vencedor da licitação;</w:t>
      </w:r>
    </w:p>
    <w:p w14:paraId="368636D8">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5.13.27. </w:t>
      </w:r>
      <w:r>
        <w:rPr>
          <w:rFonts w:hint="default" w:ascii="Arial" w:hAnsi="Arial" w:cs="Arial"/>
          <w:sz w:val="22"/>
          <w:szCs w:val="22"/>
        </w:rPr>
        <w:t>A comprovação ponto-a-ponto deve acompanhar os manuais técnicos, os atestados de capacidade técnica, bem como os documentos citados indicando a página, o item, o ponto da especificação que comprove a aderência do equipamento à especificação deste Termo de Referência. Devem ser preferencialmente em língua portuguesa, mas poderão ser aceitos, excepcionalmente, em língua inglesa, caso não haja a documentação escrita em língua portuguesa;</w:t>
      </w:r>
    </w:p>
    <w:p w14:paraId="6F1F0D9A">
      <w:pPr>
        <w:pStyle w:val="166"/>
        <w:pageBreakBefore w:val="0"/>
        <w:widowControl/>
        <w:kinsoku/>
        <w:wordWrap/>
        <w:overflowPunct/>
        <w:topLinePunct w:val="0"/>
        <w:autoSpaceDE/>
        <w:autoSpaceDN/>
        <w:bidi w:val="0"/>
        <w:adjustRightInd/>
        <w:snapToGrid/>
        <w:spacing w:before="0" w:after="0" w:line="360" w:lineRule="auto"/>
        <w:ind w:left="0" w:firstLine="0"/>
        <w:jc w:val="both"/>
        <w:textAlignment w:val="auto"/>
        <w:rPr>
          <w:rFonts w:hint="default" w:ascii="Arial" w:hAnsi="Arial" w:cs="Arial"/>
          <w:b/>
          <w:bCs/>
          <w:sz w:val="22"/>
          <w:szCs w:val="22"/>
          <w:lang w:eastAsia="zh-CN"/>
        </w:rPr>
      </w:pPr>
      <w:r>
        <w:rPr>
          <w:rFonts w:hint="default" w:ascii="Arial" w:hAnsi="Arial" w:cs="Arial"/>
          <w:b/>
          <w:bCs/>
          <w:sz w:val="22"/>
          <w:szCs w:val="22"/>
          <w:lang w:eastAsia="zh-CN"/>
        </w:rPr>
        <w:t>REQUISITOS TÉCNICOS PARA A ELABORAÇÃO DA SOLUÇÃO</w:t>
      </w:r>
    </w:p>
    <w:p w14:paraId="1F937703">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r>
        <w:rPr>
          <w:rFonts w:hint="default" w:ascii="Arial" w:hAnsi="Arial" w:cs="Arial"/>
          <w:b/>
          <w:bCs/>
          <w:sz w:val="22"/>
          <w:szCs w:val="22"/>
          <w:lang w:val="pt-BR"/>
        </w:rPr>
        <w:t>5.13.28</w:t>
      </w:r>
      <w:r>
        <w:rPr>
          <w:rFonts w:hint="default" w:ascii="Arial" w:hAnsi="Arial" w:cs="Arial"/>
          <w:sz w:val="22"/>
          <w:szCs w:val="22"/>
          <w:lang w:val="pt-BR"/>
        </w:rPr>
        <w:t xml:space="preserve">. </w:t>
      </w:r>
      <w:r>
        <w:rPr>
          <w:rFonts w:hint="default" w:ascii="Arial" w:hAnsi="Arial" w:cs="Arial"/>
          <w:sz w:val="22"/>
          <w:szCs w:val="22"/>
        </w:rPr>
        <w:t>Requisitos A solução a ser concebida deverá estar em estrita conformidade com todas as normas técnicas vigentes, abrangendo padrões nacionais e internacionais pertinentes ao desenvolvimento e operação de data centers. Deve-se proceder a uma minuciosa revisão das diretrizes estabelecidas pelos órgãos de normalização técnica, garantindo a adesão a todas as orientações aplicáveis.</w:t>
      </w:r>
    </w:p>
    <w:p w14:paraId="33498920">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firstLine="110" w:firstLineChars="50"/>
        <w:jc w:val="both"/>
        <w:textAlignment w:val="auto"/>
        <w:rPr>
          <w:rFonts w:hint="default" w:ascii="Arial" w:hAnsi="Arial" w:cs="Arial"/>
          <w:sz w:val="22"/>
          <w:szCs w:val="22"/>
        </w:rPr>
      </w:pPr>
      <w:r>
        <w:rPr>
          <w:rFonts w:hint="default" w:ascii="Arial" w:hAnsi="Arial" w:cs="Arial"/>
          <w:b/>
          <w:bCs/>
          <w:sz w:val="22"/>
          <w:szCs w:val="22"/>
          <w:lang w:val="pt-BR"/>
        </w:rPr>
        <w:t>5.13.29.</w:t>
      </w:r>
      <w:r>
        <w:rPr>
          <w:rFonts w:hint="default" w:ascii="Arial" w:hAnsi="Arial" w:cs="Arial"/>
          <w:sz w:val="22"/>
          <w:szCs w:val="22"/>
          <w:lang w:val="pt-BR"/>
        </w:rPr>
        <w:t xml:space="preserve"> </w:t>
      </w:r>
      <w:r>
        <w:rPr>
          <w:rFonts w:hint="default" w:ascii="Arial" w:hAnsi="Arial" w:cs="Arial"/>
          <w:sz w:val="22"/>
          <w:szCs w:val="22"/>
        </w:rPr>
        <w:t>Adicionalmente, a solução deverá ser fundamentada nas melhores práticas de mercado para a construção e manutenção de data centers. Isso inclui, mas não se limita a, práticas de eficiência energética, segurança física, redundância e resiliência operacional, gestão de capacidade, e otimização de infraestrutura.</w:t>
      </w:r>
    </w:p>
    <w:p w14:paraId="2BDD6098">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rPr>
      </w:pPr>
      <w:r>
        <w:rPr>
          <w:rFonts w:hint="default" w:ascii="Arial" w:hAnsi="Arial" w:cs="Arial"/>
          <w:b/>
          <w:bCs/>
          <w:sz w:val="22"/>
          <w:szCs w:val="22"/>
          <w:lang w:val="pt-BR"/>
        </w:rPr>
        <w:t>5.13.30.</w:t>
      </w:r>
      <w:r>
        <w:rPr>
          <w:rFonts w:hint="default" w:ascii="Arial" w:hAnsi="Arial" w:cs="Arial"/>
          <w:sz w:val="22"/>
          <w:szCs w:val="22"/>
          <w:lang w:val="pt-BR"/>
        </w:rPr>
        <w:t xml:space="preserve"> </w:t>
      </w:r>
      <w:r>
        <w:rPr>
          <w:rFonts w:hint="default" w:ascii="Arial" w:hAnsi="Arial" w:cs="Arial"/>
          <w:sz w:val="22"/>
          <w:szCs w:val="22"/>
        </w:rPr>
        <w:t>As estratégias e tecnologias adotadas deverão refletir o estado da arte em design e operação de data centers, levando em conta inovações no campo de refrigeração, gestão de energia, e arquitetura modular, entre outras. Além disso, deve-se prever a escalabilidade e a flexibilidade para futuras expansões ou ajustes conforme as necessidades evoluem.</w:t>
      </w:r>
    </w:p>
    <w:p w14:paraId="2EF709F7">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rPr>
      </w:pPr>
      <w:r>
        <w:rPr>
          <w:rFonts w:hint="default" w:ascii="Arial" w:hAnsi="Arial" w:cs="Arial"/>
          <w:b/>
          <w:bCs/>
          <w:sz w:val="22"/>
          <w:szCs w:val="22"/>
          <w:lang w:val="pt-BR"/>
        </w:rPr>
        <w:t>5.13.31.</w:t>
      </w:r>
      <w:r>
        <w:rPr>
          <w:rFonts w:hint="default" w:ascii="Arial" w:hAnsi="Arial" w:cs="Arial"/>
          <w:sz w:val="22"/>
          <w:szCs w:val="22"/>
          <w:lang w:val="pt-BR"/>
        </w:rPr>
        <w:t xml:space="preserve"> </w:t>
      </w:r>
      <w:r>
        <w:rPr>
          <w:rFonts w:hint="default" w:ascii="Arial" w:hAnsi="Arial" w:cs="Arial"/>
          <w:sz w:val="22"/>
          <w:szCs w:val="22"/>
        </w:rPr>
        <w:t>Este compromisso com a excelência técnica e a adoção de padrões superiores visa assegurar uma solução robusta, sustentável e de longa durabilidade, proporcionando um ambiente de data center que atenda aos mais altos níveis de performance e confiabilidade exigidos.</w:t>
      </w:r>
    </w:p>
    <w:p w14:paraId="466B7865">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lang w:val="en-US"/>
        </w:rPr>
      </w:pPr>
      <w:r>
        <w:rPr>
          <w:rFonts w:hint="default" w:ascii="Arial" w:hAnsi="Arial" w:cs="Arial"/>
          <w:b/>
          <w:bCs/>
          <w:sz w:val="22"/>
          <w:szCs w:val="22"/>
          <w:lang w:val="pt-BR"/>
        </w:rPr>
        <w:t>5.13.32.</w:t>
      </w:r>
      <w:r>
        <w:rPr>
          <w:rFonts w:hint="default" w:ascii="Arial" w:hAnsi="Arial" w:cs="Arial"/>
          <w:sz w:val="22"/>
          <w:szCs w:val="22"/>
          <w:lang w:val="pt-BR"/>
        </w:rPr>
        <w:t xml:space="preserve"> </w:t>
      </w:r>
      <w:r>
        <w:rPr>
          <w:rFonts w:hint="default" w:ascii="Arial" w:hAnsi="Arial" w:cs="Arial"/>
          <w:sz w:val="22"/>
          <w:szCs w:val="22"/>
          <w:lang w:val="en-US"/>
        </w:rPr>
        <w:t xml:space="preserve">ANSI/BICSI-002 - Data Center Design and Implementation Best Practices; </w:t>
      </w:r>
    </w:p>
    <w:p w14:paraId="0A09021A">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lang w:val="en-US"/>
        </w:rPr>
      </w:pPr>
      <w:r>
        <w:rPr>
          <w:rFonts w:hint="default" w:ascii="Arial" w:hAnsi="Arial" w:cs="Arial"/>
          <w:b/>
          <w:bCs/>
          <w:sz w:val="22"/>
          <w:szCs w:val="22"/>
          <w:lang w:val="pt-BR"/>
        </w:rPr>
        <w:t xml:space="preserve">5.13.33. </w:t>
      </w:r>
      <w:r>
        <w:rPr>
          <w:rFonts w:hint="default" w:ascii="Arial" w:hAnsi="Arial" w:cs="Arial"/>
          <w:sz w:val="22"/>
          <w:szCs w:val="22"/>
          <w:lang w:val="en-US"/>
        </w:rPr>
        <w:t xml:space="preserve">ANSI/EIA/TIA 942-A - Telecommunications Infrastructure Standard for Data Centers; </w:t>
      </w:r>
    </w:p>
    <w:p w14:paraId="18A672F4">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rPr>
      </w:pPr>
      <w:r>
        <w:rPr>
          <w:rFonts w:hint="default" w:ascii="Arial" w:hAnsi="Arial" w:cs="Arial"/>
          <w:b/>
          <w:bCs/>
          <w:sz w:val="22"/>
          <w:szCs w:val="22"/>
          <w:lang w:val="pt-BR"/>
        </w:rPr>
        <w:t xml:space="preserve">5.13.34. </w:t>
      </w:r>
      <w:r>
        <w:rPr>
          <w:rFonts w:hint="default" w:ascii="Arial" w:hAnsi="Arial" w:cs="Arial"/>
          <w:sz w:val="22"/>
          <w:szCs w:val="22"/>
        </w:rPr>
        <w:t xml:space="preserve">ABNT NBR 5410 - Instalações elétricas de baixa tensão; </w:t>
      </w:r>
    </w:p>
    <w:p w14:paraId="4DFEA76F">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rPr>
      </w:pPr>
      <w:r>
        <w:rPr>
          <w:rFonts w:hint="default" w:ascii="Arial" w:hAnsi="Arial" w:cs="Arial"/>
          <w:b/>
          <w:bCs/>
          <w:sz w:val="22"/>
          <w:szCs w:val="22"/>
          <w:lang w:val="pt-BR"/>
        </w:rPr>
        <w:t xml:space="preserve">5.13.35. </w:t>
      </w:r>
      <w:r>
        <w:rPr>
          <w:rFonts w:hint="default" w:ascii="Arial" w:hAnsi="Arial" w:cs="Arial"/>
          <w:sz w:val="22"/>
          <w:szCs w:val="22"/>
        </w:rPr>
        <w:t xml:space="preserve">ABNT NBR 5413 - Iluminância de interiores; </w:t>
      </w:r>
    </w:p>
    <w:p w14:paraId="283469CD">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rPr>
      </w:pPr>
      <w:r>
        <w:rPr>
          <w:rFonts w:hint="default" w:ascii="Arial" w:hAnsi="Arial" w:cs="Arial"/>
          <w:b/>
          <w:bCs/>
          <w:sz w:val="22"/>
          <w:szCs w:val="22"/>
          <w:lang w:val="pt-BR"/>
        </w:rPr>
        <w:t xml:space="preserve">5.13.36. </w:t>
      </w:r>
      <w:r>
        <w:rPr>
          <w:rFonts w:hint="default" w:ascii="Arial" w:hAnsi="Arial" w:cs="Arial"/>
          <w:sz w:val="22"/>
          <w:szCs w:val="22"/>
        </w:rPr>
        <w:t xml:space="preserve">ABNT NBR 5471 - Condutores elétricos; </w:t>
      </w:r>
    </w:p>
    <w:p w14:paraId="648AC3EE">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rPr>
      </w:pPr>
      <w:r>
        <w:rPr>
          <w:rFonts w:hint="default" w:ascii="Arial" w:hAnsi="Arial" w:cs="Arial"/>
          <w:b/>
          <w:bCs/>
          <w:sz w:val="22"/>
          <w:szCs w:val="22"/>
          <w:lang w:val="pt-BR"/>
        </w:rPr>
        <w:t xml:space="preserve">5.13.37. </w:t>
      </w:r>
      <w:r>
        <w:rPr>
          <w:rFonts w:hint="default" w:ascii="Arial" w:hAnsi="Arial" w:cs="Arial"/>
          <w:sz w:val="22"/>
          <w:szCs w:val="22"/>
        </w:rPr>
        <w:t>ABNT NBR 9442 - Materiais de construção - Determinação do índice de propagação superficial de chama pelo método do painel radiante - Método de ensaio;</w:t>
      </w:r>
    </w:p>
    <w:p w14:paraId="3A827F40">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rPr>
      </w:pPr>
      <w:r>
        <w:rPr>
          <w:rFonts w:hint="default" w:ascii="Arial" w:hAnsi="Arial" w:cs="Arial"/>
          <w:b/>
          <w:bCs/>
          <w:sz w:val="22"/>
          <w:szCs w:val="22"/>
          <w:lang w:val="pt-BR"/>
        </w:rPr>
        <w:t xml:space="preserve">5.13.39. </w:t>
      </w:r>
      <w:r>
        <w:rPr>
          <w:rFonts w:hint="default" w:ascii="Arial" w:hAnsi="Arial" w:cs="Arial"/>
          <w:sz w:val="22"/>
          <w:szCs w:val="22"/>
        </w:rPr>
        <w:t xml:space="preserve">ABNT NBR 10151 - Acústica - Avaliação do ruído em áreas habitadas, visando o conforto da comunidade - Procedimento; </w:t>
      </w:r>
    </w:p>
    <w:p w14:paraId="0260539B">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rPr>
      </w:pPr>
      <w:r>
        <w:rPr>
          <w:rFonts w:hint="default" w:ascii="Arial" w:hAnsi="Arial" w:cs="Arial"/>
          <w:b/>
          <w:bCs/>
          <w:sz w:val="22"/>
          <w:szCs w:val="22"/>
          <w:lang w:val="pt-BR"/>
        </w:rPr>
        <w:t xml:space="preserve">5.13.40. </w:t>
      </w:r>
      <w:r>
        <w:rPr>
          <w:rFonts w:hint="default" w:ascii="Arial" w:hAnsi="Arial" w:cs="Arial"/>
          <w:sz w:val="22"/>
          <w:szCs w:val="22"/>
        </w:rPr>
        <w:t xml:space="preserve">ABNT NBR 10898 - Sistema de iluminação de emergência; </w:t>
      </w:r>
    </w:p>
    <w:p w14:paraId="125BECC0">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rPr>
      </w:pPr>
      <w:r>
        <w:rPr>
          <w:rFonts w:hint="default" w:ascii="Arial" w:hAnsi="Arial" w:cs="Arial"/>
          <w:b/>
          <w:bCs/>
          <w:sz w:val="22"/>
          <w:szCs w:val="22"/>
          <w:lang w:val="pt-BR"/>
        </w:rPr>
        <w:t xml:space="preserve">5.13.41. </w:t>
      </w:r>
      <w:r>
        <w:rPr>
          <w:rFonts w:hint="default" w:ascii="Arial" w:hAnsi="Arial" w:cs="Arial"/>
          <w:sz w:val="22"/>
          <w:szCs w:val="22"/>
        </w:rPr>
        <w:t xml:space="preserve">ABNT NBR 11515 - Guia de Práticas para Segurança Física relativas ao armazenamento de dados; </w:t>
      </w:r>
    </w:p>
    <w:p w14:paraId="68EFC561">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rPr>
      </w:pPr>
      <w:r>
        <w:rPr>
          <w:rFonts w:hint="default" w:ascii="Arial" w:hAnsi="Arial" w:cs="Arial"/>
          <w:b/>
          <w:bCs/>
          <w:sz w:val="22"/>
          <w:szCs w:val="22"/>
          <w:lang w:val="pt-BR"/>
        </w:rPr>
        <w:t xml:space="preserve">5.13.42. </w:t>
      </w:r>
      <w:r>
        <w:rPr>
          <w:rFonts w:hint="default" w:ascii="Arial" w:hAnsi="Arial" w:cs="Arial"/>
          <w:sz w:val="22"/>
          <w:szCs w:val="22"/>
        </w:rPr>
        <w:t xml:space="preserve">ABNT NBR 11802 - Pisos elevados - Especificação; </w:t>
      </w:r>
    </w:p>
    <w:p w14:paraId="481A0786">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rPr>
      </w:pPr>
      <w:r>
        <w:rPr>
          <w:rFonts w:hint="default" w:ascii="Arial" w:hAnsi="Arial" w:cs="Arial"/>
          <w:b/>
          <w:bCs/>
          <w:sz w:val="22"/>
          <w:szCs w:val="22"/>
          <w:lang w:val="pt-BR"/>
        </w:rPr>
        <w:t xml:space="preserve">5.13.43. </w:t>
      </w:r>
      <w:r>
        <w:rPr>
          <w:rFonts w:hint="default" w:ascii="Arial" w:hAnsi="Arial" w:cs="Arial"/>
          <w:sz w:val="22"/>
          <w:szCs w:val="22"/>
        </w:rPr>
        <w:t xml:space="preserve">ABNT NBR 13532 - Elaboração de projetos de edificações – Arquitetura; </w:t>
      </w:r>
    </w:p>
    <w:p w14:paraId="6E8393A5">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rPr>
      </w:pPr>
      <w:r>
        <w:rPr>
          <w:rFonts w:hint="default" w:ascii="Arial" w:hAnsi="Arial" w:cs="Arial"/>
          <w:b/>
          <w:bCs/>
          <w:sz w:val="22"/>
          <w:szCs w:val="22"/>
          <w:lang w:val="pt-BR"/>
        </w:rPr>
        <w:t xml:space="preserve">5.13.44. </w:t>
      </w:r>
      <w:r>
        <w:rPr>
          <w:rFonts w:hint="default" w:ascii="Arial" w:hAnsi="Arial" w:cs="Arial"/>
          <w:sz w:val="22"/>
          <w:szCs w:val="22"/>
        </w:rPr>
        <w:t xml:space="preserve">ABNT NBR 14565 - Cabeamento estruturado para edifícios comerciais e Data Centers; </w:t>
      </w:r>
    </w:p>
    <w:p w14:paraId="40C2FC1D">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rPr>
      </w:pPr>
      <w:r>
        <w:rPr>
          <w:rFonts w:hint="default" w:ascii="Arial" w:hAnsi="Arial" w:cs="Arial"/>
          <w:b/>
          <w:bCs/>
          <w:sz w:val="22"/>
          <w:szCs w:val="22"/>
          <w:lang w:val="pt-BR"/>
        </w:rPr>
        <w:t xml:space="preserve">5.13.45. </w:t>
      </w:r>
      <w:r>
        <w:rPr>
          <w:rFonts w:hint="default" w:ascii="Arial" w:hAnsi="Arial" w:cs="Arial"/>
          <w:sz w:val="22"/>
          <w:szCs w:val="22"/>
        </w:rPr>
        <w:t xml:space="preserve">ABNT NBR 15014 - Sistemas de alimentação de potência ininterrupta (nobreaks) online, interativo e stand-by, que utilizam bateria como fonte de energia armazenada; </w:t>
      </w:r>
    </w:p>
    <w:p w14:paraId="559332F2">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rPr>
      </w:pPr>
      <w:r>
        <w:rPr>
          <w:rFonts w:hint="default" w:ascii="Arial" w:hAnsi="Arial" w:cs="Arial"/>
          <w:b/>
          <w:bCs/>
          <w:sz w:val="22"/>
          <w:szCs w:val="22"/>
          <w:lang w:val="pt-BR"/>
        </w:rPr>
        <w:t>5.13.46.</w:t>
      </w:r>
      <w:r>
        <w:rPr>
          <w:rFonts w:hint="default" w:ascii="Arial" w:hAnsi="Arial" w:cs="Arial"/>
          <w:sz w:val="22"/>
          <w:szCs w:val="22"/>
          <w:lang w:val="pt-BR"/>
        </w:rPr>
        <w:t xml:space="preserve"> </w:t>
      </w:r>
      <w:r>
        <w:rPr>
          <w:rFonts w:hint="default" w:ascii="Arial" w:hAnsi="Arial" w:cs="Arial"/>
          <w:sz w:val="22"/>
          <w:szCs w:val="22"/>
        </w:rPr>
        <w:t xml:space="preserve">ABNT NBR 15141 - Móveis para escritório: Divisória modular tipo piso-teto; </w:t>
      </w:r>
    </w:p>
    <w:p w14:paraId="4F65ED59">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rPr>
      </w:pPr>
      <w:r>
        <w:rPr>
          <w:rFonts w:hint="default" w:ascii="Arial" w:hAnsi="Arial" w:cs="Arial"/>
          <w:b/>
          <w:bCs/>
          <w:sz w:val="22"/>
          <w:szCs w:val="22"/>
          <w:lang w:val="pt-BR"/>
        </w:rPr>
        <w:t>5.13.47.</w:t>
      </w:r>
      <w:r>
        <w:rPr>
          <w:rFonts w:hint="default" w:ascii="Arial" w:hAnsi="Arial" w:cs="Arial"/>
          <w:sz w:val="22"/>
          <w:szCs w:val="22"/>
          <w:lang w:val="pt-BR"/>
        </w:rPr>
        <w:t xml:space="preserve"> </w:t>
      </w:r>
      <w:r>
        <w:rPr>
          <w:rFonts w:hint="default" w:ascii="Arial" w:hAnsi="Arial" w:cs="Arial"/>
          <w:sz w:val="22"/>
          <w:szCs w:val="22"/>
        </w:rPr>
        <w:t xml:space="preserve">ABNT NBR 17240 - Sistemas de detecção e alarme de incêndio – Projeto, instalação, comissionamento e manutenção de sistemas de detecção e alarme de incêndio – Requisitos; </w:t>
      </w:r>
    </w:p>
    <w:p w14:paraId="0932894F">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rPr>
      </w:pPr>
      <w:r>
        <w:rPr>
          <w:rFonts w:hint="default" w:ascii="Arial" w:hAnsi="Arial" w:cs="Arial"/>
          <w:b/>
          <w:bCs/>
          <w:sz w:val="22"/>
          <w:szCs w:val="22"/>
          <w:lang w:val="pt-BR"/>
        </w:rPr>
        <w:t xml:space="preserve">5.13.48. </w:t>
      </w:r>
      <w:r>
        <w:rPr>
          <w:rFonts w:hint="default" w:ascii="Arial" w:hAnsi="Arial" w:cs="Arial"/>
          <w:sz w:val="22"/>
          <w:szCs w:val="22"/>
        </w:rPr>
        <w:t>ABNT NBR 5261 - Símbolos gráficos de eletricidade - Princípios gerais para desenho de símbolos gráficos;</w:t>
      </w:r>
    </w:p>
    <w:p w14:paraId="19FC1399">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lang w:val="en-US"/>
        </w:rPr>
      </w:pPr>
      <w:r>
        <w:rPr>
          <w:rFonts w:hint="default" w:ascii="Arial" w:hAnsi="Arial" w:cs="Arial"/>
          <w:b/>
          <w:bCs/>
          <w:sz w:val="22"/>
          <w:szCs w:val="22"/>
          <w:lang w:val="pt-BR"/>
        </w:rPr>
        <w:t>5.13.49.</w:t>
      </w:r>
      <w:r>
        <w:rPr>
          <w:rFonts w:hint="default" w:ascii="Arial" w:hAnsi="Arial" w:cs="Arial"/>
          <w:sz w:val="22"/>
          <w:szCs w:val="22"/>
          <w:lang w:val="pt-BR"/>
        </w:rPr>
        <w:t xml:space="preserve"> </w:t>
      </w:r>
      <w:r>
        <w:rPr>
          <w:rFonts w:hint="default" w:ascii="Arial" w:hAnsi="Arial" w:cs="Arial"/>
          <w:sz w:val="22"/>
          <w:szCs w:val="22"/>
          <w:lang w:val="en-US"/>
        </w:rPr>
        <w:t xml:space="preserve">ANSI/TIA/EIA-568-B.2-10 - Transmission Performance Specifications for 4-pair 100-ohm Augmented Category 6 Cabling; </w:t>
      </w:r>
    </w:p>
    <w:p w14:paraId="10298C00">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lang w:val="en-US"/>
        </w:rPr>
      </w:pPr>
      <w:r>
        <w:rPr>
          <w:rFonts w:hint="default" w:ascii="Arial" w:hAnsi="Arial" w:cs="Arial"/>
          <w:b/>
          <w:bCs/>
          <w:sz w:val="22"/>
          <w:szCs w:val="22"/>
          <w:lang w:val="pt-BR"/>
        </w:rPr>
        <w:t xml:space="preserve">5.13.50. </w:t>
      </w:r>
      <w:r>
        <w:rPr>
          <w:rFonts w:hint="default" w:ascii="Arial" w:hAnsi="Arial" w:cs="Arial"/>
          <w:sz w:val="22"/>
          <w:szCs w:val="22"/>
          <w:lang w:val="en-US"/>
        </w:rPr>
        <w:t xml:space="preserve">ANSI/TIA/EIA-568-B.2-2 - Commercial Building Telecommunications Cabling Standard – Part 2: Balanced Twisted Pair Cabling Components – Addendum 2; </w:t>
      </w:r>
    </w:p>
    <w:p w14:paraId="312E82E9">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lang w:val="en-US"/>
        </w:rPr>
      </w:pPr>
      <w:r>
        <w:rPr>
          <w:rFonts w:hint="default" w:ascii="Arial" w:hAnsi="Arial" w:cs="Arial"/>
          <w:b/>
          <w:bCs/>
          <w:sz w:val="22"/>
          <w:szCs w:val="22"/>
          <w:lang w:val="pt-BR"/>
        </w:rPr>
        <w:t>5.13.51.</w:t>
      </w:r>
      <w:r>
        <w:rPr>
          <w:rFonts w:hint="default" w:ascii="Arial" w:hAnsi="Arial" w:cs="Arial"/>
          <w:sz w:val="22"/>
          <w:szCs w:val="22"/>
          <w:lang w:val="pt-BR"/>
        </w:rPr>
        <w:t xml:space="preserve"> </w:t>
      </w:r>
      <w:r>
        <w:rPr>
          <w:rFonts w:hint="default" w:ascii="Arial" w:hAnsi="Arial" w:cs="Arial"/>
          <w:sz w:val="22"/>
          <w:szCs w:val="22"/>
          <w:lang w:val="en-US"/>
        </w:rPr>
        <w:t xml:space="preserve">ANSI/TIA/EIA-568-B.2-3 - Commercial Building Telecommunications Cabling Standard – Part 2: Balanced Twisted Pair Cabling Components – Addendum 3 – Additional considerations for Insertion Loss and Return Loss Pass/Fail Determination; </w:t>
      </w:r>
    </w:p>
    <w:p w14:paraId="18A30402">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lang w:val="en-US"/>
        </w:rPr>
      </w:pPr>
      <w:r>
        <w:rPr>
          <w:rFonts w:hint="default" w:ascii="Arial" w:hAnsi="Arial" w:cs="Arial"/>
          <w:b/>
          <w:bCs/>
          <w:sz w:val="22"/>
          <w:szCs w:val="22"/>
          <w:lang w:val="pt-BR"/>
        </w:rPr>
        <w:t>5.13.52.</w:t>
      </w:r>
      <w:r>
        <w:rPr>
          <w:rFonts w:hint="default" w:ascii="Arial" w:hAnsi="Arial" w:cs="Arial"/>
          <w:sz w:val="22"/>
          <w:szCs w:val="22"/>
          <w:lang w:val="pt-BR"/>
        </w:rPr>
        <w:t xml:space="preserve"> </w:t>
      </w:r>
      <w:r>
        <w:rPr>
          <w:rFonts w:hint="default" w:ascii="Arial" w:hAnsi="Arial" w:cs="Arial"/>
          <w:sz w:val="22"/>
          <w:szCs w:val="22"/>
          <w:lang w:val="en-US"/>
        </w:rPr>
        <w:t xml:space="preserve">ANSI/TIA/EIA-568-B.2-5 - Commercial Building Telecommunications Cabling Standard – Part 2: Balanced Twisted Pair Cabling Components – Adendum 5; </w:t>
      </w:r>
    </w:p>
    <w:p w14:paraId="181E8374">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lang w:val="en-US"/>
        </w:rPr>
      </w:pPr>
      <w:r>
        <w:rPr>
          <w:rFonts w:hint="default" w:ascii="Arial" w:hAnsi="Arial" w:cs="Arial"/>
          <w:b/>
          <w:bCs/>
          <w:sz w:val="22"/>
          <w:szCs w:val="22"/>
          <w:lang w:val="pt-BR"/>
        </w:rPr>
        <w:t>5.13.53.</w:t>
      </w:r>
      <w:r>
        <w:rPr>
          <w:rFonts w:hint="default" w:ascii="Arial" w:hAnsi="Arial" w:cs="Arial"/>
          <w:sz w:val="22"/>
          <w:szCs w:val="22"/>
          <w:lang w:val="pt-BR"/>
        </w:rPr>
        <w:t xml:space="preserve"> </w:t>
      </w:r>
      <w:r>
        <w:rPr>
          <w:rFonts w:hint="default" w:ascii="Arial" w:hAnsi="Arial" w:cs="Arial"/>
          <w:sz w:val="22"/>
          <w:szCs w:val="22"/>
          <w:lang w:val="en-US"/>
        </w:rPr>
        <w:t xml:space="preserve">ANSI/TIA/EIA-568-B.3 - Commercial Building Telecommunications Cabling Standard – Part 3: Optical Fiber Cabling components standard; </w:t>
      </w:r>
    </w:p>
    <w:p w14:paraId="0EBDE9B1">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lang w:val="en-US"/>
        </w:rPr>
      </w:pPr>
      <w:r>
        <w:rPr>
          <w:rFonts w:hint="default" w:ascii="Arial" w:hAnsi="Arial" w:cs="Arial"/>
          <w:b/>
          <w:bCs/>
          <w:sz w:val="22"/>
          <w:szCs w:val="22"/>
          <w:lang w:val="pt-BR"/>
        </w:rPr>
        <w:t>5.13.54.</w:t>
      </w:r>
      <w:r>
        <w:rPr>
          <w:rFonts w:hint="default" w:ascii="Arial" w:hAnsi="Arial" w:cs="Arial"/>
          <w:sz w:val="22"/>
          <w:szCs w:val="22"/>
          <w:lang w:val="pt-BR"/>
        </w:rPr>
        <w:t xml:space="preserve"> </w:t>
      </w:r>
      <w:r>
        <w:rPr>
          <w:rFonts w:hint="default" w:ascii="Arial" w:hAnsi="Arial" w:cs="Arial"/>
          <w:sz w:val="22"/>
          <w:szCs w:val="22"/>
          <w:lang w:val="en-US"/>
        </w:rPr>
        <w:t xml:space="preserve">ANSI/TIA/EIA-568-B.3-1 - Commercial Building Telecommunications Cabling Standard – Part 3: Optical Fiber Cabling components standart – Addendum 1 – Additional Transmission Performance Specifications for 50/125 </w:t>
      </w:r>
      <w:r>
        <w:rPr>
          <w:rFonts w:hint="default" w:ascii="Arial" w:hAnsi="Arial" w:cs="Arial"/>
          <w:sz w:val="22"/>
          <w:szCs w:val="22"/>
        </w:rPr>
        <w:t>μ</w:t>
      </w:r>
      <w:r>
        <w:rPr>
          <w:rFonts w:hint="default" w:ascii="Arial" w:hAnsi="Arial" w:cs="Arial"/>
          <w:sz w:val="22"/>
          <w:szCs w:val="22"/>
          <w:lang w:val="en-US"/>
        </w:rPr>
        <w:t xml:space="preserve">m Optical fiber cables; </w:t>
      </w:r>
    </w:p>
    <w:p w14:paraId="03E079B0">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lang w:val="en-US"/>
        </w:rPr>
      </w:pPr>
      <w:r>
        <w:rPr>
          <w:rFonts w:hint="default" w:ascii="Arial" w:hAnsi="Arial" w:cs="Arial"/>
          <w:b/>
          <w:bCs/>
          <w:sz w:val="22"/>
          <w:szCs w:val="22"/>
          <w:lang w:val="pt-BR"/>
        </w:rPr>
        <w:t>5.13.55.</w:t>
      </w:r>
      <w:r>
        <w:rPr>
          <w:rFonts w:hint="default" w:ascii="Arial" w:hAnsi="Arial" w:cs="Arial"/>
          <w:sz w:val="22"/>
          <w:szCs w:val="22"/>
          <w:lang w:val="pt-BR"/>
        </w:rPr>
        <w:t xml:space="preserve"> </w:t>
      </w:r>
      <w:r>
        <w:rPr>
          <w:rFonts w:hint="default" w:ascii="Arial" w:hAnsi="Arial" w:cs="Arial"/>
          <w:sz w:val="22"/>
          <w:szCs w:val="22"/>
          <w:lang w:val="en-US"/>
        </w:rPr>
        <w:t xml:space="preserve">ANSI/TIA/EIA-568-C.2 Balanced Twisted-Pair Telecommunication Cabling and Components Standard; </w:t>
      </w:r>
    </w:p>
    <w:p w14:paraId="0E7FC1D1">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lang w:val="en-US"/>
        </w:rPr>
      </w:pPr>
      <w:r>
        <w:rPr>
          <w:rFonts w:hint="default" w:ascii="Arial" w:hAnsi="Arial" w:cs="Arial"/>
          <w:b/>
          <w:bCs/>
          <w:sz w:val="22"/>
          <w:szCs w:val="22"/>
          <w:lang w:val="pt-BR"/>
        </w:rPr>
        <w:t>5.13.56.</w:t>
      </w:r>
      <w:r>
        <w:rPr>
          <w:rFonts w:hint="default" w:ascii="Arial" w:hAnsi="Arial" w:cs="Arial"/>
          <w:sz w:val="22"/>
          <w:szCs w:val="22"/>
          <w:lang w:val="pt-BR"/>
        </w:rPr>
        <w:t xml:space="preserve"> </w:t>
      </w:r>
      <w:r>
        <w:rPr>
          <w:rFonts w:hint="default" w:ascii="Arial" w:hAnsi="Arial" w:cs="Arial"/>
          <w:sz w:val="22"/>
          <w:szCs w:val="22"/>
          <w:lang w:val="en-US"/>
        </w:rPr>
        <w:t xml:space="preserve">ANSI/TIA/EIA-569-B - Commercial Building Standard for Telecommunications Pathways and Spaces; </w:t>
      </w:r>
    </w:p>
    <w:p w14:paraId="5DA4A123">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lang w:val="en-US"/>
        </w:rPr>
      </w:pPr>
      <w:r>
        <w:rPr>
          <w:rFonts w:hint="default" w:ascii="Arial" w:hAnsi="Arial" w:cs="Arial"/>
          <w:b/>
          <w:bCs/>
          <w:sz w:val="22"/>
          <w:szCs w:val="22"/>
          <w:lang w:val="pt-BR"/>
        </w:rPr>
        <w:t>5.13.57.</w:t>
      </w:r>
      <w:r>
        <w:rPr>
          <w:rFonts w:hint="default" w:ascii="Arial" w:hAnsi="Arial" w:cs="Arial"/>
          <w:sz w:val="22"/>
          <w:szCs w:val="22"/>
          <w:lang w:val="pt-BR"/>
        </w:rPr>
        <w:t xml:space="preserve"> </w:t>
      </w:r>
      <w:r>
        <w:rPr>
          <w:rFonts w:hint="default" w:ascii="Arial" w:hAnsi="Arial" w:cs="Arial"/>
          <w:sz w:val="22"/>
          <w:szCs w:val="22"/>
          <w:lang w:val="en-US"/>
        </w:rPr>
        <w:t xml:space="preserve">ANSI/TIA-606-B - Administration Standard for Telecommunications Infrastructure; </w:t>
      </w:r>
    </w:p>
    <w:p w14:paraId="3A6C6004">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lang w:val="en-US"/>
        </w:rPr>
      </w:pPr>
      <w:r>
        <w:rPr>
          <w:rFonts w:hint="default" w:ascii="Arial" w:hAnsi="Arial" w:cs="Arial"/>
          <w:b/>
          <w:bCs/>
          <w:sz w:val="22"/>
          <w:szCs w:val="22"/>
          <w:lang w:val="pt-BR"/>
        </w:rPr>
        <w:t xml:space="preserve">5.13.58. </w:t>
      </w:r>
      <w:r>
        <w:rPr>
          <w:rFonts w:hint="default" w:ascii="Arial" w:hAnsi="Arial" w:cs="Arial"/>
          <w:sz w:val="22"/>
          <w:szCs w:val="22"/>
          <w:lang w:val="en-US"/>
        </w:rPr>
        <w:t xml:space="preserve">ASTM A106 / A106M - Standard Specification for Seamless Carbon Steel Pipe for High-Temperature Service; </w:t>
      </w:r>
    </w:p>
    <w:p w14:paraId="651D75AE">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lang w:val="en-US"/>
        </w:rPr>
      </w:pPr>
      <w:r>
        <w:rPr>
          <w:rFonts w:hint="default" w:ascii="Arial" w:hAnsi="Arial" w:cs="Arial"/>
          <w:b/>
          <w:bCs/>
          <w:sz w:val="22"/>
          <w:szCs w:val="22"/>
          <w:lang w:val="pt-BR"/>
        </w:rPr>
        <w:t>5.13.59.</w:t>
      </w:r>
      <w:r>
        <w:rPr>
          <w:rFonts w:hint="default" w:ascii="Arial" w:hAnsi="Arial" w:cs="Arial"/>
          <w:sz w:val="22"/>
          <w:szCs w:val="22"/>
          <w:lang w:val="pt-BR"/>
        </w:rPr>
        <w:t xml:space="preserve"> </w:t>
      </w:r>
      <w:r>
        <w:rPr>
          <w:rFonts w:hint="default" w:ascii="Arial" w:hAnsi="Arial" w:cs="Arial"/>
          <w:sz w:val="22"/>
          <w:szCs w:val="22"/>
          <w:lang w:val="en-US"/>
        </w:rPr>
        <w:t xml:space="preserve">ASTM B117-11 - Standard Practice for Operating Salt Spray (Fog) Apparatus; </w:t>
      </w:r>
    </w:p>
    <w:p w14:paraId="22AA6628">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lang w:val="en-US"/>
        </w:rPr>
      </w:pPr>
      <w:r>
        <w:rPr>
          <w:rFonts w:hint="default" w:ascii="Arial" w:hAnsi="Arial" w:cs="Arial"/>
          <w:b/>
          <w:bCs/>
          <w:sz w:val="22"/>
          <w:szCs w:val="22"/>
          <w:lang w:val="pt-BR"/>
        </w:rPr>
        <w:t>5.13.60.</w:t>
      </w:r>
      <w:r>
        <w:rPr>
          <w:rFonts w:hint="default" w:ascii="Arial" w:hAnsi="Arial" w:cs="Arial"/>
          <w:sz w:val="22"/>
          <w:szCs w:val="22"/>
          <w:lang w:val="pt-BR"/>
        </w:rPr>
        <w:t xml:space="preserve"> </w:t>
      </w:r>
      <w:r>
        <w:rPr>
          <w:rFonts w:hint="default" w:ascii="Arial" w:hAnsi="Arial" w:cs="Arial"/>
          <w:sz w:val="22"/>
          <w:szCs w:val="22"/>
          <w:lang w:val="en-US"/>
        </w:rPr>
        <w:t xml:space="preserve">ASTM D257-07 - Standard Test Methods for DC Resistance or Conductance of Insulating Materials; </w:t>
      </w:r>
    </w:p>
    <w:p w14:paraId="50D60CD4">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lang w:val="en-US"/>
        </w:rPr>
      </w:pPr>
      <w:r>
        <w:rPr>
          <w:rFonts w:hint="default" w:ascii="Arial" w:hAnsi="Arial" w:cs="Arial"/>
          <w:b/>
          <w:bCs/>
          <w:sz w:val="22"/>
          <w:szCs w:val="22"/>
          <w:lang w:val="pt-BR"/>
        </w:rPr>
        <w:t>5.13.61.</w:t>
      </w:r>
      <w:r>
        <w:rPr>
          <w:rFonts w:hint="default" w:ascii="Arial" w:hAnsi="Arial" w:cs="Arial"/>
          <w:sz w:val="22"/>
          <w:szCs w:val="22"/>
          <w:lang w:val="pt-BR"/>
        </w:rPr>
        <w:t xml:space="preserve"> </w:t>
      </w:r>
      <w:r>
        <w:rPr>
          <w:rFonts w:hint="default" w:ascii="Arial" w:hAnsi="Arial" w:cs="Arial"/>
          <w:sz w:val="22"/>
          <w:szCs w:val="22"/>
          <w:lang w:val="en-US"/>
        </w:rPr>
        <w:t xml:space="preserve">ASTM E119-12 - Standard Test Methods for Fire Tests of Building Construction and Materials; </w:t>
      </w:r>
    </w:p>
    <w:p w14:paraId="11F5E9AE">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lang w:val="en-US"/>
        </w:rPr>
      </w:pPr>
      <w:r>
        <w:rPr>
          <w:rFonts w:hint="default" w:ascii="Arial" w:hAnsi="Arial" w:cs="Arial"/>
          <w:b/>
          <w:bCs/>
          <w:sz w:val="22"/>
          <w:szCs w:val="22"/>
          <w:lang w:val="pt-BR"/>
        </w:rPr>
        <w:t>5.13.62.</w:t>
      </w:r>
      <w:r>
        <w:rPr>
          <w:rFonts w:hint="default" w:ascii="Arial" w:hAnsi="Arial" w:cs="Arial"/>
          <w:sz w:val="22"/>
          <w:szCs w:val="22"/>
          <w:lang w:val="pt-BR"/>
        </w:rPr>
        <w:t xml:space="preserve"> </w:t>
      </w:r>
      <w:r>
        <w:rPr>
          <w:rFonts w:hint="default" w:ascii="Arial" w:hAnsi="Arial" w:cs="Arial"/>
          <w:sz w:val="22"/>
          <w:szCs w:val="22"/>
          <w:lang w:val="en-US"/>
        </w:rPr>
        <w:t xml:space="preserve">ASTM E662 - Standard Test Method for Specific Optical Density of Smoke Generated by Solid Materials; </w:t>
      </w:r>
    </w:p>
    <w:p w14:paraId="2AE32C6D">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lang w:val="en-US"/>
        </w:rPr>
      </w:pPr>
      <w:r>
        <w:rPr>
          <w:rFonts w:hint="default" w:ascii="Arial" w:hAnsi="Arial" w:cs="Arial"/>
          <w:b/>
          <w:bCs/>
          <w:sz w:val="22"/>
          <w:szCs w:val="22"/>
          <w:lang w:val="pt-BR"/>
        </w:rPr>
        <w:t>5.13.63.</w:t>
      </w:r>
      <w:r>
        <w:rPr>
          <w:rFonts w:hint="default" w:ascii="Arial" w:hAnsi="Arial" w:cs="Arial"/>
          <w:sz w:val="22"/>
          <w:szCs w:val="22"/>
          <w:lang w:val="pt-BR"/>
        </w:rPr>
        <w:t xml:space="preserve"> </w:t>
      </w:r>
      <w:r>
        <w:rPr>
          <w:rFonts w:hint="default" w:ascii="Arial" w:hAnsi="Arial" w:cs="Arial"/>
          <w:sz w:val="22"/>
          <w:szCs w:val="22"/>
          <w:lang w:val="en-US"/>
        </w:rPr>
        <w:t xml:space="preserve">BS EN 50173-5:2007+A1 - Information technology. Generic cabling systems. Data Centres; </w:t>
      </w:r>
    </w:p>
    <w:p w14:paraId="3D04CC32">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lang w:val="en-US"/>
        </w:rPr>
      </w:pPr>
      <w:r>
        <w:rPr>
          <w:rFonts w:hint="default" w:ascii="Arial" w:hAnsi="Arial" w:cs="Arial"/>
          <w:b/>
          <w:bCs/>
          <w:sz w:val="22"/>
          <w:szCs w:val="22"/>
          <w:lang w:val="pt-BR"/>
        </w:rPr>
        <w:t>5.13.64.</w:t>
      </w:r>
      <w:r>
        <w:rPr>
          <w:rFonts w:hint="default" w:ascii="Arial" w:hAnsi="Arial" w:cs="Arial"/>
          <w:sz w:val="22"/>
          <w:szCs w:val="22"/>
          <w:lang w:val="pt-BR"/>
        </w:rPr>
        <w:t xml:space="preserve"> </w:t>
      </w:r>
      <w:r>
        <w:rPr>
          <w:rFonts w:hint="default" w:ascii="Arial" w:hAnsi="Arial" w:cs="Arial"/>
          <w:sz w:val="22"/>
          <w:szCs w:val="22"/>
          <w:lang w:val="en-US"/>
        </w:rPr>
        <w:t xml:space="preserve">BS ISO 14520-11 - Gaseous fire-extinguishing systems. Physical properties and system design; </w:t>
      </w:r>
    </w:p>
    <w:p w14:paraId="7E2BA7EA">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lang w:val="en-US"/>
        </w:rPr>
      </w:pPr>
      <w:r>
        <w:rPr>
          <w:rFonts w:hint="default" w:ascii="Arial" w:hAnsi="Arial" w:cs="Arial"/>
          <w:b/>
          <w:bCs/>
          <w:sz w:val="22"/>
          <w:szCs w:val="22"/>
          <w:lang w:val="pt-BR"/>
        </w:rPr>
        <w:t>5.13.65.</w:t>
      </w:r>
      <w:r>
        <w:rPr>
          <w:rFonts w:hint="default" w:ascii="Arial" w:hAnsi="Arial" w:cs="Arial"/>
          <w:sz w:val="22"/>
          <w:szCs w:val="22"/>
          <w:lang w:val="pt-BR"/>
        </w:rPr>
        <w:t xml:space="preserve"> </w:t>
      </w:r>
      <w:r>
        <w:rPr>
          <w:rFonts w:hint="default" w:ascii="Arial" w:hAnsi="Arial" w:cs="Arial"/>
          <w:sz w:val="22"/>
          <w:szCs w:val="22"/>
          <w:lang w:val="en-US"/>
        </w:rPr>
        <w:t xml:space="preserve">DIN V 18103 – Doors: Burglar Resistant Doors - Terms, Requirements, Tests, Marking And Labelling; </w:t>
      </w:r>
    </w:p>
    <w:p w14:paraId="27CD984C">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rPr>
      </w:pPr>
      <w:r>
        <w:rPr>
          <w:rFonts w:hint="default" w:ascii="Arial" w:hAnsi="Arial" w:cs="Arial"/>
          <w:b/>
          <w:bCs/>
          <w:sz w:val="22"/>
          <w:szCs w:val="22"/>
          <w:lang w:val="pt-BR"/>
        </w:rPr>
        <w:t>5.13.66.</w:t>
      </w:r>
      <w:r>
        <w:rPr>
          <w:rFonts w:hint="default" w:ascii="Arial" w:hAnsi="Arial" w:cs="Arial"/>
          <w:sz w:val="22"/>
          <w:szCs w:val="22"/>
          <w:lang w:val="pt-BR"/>
        </w:rPr>
        <w:t xml:space="preserve"> </w:t>
      </w:r>
      <w:r>
        <w:rPr>
          <w:rFonts w:hint="default" w:ascii="Arial" w:hAnsi="Arial" w:cs="Arial"/>
          <w:sz w:val="22"/>
          <w:szCs w:val="22"/>
        </w:rPr>
        <w:t>DIN 68761- Specifications for particleboard;</w:t>
      </w:r>
    </w:p>
    <w:p w14:paraId="3D4639E9">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lang w:val="en-US"/>
        </w:rPr>
      </w:pPr>
      <w:r>
        <w:rPr>
          <w:rFonts w:hint="default" w:ascii="Arial" w:hAnsi="Arial" w:cs="Arial"/>
          <w:b/>
          <w:bCs/>
          <w:sz w:val="22"/>
          <w:szCs w:val="22"/>
          <w:lang w:val="pt-BR"/>
        </w:rPr>
        <w:t>5.13.67.</w:t>
      </w:r>
      <w:r>
        <w:rPr>
          <w:rFonts w:hint="default" w:ascii="Arial" w:hAnsi="Arial" w:cs="Arial"/>
          <w:sz w:val="22"/>
          <w:szCs w:val="22"/>
          <w:lang w:val="pt-BR"/>
        </w:rPr>
        <w:t xml:space="preserve"> </w:t>
      </w:r>
      <w:r>
        <w:rPr>
          <w:rFonts w:hint="default" w:ascii="Arial" w:hAnsi="Arial" w:cs="Arial"/>
          <w:sz w:val="22"/>
          <w:szCs w:val="22"/>
          <w:lang w:val="en-US"/>
        </w:rPr>
        <w:t xml:space="preserve">ISO 1182 - Reaction to fire tests for products – Non-combustibility test; </w:t>
      </w:r>
    </w:p>
    <w:p w14:paraId="6D3956FD">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lang w:val="en-US"/>
        </w:rPr>
      </w:pPr>
      <w:r>
        <w:rPr>
          <w:rFonts w:hint="default" w:ascii="Arial" w:hAnsi="Arial" w:cs="Arial"/>
          <w:b/>
          <w:bCs/>
          <w:sz w:val="22"/>
          <w:szCs w:val="22"/>
          <w:lang w:val="pt-BR"/>
        </w:rPr>
        <w:t xml:space="preserve">5.13.68. </w:t>
      </w:r>
      <w:r>
        <w:rPr>
          <w:rFonts w:hint="default" w:ascii="Arial" w:hAnsi="Arial" w:cs="Arial"/>
          <w:sz w:val="22"/>
          <w:szCs w:val="22"/>
          <w:lang w:val="en-US"/>
        </w:rPr>
        <w:t xml:space="preserve">ISO/IEC 24764 - Information technology - Generic cabling systems for Data Centres; </w:t>
      </w:r>
    </w:p>
    <w:p w14:paraId="4DF9AA8F">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lang w:val="en-US"/>
        </w:rPr>
      </w:pPr>
      <w:r>
        <w:rPr>
          <w:rFonts w:hint="default" w:ascii="Arial" w:hAnsi="Arial" w:cs="Arial"/>
          <w:b/>
          <w:bCs/>
          <w:sz w:val="22"/>
          <w:szCs w:val="22"/>
          <w:lang w:val="pt-BR"/>
        </w:rPr>
        <w:t>5.13.69.</w:t>
      </w:r>
      <w:r>
        <w:rPr>
          <w:rFonts w:hint="default" w:ascii="Arial" w:hAnsi="Arial" w:cs="Arial"/>
          <w:sz w:val="22"/>
          <w:szCs w:val="22"/>
          <w:lang w:val="pt-BR"/>
        </w:rPr>
        <w:t xml:space="preserve"> </w:t>
      </w:r>
      <w:r>
        <w:rPr>
          <w:rFonts w:hint="default" w:ascii="Arial" w:hAnsi="Arial" w:cs="Arial"/>
          <w:sz w:val="22"/>
          <w:szCs w:val="22"/>
          <w:lang w:val="en-US"/>
        </w:rPr>
        <w:t xml:space="preserve">ISO/IEC-11801 - Information Technology - Generic Cabling for Customer Premisses; </w:t>
      </w:r>
    </w:p>
    <w:p w14:paraId="262157FE">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rPr>
      </w:pPr>
      <w:r>
        <w:rPr>
          <w:rFonts w:hint="default" w:ascii="Arial" w:hAnsi="Arial" w:cs="Arial"/>
          <w:b/>
          <w:bCs/>
          <w:sz w:val="22"/>
          <w:szCs w:val="22"/>
          <w:lang w:val="pt-BR"/>
        </w:rPr>
        <w:t>5.13.70.</w:t>
      </w:r>
      <w:r>
        <w:rPr>
          <w:rFonts w:hint="default" w:ascii="Arial" w:hAnsi="Arial" w:cs="Arial"/>
          <w:sz w:val="22"/>
          <w:szCs w:val="22"/>
          <w:lang w:val="pt-BR"/>
        </w:rPr>
        <w:t xml:space="preserve"> </w:t>
      </w:r>
      <w:r>
        <w:rPr>
          <w:rFonts w:hint="default" w:ascii="Arial" w:hAnsi="Arial" w:cs="Arial"/>
          <w:sz w:val="22"/>
          <w:szCs w:val="22"/>
        </w:rPr>
        <w:t xml:space="preserve">MTE/NR N°01 - Segurança do Trabalho: Disposições Gerais; </w:t>
      </w:r>
    </w:p>
    <w:p w14:paraId="404B651E">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rPr>
      </w:pPr>
      <w:r>
        <w:rPr>
          <w:rFonts w:hint="default" w:ascii="Arial" w:hAnsi="Arial" w:cs="Arial"/>
          <w:b/>
          <w:bCs/>
          <w:sz w:val="22"/>
          <w:szCs w:val="22"/>
          <w:lang w:val="pt-BR"/>
        </w:rPr>
        <w:t>5.13.71</w:t>
      </w:r>
      <w:r>
        <w:rPr>
          <w:rFonts w:hint="default" w:ascii="Arial" w:hAnsi="Arial" w:cs="Arial"/>
          <w:sz w:val="22"/>
          <w:szCs w:val="22"/>
          <w:lang w:val="pt-BR"/>
        </w:rPr>
        <w:t>.</w:t>
      </w:r>
      <w:r>
        <w:rPr>
          <w:rFonts w:hint="default" w:ascii="Arial" w:hAnsi="Arial" w:cs="Arial"/>
          <w:sz w:val="22"/>
          <w:szCs w:val="22"/>
          <w:lang w:val="pt-BR"/>
        </w:rPr>
        <w:tab/>
      </w:r>
      <w:r>
        <w:rPr>
          <w:rFonts w:hint="default" w:ascii="Arial" w:hAnsi="Arial" w:cs="Arial"/>
          <w:sz w:val="22"/>
          <w:szCs w:val="22"/>
        </w:rPr>
        <w:t xml:space="preserve">MTE/NR N°02 - Segurança do Trabalho- Inspeção Prévia; </w:t>
      </w:r>
    </w:p>
    <w:p w14:paraId="1D93997A">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rPr>
      </w:pPr>
      <w:r>
        <w:rPr>
          <w:rFonts w:hint="default" w:ascii="Arial" w:hAnsi="Arial" w:cs="Arial"/>
          <w:b/>
          <w:bCs/>
          <w:sz w:val="22"/>
          <w:szCs w:val="22"/>
          <w:lang w:val="pt-BR"/>
        </w:rPr>
        <w:t>5.13.72.</w:t>
      </w:r>
      <w:r>
        <w:rPr>
          <w:rFonts w:hint="default" w:ascii="Arial" w:hAnsi="Arial" w:cs="Arial"/>
          <w:sz w:val="22"/>
          <w:szCs w:val="22"/>
          <w:lang w:val="pt-BR"/>
        </w:rPr>
        <w:t xml:space="preserve"> </w:t>
      </w:r>
      <w:r>
        <w:rPr>
          <w:rFonts w:hint="default" w:ascii="Arial" w:hAnsi="Arial" w:cs="Arial"/>
          <w:sz w:val="22"/>
          <w:szCs w:val="22"/>
        </w:rPr>
        <w:t xml:space="preserve">MTE/NR N°04 - Serviços Especializados em Engenharia de Segurança e em Medicina do Trabalho; </w:t>
      </w:r>
    </w:p>
    <w:p w14:paraId="78C71AC8">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rPr>
      </w:pPr>
      <w:r>
        <w:rPr>
          <w:rFonts w:hint="default" w:ascii="Arial" w:hAnsi="Arial" w:cs="Arial"/>
          <w:b/>
          <w:bCs/>
          <w:sz w:val="22"/>
          <w:szCs w:val="22"/>
          <w:lang w:val="pt-BR"/>
        </w:rPr>
        <w:t>5.13.73.</w:t>
      </w:r>
      <w:r>
        <w:rPr>
          <w:rFonts w:hint="default" w:ascii="Arial" w:hAnsi="Arial" w:cs="Arial"/>
          <w:sz w:val="22"/>
          <w:szCs w:val="22"/>
          <w:lang w:val="pt-BR"/>
        </w:rPr>
        <w:t xml:space="preserve"> </w:t>
      </w:r>
      <w:r>
        <w:rPr>
          <w:rFonts w:hint="default" w:ascii="Arial" w:hAnsi="Arial" w:cs="Arial"/>
          <w:sz w:val="22"/>
          <w:szCs w:val="22"/>
        </w:rPr>
        <w:t>MTE/NR N°06 - Equipamentos de Proteção Individual (EPI);</w:t>
      </w:r>
    </w:p>
    <w:p w14:paraId="5042F722">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rPr>
      </w:pPr>
      <w:r>
        <w:rPr>
          <w:rFonts w:hint="default" w:ascii="Arial" w:hAnsi="Arial" w:cs="Arial"/>
          <w:b/>
          <w:bCs/>
          <w:sz w:val="22"/>
          <w:szCs w:val="22"/>
          <w:lang w:val="pt-BR"/>
        </w:rPr>
        <w:t>5.13.74.</w:t>
      </w:r>
      <w:r>
        <w:rPr>
          <w:rFonts w:hint="default" w:ascii="Arial" w:hAnsi="Arial" w:cs="Arial"/>
          <w:sz w:val="22"/>
          <w:szCs w:val="22"/>
          <w:lang w:val="pt-BR"/>
        </w:rPr>
        <w:t xml:space="preserve"> </w:t>
      </w:r>
      <w:r>
        <w:rPr>
          <w:rFonts w:hint="default" w:ascii="Arial" w:hAnsi="Arial" w:cs="Arial"/>
          <w:sz w:val="22"/>
          <w:szCs w:val="22"/>
        </w:rPr>
        <w:t>MTE/NR N°10 - Segurança em Instalações e Serviços em Eletricidade;</w:t>
      </w:r>
    </w:p>
    <w:p w14:paraId="659B27EC">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rPr>
      </w:pPr>
      <w:r>
        <w:rPr>
          <w:rFonts w:hint="default" w:ascii="Arial" w:hAnsi="Arial" w:cs="Arial"/>
          <w:b/>
          <w:bCs/>
          <w:sz w:val="22"/>
          <w:szCs w:val="22"/>
          <w:lang w:val="pt-BR"/>
        </w:rPr>
        <w:t>5.13.75.</w:t>
      </w:r>
      <w:r>
        <w:rPr>
          <w:rFonts w:hint="default" w:ascii="Arial" w:hAnsi="Arial" w:cs="Arial"/>
          <w:sz w:val="22"/>
          <w:szCs w:val="22"/>
          <w:lang w:val="pt-BR"/>
        </w:rPr>
        <w:t xml:space="preserve"> </w:t>
      </w:r>
      <w:r>
        <w:rPr>
          <w:rFonts w:hint="default" w:ascii="Arial" w:hAnsi="Arial" w:cs="Arial"/>
          <w:sz w:val="22"/>
          <w:szCs w:val="22"/>
        </w:rPr>
        <w:t xml:space="preserve">MTE/NR N°11 - Transporte, Movimentação, Armazenagem e Manuseio de Materiais; </w:t>
      </w:r>
    </w:p>
    <w:p w14:paraId="1B806148">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rPr>
      </w:pPr>
      <w:r>
        <w:rPr>
          <w:rFonts w:hint="default" w:ascii="Arial" w:hAnsi="Arial" w:cs="Arial"/>
          <w:b/>
          <w:bCs/>
          <w:sz w:val="22"/>
          <w:szCs w:val="22"/>
          <w:lang w:val="pt-BR"/>
        </w:rPr>
        <w:t>5.13.76</w:t>
      </w:r>
      <w:r>
        <w:rPr>
          <w:rFonts w:hint="default" w:ascii="Arial" w:hAnsi="Arial" w:cs="Arial"/>
          <w:sz w:val="22"/>
          <w:szCs w:val="22"/>
          <w:lang w:val="pt-BR"/>
        </w:rPr>
        <w:t xml:space="preserve">. </w:t>
      </w:r>
      <w:r>
        <w:rPr>
          <w:rFonts w:hint="default" w:ascii="Arial" w:hAnsi="Arial" w:cs="Arial"/>
          <w:sz w:val="22"/>
          <w:szCs w:val="22"/>
        </w:rPr>
        <w:t xml:space="preserve">MTE/NR N°12 - Segurança no Trabalho em Máquinas e Equipamentos; </w:t>
      </w:r>
    </w:p>
    <w:p w14:paraId="7C46B7E9">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rPr>
      </w:pPr>
      <w:r>
        <w:rPr>
          <w:rFonts w:hint="default" w:ascii="Arial" w:hAnsi="Arial" w:cs="Arial"/>
          <w:b/>
          <w:bCs/>
          <w:sz w:val="22"/>
          <w:szCs w:val="22"/>
          <w:lang w:val="pt-BR"/>
        </w:rPr>
        <w:t>5.13.77.</w:t>
      </w:r>
      <w:r>
        <w:rPr>
          <w:rFonts w:hint="default" w:ascii="Arial" w:hAnsi="Arial" w:cs="Arial"/>
          <w:sz w:val="22"/>
          <w:szCs w:val="22"/>
          <w:lang w:val="pt-BR"/>
        </w:rPr>
        <w:t xml:space="preserve"> </w:t>
      </w:r>
      <w:r>
        <w:rPr>
          <w:rFonts w:hint="default" w:ascii="Arial" w:hAnsi="Arial" w:cs="Arial"/>
          <w:sz w:val="22"/>
          <w:szCs w:val="22"/>
        </w:rPr>
        <w:t xml:space="preserve">MTE/NR N°17 - Ergonomia; </w:t>
      </w:r>
    </w:p>
    <w:p w14:paraId="38D12A74">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rPr>
      </w:pPr>
      <w:r>
        <w:rPr>
          <w:rFonts w:hint="default" w:ascii="Arial" w:hAnsi="Arial" w:cs="Arial"/>
          <w:b/>
          <w:bCs/>
          <w:sz w:val="22"/>
          <w:szCs w:val="22"/>
          <w:lang w:val="pt-BR"/>
        </w:rPr>
        <w:t>5.13.78.</w:t>
      </w:r>
      <w:r>
        <w:rPr>
          <w:rFonts w:hint="default" w:ascii="Arial" w:hAnsi="Arial" w:cs="Arial"/>
          <w:sz w:val="22"/>
          <w:szCs w:val="22"/>
          <w:lang w:val="pt-BR"/>
        </w:rPr>
        <w:t xml:space="preserve"> </w:t>
      </w:r>
      <w:r>
        <w:rPr>
          <w:rFonts w:hint="default" w:ascii="Arial" w:hAnsi="Arial" w:cs="Arial"/>
          <w:sz w:val="22"/>
          <w:szCs w:val="22"/>
        </w:rPr>
        <w:t xml:space="preserve">MTE/NR N°23 - Proteção Contra Incêndios; </w:t>
      </w:r>
    </w:p>
    <w:p w14:paraId="668D5392">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rPr>
      </w:pPr>
      <w:r>
        <w:rPr>
          <w:rFonts w:hint="default" w:ascii="Arial" w:hAnsi="Arial" w:cs="Arial"/>
          <w:b/>
          <w:bCs/>
          <w:sz w:val="22"/>
          <w:szCs w:val="22"/>
          <w:lang w:val="pt-BR"/>
        </w:rPr>
        <w:t>5.13.79.</w:t>
      </w:r>
      <w:r>
        <w:rPr>
          <w:rFonts w:hint="default" w:ascii="Arial" w:hAnsi="Arial" w:cs="Arial"/>
          <w:sz w:val="22"/>
          <w:szCs w:val="22"/>
          <w:lang w:val="pt-BR"/>
        </w:rPr>
        <w:t xml:space="preserve"> </w:t>
      </w:r>
      <w:r>
        <w:rPr>
          <w:rFonts w:hint="default" w:ascii="Arial" w:hAnsi="Arial" w:cs="Arial"/>
          <w:sz w:val="22"/>
          <w:szCs w:val="22"/>
        </w:rPr>
        <w:t xml:space="preserve">MTE/NR N°26 - Sinalização de Segurança; </w:t>
      </w:r>
    </w:p>
    <w:p w14:paraId="254500E2">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rPr>
      </w:pPr>
      <w:r>
        <w:rPr>
          <w:rFonts w:hint="default" w:ascii="Arial" w:hAnsi="Arial" w:cs="Arial"/>
          <w:b/>
          <w:bCs/>
          <w:sz w:val="22"/>
          <w:szCs w:val="22"/>
          <w:lang w:val="pt-BR"/>
        </w:rPr>
        <w:t>5.13.80.</w:t>
      </w:r>
      <w:r>
        <w:rPr>
          <w:rFonts w:hint="default" w:ascii="Arial" w:hAnsi="Arial" w:cs="Arial"/>
          <w:sz w:val="22"/>
          <w:szCs w:val="22"/>
          <w:lang w:val="pt-BR"/>
        </w:rPr>
        <w:t xml:space="preserve"> </w:t>
      </w:r>
      <w:r>
        <w:rPr>
          <w:rFonts w:hint="default" w:ascii="Arial" w:hAnsi="Arial" w:cs="Arial"/>
          <w:sz w:val="22"/>
          <w:szCs w:val="22"/>
        </w:rPr>
        <w:t xml:space="preserve">MTE/NR N°28 - Fiscalização e Penalidades; </w:t>
      </w:r>
    </w:p>
    <w:p w14:paraId="6D6894D1">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lang w:val="en-US"/>
        </w:rPr>
      </w:pPr>
      <w:r>
        <w:rPr>
          <w:rFonts w:hint="default" w:ascii="Arial" w:hAnsi="Arial" w:cs="Arial"/>
          <w:b/>
          <w:bCs/>
          <w:sz w:val="22"/>
          <w:szCs w:val="22"/>
          <w:lang w:val="pt-BR"/>
        </w:rPr>
        <w:t>5.13.81.</w:t>
      </w:r>
      <w:r>
        <w:rPr>
          <w:rFonts w:hint="default" w:ascii="Arial" w:hAnsi="Arial" w:cs="Arial"/>
          <w:sz w:val="22"/>
          <w:szCs w:val="22"/>
          <w:lang w:val="pt-BR"/>
        </w:rPr>
        <w:t xml:space="preserve"> </w:t>
      </w:r>
      <w:r>
        <w:rPr>
          <w:rFonts w:hint="default" w:ascii="Arial" w:hAnsi="Arial" w:cs="Arial"/>
          <w:sz w:val="22"/>
          <w:szCs w:val="22"/>
          <w:lang w:val="en-US"/>
        </w:rPr>
        <w:t xml:space="preserve">NFPA-2001 - Standard on Clean Agent Fire Extinguishing Systems; </w:t>
      </w:r>
    </w:p>
    <w:p w14:paraId="09A350FC">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lang w:val="en-US"/>
        </w:rPr>
      </w:pPr>
      <w:r>
        <w:rPr>
          <w:rFonts w:hint="default" w:ascii="Arial" w:hAnsi="Arial" w:cs="Arial"/>
          <w:b/>
          <w:bCs/>
          <w:sz w:val="22"/>
          <w:szCs w:val="22"/>
          <w:lang w:val="pt-BR"/>
        </w:rPr>
        <w:t>5.13.82.</w:t>
      </w:r>
      <w:r>
        <w:rPr>
          <w:rFonts w:hint="default" w:ascii="Arial" w:hAnsi="Arial" w:cs="Arial"/>
          <w:sz w:val="22"/>
          <w:szCs w:val="22"/>
          <w:lang w:val="pt-BR"/>
        </w:rPr>
        <w:t xml:space="preserve"> </w:t>
      </w:r>
      <w:r>
        <w:rPr>
          <w:rFonts w:hint="default" w:ascii="Arial" w:hAnsi="Arial" w:cs="Arial"/>
          <w:sz w:val="22"/>
          <w:szCs w:val="22"/>
          <w:lang w:val="en-US"/>
        </w:rPr>
        <w:t xml:space="preserve">NFPA-75 - Standard for the Fire Protection of Information Technology Equipment; </w:t>
      </w:r>
    </w:p>
    <w:p w14:paraId="0D0C0002">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rPr>
      </w:pPr>
      <w:r>
        <w:rPr>
          <w:rFonts w:hint="default" w:ascii="Arial" w:hAnsi="Arial" w:cs="Arial"/>
          <w:b/>
          <w:bCs/>
          <w:sz w:val="22"/>
          <w:szCs w:val="22"/>
          <w:lang w:val="pt-BR"/>
        </w:rPr>
        <w:t>5.13.83.</w:t>
      </w:r>
      <w:r>
        <w:rPr>
          <w:rFonts w:hint="default" w:ascii="Arial" w:hAnsi="Arial" w:cs="Arial"/>
          <w:sz w:val="22"/>
          <w:szCs w:val="22"/>
          <w:lang w:val="pt-BR"/>
        </w:rPr>
        <w:t xml:space="preserve"> </w:t>
      </w:r>
      <w:r>
        <w:rPr>
          <w:rFonts w:hint="default" w:ascii="Arial" w:hAnsi="Arial" w:cs="Arial"/>
          <w:sz w:val="22"/>
          <w:szCs w:val="22"/>
        </w:rPr>
        <w:t xml:space="preserve">RESOLUÇÃO ANATEL nº 242, de 30/11/2000 - Regulamento para certificação e homologação de produtos para telecomunicações; </w:t>
      </w:r>
    </w:p>
    <w:p w14:paraId="616EBF40">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200" w:leftChars="0"/>
        <w:jc w:val="both"/>
        <w:textAlignment w:val="auto"/>
        <w:rPr>
          <w:rFonts w:hint="default" w:ascii="Arial" w:hAnsi="Arial" w:cs="Arial"/>
          <w:sz w:val="22"/>
          <w:szCs w:val="22"/>
          <w:lang w:val="pt-BR"/>
        </w:rPr>
      </w:pPr>
      <w:r>
        <w:rPr>
          <w:rFonts w:hint="default" w:ascii="Arial" w:hAnsi="Arial" w:cs="Arial"/>
          <w:b/>
          <w:bCs/>
          <w:sz w:val="22"/>
          <w:szCs w:val="22"/>
          <w:lang w:val="pt-BR"/>
        </w:rPr>
        <w:t xml:space="preserve">5.13.84. </w:t>
      </w:r>
      <w:r>
        <w:rPr>
          <w:rFonts w:hint="default" w:ascii="Arial" w:hAnsi="Arial" w:cs="Arial"/>
          <w:sz w:val="22"/>
          <w:szCs w:val="22"/>
        </w:rPr>
        <w:t>RESOLUÇÃO ANATEL nº 299, de 24/06/2002 - Regulamento para certificação e homologação de cabos de fibras óptica</w:t>
      </w:r>
      <w:r>
        <w:rPr>
          <w:rFonts w:hint="default" w:ascii="Arial" w:hAnsi="Arial" w:cs="Arial"/>
          <w:sz w:val="22"/>
          <w:szCs w:val="22"/>
          <w:lang w:val="pt-BR"/>
        </w:rPr>
        <w:t>.</w:t>
      </w:r>
    </w:p>
    <w:p w14:paraId="0A917F37">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p>
    <w:p w14:paraId="69A3D7E1">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41C0C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3B49E240">
            <w:pPr>
              <w:numPr>
                <w:ilvl w:val="0"/>
                <w:numId w:val="17"/>
              </w:numPr>
              <w:ind w:left="0" w:leftChars="0" w:firstLine="0" w:firstLineChars="0"/>
              <w:jc w:val="center"/>
              <w:rPr>
                <w:rFonts w:hint="default" w:ascii="Arial" w:hAnsi="Arial" w:cs="Arial"/>
                <w:b/>
                <w:sz w:val="22"/>
                <w:szCs w:val="22"/>
                <w:vertAlign w:val="baseline"/>
                <w:lang w:val="pt-BR"/>
              </w:rPr>
            </w:pPr>
            <w:r>
              <w:rPr>
                <w:rFonts w:hint="default" w:ascii="Arial" w:hAnsi="Arial" w:cs="Arial"/>
                <w:b/>
                <w:sz w:val="22"/>
                <w:szCs w:val="22"/>
              </w:rPr>
              <w:t>EXECUÇÃO DO</w:t>
            </w:r>
            <w:r>
              <w:rPr>
                <w:rFonts w:hint="default" w:ascii="Arial" w:hAnsi="Arial" w:cs="Arial"/>
                <w:b/>
                <w:spacing w:val="-1"/>
                <w:sz w:val="22"/>
                <w:szCs w:val="22"/>
              </w:rPr>
              <w:t xml:space="preserve"> </w:t>
            </w:r>
            <w:r>
              <w:rPr>
                <w:rFonts w:hint="default" w:ascii="Arial" w:hAnsi="Arial" w:cs="Arial"/>
                <w:b/>
                <w:sz w:val="22"/>
                <w:szCs w:val="22"/>
              </w:rPr>
              <w:t xml:space="preserve">OBJETO DO </w:t>
            </w:r>
            <w:r>
              <w:rPr>
                <w:rFonts w:hint="default" w:ascii="Arial" w:hAnsi="Arial" w:cs="Arial"/>
                <w:b/>
                <w:spacing w:val="-2"/>
                <w:sz w:val="22"/>
                <w:szCs w:val="22"/>
              </w:rPr>
              <w:t>CONTRATO</w:t>
            </w:r>
          </w:p>
        </w:tc>
      </w:tr>
    </w:tbl>
    <w:p w14:paraId="09A2A87A">
      <w:pPr>
        <w:numPr>
          <w:ilvl w:val="0"/>
          <w:numId w:val="0"/>
        </w:numPr>
        <w:ind w:leftChars="0"/>
        <w:jc w:val="left"/>
        <w:rPr>
          <w:rFonts w:hint="default" w:ascii="Arial" w:hAnsi="Arial" w:cs="Arial"/>
          <w:color w:val="000000"/>
          <w:sz w:val="22"/>
          <w:szCs w:val="22"/>
          <w:highlight w:val="green"/>
          <w:lang w:val="pt-BR"/>
        </w:rPr>
      </w:pPr>
    </w:p>
    <w:p w14:paraId="795A378B">
      <w:pPr>
        <w:keepNext w:val="0"/>
        <w:keepLines w:val="0"/>
        <w:pageBreakBefore w:val="0"/>
        <w:widowControl/>
        <w:numPr>
          <w:ilvl w:val="1"/>
          <w:numId w:val="17"/>
        </w:numPr>
        <w:tabs>
          <w:tab w:val="left" w:pos="0"/>
        </w:tabs>
        <w:kinsoku/>
        <w:wordWrap/>
        <w:overflowPunct/>
        <w:topLinePunct w:val="0"/>
        <w:autoSpaceDE/>
        <w:autoSpaceDN/>
        <w:bidi w:val="0"/>
        <w:adjustRightInd/>
        <w:snapToGrid/>
        <w:spacing w:after="0" w:line="360" w:lineRule="auto"/>
        <w:ind w:left="0" w:leftChars="0" w:right="0" w:rightChars="0" w:firstLine="0" w:firstLineChars="0"/>
        <w:contextualSpacing/>
        <w:jc w:val="both"/>
        <w:textAlignment w:val="auto"/>
        <w:rPr>
          <w:rFonts w:hint="default" w:ascii="Arial" w:hAnsi="Arial" w:cs="Arial"/>
          <w:b/>
          <w:sz w:val="22"/>
          <w:szCs w:val="22"/>
          <w:highlight w:val="none"/>
          <w:lang w:val="pt-BR"/>
        </w:rPr>
      </w:pPr>
      <w:r>
        <w:rPr>
          <w:rFonts w:hint="default" w:ascii="Arial" w:hAnsi="Arial" w:cs="Arial"/>
          <w:b/>
          <w:bCs/>
          <w:sz w:val="22"/>
          <w:szCs w:val="22"/>
          <w:highlight w:val="none"/>
          <w:lang w:val="pt-BR"/>
        </w:rPr>
        <w:t xml:space="preserve">OBRIGAÇÕES DAS PARTES: </w:t>
      </w:r>
      <w:r>
        <w:rPr>
          <w:rFonts w:hint="default" w:ascii="Arial" w:hAnsi="Arial" w:cs="Arial"/>
          <w:b/>
          <w:sz w:val="22"/>
          <w:szCs w:val="22"/>
          <w:highlight w:val="none"/>
          <w:lang w:val="pt-BR"/>
        </w:rPr>
        <w:t>DEVERES E RESPONSABILIDADES DA CONTRATADA</w:t>
      </w:r>
    </w:p>
    <w:p w14:paraId="57B1B53B">
      <w:pPr>
        <w:pStyle w:val="165"/>
        <w:keepNext w:val="0"/>
        <w:keepLines w:val="0"/>
        <w:pageBreakBefore w:val="0"/>
        <w:widowControl/>
        <w:numPr>
          <w:ilvl w:val="2"/>
          <w:numId w:val="17"/>
        </w:numPr>
        <w:tabs>
          <w:tab w:val="left" w:pos="1276"/>
        </w:tabs>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Comunicar à CONTRATANTE, por escrito, qualquer anormalidade de caráter urgente e prestar os esclarecimentos julgados necessários.</w:t>
      </w:r>
    </w:p>
    <w:p w14:paraId="06C8DC5F">
      <w:pPr>
        <w:pStyle w:val="165"/>
        <w:keepNext w:val="0"/>
        <w:keepLines w:val="0"/>
        <w:pageBreakBefore w:val="0"/>
        <w:widowControl/>
        <w:numPr>
          <w:ilvl w:val="2"/>
          <w:numId w:val="17"/>
        </w:numPr>
        <w:tabs>
          <w:tab w:val="left" w:pos="1276"/>
        </w:tabs>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 xml:space="preserve">Possuir técnicos devidamente qualificados/treinados pelo fabricante dos equipamentos que compõem o Centro de Processamento de Dados para execução, instalação e testes de operação. </w:t>
      </w:r>
    </w:p>
    <w:p w14:paraId="66FF310B">
      <w:pPr>
        <w:pStyle w:val="165"/>
        <w:keepNext w:val="0"/>
        <w:keepLines w:val="0"/>
        <w:pageBreakBefore w:val="0"/>
        <w:widowControl/>
        <w:numPr>
          <w:ilvl w:val="2"/>
          <w:numId w:val="17"/>
        </w:numPr>
        <w:tabs>
          <w:tab w:val="left" w:pos="1276"/>
        </w:tabs>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 xml:space="preserve">Efetuar a entrega dos equipamentos do Centro de Processamento de Dados de acordo com as especificações e demais condições previstas neste Termo de Referência. </w:t>
      </w:r>
    </w:p>
    <w:p w14:paraId="3198E25B">
      <w:pPr>
        <w:pStyle w:val="165"/>
        <w:keepNext w:val="0"/>
        <w:keepLines w:val="0"/>
        <w:pageBreakBefore w:val="0"/>
        <w:widowControl/>
        <w:numPr>
          <w:ilvl w:val="2"/>
          <w:numId w:val="17"/>
        </w:numPr>
        <w:tabs>
          <w:tab w:val="left" w:pos="1276"/>
        </w:tabs>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 xml:space="preserve">A CONTRATADA deverá emitir relatórios da manutenção e de todas as ocorrências referente a manutenção corretiva quando em garantia. </w:t>
      </w:r>
    </w:p>
    <w:p w14:paraId="74B84C37">
      <w:pPr>
        <w:pStyle w:val="165"/>
        <w:keepNext w:val="0"/>
        <w:keepLines w:val="0"/>
        <w:pageBreakBefore w:val="0"/>
        <w:widowControl/>
        <w:numPr>
          <w:ilvl w:val="2"/>
          <w:numId w:val="17"/>
        </w:numPr>
        <w:tabs>
          <w:tab w:val="left" w:pos="1276"/>
        </w:tabs>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 xml:space="preserve">Assumir toda a responsabilidade pelos encargos fiscais e comerciais resultantes do fornecimento do objeto do presente Termo de Referência. </w:t>
      </w:r>
    </w:p>
    <w:p w14:paraId="673186BE">
      <w:pPr>
        <w:pStyle w:val="165"/>
        <w:keepNext w:val="0"/>
        <w:keepLines w:val="0"/>
        <w:pageBreakBefore w:val="0"/>
        <w:widowControl/>
        <w:numPr>
          <w:ilvl w:val="2"/>
          <w:numId w:val="17"/>
        </w:numPr>
        <w:tabs>
          <w:tab w:val="left" w:pos="1276"/>
        </w:tabs>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 xml:space="preserve">O objeto deverá ser entregue, levando-se em consideração o fato de que os serviços deste Termo deverão ser entregues completos (cabos, identificadores dos cabos, acessórios, manuais entre outros) em consequência, ficará a cargo da CONTRATADA prever qualquer material necessário, mesmo quando não expressamente indicado no Termo de Referência e nas especificações técnicas, não lhe cabendo quaisquer acréscimos de pagamentos decorrentes. </w:t>
      </w:r>
    </w:p>
    <w:p w14:paraId="2B6F72C8">
      <w:pPr>
        <w:pStyle w:val="165"/>
        <w:keepNext w:val="0"/>
        <w:keepLines w:val="0"/>
        <w:pageBreakBefore w:val="0"/>
        <w:widowControl/>
        <w:numPr>
          <w:ilvl w:val="2"/>
          <w:numId w:val="17"/>
        </w:numPr>
        <w:tabs>
          <w:tab w:val="left" w:pos="1276"/>
        </w:tabs>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 xml:space="preserve">Durante a execução do serviço a CONTRATADA deverá disponibilizar nas instalações da CONTRATANTE, profissionais legalmente habilitados, com registro válido no Conselho Regional de Engenharia e Arquitetura (CREA) competente, com habilitação de Engenheiro. </w:t>
      </w:r>
    </w:p>
    <w:p w14:paraId="7EEC2638">
      <w:pPr>
        <w:pStyle w:val="165"/>
        <w:keepNext w:val="0"/>
        <w:keepLines w:val="0"/>
        <w:pageBreakBefore w:val="0"/>
        <w:widowControl/>
        <w:numPr>
          <w:ilvl w:val="2"/>
          <w:numId w:val="17"/>
        </w:numPr>
        <w:tabs>
          <w:tab w:val="left" w:pos="1276"/>
        </w:tabs>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A CONTRATADA deverá emitir Anotação de Responsabilidade Técnica – ART ou RRT junto ao CREA ou CAU MT, em nome de seus responsáveis técnicos apresentados, para vinculação de responsabilidade de projetos executivos, fornecimento e serviços a serem executados via objeto deste Termo de Referência, após a assinatura do Contrato.</w:t>
      </w:r>
    </w:p>
    <w:p w14:paraId="54BF06D4">
      <w:pPr>
        <w:pStyle w:val="165"/>
        <w:keepNext w:val="0"/>
        <w:keepLines w:val="0"/>
        <w:pageBreakBefore w:val="0"/>
        <w:widowControl/>
        <w:numPr>
          <w:ilvl w:val="2"/>
          <w:numId w:val="17"/>
        </w:numPr>
        <w:tabs>
          <w:tab w:val="left" w:pos="1276"/>
        </w:tabs>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b/>
          <w:sz w:val="22"/>
          <w:szCs w:val="22"/>
          <w:highlight w:val="none"/>
          <w:lang w:val="pt-BR"/>
        </w:rPr>
      </w:pPr>
      <w:r>
        <w:rPr>
          <w:rFonts w:hint="default" w:ascii="Arial" w:hAnsi="Arial" w:cs="Arial"/>
          <w:color w:val="auto"/>
          <w:sz w:val="22"/>
          <w:szCs w:val="22"/>
          <w:highlight w:val="none"/>
        </w:rPr>
        <w:t>A CONTRATADA deverá emitir comprovante de regularização junto ao CREA e CAU da proponente e dos profissionais responsáveis técnicos apresentados pela proponente, através de Certidão de Registro e Quitação – CRQ emitida pelo CREA. A certidão deverá conter os dados cadastrais atualizados, nos termos da legislação em vigor, com habilitação de Engenheiro, em atendimento à Resolução do CONFEA nº 265 (15/12/79), Resolução nº 266 (15/12/79) e Resolução nº 191 (20/03/70). Em caso de participantes e seus responsáveis técnicos inscritos ou registrados em um CREA de outra região, os mesmos deverão, no ato da assinatura do contrato, terem sido visitados e ter registrada a sua documentação no CREA-M</w:t>
      </w:r>
      <w:r>
        <w:rPr>
          <w:rFonts w:hint="default" w:ascii="Arial" w:hAnsi="Arial" w:cs="Arial"/>
          <w:color w:val="auto"/>
          <w:sz w:val="22"/>
          <w:szCs w:val="22"/>
          <w:highlight w:val="none"/>
          <w:lang w:val="pt-BR"/>
        </w:rPr>
        <w:t>T</w:t>
      </w:r>
      <w:r>
        <w:rPr>
          <w:rFonts w:hint="default" w:ascii="Arial" w:hAnsi="Arial" w:cs="Arial"/>
          <w:color w:val="auto"/>
          <w:sz w:val="22"/>
          <w:szCs w:val="22"/>
          <w:highlight w:val="none"/>
        </w:rPr>
        <w:t>, de acordo com a resolução 413/97, do Conselho Federal de Engenharia, Arquitetura e Agronomia</w:t>
      </w:r>
      <w:r>
        <w:rPr>
          <w:rFonts w:hint="default" w:ascii="Arial" w:hAnsi="Arial" w:cs="Arial"/>
          <w:color w:val="auto"/>
          <w:sz w:val="22"/>
          <w:szCs w:val="22"/>
          <w:highlight w:val="none"/>
          <w:lang w:val="pt-BR"/>
        </w:rPr>
        <w:t>.</w:t>
      </w:r>
      <w:r>
        <w:rPr>
          <w:rFonts w:hint="default" w:ascii="Arial" w:hAnsi="Arial" w:cs="Arial"/>
          <w:color w:val="auto"/>
          <w:sz w:val="22"/>
          <w:szCs w:val="22"/>
          <w:highlight w:val="none"/>
          <w:lang w:eastAsia="zh-CN"/>
        </w:rPr>
        <w:t xml:space="preserve"> </w:t>
      </w:r>
    </w:p>
    <w:p w14:paraId="0AB77464">
      <w:pPr>
        <w:pStyle w:val="128"/>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right="0" w:rightChars="0"/>
        <w:contextualSpacing/>
        <w:jc w:val="both"/>
        <w:textAlignment w:val="baseline"/>
        <w:rPr>
          <w:rFonts w:hint="default" w:ascii="Arial" w:hAnsi="Arial" w:cs="Arial"/>
          <w:color w:val="auto"/>
          <w:sz w:val="22"/>
          <w:szCs w:val="22"/>
          <w:highlight w:val="none"/>
        </w:rPr>
      </w:pPr>
      <w:r>
        <w:rPr>
          <w:rFonts w:hint="default" w:ascii="Arial" w:hAnsi="Arial" w:cs="Arial"/>
          <w:b/>
          <w:bCs/>
          <w:sz w:val="22"/>
          <w:szCs w:val="22"/>
          <w:highlight w:val="none"/>
          <w:lang w:val="pt-BR"/>
        </w:rPr>
        <w:t>6.1.10.</w:t>
      </w:r>
      <w:r>
        <w:rPr>
          <w:rFonts w:hint="default" w:ascii="Arial" w:hAnsi="Arial" w:cs="Arial"/>
          <w:sz w:val="22"/>
          <w:szCs w:val="22"/>
          <w:highlight w:val="none"/>
          <w:lang w:val="pt-BR"/>
        </w:rPr>
        <w:t xml:space="preserve"> </w:t>
      </w:r>
      <w:r>
        <w:rPr>
          <w:rFonts w:hint="default" w:ascii="Arial" w:hAnsi="Arial" w:cs="Arial"/>
          <w:color w:val="auto"/>
          <w:sz w:val="22"/>
          <w:szCs w:val="22"/>
          <w:highlight w:val="none"/>
        </w:rPr>
        <w:t>Responsabilizar-se pelas despesas dos tributos, encargos trabalhistas, previdenciários, fiscais, comerciais, taxas, fretes, seguros, deslocamento de pessoal, prestação de garantia e quaisquer outras que incidam ou venham a incidir na execução da ata/contrato, inclusive nos casos de troca de item ou qualquer eventualidade que possa ocorrer;</w:t>
      </w:r>
    </w:p>
    <w:p w14:paraId="5824A941">
      <w:pPr>
        <w:pStyle w:val="128"/>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right="0" w:rightChars="0"/>
        <w:contextualSpacing/>
        <w:jc w:val="both"/>
        <w:textAlignment w:val="baseline"/>
        <w:rPr>
          <w:rFonts w:hint="default" w:ascii="Arial" w:hAnsi="Arial" w:cs="Arial"/>
          <w:color w:val="auto"/>
          <w:sz w:val="22"/>
          <w:szCs w:val="22"/>
          <w:highlight w:val="none"/>
        </w:rPr>
      </w:pPr>
      <w:r>
        <w:rPr>
          <w:rFonts w:hint="default" w:ascii="Arial" w:hAnsi="Arial" w:cs="Arial"/>
          <w:b/>
          <w:bCs/>
          <w:color w:val="auto"/>
          <w:sz w:val="22"/>
          <w:szCs w:val="22"/>
          <w:highlight w:val="none"/>
          <w:lang w:val="pt-BR"/>
        </w:rPr>
        <w:t>6.1.11.</w:t>
      </w:r>
      <w:r>
        <w:rPr>
          <w:rFonts w:hint="default" w:ascii="Arial" w:hAnsi="Arial" w:cs="Arial"/>
          <w:color w:val="auto"/>
          <w:sz w:val="22"/>
          <w:szCs w:val="22"/>
          <w:highlight w:val="none"/>
          <w:lang w:val="pt-BR"/>
        </w:rPr>
        <w:t xml:space="preserve"> </w:t>
      </w:r>
      <w:r>
        <w:rPr>
          <w:rFonts w:hint="default" w:ascii="Arial" w:hAnsi="Arial" w:cs="Arial"/>
          <w:color w:val="auto"/>
          <w:sz w:val="22"/>
          <w:szCs w:val="22"/>
          <w:highlight w:val="none"/>
        </w:rPr>
        <w:t>Arcar com toda e qualquer despesa relativa ao fornecimento ora pactuado, dentre elas, carga, transporte, descarga, frete, impostos, mão de obra, taxas, contribuições, encargos sociais, inclusive nos casos de troca de item ou qualquer eventualidade que possa ocorrer;</w:t>
      </w:r>
    </w:p>
    <w:p w14:paraId="496BABAF">
      <w:pPr>
        <w:pStyle w:val="128"/>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right="0" w:rightChars="0"/>
        <w:contextualSpacing/>
        <w:jc w:val="both"/>
        <w:textAlignment w:val="baseline"/>
        <w:rPr>
          <w:rFonts w:hint="default" w:ascii="Arial" w:hAnsi="Arial" w:cs="Arial"/>
          <w:color w:val="auto"/>
          <w:sz w:val="22"/>
          <w:szCs w:val="22"/>
          <w:highlight w:val="none"/>
        </w:rPr>
      </w:pPr>
      <w:r>
        <w:rPr>
          <w:rFonts w:hint="default" w:ascii="Arial" w:hAnsi="Arial" w:cs="Arial"/>
          <w:b/>
          <w:bCs/>
          <w:color w:val="auto"/>
          <w:sz w:val="22"/>
          <w:szCs w:val="22"/>
          <w:highlight w:val="none"/>
          <w:lang w:val="pt-BR"/>
        </w:rPr>
        <w:t xml:space="preserve">6.1.12. </w:t>
      </w:r>
      <w:r>
        <w:rPr>
          <w:rFonts w:hint="default" w:ascii="Arial" w:hAnsi="Arial" w:cs="Arial"/>
          <w:color w:val="auto"/>
          <w:sz w:val="22"/>
          <w:szCs w:val="22"/>
          <w:highlight w:val="none"/>
        </w:rPr>
        <w:t>Manter, durante toda a execução d</w:t>
      </w:r>
      <w:r>
        <w:rPr>
          <w:rFonts w:hint="default" w:ascii="Arial" w:hAnsi="Arial" w:cs="Arial"/>
          <w:color w:val="auto"/>
          <w:sz w:val="22"/>
          <w:szCs w:val="22"/>
          <w:highlight w:val="none"/>
          <w:lang w:val="pt-BR"/>
        </w:rPr>
        <w:t xml:space="preserve">o </w:t>
      </w:r>
      <w:r>
        <w:rPr>
          <w:rFonts w:hint="default" w:ascii="Arial" w:hAnsi="Arial" w:cs="Arial"/>
          <w:color w:val="auto"/>
          <w:sz w:val="22"/>
          <w:szCs w:val="22"/>
          <w:highlight w:val="none"/>
        </w:rPr>
        <w:t>contrato, em compatibilidade com as obrigações assumidas, todas as condições de habilitação e qualificação exigidas na licitação ou na contratação.</w:t>
      </w:r>
    </w:p>
    <w:p w14:paraId="3540C449">
      <w:pPr>
        <w:pStyle w:val="128"/>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right="0" w:rightChars="0"/>
        <w:contextualSpacing/>
        <w:jc w:val="both"/>
        <w:textAlignment w:val="baseline"/>
        <w:rPr>
          <w:rFonts w:hint="default" w:ascii="Arial" w:hAnsi="Arial" w:cs="Arial"/>
          <w:color w:val="auto"/>
          <w:sz w:val="22"/>
          <w:szCs w:val="22"/>
          <w:highlight w:val="none"/>
        </w:rPr>
      </w:pPr>
      <w:r>
        <w:rPr>
          <w:rFonts w:hint="default" w:ascii="Arial" w:hAnsi="Arial" w:cs="Arial"/>
          <w:b/>
          <w:bCs/>
          <w:color w:val="auto"/>
          <w:sz w:val="22"/>
          <w:szCs w:val="22"/>
          <w:highlight w:val="none"/>
          <w:lang w:val="pt-BR"/>
        </w:rPr>
        <w:t>6.1.13.</w:t>
      </w:r>
      <w:r>
        <w:rPr>
          <w:rFonts w:hint="default" w:ascii="Arial" w:hAnsi="Arial" w:cs="Arial"/>
          <w:color w:val="auto"/>
          <w:sz w:val="22"/>
          <w:szCs w:val="22"/>
          <w:highlight w:val="none"/>
          <w:lang w:val="pt-BR"/>
        </w:rPr>
        <w:t xml:space="preserve"> </w:t>
      </w:r>
      <w:r>
        <w:rPr>
          <w:rFonts w:hint="default" w:ascii="Arial" w:hAnsi="Arial" w:cs="Arial"/>
          <w:color w:val="auto"/>
          <w:sz w:val="22"/>
          <w:szCs w:val="22"/>
          <w:highlight w:val="none"/>
        </w:rPr>
        <w:t>Atender prontamente a quaisquer exigências da Administração, inerentes ao objeto da presente licitação.</w:t>
      </w:r>
    </w:p>
    <w:p w14:paraId="54175177">
      <w:pPr>
        <w:pStyle w:val="128"/>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contextualSpacing/>
        <w:jc w:val="both"/>
        <w:textAlignment w:val="baseline"/>
        <w:rPr>
          <w:rFonts w:hint="default" w:ascii="Arial" w:hAnsi="Arial" w:cs="Arial"/>
          <w:color w:val="auto"/>
          <w:sz w:val="22"/>
          <w:szCs w:val="22"/>
          <w:highlight w:val="none"/>
        </w:rPr>
      </w:pPr>
      <w:r>
        <w:rPr>
          <w:rFonts w:hint="default" w:ascii="Arial" w:hAnsi="Arial" w:cs="Arial"/>
          <w:b/>
          <w:bCs/>
          <w:color w:val="auto"/>
          <w:sz w:val="22"/>
          <w:szCs w:val="22"/>
          <w:highlight w:val="none"/>
          <w:lang w:val="pt-BR"/>
        </w:rPr>
        <w:t xml:space="preserve">6.1.14. </w:t>
      </w:r>
      <w:r>
        <w:rPr>
          <w:rFonts w:hint="default" w:ascii="Arial" w:hAnsi="Arial" w:cs="Arial"/>
          <w:color w:val="auto"/>
          <w:sz w:val="22"/>
          <w:szCs w:val="22"/>
          <w:highlight w:val="none"/>
        </w:rPr>
        <w:t>Não transferir a terceiros, por qualquer forma, as obrigações assumidas, nem subcontratar qualquer das prestações a que está obrigada.</w:t>
      </w:r>
    </w:p>
    <w:p w14:paraId="5C8F077A">
      <w:pPr>
        <w:pStyle w:val="128"/>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color w:val="auto"/>
          <w:sz w:val="22"/>
          <w:szCs w:val="22"/>
          <w:highlight w:val="none"/>
        </w:rPr>
      </w:pPr>
      <w:r>
        <w:rPr>
          <w:rFonts w:hint="default" w:ascii="Arial" w:hAnsi="Arial" w:cs="Arial"/>
          <w:b/>
          <w:bCs/>
          <w:color w:val="auto"/>
          <w:sz w:val="22"/>
          <w:szCs w:val="22"/>
          <w:highlight w:val="none"/>
          <w:lang w:val="pt-BR"/>
        </w:rPr>
        <w:t xml:space="preserve">6.1.15. </w:t>
      </w:r>
      <w:r>
        <w:rPr>
          <w:rFonts w:hint="default" w:ascii="Arial" w:hAnsi="Arial" w:cs="Arial"/>
          <w:color w:val="auto"/>
          <w:sz w:val="22"/>
          <w:szCs w:val="22"/>
          <w:highlight w:val="none"/>
        </w:rPr>
        <w:t>Destacar e discriminar a retenção a que está sujeita, informando de forma clara e inequívoca todos os impostos e alíquotas incidentes, cabendo a ela toda a responsabilidade pela eventual ausência dessa informação ou pela informação incorreta.</w:t>
      </w:r>
    </w:p>
    <w:p w14:paraId="10FE4821">
      <w:pPr>
        <w:pStyle w:val="128"/>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color w:val="auto"/>
          <w:sz w:val="22"/>
          <w:szCs w:val="22"/>
          <w:highlight w:val="none"/>
        </w:rPr>
      </w:pPr>
      <w:r>
        <w:rPr>
          <w:rFonts w:hint="default" w:ascii="Arial" w:hAnsi="Arial" w:cs="Arial"/>
          <w:b/>
          <w:bCs/>
          <w:color w:val="auto"/>
          <w:sz w:val="22"/>
          <w:szCs w:val="22"/>
          <w:highlight w:val="none"/>
          <w:lang w:val="pt-BR"/>
        </w:rPr>
        <w:t xml:space="preserve">6.1.16. </w:t>
      </w:r>
      <w:r>
        <w:rPr>
          <w:rFonts w:hint="default" w:ascii="Arial" w:hAnsi="Arial" w:cs="Arial"/>
          <w:color w:val="auto"/>
          <w:sz w:val="22"/>
          <w:szCs w:val="22"/>
          <w:highlight w:val="none"/>
        </w:rPr>
        <w:t>As notas fiscais não poderão ter rasuras e deverão descrever corretamente o item</w:t>
      </w:r>
      <w:r>
        <w:rPr>
          <w:rFonts w:hint="default" w:ascii="Arial" w:hAnsi="Arial" w:cs="Arial"/>
          <w:color w:val="auto"/>
          <w:sz w:val="22"/>
          <w:szCs w:val="22"/>
          <w:highlight w:val="none"/>
          <w:lang w:val="pt-BR"/>
        </w:rPr>
        <w:t>, o</w:t>
      </w:r>
      <w:r>
        <w:rPr>
          <w:rFonts w:hint="default" w:ascii="Arial" w:hAnsi="Arial" w:cs="Arial"/>
          <w:color w:val="auto"/>
          <w:sz w:val="22"/>
          <w:szCs w:val="22"/>
          <w:highlight w:val="none"/>
        </w:rPr>
        <w:t xml:space="preserve"> número de empenho, o número do processo de compras</w:t>
      </w:r>
      <w:r>
        <w:rPr>
          <w:rFonts w:hint="default" w:ascii="Arial" w:hAnsi="Arial" w:cs="Arial"/>
          <w:color w:val="auto"/>
          <w:sz w:val="22"/>
          <w:szCs w:val="22"/>
          <w:highlight w:val="none"/>
          <w:lang w:val="pt-BR"/>
        </w:rPr>
        <w:t xml:space="preserve"> e</w:t>
      </w:r>
      <w:r>
        <w:rPr>
          <w:rFonts w:hint="default" w:ascii="Arial" w:hAnsi="Arial" w:cs="Arial"/>
          <w:color w:val="auto"/>
          <w:sz w:val="22"/>
          <w:szCs w:val="22"/>
          <w:highlight w:val="none"/>
        </w:rPr>
        <w:t xml:space="preserve"> dados bancários para depósito. As notas fiscais serão liberadas para pagamento somente quando estiver devidamente assinad</w:t>
      </w:r>
      <w:r>
        <w:rPr>
          <w:rFonts w:hint="default" w:ascii="Arial" w:hAnsi="Arial" w:cs="Arial"/>
          <w:color w:val="auto"/>
          <w:sz w:val="22"/>
          <w:szCs w:val="22"/>
          <w:highlight w:val="none"/>
          <w:lang w:val="pt-BR"/>
        </w:rPr>
        <w:t>a</w:t>
      </w:r>
      <w:r>
        <w:rPr>
          <w:rFonts w:hint="default" w:ascii="Arial" w:hAnsi="Arial" w:cs="Arial"/>
          <w:color w:val="auto"/>
          <w:sz w:val="22"/>
          <w:szCs w:val="22"/>
          <w:highlight w:val="none"/>
        </w:rPr>
        <w:t xml:space="preserve"> e carimbad</w:t>
      </w:r>
      <w:r>
        <w:rPr>
          <w:rFonts w:hint="default" w:ascii="Arial" w:hAnsi="Arial" w:cs="Arial"/>
          <w:color w:val="auto"/>
          <w:sz w:val="22"/>
          <w:szCs w:val="22"/>
          <w:highlight w:val="none"/>
          <w:lang w:val="pt-BR"/>
        </w:rPr>
        <w:t>a</w:t>
      </w:r>
      <w:r>
        <w:rPr>
          <w:rFonts w:hint="default" w:ascii="Arial" w:hAnsi="Arial" w:cs="Arial"/>
          <w:color w:val="auto"/>
          <w:sz w:val="22"/>
          <w:szCs w:val="22"/>
          <w:highlight w:val="none"/>
        </w:rPr>
        <w:t xml:space="preserve"> pelo </w:t>
      </w:r>
      <w:r>
        <w:rPr>
          <w:rFonts w:hint="default" w:ascii="Arial" w:hAnsi="Arial" w:cs="Arial"/>
          <w:color w:val="auto"/>
          <w:sz w:val="22"/>
          <w:szCs w:val="22"/>
          <w:highlight w:val="none"/>
          <w:lang w:val="pt-BR"/>
        </w:rPr>
        <w:t>servidor</w:t>
      </w:r>
      <w:r>
        <w:rPr>
          <w:rFonts w:hint="default" w:ascii="Arial" w:hAnsi="Arial" w:cs="Arial"/>
          <w:color w:val="auto"/>
          <w:sz w:val="22"/>
          <w:szCs w:val="22"/>
          <w:highlight w:val="none"/>
        </w:rPr>
        <w:t xml:space="preserve"> responsável;</w:t>
      </w:r>
    </w:p>
    <w:p w14:paraId="4B3D3097">
      <w:pPr>
        <w:pStyle w:val="128"/>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leftChars="0" w:right="0" w:rightChars="0"/>
        <w:jc w:val="both"/>
        <w:textAlignment w:val="baseline"/>
        <w:rPr>
          <w:rFonts w:hint="default" w:ascii="Arial" w:hAnsi="Arial" w:cs="Arial"/>
          <w:b w:val="0"/>
          <w:bCs w:val="0"/>
          <w:color w:val="auto"/>
          <w:sz w:val="22"/>
          <w:szCs w:val="22"/>
          <w:highlight w:val="none"/>
          <w:lang w:val="pt-BR"/>
        </w:rPr>
      </w:pPr>
      <w:r>
        <w:rPr>
          <w:rFonts w:hint="default" w:ascii="Arial" w:hAnsi="Arial" w:cs="Arial"/>
          <w:b/>
          <w:bCs/>
          <w:color w:val="auto"/>
          <w:sz w:val="22"/>
          <w:szCs w:val="22"/>
          <w:highlight w:val="none"/>
          <w:lang w:val="pt-BR"/>
        </w:rPr>
        <w:t xml:space="preserve">6.1.17. </w:t>
      </w:r>
      <w:r>
        <w:rPr>
          <w:rFonts w:hint="default" w:ascii="Arial" w:hAnsi="Arial" w:cs="Arial"/>
          <w:color w:val="auto"/>
          <w:sz w:val="22"/>
          <w:szCs w:val="22"/>
          <w:highlight w:val="none"/>
        </w:rPr>
        <w:t>As notas fiscais deverão se</w:t>
      </w:r>
      <w:r>
        <w:rPr>
          <w:rFonts w:hint="default" w:ascii="Arial" w:hAnsi="Arial" w:cs="Arial"/>
          <w:color w:val="auto"/>
          <w:sz w:val="22"/>
          <w:szCs w:val="22"/>
          <w:highlight w:val="none"/>
          <w:lang w:val="pt-BR"/>
        </w:rPr>
        <w:t>r</w:t>
      </w:r>
      <w:r>
        <w:rPr>
          <w:rFonts w:hint="default" w:ascii="Arial" w:hAnsi="Arial" w:cs="Arial"/>
          <w:color w:val="auto"/>
          <w:sz w:val="22"/>
          <w:szCs w:val="22"/>
          <w:highlight w:val="none"/>
        </w:rPr>
        <w:t xml:space="preserve"> encaminhadas</w:t>
      </w:r>
      <w:r>
        <w:rPr>
          <w:rFonts w:hint="default" w:ascii="Arial" w:hAnsi="Arial" w:cs="Arial"/>
          <w:color w:val="auto"/>
          <w:sz w:val="22"/>
          <w:szCs w:val="22"/>
          <w:highlight w:val="none"/>
          <w:lang w:val="pt-BR"/>
        </w:rPr>
        <w:t xml:space="preserve"> à Prefeitura de Sinop, por meio do </w:t>
      </w:r>
      <w:r>
        <w:rPr>
          <w:rFonts w:hint="default" w:ascii="Arial" w:hAnsi="Arial" w:cs="Arial"/>
          <w:b/>
          <w:bCs/>
          <w:i/>
          <w:iCs/>
          <w:color w:val="auto"/>
          <w:sz w:val="22"/>
          <w:szCs w:val="22"/>
          <w:highlight w:val="none"/>
          <w:lang w:val="pt-BR"/>
        </w:rPr>
        <w:t>Portal do Fornecedor</w:t>
      </w:r>
      <w:r>
        <w:rPr>
          <w:rFonts w:hint="default" w:ascii="Arial" w:hAnsi="Arial" w:cs="Arial"/>
          <w:color w:val="auto"/>
          <w:sz w:val="22"/>
          <w:szCs w:val="22"/>
          <w:highlight w:val="none"/>
          <w:lang w:val="pt-BR"/>
        </w:rPr>
        <w:t xml:space="preserve">, disponível no endereço eletrônico: </w:t>
      </w:r>
      <w:r>
        <w:rPr>
          <w:rFonts w:hint="default" w:ascii="Arial" w:hAnsi="Arial" w:cs="Arial"/>
          <w:i/>
          <w:iCs/>
          <w:color w:val="auto"/>
          <w:sz w:val="22"/>
          <w:szCs w:val="22"/>
          <w:highlight w:val="none"/>
          <w:lang w:val="pt-BR"/>
        </w:rPr>
        <w:fldChar w:fldCharType="begin"/>
      </w:r>
      <w:r>
        <w:rPr>
          <w:rFonts w:hint="default" w:ascii="Arial" w:hAnsi="Arial" w:cs="Arial"/>
          <w:i/>
          <w:iCs/>
          <w:color w:val="auto"/>
          <w:sz w:val="22"/>
          <w:szCs w:val="22"/>
          <w:highlight w:val="none"/>
          <w:lang w:val="pt-BR"/>
        </w:rPr>
        <w:instrText xml:space="preserve"> HYPERLINK "https://www.gp.srv.br/portalfornecedor_sinop/servlet/home," </w:instrText>
      </w:r>
      <w:r>
        <w:rPr>
          <w:rFonts w:hint="default" w:ascii="Arial" w:hAnsi="Arial" w:cs="Arial"/>
          <w:i/>
          <w:iCs/>
          <w:color w:val="auto"/>
          <w:sz w:val="22"/>
          <w:szCs w:val="22"/>
          <w:highlight w:val="none"/>
          <w:lang w:val="pt-BR"/>
        </w:rPr>
        <w:fldChar w:fldCharType="separate"/>
      </w:r>
      <w:r>
        <w:rPr>
          <w:rStyle w:val="15"/>
          <w:rFonts w:hint="default" w:ascii="Arial" w:hAnsi="Arial" w:cs="Arial"/>
          <w:i/>
          <w:iCs/>
          <w:color w:val="auto"/>
          <w:sz w:val="22"/>
          <w:szCs w:val="22"/>
          <w:highlight w:val="none"/>
          <w:lang w:val="pt-BR"/>
        </w:rPr>
        <w:t>https://www.gp.srv.br/portalfornecedor_sinop/servlet/home</w:t>
      </w:r>
      <w:r>
        <w:rPr>
          <w:rStyle w:val="15"/>
          <w:rFonts w:hint="default" w:ascii="Arial" w:hAnsi="Arial" w:cs="Arial"/>
          <w:color w:val="auto"/>
          <w:sz w:val="22"/>
          <w:szCs w:val="22"/>
          <w:highlight w:val="none"/>
          <w:lang w:val="pt-BR"/>
        </w:rPr>
        <w:t>,</w:t>
      </w:r>
      <w:r>
        <w:rPr>
          <w:rFonts w:hint="default" w:ascii="Arial" w:hAnsi="Arial" w:cs="Arial"/>
          <w:i/>
          <w:iCs/>
          <w:color w:val="auto"/>
          <w:sz w:val="22"/>
          <w:szCs w:val="22"/>
          <w:highlight w:val="none"/>
          <w:lang w:val="pt-BR"/>
        </w:rPr>
        <w:fldChar w:fldCharType="end"/>
      </w:r>
      <w:r>
        <w:rPr>
          <w:rFonts w:hint="default" w:ascii="Arial" w:hAnsi="Arial" w:cs="Arial"/>
          <w:color w:val="auto"/>
          <w:sz w:val="22"/>
          <w:szCs w:val="22"/>
          <w:highlight w:val="none"/>
          <w:lang w:val="pt-BR"/>
        </w:rPr>
        <w:t xml:space="preserve"> conforme Decreto 230/2023 de 06 de </w:t>
      </w:r>
      <w:r>
        <w:rPr>
          <w:rFonts w:hint="default" w:ascii="Arial" w:hAnsi="Arial" w:cs="Arial"/>
          <w:b/>
          <w:bCs/>
          <w:color w:val="auto"/>
          <w:sz w:val="22"/>
          <w:szCs w:val="22"/>
          <w:highlight w:val="none"/>
          <w:lang w:val="pt-BR"/>
        </w:rPr>
        <w:t xml:space="preserve"> </w:t>
      </w:r>
      <w:r>
        <w:rPr>
          <w:rFonts w:hint="default" w:ascii="Arial" w:hAnsi="Arial" w:cs="Arial"/>
          <w:b w:val="0"/>
          <w:bCs w:val="0"/>
          <w:color w:val="auto"/>
          <w:sz w:val="22"/>
          <w:szCs w:val="22"/>
          <w:highlight w:val="none"/>
          <w:lang w:val="pt-BR"/>
        </w:rPr>
        <w:t>O protocolo deverá ser realizado separadamente por Secretaria e Empenho/Nad;</w:t>
      </w:r>
    </w:p>
    <w:p w14:paraId="2560BC2D">
      <w:pPr>
        <w:pStyle w:val="128"/>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leftChars="0" w:right="0" w:rightChars="0"/>
        <w:jc w:val="both"/>
        <w:textAlignment w:val="baseline"/>
        <w:rPr>
          <w:rFonts w:hint="default" w:ascii="Arial" w:hAnsi="Arial" w:cs="Arial"/>
          <w:b w:val="0"/>
          <w:bCs w:val="0"/>
          <w:color w:val="auto"/>
          <w:sz w:val="22"/>
          <w:szCs w:val="22"/>
          <w:highlight w:val="none"/>
          <w:lang w:val="pt-BR"/>
        </w:rPr>
      </w:pPr>
      <w:r>
        <w:rPr>
          <w:rFonts w:hint="default" w:ascii="Arial" w:hAnsi="Arial" w:cs="Arial"/>
          <w:b/>
          <w:bCs/>
          <w:color w:val="auto"/>
          <w:sz w:val="22"/>
          <w:szCs w:val="22"/>
          <w:highlight w:val="none"/>
          <w:lang w:val="pt-BR"/>
        </w:rPr>
        <w:t xml:space="preserve">6.1.18. </w:t>
      </w:r>
      <w:r>
        <w:rPr>
          <w:rFonts w:hint="default" w:ascii="Arial" w:hAnsi="Arial" w:cs="Arial"/>
          <w:b w:val="0"/>
          <w:bCs w:val="0"/>
          <w:color w:val="auto"/>
          <w:sz w:val="22"/>
          <w:szCs w:val="22"/>
          <w:highlight w:val="none"/>
          <w:lang w:val="pt-BR"/>
        </w:rPr>
        <w:t>As certidões deverão ser juntadas ao protocolo e são obrigatórias para a liquidação da despesa.</w:t>
      </w:r>
    </w:p>
    <w:p w14:paraId="41E5E201">
      <w:pPr>
        <w:pStyle w:val="128"/>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leftChars="0" w:right="0" w:rightChars="0"/>
        <w:jc w:val="both"/>
        <w:textAlignment w:val="baseline"/>
        <w:rPr>
          <w:rFonts w:hint="default" w:ascii="Arial" w:hAnsi="Arial" w:cs="Arial"/>
          <w:color w:val="auto"/>
          <w:sz w:val="22"/>
          <w:szCs w:val="22"/>
          <w:highlight w:val="none"/>
          <w:lang w:val="pt-BR"/>
        </w:rPr>
      </w:pPr>
      <w:r>
        <w:rPr>
          <w:rFonts w:hint="default" w:ascii="Arial" w:hAnsi="Arial" w:cs="Arial"/>
          <w:b/>
          <w:bCs/>
          <w:color w:val="auto"/>
          <w:sz w:val="22"/>
          <w:szCs w:val="22"/>
          <w:highlight w:val="none"/>
          <w:lang w:val="pt-BR"/>
        </w:rPr>
        <w:t>6.1.19.</w:t>
      </w:r>
      <w:r>
        <w:rPr>
          <w:rFonts w:hint="default" w:ascii="Arial" w:hAnsi="Arial" w:cs="Arial"/>
          <w:color w:val="auto"/>
          <w:sz w:val="22"/>
          <w:szCs w:val="22"/>
          <w:highlight w:val="none"/>
          <w:lang w:val="pt-BR"/>
        </w:rPr>
        <w:t xml:space="preserve"> Todos os documentos são obrigatórios, especialmente os citados no edital de licitação e os que constam na instrução normativa 038/2009, atualizada no decreto 118/2022.</w:t>
      </w:r>
    </w:p>
    <w:p w14:paraId="564213E5">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b/>
          <w:sz w:val="22"/>
          <w:szCs w:val="22"/>
          <w:highlight w:val="none"/>
          <w:lang w:val="pt-BR"/>
        </w:rPr>
      </w:pPr>
      <w:r>
        <w:rPr>
          <w:rFonts w:hint="default" w:ascii="Arial" w:hAnsi="Arial" w:cs="Arial"/>
          <w:b/>
          <w:sz w:val="22"/>
          <w:szCs w:val="22"/>
          <w:highlight w:val="none"/>
          <w:lang w:val="pt-BR"/>
        </w:rPr>
        <w:t>6.1.2. OBRIGAÇÕES DA CONTRATANTE:</w:t>
      </w:r>
    </w:p>
    <w:p w14:paraId="660DD5F9">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Times New Roman" w:hAnsi="Times New Roman"/>
          <w:b/>
          <w:bCs/>
          <w:sz w:val="24"/>
          <w:szCs w:val="24"/>
          <w:lang w:val="pt-BR"/>
        </w:rPr>
        <w:t>6</w:t>
      </w:r>
      <w:r>
        <w:rPr>
          <w:rFonts w:hint="default" w:ascii="Arial" w:hAnsi="Arial" w:cs="Arial"/>
          <w:b/>
          <w:bCs/>
          <w:sz w:val="22"/>
          <w:szCs w:val="22"/>
          <w:lang w:val="pt-BR"/>
        </w:rPr>
        <w:t>.1.2.1.</w:t>
      </w:r>
      <w:r>
        <w:rPr>
          <w:rFonts w:hint="default" w:ascii="Arial" w:hAnsi="Arial" w:cs="Arial"/>
          <w:sz w:val="22"/>
          <w:szCs w:val="22"/>
          <w:lang w:val="pt-BR"/>
        </w:rPr>
        <w:t xml:space="preserve"> </w:t>
      </w:r>
      <w:r>
        <w:rPr>
          <w:rFonts w:hint="default" w:ascii="Arial" w:hAnsi="Arial" w:cs="Arial"/>
          <w:sz w:val="22"/>
          <w:szCs w:val="22"/>
        </w:rPr>
        <w:t xml:space="preserve">Tornar disponíveis os locais onde serão instalados os equipamentos, permitindo o acesso dos empregados da empresa CONTRATADA às suas dependências para execução dos serviços referentes ao objeto. </w:t>
      </w:r>
    </w:p>
    <w:p w14:paraId="28F834FB">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6.1.2.2.</w:t>
      </w:r>
      <w:r>
        <w:rPr>
          <w:rFonts w:hint="default" w:ascii="Arial" w:hAnsi="Arial" w:cs="Arial"/>
          <w:sz w:val="22"/>
          <w:szCs w:val="22"/>
          <w:lang w:val="pt-BR"/>
        </w:rPr>
        <w:t xml:space="preserve"> </w:t>
      </w:r>
      <w:r>
        <w:rPr>
          <w:rFonts w:hint="default" w:ascii="Arial" w:hAnsi="Arial" w:cs="Arial"/>
          <w:sz w:val="22"/>
          <w:szCs w:val="22"/>
        </w:rPr>
        <w:t xml:space="preserve">Prestar todas as informações e os esclarecimentos solicitados pela CONTRATADA. </w:t>
      </w:r>
    </w:p>
    <w:p w14:paraId="2A2C26F1">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6.1.2.3. </w:t>
      </w:r>
      <w:r>
        <w:rPr>
          <w:rFonts w:hint="default" w:ascii="Arial" w:hAnsi="Arial" w:cs="Arial"/>
          <w:sz w:val="22"/>
          <w:szCs w:val="22"/>
        </w:rPr>
        <w:t xml:space="preserve">Comunicar a CONTRATADA toda e quaisquer ocorrências relacionadas com o fornecimento e instalação dos equipamentos. </w:t>
      </w:r>
    </w:p>
    <w:p w14:paraId="269D7C76">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6.1.2.4. </w:t>
      </w:r>
      <w:r>
        <w:rPr>
          <w:rFonts w:hint="default" w:ascii="Arial" w:hAnsi="Arial" w:cs="Arial"/>
          <w:sz w:val="22"/>
          <w:szCs w:val="22"/>
        </w:rPr>
        <w:t xml:space="preserve">Fiscalizar a entrega e instalação do Centro de Processamento de Dados, podendo sustar, recusar, solicitar fazer ou desfazer qualquer entrega ou serviços, no todo ou em parte, que não esteja de acordo com as condições e exigências estabelecidas neste Termo de Referência. </w:t>
      </w:r>
    </w:p>
    <w:p w14:paraId="5E6A2717">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b/>
          <w:sz w:val="22"/>
          <w:szCs w:val="22"/>
          <w:highlight w:val="none"/>
          <w:lang w:val="pt-BR"/>
        </w:rPr>
      </w:pPr>
      <w:r>
        <w:rPr>
          <w:rFonts w:hint="default" w:ascii="Arial" w:hAnsi="Arial" w:cs="Arial"/>
          <w:b/>
          <w:bCs/>
          <w:sz w:val="22"/>
          <w:szCs w:val="22"/>
          <w:lang w:val="pt-BR"/>
        </w:rPr>
        <w:t>6.1.2.5.</w:t>
      </w:r>
      <w:r>
        <w:rPr>
          <w:rFonts w:hint="default" w:ascii="Arial" w:hAnsi="Arial" w:cs="Arial"/>
          <w:sz w:val="22"/>
          <w:szCs w:val="22"/>
        </w:rPr>
        <w:t xml:space="preserve"> Emitir relatórios sobre os atos relativos à execução do contrato que vier a ser firmado, em especial quanto ao acompanhamento e fiscalização da execução dos serviços, à exigência de condições estabelecidas e proposta de aplicação de sanções.</w:t>
      </w:r>
    </w:p>
    <w:p w14:paraId="7521A340">
      <w:pPr>
        <w:pStyle w:val="128"/>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6.1.2.6.</w:t>
      </w:r>
      <w:r>
        <w:rPr>
          <w:rFonts w:hint="default" w:ascii="Arial" w:hAnsi="Arial" w:cs="Arial"/>
          <w:bCs/>
          <w:sz w:val="22"/>
          <w:szCs w:val="22"/>
          <w:highlight w:val="none"/>
          <w:lang w:val="pt-BR"/>
        </w:rPr>
        <w:t xml:space="preserve"> </w:t>
      </w:r>
      <w:r>
        <w:rPr>
          <w:rFonts w:hint="default" w:ascii="Arial" w:hAnsi="Arial" w:cs="Arial"/>
          <w:bCs/>
          <w:sz w:val="22"/>
          <w:szCs w:val="22"/>
          <w:highlight w:val="none"/>
        </w:rPr>
        <w:t>Atestar nas Notas Fiscais e/ou fatura a efetiva entrega do objeto desta licitação.</w:t>
      </w:r>
    </w:p>
    <w:p w14:paraId="1232F0AA">
      <w:pPr>
        <w:pStyle w:val="128"/>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Cs/>
          <w:sz w:val="22"/>
          <w:szCs w:val="22"/>
          <w:highlight w:val="yellow"/>
        </w:rPr>
      </w:pPr>
      <w:r>
        <w:rPr>
          <w:rFonts w:hint="default" w:ascii="Arial" w:hAnsi="Arial" w:cs="Arial"/>
          <w:b/>
          <w:bCs/>
          <w:sz w:val="22"/>
          <w:szCs w:val="22"/>
          <w:highlight w:val="none"/>
          <w:lang w:val="pt-BR"/>
        </w:rPr>
        <w:t>6.1.2.7.</w:t>
      </w:r>
      <w:r>
        <w:rPr>
          <w:rFonts w:hint="default" w:ascii="Arial" w:hAnsi="Arial" w:cs="Arial"/>
          <w:sz w:val="22"/>
          <w:szCs w:val="22"/>
          <w:highlight w:val="none"/>
          <w:lang w:val="pt-BR"/>
        </w:rPr>
        <w:t xml:space="preserve"> </w:t>
      </w:r>
      <w:r>
        <w:rPr>
          <w:rFonts w:hint="default" w:ascii="Arial" w:hAnsi="Arial" w:cs="Arial"/>
          <w:sz w:val="22"/>
          <w:szCs w:val="22"/>
          <w:highlight w:val="none"/>
        </w:rPr>
        <w:t>Promover o acompanhamento e a fiscalização da execução do objeto do presente Termo de Referência, sob o aspecto quantitativo e qualitativo, anotando em registro próprio as falhas e ocorrências detectadas.</w:t>
      </w:r>
    </w:p>
    <w:p w14:paraId="1700D215">
      <w:pPr>
        <w:pStyle w:val="128"/>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6.1.2.8.</w:t>
      </w:r>
      <w:r>
        <w:rPr>
          <w:rFonts w:hint="default" w:ascii="Arial" w:hAnsi="Arial" w:cs="Arial"/>
          <w:sz w:val="22"/>
          <w:szCs w:val="22"/>
          <w:highlight w:val="none"/>
          <w:lang w:val="pt-BR"/>
        </w:rPr>
        <w:t xml:space="preserve"> </w:t>
      </w:r>
      <w:r>
        <w:rPr>
          <w:rFonts w:hint="default" w:ascii="Arial" w:hAnsi="Arial" w:cs="Arial"/>
          <w:sz w:val="22"/>
          <w:szCs w:val="22"/>
          <w:highlight w:val="none"/>
        </w:rPr>
        <w:t>A Contratante não responderá por quaisquer compromissos assumidos pela Contratada com terceiros, bem como por qualquer dano causado a terceiros em decorrência de ato da Contratada, de seus empregados, prepostos ou subordinados.</w:t>
      </w:r>
    </w:p>
    <w:p w14:paraId="43AE9A6D">
      <w:pPr>
        <w:pStyle w:val="128"/>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 xml:space="preserve">6.1.2.9. </w:t>
      </w:r>
      <w:r>
        <w:rPr>
          <w:rFonts w:hint="default" w:ascii="Arial" w:hAnsi="Arial" w:cs="Arial"/>
          <w:sz w:val="22"/>
          <w:szCs w:val="22"/>
          <w:highlight w:val="none"/>
        </w:rPr>
        <w:t>Fornecer todo tipo de informação interna essencial à realização dos fornecimentos.</w:t>
      </w:r>
    </w:p>
    <w:p w14:paraId="30391744">
      <w:pPr>
        <w:pStyle w:val="128"/>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6.1.2.10.</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Conferir toda a documentação, especificação do produto, quantidade e qualidade </w:t>
      </w:r>
      <w:r>
        <w:rPr>
          <w:rFonts w:hint="default" w:ascii="Arial" w:hAnsi="Arial" w:cs="Arial"/>
          <w:sz w:val="22"/>
          <w:szCs w:val="22"/>
          <w:highlight w:val="none"/>
          <w:lang w:val="pt-BR"/>
        </w:rPr>
        <w:t>t</w:t>
      </w:r>
      <w:r>
        <w:rPr>
          <w:rFonts w:hint="default" w:ascii="Arial" w:hAnsi="Arial" w:cs="Arial"/>
          <w:sz w:val="22"/>
          <w:szCs w:val="22"/>
          <w:highlight w:val="none"/>
        </w:rPr>
        <w:t>écnica gerada e apresentada durante a execução do objeto, efetuando o seu atesto quando a mesma estiver em conformidade com os padrões de informação e qualidade exigidos.</w:t>
      </w:r>
    </w:p>
    <w:p w14:paraId="5C0A7694">
      <w:pPr>
        <w:pStyle w:val="128"/>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6.1.2.11.</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Efetuar o pagamento de acordo com o estabelecido neste Termo de Referência e demais cominações legais, desde que atendidas todas as exigências e cumpridas as especificações e desde que devidamente atestadas as notas fiscais e relatórios feitos pelos fiscais </w:t>
      </w:r>
      <w:r>
        <w:rPr>
          <w:rFonts w:hint="default" w:ascii="Arial" w:hAnsi="Arial" w:cs="Arial"/>
          <w:sz w:val="22"/>
          <w:szCs w:val="22"/>
          <w:highlight w:val="none"/>
          <w:lang w:val="pt-BR"/>
        </w:rPr>
        <w:t>do contrato.</w:t>
      </w:r>
    </w:p>
    <w:p w14:paraId="577DE7C9">
      <w:pPr>
        <w:pStyle w:val="128"/>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 xml:space="preserve">6.1.2.12. </w:t>
      </w:r>
      <w:r>
        <w:rPr>
          <w:rFonts w:hint="default" w:ascii="Arial" w:hAnsi="Arial" w:cs="Arial"/>
          <w:sz w:val="22"/>
          <w:szCs w:val="22"/>
          <w:highlight w:val="none"/>
        </w:rPr>
        <w:t>Aplicar à contratada as penalidades, quando for o caso.</w:t>
      </w:r>
    </w:p>
    <w:p w14:paraId="33A49A96">
      <w:pPr>
        <w:pStyle w:val="128"/>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6.1.2.13.</w:t>
      </w:r>
      <w:r>
        <w:rPr>
          <w:rFonts w:hint="default" w:ascii="Arial" w:hAnsi="Arial" w:cs="Arial"/>
          <w:sz w:val="22"/>
          <w:szCs w:val="22"/>
          <w:highlight w:val="none"/>
          <w:lang w:val="pt-BR"/>
        </w:rPr>
        <w:t xml:space="preserve"> </w:t>
      </w:r>
      <w:r>
        <w:rPr>
          <w:rFonts w:hint="default" w:ascii="Arial" w:hAnsi="Arial" w:cs="Arial"/>
          <w:sz w:val="22"/>
          <w:szCs w:val="22"/>
          <w:highlight w:val="none"/>
        </w:rPr>
        <w:t>Notificar, por escrito, a contratada da aplicação de qualquer sanção.</w:t>
      </w:r>
    </w:p>
    <w:p w14:paraId="1FE1CCB0">
      <w:pPr>
        <w:pStyle w:val="128"/>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sz w:val="22"/>
          <w:szCs w:val="22"/>
          <w:highlight w:val="none"/>
        </w:rPr>
      </w:pPr>
      <w:r>
        <w:rPr>
          <w:rFonts w:hint="default" w:ascii="Arial" w:hAnsi="Arial" w:cs="Arial"/>
          <w:b/>
          <w:bCs/>
          <w:sz w:val="22"/>
          <w:szCs w:val="22"/>
          <w:highlight w:val="none"/>
          <w:lang w:val="pt-BR"/>
        </w:rPr>
        <w:t xml:space="preserve">6.1.2.14. </w:t>
      </w:r>
      <w:r>
        <w:rPr>
          <w:rFonts w:hint="default" w:ascii="Arial" w:hAnsi="Arial" w:cs="Arial"/>
          <w:sz w:val="22"/>
          <w:szCs w:val="22"/>
          <w:highlight w:val="none"/>
        </w:rPr>
        <w:t xml:space="preserve">Acompanhar, controlar e avaliar a </w:t>
      </w:r>
      <w:r>
        <w:rPr>
          <w:rFonts w:hint="default" w:ascii="Arial" w:hAnsi="Arial" w:cs="Arial"/>
          <w:sz w:val="22"/>
          <w:szCs w:val="22"/>
          <w:highlight w:val="none"/>
          <w:lang w:val="pt-BR"/>
        </w:rPr>
        <w:t>entrega e a qualidade dos materiais e serviços</w:t>
      </w:r>
      <w:r>
        <w:rPr>
          <w:rFonts w:hint="default" w:ascii="Arial" w:hAnsi="Arial" w:cs="Arial"/>
          <w:sz w:val="22"/>
          <w:szCs w:val="22"/>
          <w:highlight w:val="none"/>
        </w:rPr>
        <w:t xml:space="preserve">, através da unidade responsável por esta </w:t>
      </w:r>
      <w:r>
        <w:rPr>
          <w:rFonts w:hint="default" w:ascii="Arial" w:hAnsi="Arial" w:cs="Arial"/>
          <w:sz w:val="22"/>
          <w:szCs w:val="22"/>
          <w:highlight w:val="none"/>
          <w:lang w:val="pt-BR"/>
        </w:rPr>
        <w:t>a</w:t>
      </w:r>
      <w:r>
        <w:rPr>
          <w:rFonts w:hint="default" w:ascii="Arial" w:hAnsi="Arial" w:cs="Arial"/>
          <w:sz w:val="22"/>
          <w:szCs w:val="22"/>
          <w:highlight w:val="none"/>
        </w:rPr>
        <w:t>tribuição.</w:t>
      </w:r>
    </w:p>
    <w:p w14:paraId="4E427B69">
      <w:pPr>
        <w:pStyle w:val="128"/>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sz w:val="22"/>
          <w:szCs w:val="22"/>
          <w:highlight w:val="none"/>
          <w:lang w:val="pt-BR"/>
        </w:rPr>
      </w:pPr>
      <w:r>
        <w:rPr>
          <w:rFonts w:hint="default" w:ascii="Arial" w:hAnsi="Arial" w:cs="Arial"/>
          <w:b/>
          <w:bCs/>
          <w:sz w:val="22"/>
          <w:szCs w:val="22"/>
          <w:highlight w:val="none"/>
          <w:lang w:val="pt-BR"/>
        </w:rPr>
        <w:t>6.1.2.15.</w:t>
      </w:r>
      <w:r>
        <w:rPr>
          <w:rFonts w:hint="default" w:ascii="Arial" w:hAnsi="Arial" w:cs="Arial"/>
          <w:sz w:val="22"/>
          <w:szCs w:val="22"/>
          <w:highlight w:val="none"/>
          <w:lang w:val="pt-BR"/>
        </w:rPr>
        <w:t xml:space="preserve"> </w:t>
      </w:r>
      <w:r>
        <w:rPr>
          <w:rFonts w:hint="default" w:ascii="Arial" w:hAnsi="Arial" w:cs="Arial"/>
          <w:sz w:val="22"/>
          <w:szCs w:val="22"/>
          <w:highlight w:val="none"/>
        </w:rPr>
        <w:t>Interromper os serviços que apresentarem irregularidades em sua prestação, comunicando o fato imediatamente à Contratada, bem como qualquer eventual ocorrência relevante relacionada com o mesmo.</w:t>
      </w:r>
    </w:p>
    <w:p w14:paraId="39DE671C">
      <w:pPr>
        <w:pStyle w:val="166"/>
        <w:pageBreakBefore w:val="0"/>
        <w:widowControl/>
        <w:kinsoku/>
        <w:wordWrap/>
        <w:overflowPunct/>
        <w:topLinePunct w:val="0"/>
        <w:autoSpaceDE/>
        <w:autoSpaceDN/>
        <w:bidi w:val="0"/>
        <w:adjustRightInd/>
        <w:snapToGrid/>
        <w:spacing w:before="0" w:line="360" w:lineRule="auto"/>
        <w:ind w:left="0" w:firstLine="0"/>
        <w:jc w:val="both"/>
        <w:textAlignment w:val="auto"/>
        <w:rPr>
          <w:rFonts w:hint="default" w:ascii="Arial" w:hAnsi="Arial" w:cs="Arial"/>
          <w:b/>
          <w:bCs/>
          <w:sz w:val="22"/>
          <w:szCs w:val="22"/>
        </w:rPr>
      </w:pPr>
      <w:r>
        <w:rPr>
          <w:rFonts w:hint="default" w:cs="Arial"/>
          <w:b/>
          <w:bCs/>
          <w:sz w:val="22"/>
          <w:szCs w:val="22"/>
          <w:lang w:val="pt-BR"/>
        </w:rPr>
        <w:t xml:space="preserve">6.1.3. </w:t>
      </w:r>
      <w:r>
        <w:rPr>
          <w:rFonts w:hint="default" w:ascii="Arial" w:hAnsi="Arial" w:cs="Arial"/>
          <w:b/>
          <w:bCs/>
          <w:sz w:val="22"/>
          <w:szCs w:val="22"/>
        </w:rPr>
        <w:t xml:space="preserve">DA VISTORIA </w:t>
      </w:r>
    </w:p>
    <w:p w14:paraId="6938B692">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color w:val="auto"/>
          <w:sz w:val="22"/>
          <w:szCs w:val="22"/>
        </w:rPr>
      </w:pPr>
      <w:r>
        <w:rPr>
          <w:rFonts w:hint="default" w:ascii="Arial" w:hAnsi="Arial" w:cs="Arial"/>
          <w:b/>
          <w:bCs/>
          <w:sz w:val="22"/>
          <w:szCs w:val="22"/>
          <w:lang w:val="pt-BR"/>
        </w:rPr>
        <w:t>6.1.3.1.</w:t>
      </w:r>
      <w:r>
        <w:rPr>
          <w:rFonts w:hint="default" w:ascii="Arial" w:hAnsi="Arial" w:cs="Arial"/>
          <w:sz w:val="22"/>
          <w:szCs w:val="22"/>
          <w:lang w:val="pt-BR"/>
        </w:rPr>
        <w:t xml:space="preserve"> </w:t>
      </w:r>
      <w:r>
        <w:rPr>
          <w:rFonts w:hint="default" w:ascii="Arial" w:hAnsi="Arial" w:cs="Arial"/>
          <w:color w:val="auto"/>
          <w:sz w:val="22"/>
          <w:szCs w:val="22"/>
        </w:rPr>
        <w:t xml:space="preserve">As empresas interessadas deverão realizar vistoria nas instalações desta PREFEITURA onde serão instalados os equipamentos e executados os serviços ou no caso da opção pela não realização da vistoria, apresentar declaração abdicando do direito de se cientificar das peculiaridades, dos atuais equipamentos de rede e de segurança, das condições no local, do ambiente, das possíveis dificuldades, do padrão das instalações, configurações e da forma dos equipamentos da PREFEITURA, assumindo total responsabilidade pelo cumprimento das instalações e configurações e garantia do perfeito funcionamento dos subsistemas do Centro de Processamento de Dados da PREFEITURA, conforme ANEXO VI – MODELO DE DECLARACAO DE DESISTÊNCIA DE VISTORIA TÉCNICA, o qual deverá ser anexado juntamente com a documentação de habilitação. </w:t>
      </w:r>
    </w:p>
    <w:p w14:paraId="4D764251">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color w:val="auto"/>
          <w:sz w:val="22"/>
          <w:szCs w:val="22"/>
        </w:rPr>
      </w:pPr>
      <w:r>
        <w:rPr>
          <w:rFonts w:hint="default" w:ascii="Arial" w:hAnsi="Arial" w:cs="Arial"/>
          <w:b/>
          <w:bCs/>
          <w:color w:val="auto"/>
          <w:sz w:val="22"/>
          <w:szCs w:val="22"/>
          <w:lang w:val="pt-BR"/>
        </w:rPr>
        <w:t>6.1.3.2.</w:t>
      </w:r>
      <w:r>
        <w:rPr>
          <w:rFonts w:hint="default" w:ascii="Arial" w:hAnsi="Arial" w:cs="Arial"/>
          <w:color w:val="auto"/>
          <w:sz w:val="22"/>
          <w:szCs w:val="22"/>
          <w:lang w:val="pt-BR"/>
        </w:rPr>
        <w:t xml:space="preserve"> </w:t>
      </w:r>
      <w:r>
        <w:rPr>
          <w:rFonts w:hint="default" w:ascii="Arial" w:hAnsi="Arial" w:cs="Arial"/>
          <w:color w:val="auto"/>
          <w:sz w:val="22"/>
          <w:szCs w:val="22"/>
        </w:rPr>
        <w:t>A vistoria técnica tem como objetivo que a licitante se cientifique das peculiaridades, dos atuais equipamentos da PREFEITURA, das condições no local, do ambiente, das possíveis dificuldades, do padrão das instalações, configurações dos atuais equipamentos da PREFEITURA, assumindo total responsabilidade pelo cumprimento das instalações e configurações e garantia do perfeito funcionamento dos subsistemas do Centro de Processamento de Dados, conforme ANEXO V – MODELO DE DECLARACAO DE VISTORIA TÉCNICA, o qual deverá ser anexado juntamente com a documentação de habilitação;</w:t>
      </w:r>
    </w:p>
    <w:p w14:paraId="5EF3B1A7">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color w:val="auto"/>
          <w:sz w:val="22"/>
          <w:szCs w:val="22"/>
        </w:rPr>
      </w:pPr>
      <w:r>
        <w:rPr>
          <w:rFonts w:hint="default" w:ascii="Arial" w:hAnsi="Arial" w:cs="Arial"/>
          <w:b/>
          <w:bCs/>
          <w:color w:val="auto"/>
          <w:sz w:val="22"/>
          <w:szCs w:val="22"/>
          <w:lang w:val="pt-BR"/>
        </w:rPr>
        <w:t>6.1.3.3.</w:t>
      </w:r>
      <w:r>
        <w:rPr>
          <w:rFonts w:hint="default" w:ascii="Arial" w:hAnsi="Arial" w:cs="Arial"/>
          <w:color w:val="auto"/>
          <w:sz w:val="22"/>
          <w:szCs w:val="22"/>
          <w:lang w:val="pt-BR"/>
        </w:rPr>
        <w:t xml:space="preserve"> </w:t>
      </w:r>
      <w:r>
        <w:rPr>
          <w:rFonts w:hint="default" w:ascii="Arial" w:hAnsi="Arial" w:cs="Arial"/>
          <w:color w:val="auto"/>
          <w:sz w:val="22"/>
          <w:szCs w:val="22"/>
        </w:rPr>
        <w:t>O requisito de vistoria se faz necessário para que os licitantes tenham condições de absorver a maior quantidade de informações necessárias para a elaboração de suas propostas e o devido cumprimento contratual pela vencedora, com o objetivo de garantir maior segurança para a administração pública;</w:t>
      </w:r>
    </w:p>
    <w:p w14:paraId="2E0CDA56">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color w:val="auto"/>
          <w:sz w:val="22"/>
          <w:szCs w:val="22"/>
        </w:rPr>
      </w:pPr>
      <w:r>
        <w:rPr>
          <w:rFonts w:hint="default" w:ascii="Arial" w:hAnsi="Arial" w:cs="Arial"/>
          <w:b/>
          <w:bCs/>
          <w:color w:val="auto"/>
          <w:sz w:val="22"/>
          <w:szCs w:val="22"/>
          <w:lang w:val="pt-BR"/>
        </w:rPr>
        <w:t>6.1.3.4.</w:t>
      </w:r>
      <w:r>
        <w:rPr>
          <w:rFonts w:hint="default" w:ascii="Arial" w:hAnsi="Arial" w:cs="Arial"/>
          <w:color w:val="auto"/>
          <w:sz w:val="22"/>
          <w:szCs w:val="22"/>
          <w:lang w:val="pt-BR"/>
        </w:rPr>
        <w:t xml:space="preserve"> </w:t>
      </w:r>
      <w:r>
        <w:rPr>
          <w:rFonts w:hint="default" w:ascii="Arial" w:hAnsi="Arial" w:cs="Arial"/>
          <w:color w:val="auto"/>
          <w:sz w:val="22"/>
          <w:szCs w:val="22"/>
        </w:rPr>
        <w:t>A vistoria técnica deverá ser realizada no prazo de até 2 (dois) dias antes da data de abertura da licitação;</w:t>
      </w:r>
    </w:p>
    <w:p w14:paraId="0AAB282C">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color w:val="auto"/>
          <w:sz w:val="22"/>
          <w:szCs w:val="22"/>
        </w:rPr>
      </w:pPr>
      <w:r>
        <w:rPr>
          <w:rFonts w:hint="default" w:ascii="Arial" w:hAnsi="Arial" w:cs="Arial"/>
          <w:b/>
          <w:bCs/>
          <w:color w:val="auto"/>
          <w:sz w:val="22"/>
          <w:szCs w:val="22"/>
          <w:lang w:val="pt-BR"/>
        </w:rPr>
        <w:t>6.1.3.5.</w:t>
      </w:r>
      <w:r>
        <w:rPr>
          <w:rFonts w:hint="default" w:ascii="Arial" w:hAnsi="Arial" w:cs="Arial"/>
          <w:color w:val="auto"/>
          <w:sz w:val="22"/>
          <w:szCs w:val="22"/>
          <w:lang w:val="pt-BR"/>
        </w:rPr>
        <w:t xml:space="preserve"> </w:t>
      </w:r>
      <w:r>
        <w:rPr>
          <w:rFonts w:hint="default" w:ascii="Arial" w:hAnsi="Arial" w:cs="Arial"/>
          <w:color w:val="auto"/>
          <w:sz w:val="22"/>
          <w:szCs w:val="22"/>
        </w:rPr>
        <w:t xml:space="preserve">O agendamento da vistoria deverá ser previamente efetuado por meio dos telefones (66) 3520-7202, ou pelo e-mail </w:t>
      </w:r>
      <w:r>
        <w:rPr>
          <w:rFonts w:hint="default" w:ascii="Arial" w:hAnsi="Arial" w:cs="Arial"/>
          <w:color w:val="auto"/>
          <w:sz w:val="22"/>
          <w:szCs w:val="22"/>
        </w:rPr>
        <w:fldChar w:fldCharType="begin"/>
      </w:r>
      <w:r>
        <w:rPr>
          <w:rFonts w:hint="default" w:ascii="Arial" w:hAnsi="Arial" w:cs="Arial"/>
          <w:color w:val="auto"/>
          <w:sz w:val="22"/>
          <w:szCs w:val="22"/>
        </w:rPr>
        <w:instrText xml:space="preserve">HYPERLINK "mailto:ti@sinop.mt.gov.br"</w:instrText>
      </w:r>
      <w:r>
        <w:rPr>
          <w:rFonts w:hint="default" w:ascii="Arial" w:hAnsi="Arial" w:cs="Arial"/>
          <w:color w:val="auto"/>
          <w:sz w:val="22"/>
          <w:szCs w:val="22"/>
        </w:rPr>
        <w:fldChar w:fldCharType="separate"/>
      </w:r>
      <w:r>
        <w:rPr>
          <w:rStyle w:val="15"/>
          <w:rFonts w:hint="default" w:ascii="Arial" w:hAnsi="Arial" w:cs="Arial"/>
          <w:color w:val="auto"/>
          <w:sz w:val="22"/>
          <w:szCs w:val="22"/>
        </w:rPr>
        <w:t>ti@sinop.mt.gov.br</w:t>
      </w:r>
      <w:r>
        <w:rPr>
          <w:rStyle w:val="15"/>
          <w:rFonts w:hint="default" w:ascii="Arial" w:hAnsi="Arial" w:cs="Arial"/>
          <w:color w:val="auto"/>
          <w:sz w:val="22"/>
          <w:szCs w:val="22"/>
        </w:rPr>
        <w:fldChar w:fldCharType="end"/>
      </w:r>
      <w:r>
        <w:rPr>
          <w:rFonts w:hint="default" w:ascii="Arial" w:hAnsi="Arial" w:cs="Arial"/>
          <w:color w:val="auto"/>
          <w:sz w:val="22"/>
          <w:szCs w:val="22"/>
        </w:rPr>
        <w:t xml:space="preserve"> mencionando o número do edital, as informações de contato da licitante que efetuará a vistoria;</w:t>
      </w:r>
    </w:p>
    <w:p w14:paraId="18D53D48">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color w:val="auto"/>
          <w:sz w:val="22"/>
          <w:szCs w:val="22"/>
          <w:lang w:val="pt-BR"/>
        </w:rPr>
      </w:pPr>
      <w:r>
        <w:rPr>
          <w:rFonts w:hint="default" w:ascii="Arial" w:hAnsi="Arial" w:cs="Arial"/>
          <w:b/>
          <w:bCs/>
          <w:color w:val="auto"/>
          <w:sz w:val="22"/>
          <w:szCs w:val="22"/>
          <w:lang w:val="pt-BR"/>
        </w:rPr>
        <w:t xml:space="preserve">6.1.3.6. </w:t>
      </w:r>
      <w:r>
        <w:rPr>
          <w:rFonts w:hint="default" w:ascii="Arial" w:hAnsi="Arial" w:cs="Arial"/>
          <w:color w:val="auto"/>
          <w:sz w:val="22"/>
          <w:szCs w:val="22"/>
        </w:rPr>
        <w:t>Efetuada a vistoria será lavrado, por representante da PREFEITURA, designado para tanto, o respectivo atestado de vistoria, conforme ANEXO V – MODELO DE DECLARACAO DE VISTORIA TÉCNICA, o qual deverá ser preenchido e assinado por responsável do interessado em participar da licitação, que deverá ser anexado juntamente com a documentação de habilitação</w:t>
      </w:r>
      <w:r>
        <w:rPr>
          <w:rFonts w:hint="default" w:ascii="Arial" w:hAnsi="Arial" w:cs="Arial"/>
          <w:color w:val="auto"/>
          <w:sz w:val="22"/>
          <w:szCs w:val="22"/>
          <w:lang w:val="pt-BR"/>
        </w:rPr>
        <w:t>.</w:t>
      </w:r>
    </w:p>
    <w:p w14:paraId="4059DE0A">
      <w:pPr>
        <w:pStyle w:val="166"/>
        <w:pageBreakBefore w:val="0"/>
        <w:widowControl/>
        <w:kinsoku/>
        <w:wordWrap/>
        <w:overflowPunct/>
        <w:topLinePunct w:val="0"/>
        <w:autoSpaceDE/>
        <w:autoSpaceDN/>
        <w:bidi w:val="0"/>
        <w:adjustRightInd/>
        <w:snapToGrid/>
        <w:spacing w:before="0" w:line="360" w:lineRule="auto"/>
        <w:ind w:left="0" w:firstLine="0"/>
        <w:jc w:val="both"/>
        <w:textAlignment w:val="auto"/>
        <w:rPr>
          <w:rFonts w:hint="default" w:ascii="Arial" w:hAnsi="Arial" w:cs="Arial"/>
          <w:b/>
          <w:bCs/>
          <w:sz w:val="22"/>
          <w:szCs w:val="22"/>
        </w:rPr>
      </w:pPr>
      <w:bookmarkStart w:id="60" w:name="_Ref515980390"/>
      <w:r>
        <w:rPr>
          <w:rFonts w:hint="default" w:ascii="Arial" w:hAnsi="Arial" w:cs="Arial"/>
          <w:b/>
          <w:bCs/>
          <w:sz w:val="22"/>
          <w:szCs w:val="22"/>
        </w:rPr>
        <w:t>DA CAPACITAÇÃO</w:t>
      </w:r>
      <w:bookmarkEnd w:id="60"/>
      <w:r>
        <w:rPr>
          <w:rFonts w:hint="default" w:ascii="Arial" w:hAnsi="Arial" w:cs="Arial"/>
          <w:b/>
          <w:bCs/>
          <w:sz w:val="22"/>
          <w:szCs w:val="22"/>
        </w:rPr>
        <w:t xml:space="preserve"> </w:t>
      </w:r>
    </w:p>
    <w:p w14:paraId="5C0016E8">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6.1.3.7.</w:t>
      </w:r>
      <w:r>
        <w:rPr>
          <w:rFonts w:hint="default" w:ascii="Arial" w:hAnsi="Arial" w:cs="Arial"/>
          <w:sz w:val="22"/>
          <w:szCs w:val="22"/>
          <w:lang w:val="pt-BR"/>
        </w:rPr>
        <w:t xml:space="preserve"> </w:t>
      </w:r>
      <w:r>
        <w:rPr>
          <w:rFonts w:hint="default" w:ascii="Arial" w:hAnsi="Arial" w:cs="Arial"/>
          <w:sz w:val="22"/>
          <w:szCs w:val="22"/>
        </w:rPr>
        <w:t xml:space="preserve">A capacitação deverá contemplar informações relativas à utilização do Centro de Processamento de Dados e respectivos subsistemas (ar-condicionado, nobreak, sistema de detecção e combate a incêndio) e observará as seguintes condições: </w:t>
      </w:r>
    </w:p>
    <w:p w14:paraId="04EFC050">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6.1.3.8.</w:t>
      </w:r>
      <w:r>
        <w:rPr>
          <w:rFonts w:hint="default" w:ascii="Arial" w:hAnsi="Arial" w:cs="Arial"/>
          <w:sz w:val="22"/>
          <w:szCs w:val="22"/>
          <w:lang w:val="pt-BR"/>
        </w:rPr>
        <w:t xml:space="preserve"> </w:t>
      </w:r>
      <w:r>
        <w:rPr>
          <w:rFonts w:hint="default" w:ascii="Arial" w:hAnsi="Arial" w:cs="Arial"/>
          <w:sz w:val="22"/>
          <w:szCs w:val="22"/>
        </w:rPr>
        <w:t xml:space="preserve">O treinamento será ministrado para turma de 4 (quatro) pessoas e terá duração mínima de 4 (quatro) horas; </w:t>
      </w:r>
    </w:p>
    <w:p w14:paraId="4E143C6D">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6.1.3.9.</w:t>
      </w:r>
      <w:r>
        <w:rPr>
          <w:rFonts w:hint="default" w:ascii="Arial" w:hAnsi="Arial" w:cs="Arial"/>
          <w:sz w:val="22"/>
          <w:szCs w:val="22"/>
          <w:lang w:val="pt-BR"/>
        </w:rPr>
        <w:t xml:space="preserve"> </w:t>
      </w:r>
      <w:r>
        <w:rPr>
          <w:rFonts w:hint="default" w:ascii="Arial" w:hAnsi="Arial" w:cs="Arial"/>
          <w:sz w:val="22"/>
          <w:szCs w:val="22"/>
        </w:rPr>
        <w:t xml:space="preserve">A CONTRATADA deverá fornecer material didático individual que abranja todo o conteúdo do curso; </w:t>
      </w:r>
    </w:p>
    <w:p w14:paraId="6DE779B1">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6.1.3.10.</w:t>
      </w:r>
      <w:r>
        <w:rPr>
          <w:rFonts w:hint="default" w:ascii="Arial" w:hAnsi="Arial" w:cs="Arial"/>
          <w:sz w:val="22"/>
          <w:szCs w:val="22"/>
          <w:lang w:val="pt-BR"/>
        </w:rPr>
        <w:t xml:space="preserve"> </w:t>
      </w:r>
      <w:r>
        <w:rPr>
          <w:rFonts w:hint="default" w:ascii="Arial" w:hAnsi="Arial" w:cs="Arial"/>
          <w:sz w:val="22"/>
          <w:szCs w:val="22"/>
        </w:rPr>
        <w:t xml:space="preserve">Para a consecução da parte prática do treinamento, deverão ser utilizados equipamentos similares aos ofertados, além de todos os softwares que fizerem parte da solução. Para essa finalidade, poderão ser utilizados, quando necessário, os próprios equipamentos fornecidos, desde que o treinamento não impacte nas operações do Centro de Processamento de Dados; </w:t>
      </w:r>
    </w:p>
    <w:p w14:paraId="51E8758A">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6.1.3.11.</w:t>
      </w:r>
      <w:r>
        <w:rPr>
          <w:rFonts w:hint="default" w:ascii="Arial" w:hAnsi="Arial" w:cs="Arial"/>
          <w:sz w:val="22"/>
          <w:szCs w:val="22"/>
          <w:lang w:val="pt-BR"/>
        </w:rPr>
        <w:t xml:space="preserve"> </w:t>
      </w:r>
      <w:r>
        <w:rPr>
          <w:rFonts w:hint="default" w:ascii="Arial" w:hAnsi="Arial" w:cs="Arial"/>
          <w:sz w:val="22"/>
          <w:szCs w:val="22"/>
        </w:rPr>
        <w:t xml:space="preserve">O conteúdo da capacitação deverá ser de natureza teórica e prática, devendo abranger o funcionamento e operação de todos os equipamentos, passivos, componentes e softwares das soluções ofertadas, em seus aspectos mais relevantes, em especial aqueles relacionados à solução implantada no ambiente computacional da PREFEITURA; </w:t>
      </w:r>
    </w:p>
    <w:p w14:paraId="13505763">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6.1.3.12.</w:t>
      </w:r>
      <w:r>
        <w:rPr>
          <w:rFonts w:hint="default" w:ascii="Arial" w:hAnsi="Arial" w:cs="Arial"/>
          <w:sz w:val="22"/>
          <w:szCs w:val="22"/>
          <w:lang w:val="pt-BR"/>
        </w:rPr>
        <w:t xml:space="preserve"> </w:t>
      </w:r>
      <w:r>
        <w:rPr>
          <w:rFonts w:hint="default" w:ascii="Arial" w:hAnsi="Arial" w:cs="Arial"/>
          <w:sz w:val="22"/>
          <w:szCs w:val="22"/>
        </w:rPr>
        <w:t>O certificado deve ser único para todos os treinamentos, contendo em seu verso todos os equipamentos e softwares que houve aprendizado no curso e hands-on, sendo seu título de um treinamento em infraestrutura de Centro de Processamento de Dados com capacitação técnica em nível intermediário para conhecimento e operação dos equipamentos elétricos, mecânicos, lógicos programáveis, ativos e passivos, somados em um período de 24h;</w:t>
      </w:r>
    </w:p>
    <w:p w14:paraId="6F783097">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6.1.3.13.</w:t>
      </w:r>
      <w:r>
        <w:rPr>
          <w:rFonts w:hint="default" w:ascii="Arial" w:hAnsi="Arial" w:cs="Arial"/>
          <w:sz w:val="22"/>
          <w:szCs w:val="22"/>
          <w:lang w:val="pt-BR"/>
        </w:rPr>
        <w:t xml:space="preserve"> </w:t>
      </w:r>
      <w:r>
        <w:rPr>
          <w:rFonts w:hint="default" w:ascii="Arial" w:hAnsi="Arial" w:cs="Arial"/>
          <w:sz w:val="22"/>
          <w:szCs w:val="22"/>
        </w:rPr>
        <w:t xml:space="preserve">A capacitação deverá ser realizada em Sinop/MT, em instalações fornecidas pela CONTRATADA ou em ambiente fornecido pela PREFEITURA, em horário comercial, sendo limitada a 8 (oito) horas diárias; </w:t>
      </w:r>
    </w:p>
    <w:p w14:paraId="33BAD1D3">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6.1.3.14.</w:t>
      </w:r>
      <w:r>
        <w:rPr>
          <w:rFonts w:hint="default" w:ascii="Arial" w:hAnsi="Arial" w:cs="Arial"/>
          <w:sz w:val="22"/>
          <w:szCs w:val="22"/>
          <w:lang w:val="pt-BR"/>
        </w:rPr>
        <w:t xml:space="preserve"> </w:t>
      </w:r>
      <w:r>
        <w:rPr>
          <w:rFonts w:hint="default" w:ascii="Arial" w:hAnsi="Arial" w:cs="Arial"/>
          <w:sz w:val="22"/>
          <w:szCs w:val="22"/>
        </w:rPr>
        <w:t xml:space="preserve">A data e o horário de realização dos cursos serão definidos pela PREFEITURA em conjunto com a CONTRATADA, em momento posterior ao da implantação da solução; </w:t>
      </w:r>
    </w:p>
    <w:p w14:paraId="3D1BA98B">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6.1.3.15.</w:t>
      </w:r>
      <w:r>
        <w:rPr>
          <w:rFonts w:hint="default" w:ascii="Arial" w:hAnsi="Arial" w:cs="Arial"/>
          <w:sz w:val="22"/>
          <w:szCs w:val="22"/>
          <w:lang w:val="pt-BR"/>
        </w:rPr>
        <w:t xml:space="preserve"> </w:t>
      </w:r>
      <w:r>
        <w:rPr>
          <w:rFonts w:hint="default" w:ascii="Arial" w:hAnsi="Arial" w:cs="Arial"/>
          <w:sz w:val="22"/>
          <w:szCs w:val="22"/>
        </w:rPr>
        <w:t xml:space="preserve">Os instrutores deverão ser comprovadamente certificados ou habilitados pelos respectivos fabricantes dos programas e equipamentos fornecidos no escopo da solução; </w:t>
      </w:r>
    </w:p>
    <w:p w14:paraId="508B0448">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6.1.3.16.</w:t>
      </w:r>
      <w:r>
        <w:rPr>
          <w:rFonts w:hint="default" w:ascii="Arial" w:hAnsi="Arial" w:cs="Arial"/>
          <w:sz w:val="22"/>
          <w:szCs w:val="22"/>
          <w:lang w:val="pt-BR"/>
        </w:rPr>
        <w:t xml:space="preserve"> </w:t>
      </w:r>
      <w:r>
        <w:rPr>
          <w:rFonts w:hint="default" w:ascii="Arial" w:hAnsi="Arial" w:cs="Arial"/>
          <w:sz w:val="22"/>
          <w:szCs w:val="22"/>
        </w:rPr>
        <w:t>A qualidade do treinamento será avaliada pelos participantes ao final do curso e, caso seja considerada insuficiente, a CONTRATADA deverá reformular o programa e providenciar a realização de nova turma, até o alcance dos objetivos do treinamento em nível intermediário para conhecimento e operação em infraestrutura de Centro de Processamento de Dados;</w:t>
      </w:r>
    </w:p>
    <w:p w14:paraId="0728038F">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6.1.3.17.</w:t>
      </w:r>
      <w:r>
        <w:rPr>
          <w:rFonts w:hint="default" w:ascii="Arial" w:hAnsi="Arial" w:cs="Arial"/>
          <w:sz w:val="22"/>
          <w:szCs w:val="22"/>
          <w:lang w:val="pt-BR"/>
        </w:rPr>
        <w:t xml:space="preserve"> </w:t>
      </w:r>
      <w:r>
        <w:rPr>
          <w:rFonts w:hint="default" w:ascii="Arial" w:hAnsi="Arial" w:cs="Arial"/>
          <w:sz w:val="22"/>
          <w:szCs w:val="22"/>
        </w:rPr>
        <w:t>O treinamento será de inteira responsabilidade da CONTRATADA, inclusive a escolha dos instrutores responsáveis para ministrar cada etapa dos treinamentos. No entanto, a CONTRATANTE se reserva o direito de solicitar uma substituição do instrutor previamente designado, por motivos por ela julgados relevantes.</w:t>
      </w:r>
    </w:p>
    <w:p w14:paraId="760006FE">
      <w:pPr>
        <w:pStyle w:val="166"/>
        <w:pageBreakBefore w:val="0"/>
        <w:widowControl/>
        <w:kinsoku/>
        <w:wordWrap/>
        <w:overflowPunct/>
        <w:topLinePunct w:val="0"/>
        <w:autoSpaceDE/>
        <w:autoSpaceDN/>
        <w:bidi w:val="0"/>
        <w:adjustRightInd/>
        <w:snapToGrid/>
        <w:spacing w:before="0" w:line="360" w:lineRule="auto"/>
        <w:ind w:left="0" w:firstLine="0"/>
        <w:jc w:val="both"/>
        <w:textAlignment w:val="auto"/>
        <w:rPr>
          <w:rFonts w:hint="default" w:ascii="Arial" w:hAnsi="Arial" w:cs="Arial"/>
          <w:b/>
          <w:bCs/>
          <w:sz w:val="22"/>
          <w:szCs w:val="22"/>
        </w:rPr>
      </w:pPr>
      <w:r>
        <w:rPr>
          <w:rFonts w:hint="default" w:ascii="Arial" w:hAnsi="Arial" w:cs="Arial"/>
          <w:b/>
          <w:bCs/>
          <w:sz w:val="22"/>
          <w:szCs w:val="22"/>
        </w:rPr>
        <w:t>MODELO DE PROPOSTA</w:t>
      </w:r>
    </w:p>
    <w:p w14:paraId="048D8FA3">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6.1.3.18. </w:t>
      </w:r>
      <w:r>
        <w:rPr>
          <w:rFonts w:hint="default" w:ascii="Arial" w:hAnsi="Arial" w:cs="Arial"/>
          <w:sz w:val="22"/>
          <w:szCs w:val="22"/>
        </w:rPr>
        <w:t>Deverá vir acompanhada de documento(s) contendo a especificação técnica detalhada dos produtos e serviços cotados;</w:t>
      </w:r>
    </w:p>
    <w:p w14:paraId="00775BD1">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6.1.3.19.</w:t>
      </w:r>
      <w:r>
        <w:rPr>
          <w:rFonts w:hint="default" w:ascii="Arial" w:hAnsi="Arial" w:cs="Arial"/>
          <w:sz w:val="22"/>
          <w:szCs w:val="22"/>
          <w:lang w:val="pt-BR"/>
        </w:rPr>
        <w:t xml:space="preserve"> </w:t>
      </w:r>
      <w:r>
        <w:rPr>
          <w:rFonts w:hint="default" w:ascii="Arial" w:hAnsi="Arial" w:cs="Arial"/>
          <w:sz w:val="22"/>
          <w:szCs w:val="22"/>
        </w:rPr>
        <w:t>Deverá vir acompanhada da comprovação de todas as características técnicas obrigatórias dos equipamentos, que deverão ser da CONTRATADA/fabricante e comprovadas por meio de folders, catálogos, manuais, datasheets, partnumbers, ou impressão de páginas do CONTRATADA/fabricante na internet, os quais deverão demonstrar, com exatidão, o atendimento aos itens especificados;</w:t>
      </w:r>
    </w:p>
    <w:p w14:paraId="62D2777D">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6.1.3.20.</w:t>
      </w:r>
      <w:r>
        <w:rPr>
          <w:rFonts w:hint="default" w:ascii="Arial" w:hAnsi="Arial" w:cs="Arial"/>
          <w:sz w:val="22"/>
          <w:szCs w:val="22"/>
          <w:lang w:val="pt-BR"/>
        </w:rPr>
        <w:t xml:space="preserve"> </w:t>
      </w:r>
      <w:r>
        <w:rPr>
          <w:rFonts w:hint="default" w:ascii="Arial" w:hAnsi="Arial" w:cs="Arial"/>
          <w:sz w:val="22"/>
          <w:szCs w:val="22"/>
        </w:rPr>
        <w:t>Deverá vir com planilha de custos, de modo à PREFEITURA verificar a exequibilidade do serviço observando os custos apresentados pela proponente.</w:t>
      </w:r>
    </w:p>
    <w:p w14:paraId="78D9CDA5">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6.1.3.21.</w:t>
      </w:r>
      <w:r>
        <w:rPr>
          <w:rFonts w:hint="default" w:ascii="Arial" w:hAnsi="Arial" w:cs="Arial"/>
          <w:sz w:val="22"/>
          <w:szCs w:val="22"/>
          <w:lang w:val="pt-BR"/>
        </w:rPr>
        <w:t xml:space="preserve"> </w:t>
      </w:r>
      <w:r>
        <w:rPr>
          <w:rFonts w:hint="default" w:ascii="Arial" w:hAnsi="Arial" w:cs="Arial"/>
          <w:sz w:val="22"/>
          <w:szCs w:val="22"/>
        </w:rPr>
        <w:t>Será desclassificada a proposta que contenha preço manifestamente inexequível, assim considerado aquele que seja inferior ao custo de produção, acrescido dos encargos legais, desde que a licitante, depois de convocada, não tenha demonstrado a exequibilidade do preço ofertado.</w:t>
      </w:r>
    </w:p>
    <w:p w14:paraId="2A86C72E">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6.1.3.22.</w:t>
      </w:r>
      <w:r>
        <w:rPr>
          <w:rFonts w:hint="default" w:ascii="Arial" w:hAnsi="Arial" w:cs="Arial"/>
          <w:sz w:val="22"/>
          <w:szCs w:val="22"/>
          <w:lang w:val="pt-BR"/>
        </w:rPr>
        <w:t xml:space="preserve"> </w:t>
      </w:r>
      <w:r>
        <w:rPr>
          <w:rFonts w:hint="default" w:ascii="Arial" w:hAnsi="Arial" w:cs="Arial"/>
          <w:sz w:val="22"/>
          <w:szCs w:val="22"/>
        </w:rPr>
        <w:t>A licitante será desclassificada caso não apresente, juntamente com a proposta técnica, a declaração do fabricante do contêiner data center, devidamente assinada e endereçada à Prefeitura de Sinop - MT. A declaração deve comprovar a adequação de todos os materiais fornecidos para a solução de locação, que inclui nobreak, ar-condicionado de precisão, software DCIM, RPDU, ATS, sistema de controle ambiental, sensores, racks e confinamento, assegurando sua conformidade com as especificações técnicas exigidas para o contêiner data center.</w:t>
      </w:r>
    </w:p>
    <w:p w14:paraId="4886B2C1">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6.1.3.23.</w:t>
      </w:r>
      <w:r>
        <w:rPr>
          <w:rFonts w:hint="default" w:ascii="Arial" w:hAnsi="Arial" w:cs="Arial"/>
          <w:sz w:val="22"/>
          <w:szCs w:val="22"/>
          <w:lang w:val="pt-BR"/>
        </w:rPr>
        <w:t xml:space="preserve"> </w:t>
      </w:r>
      <w:r>
        <w:rPr>
          <w:rFonts w:hint="default" w:ascii="Arial" w:hAnsi="Arial" w:cs="Arial"/>
          <w:sz w:val="22"/>
          <w:szCs w:val="22"/>
        </w:rPr>
        <w:t>A licitante deverá “obrigatoriamente” anexar junto à proposta comercial os seguintes documentos, contendo todas as informações, parâmetros técnicos, dimensões, pesos e demais características técnicas:</w:t>
      </w:r>
    </w:p>
    <w:p w14:paraId="27EE260E">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6.1.3.24. </w:t>
      </w:r>
      <w:r>
        <w:rPr>
          <w:rFonts w:hint="default" w:ascii="Arial" w:hAnsi="Arial" w:cs="Arial"/>
          <w:sz w:val="22"/>
          <w:szCs w:val="22"/>
        </w:rPr>
        <w:t>Documento Técnico do ar-condicionado de Precisão;</w:t>
      </w:r>
    </w:p>
    <w:p w14:paraId="7B560086">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6.1.3.25. </w:t>
      </w:r>
      <w:r>
        <w:rPr>
          <w:rFonts w:hint="default" w:ascii="Arial" w:hAnsi="Arial" w:cs="Arial"/>
          <w:sz w:val="22"/>
          <w:szCs w:val="22"/>
        </w:rPr>
        <w:t>Documento Técnico – Racks padrão 19’’ com réguas de tomadas PDU;</w:t>
      </w:r>
    </w:p>
    <w:p w14:paraId="73927BA7">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6.1.3.26. </w:t>
      </w:r>
      <w:r>
        <w:rPr>
          <w:rFonts w:hint="default" w:ascii="Arial" w:hAnsi="Arial" w:cs="Arial"/>
          <w:sz w:val="22"/>
          <w:szCs w:val="22"/>
        </w:rPr>
        <w:t>Documento Técnico dos componentes (câmeras e sensores) do Sistema de Monitoramento do Centro de Processamento de Dados;</w:t>
      </w:r>
    </w:p>
    <w:p w14:paraId="1E1F1F76">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6.1.3.27. </w:t>
      </w:r>
      <w:r>
        <w:rPr>
          <w:rFonts w:hint="default" w:ascii="Arial" w:hAnsi="Arial" w:cs="Arial"/>
          <w:sz w:val="22"/>
          <w:szCs w:val="22"/>
        </w:rPr>
        <w:t>Documento Técnico dos componentes do sistema de detecção e alarme precoce de incêndio e do sistema de combate de incêndio com gás inerte;</w:t>
      </w:r>
    </w:p>
    <w:p w14:paraId="23C20598">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6.1.3.28. </w:t>
      </w:r>
      <w:r>
        <w:rPr>
          <w:rFonts w:hint="default" w:ascii="Arial" w:hAnsi="Arial" w:cs="Arial"/>
          <w:sz w:val="22"/>
          <w:szCs w:val="22"/>
        </w:rPr>
        <w:t>Documento Técnico dos Nobreak, com apresentação da configuração;</w:t>
      </w:r>
    </w:p>
    <w:p w14:paraId="58E78F2D">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6.1.3.29. </w:t>
      </w:r>
      <w:r>
        <w:rPr>
          <w:rFonts w:hint="default" w:ascii="Arial" w:hAnsi="Arial" w:cs="Arial"/>
          <w:sz w:val="22"/>
          <w:szCs w:val="22"/>
        </w:rPr>
        <w:t>Documento Técnico das Baterias e Memorial de Cálculo das Baterias com comprovação da autonomia desejada;</w:t>
      </w:r>
      <w:r>
        <w:rPr>
          <w:rFonts w:hint="default" w:ascii="Arial" w:hAnsi="Arial" w:cs="Arial"/>
          <w:sz w:val="22"/>
          <w:szCs w:val="22"/>
        </w:rPr>
        <w:tab/>
      </w:r>
    </w:p>
    <w:p w14:paraId="76558732">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6.1.3.30. </w:t>
      </w:r>
      <w:r>
        <w:rPr>
          <w:rFonts w:hint="default" w:ascii="Arial" w:hAnsi="Arial" w:cs="Arial"/>
          <w:sz w:val="22"/>
          <w:szCs w:val="22"/>
        </w:rPr>
        <w:t>A proposta deverá ser elaborada observando o modelo constante do MODELO DE PROPOSTA;</w:t>
      </w:r>
    </w:p>
    <w:p w14:paraId="61CAAC9D">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highlight w:val="green"/>
          <w:lang w:val="pt-BR"/>
        </w:rPr>
      </w:pPr>
      <w:r>
        <w:rPr>
          <w:rFonts w:hint="default" w:ascii="Arial" w:hAnsi="Arial" w:cs="Arial"/>
          <w:b/>
          <w:bCs/>
          <w:sz w:val="22"/>
          <w:szCs w:val="22"/>
          <w:lang w:val="pt-BR"/>
        </w:rPr>
        <w:t xml:space="preserve">6.1.3.31. </w:t>
      </w:r>
      <w:r>
        <w:rPr>
          <w:rFonts w:hint="default" w:ascii="Arial" w:hAnsi="Arial" w:cs="Arial"/>
          <w:sz w:val="22"/>
          <w:szCs w:val="22"/>
        </w:rPr>
        <w:t>A PREFEITURA poderá fazer diligências/consultas no sentido de sanar dúvidas quanto ao atendimento das especificações relativas a solução e aos equipamentos ofertados;</w:t>
      </w:r>
    </w:p>
    <w:p w14:paraId="6345170B">
      <w:pPr>
        <w:pStyle w:val="128"/>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sz w:val="22"/>
          <w:szCs w:val="22"/>
          <w:highlight w:val="green"/>
          <w:lang w:val="pt-BR"/>
        </w:rPr>
      </w:pPr>
    </w:p>
    <w:p w14:paraId="6E6B3FC1">
      <w:pPr>
        <w:keepNext w:val="0"/>
        <w:keepLines w:val="0"/>
        <w:pageBreakBefore w:val="0"/>
        <w:numPr>
          <w:ilvl w:val="1"/>
          <w:numId w:val="17"/>
        </w:numPr>
        <w:tabs>
          <w:tab w:val="left" w:pos="0"/>
        </w:tabs>
        <w:kinsoku/>
        <w:wordWrap/>
        <w:overflowPunct/>
        <w:topLinePunct w:val="0"/>
        <w:autoSpaceDE/>
        <w:autoSpaceDN/>
        <w:bidi w:val="0"/>
        <w:snapToGrid/>
        <w:spacing w:after="0" w:line="360" w:lineRule="auto"/>
        <w:ind w:left="0" w:leftChars="0" w:right="0" w:rightChars="0" w:firstLine="0" w:firstLine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CRITÉRIOS DE RECEBIMENTO PROVISÓRIO E DEFINITIVO DO OBJETO DA CONTRATAÇÃO:</w:t>
      </w:r>
    </w:p>
    <w:p w14:paraId="484D721C">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sz w:val="22"/>
          <w:szCs w:val="22"/>
          <w:lang w:val="pt-BR"/>
        </w:rPr>
        <w:t>6.2.1.</w:t>
      </w:r>
      <w:r>
        <w:rPr>
          <w:rFonts w:hint="default" w:ascii="Arial" w:hAnsi="Arial" w:cs="Arial"/>
          <w:b/>
          <w:sz w:val="22"/>
          <w:szCs w:val="22"/>
        </w:rPr>
        <w:t xml:space="preserve">Recebimento Provisório: </w:t>
      </w:r>
      <w:r>
        <w:rPr>
          <w:rFonts w:hint="default" w:ascii="Arial" w:hAnsi="Arial" w:cs="Arial"/>
          <w:sz w:val="22"/>
          <w:szCs w:val="22"/>
        </w:rPr>
        <w:t>O Termo de Recebimento Provisório será emitido após execução do serviço e entrega da primeira versão dos documentos finais do tipo as-built, tendo a PREFEITURA 15 (quinze) dias úteis para aprovar, podendo solicitar retrabalho quantas vezes julgar necessário para se obter a boa qualidade do documento;</w:t>
      </w:r>
    </w:p>
    <w:p w14:paraId="4B318236">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6.2.1.1. </w:t>
      </w:r>
      <w:r>
        <w:rPr>
          <w:rFonts w:hint="default" w:ascii="Arial" w:hAnsi="Arial" w:cs="Arial"/>
          <w:sz w:val="22"/>
          <w:szCs w:val="22"/>
        </w:rPr>
        <w:t>O aceite dos documentos finais do tipo as-built serão dados com a assinatura do Termo de Recebimento Definitivo pela Comissão de Execução contratual e pela CONTRATADA, em até 20 (vinte) dias úteis a partir da emissão do Termo de Recebimento Provisório.</w:t>
      </w:r>
    </w:p>
    <w:p w14:paraId="027A5FB1">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ascii="Times New Roman" w:hAnsi="Times New Roman" w:cs="Times New Roman"/>
          <w:sz w:val="24"/>
          <w:szCs w:val="24"/>
        </w:rPr>
      </w:pPr>
      <w:r>
        <w:rPr>
          <w:rFonts w:hint="default" w:ascii="Arial" w:hAnsi="Arial" w:cs="Arial"/>
          <w:b/>
          <w:bCs w:val="0"/>
          <w:sz w:val="22"/>
          <w:szCs w:val="22"/>
          <w:lang w:val="pt-BR"/>
        </w:rPr>
        <w:t xml:space="preserve">6.2.2. </w:t>
      </w:r>
      <w:r>
        <w:rPr>
          <w:rFonts w:hint="default" w:ascii="Arial" w:hAnsi="Arial" w:cs="Arial"/>
          <w:b/>
          <w:sz w:val="22"/>
          <w:szCs w:val="22"/>
        </w:rPr>
        <w:t>Recebimento Definitivo:</w:t>
      </w:r>
    </w:p>
    <w:p w14:paraId="48A29956">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6.2.2.1. </w:t>
      </w:r>
      <w:r>
        <w:rPr>
          <w:rFonts w:hint="default" w:ascii="Arial" w:hAnsi="Arial" w:cs="Arial"/>
          <w:sz w:val="22"/>
          <w:szCs w:val="22"/>
        </w:rPr>
        <w:t>O serviço objeto da presente licitação será recebido das seguintes formas:</w:t>
      </w:r>
    </w:p>
    <w:p w14:paraId="285C13B4">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6.2.2.2.</w:t>
      </w:r>
      <w:r>
        <w:rPr>
          <w:rFonts w:hint="default" w:ascii="Arial" w:hAnsi="Arial" w:cs="Arial"/>
          <w:sz w:val="22"/>
          <w:szCs w:val="22"/>
          <w:lang w:val="pt-BR"/>
        </w:rPr>
        <w:t xml:space="preserve"> </w:t>
      </w:r>
      <w:r>
        <w:rPr>
          <w:rFonts w:hint="default" w:ascii="Arial" w:hAnsi="Arial" w:cs="Arial"/>
          <w:sz w:val="22"/>
          <w:szCs w:val="22"/>
        </w:rPr>
        <w:t>Definitivamente, mediante recibo (ANEXO I</w:t>
      </w:r>
      <w:r>
        <w:rPr>
          <w:rFonts w:hint="default" w:ascii="Arial" w:hAnsi="Arial" w:cs="Arial"/>
          <w:sz w:val="22"/>
          <w:szCs w:val="22"/>
          <w:lang w:val="pt-BR"/>
        </w:rPr>
        <w:t xml:space="preserve">V </w:t>
      </w:r>
      <w:r>
        <w:rPr>
          <w:rFonts w:hint="default" w:ascii="Arial" w:hAnsi="Arial" w:cs="Arial"/>
          <w:sz w:val="22"/>
          <w:szCs w:val="22"/>
        </w:rPr>
        <w:t>MODELO DE TERMO DE RECEBIMENTO DEFINITIVO), em até 10 (dez) dias úteis a contar da assinatura do Termo de entrega pela Contratada.</w:t>
      </w:r>
    </w:p>
    <w:p w14:paraId="75527FFF">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6.2.2.3.</w:t>
      </w:r>
      <w:r>
        <w:rPr>
          <w:rFonts w:hint="default" w:ascii="Arial" w:hAnsi="Arial" w:cs="Arial"/>
          <w:sz w:val="22"/>
          <w:szCs w:val="22"/>
          <w:lang w:val="pt-BR"/>
        </w:rPr>
        <w:t xml:space="preserve"> </w:t>
      </w:r>
      <w:r>
        <w:rPr>
          <w:rFonts w:hint="default" w:ascii="Arial" w:hAnsi="Arial" w:cs="Arial"/>
          <w:sz w:val="22"/>
          <w:szCs w:val="22"/>
        </w:rPr>
        <w:t>Os serviços executados em desconformidade com o especificado no instrumento convocatório ou em desacordo com as normas legais e/ou correlatas, serão rejeitados parcial ou totalmente, conforme o caso, e a CONTRATADA será obrigada a refazê-los no prazo estipulado pela Fiscalização, contado da data do recebimento de notificação escrita, necessariamente acompanhada do Termo de Recusa, sob pena de incorrer em atraso quanto ao prazo de execução;</w:t>
      </w:r>
    </w:p>
    <w:p w14:paraId="6C8E7B6E">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6.2.2.4.</w:t>
      </w:r>
      <w:r>
        <w:rPr>
          <w:rFonts w:hint="default" w:ascii="Arial" w:hAnsi="Arial" w:cs="Arial"/>
          <w:sz w:val="22"/>
          <w:szCs w:val="22"/>
          <w:lang w:val="pt-BR"/>
        </w:rPr>
        <w:t xml:space="preserve"> </w:t>
      </w:r>
      <w:r>
        <w:rPr>
          <w:rFonts w:hint="default" w:ascii="Arial" w:hAnsi="Arial" w:cs="Arial"/>
          <w:sz w:val="22"/>
          <w:szCs w:val="22"/>
        </w:rPr>
        <w:t>Essa notificação interrompe os prazos de recebimento e de pagamento até que a irregularidade seja sanada;</w:t>
      </w:r>
    </w:p>
    <w:p w14:paraId="554C62D9">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sz w:val="22"/>
          <w:szCs w:val="22"/>
          <w:lang w:val="pt-BR"/>
        </w:rPr>
        <w:t>6.2.2.5.</w:t>
      </w:r>
      <w:r>
        <w:rPr>
          <w:rFonts w:hint="default" w:ascii="Arial" w:hAnsi="Arial" w:cs="Arial"/>
          <w:sz w:val="22"/>
          <w:szCs w:val="22"/>
          <w:lang w:val="pt-BR"/>
        </w:rPr>
        <w:t xml:space="preserve"> </w:t>
      </w:r>
      <w:r>
        <w:rPr>
          <w:rFonts w:hint="default" w:ascii="Arial" w:hAnsi="Arial" w:cs="Arial"/>
          <w:sz w:val="22"/>
          <w:szCs w:val="22"/>
        </w:rPr>
        <w:t>O aceite definitivo não modifica, restringe ou elide a plena responsabilidade da CONTRATADA de prestar os serviços de acordo com as especificações, quantidades e condições estabelecidas, inclusive na proposta de preços, nem invalida qualquer reclamação que o CONTRATANTE venha a fazer em virtude de posterior constatação de serviço fora de especificação, garantido o devido reparo, sem custo adicional ao CONTRATANTE.</w:t>
      </w:r>
    </w:p>
    <w:p w14:paraId="7B4EC980">
      <w:pPr>
        <w:keepNext w:val="0"/>
        <w:keepLines w:val="0"/>
        <w:pageBreakBefore w:val="0"/>
        <w:numPr>
          <w:ilvl w:val="0"/>
          <w:numId w:val="0"/>
        </w:numPr>
        <w:tabs>
          <w:tab w:val="left" w:pos="0"/>
        </w:tabs>
        <w:kinsoku/>
        <w:wordWrap/>
        <w:overflowPunct/>
        <w:topLinePunct w:val="0"/>
        <w:autoSpaceDE/>
        <w:autoSpaceDN/>
        <w:bidi w:val="0"/>
        <w:adjustRightInd/>
        <w:snapToGrid/>
        <w:spacing w:after="0" w:line="360" w:lineRule="auto"/>
        <w:ind w:left="0" w:right="0" w:rightChars="0" w:firstLine="0"/>
        <w:contextualSpacing/>
        <w:jc w:val="both"/>
        <w:textAlignment w:val="auto"/>
        <w:rPr>
          <w:rFonts w:hint="default" w:ascii="Arial" w:hAnsi="Arial" w:cs="Arial"/>
          <w:b w:val="0"/>
          <w:bCs w:val="0"/>
          <w:color w:val="000000" w:themeColor="text1"/>
          <w:sz w:val="22"/>
          <w:szCs w:val="22"/>
          <w:lang w:val="pt-BR"/>
          <w14:textFill>
            <w14:solidFill>
              <w14:schemeClr w14:val="tx1"/>
            </w14:solidFill>
          </w14:textFill>
        </w:rPr>
      </w:pPr>
    </w:p>
    <w:p w14:paraId="34B0A230">
      <w:pPr>
        <w:pStyle w:val="155"/>
        <w:keepNext w:val="0"/>
        <w:keepLines w:val="0"/>
        <w:pageBreakBefore w:val="0"/>
        <w:numPr>
          <w:ilvl w:val="1"/>
          <w:numId w:val="17"/>
        </w:numPr>
        <w:tabs>
          <w:tab w:val="left" w:pos="200"/>
        </w:tabs>
        <w:kinsoku/>
        <w:wordWrap/>
        <w:overflowPunct/>
        <w:topLinePunct w:val="0"/>
        <w:autoSpaceDE/>
        <w:autoSpaceDN/>
        <w:bidi w:val="0"/>
        <w:adjustRightInd/>
        <w:snapToGrid/>
        <w:spacing w:before="0" w:after="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b/>
          <w:bCs/>
          <w:i w:val="0"/>
          <w:iCs/>
          <w:sz w:val="22"/>
          <w:szCs w:val="22"/>
        </w:rPr>
        <w:t>LOCAL,</w:t>
      </w:r>
      <w:r>
        <w:rPr>
          <w:rFonts w:hint="default" w:ascii="Arial" w:hAnsi="Arial" w:cs="Arial"/>
          <w:b/>
          <w:bCs/>
          <w:i w:val="0"/>
          <w:iCs/>
          <w:spacing w:val="26"/>
          <w:sz w:val="22"/>
          <w:szCs w:val="22"/>
        </w:rPr>
        <w:t xml:space="preserve"> </w:t>
      </w:r>
      <w:r>
        <w:rPr>
          <w:rFonts w:hint="default" w:ascii="Arial" w:hAnsi="Arial" w:cs="Arial"/>
          <w:b/>
          <w:bCs/>
          <w:i w:val="0"/>
          <w:iCs/>
          <w:sz w:val="22"/>
          <w:szCs w:val="22"/>
        </w:rPr>
        <w:t>HORÁRIO,</w:t>
      </w:r>
      <w:r>
        <w:rPr>
          <w:rFonts w:hint="default" w:ascii="Arial" w:hAnsi="Arial" w:cs="Arial"/>
          <w:b/>
          <w:bCs/>
          <w:i w:val="0"/>
          <w:iCs/>
          <w:spacing w:val="26"/>
          <w:sz w:val="22"/>
          <w:szCs w:val="22"/>
        </w:rPr>
        <w:t xml:space="preserve"> </w:t>
      </w:r>
      <w:r>
        <w:rPr>
          <w:rFonts w:hint="default" w:ascii="Arial" w:hAnsi="Arial" w:cs="Arial"/>
          <w:b/>
          <w:bCs/>
          <w:i w:val="0"/>
          <w:iCs/>
          <w:sz w:val="22"/>
          <w:szCs w:val="22"/>
        </w:rPr>
        <w:t>PERIODICIDADE</w:t>
      </w:r>
      <w:r>
        <w:rPr>
          <w:rFonts w:hint="default" w:ascii="Arial" w:hAnsi="Arial" w:cs="Arial"/>
          <w:b/>
          <w:bCs/>
          <w:i w:val="0"/>
          <w:iCs/>
          <w:spacing w:val="26"/>
          <w:sz w:val="22"/>
          <w:szCs w:val="22"/>
        </w:rPr>
        <w:t xml:space="preserve"> </w:t>
      </w:r>
      <w:r>
        <w:rPr>
          <w:rFonts w:hint="default" w:ascii="Arial" w:hAnsi="Arial" w:cs="Arial"/>
          <w:b/>
          <w:bCs/>
          <w:i w:val="0"/>
          <w:iCs/>
          <w:sz w:val="22"/>
          <w:szCs w:val="22"/>
        </w:rPr>
        <w:t>E</w:t>
      </w:r>
      <w:r>
        <w:rPr>
          <w:rFonts w:hint="default" w:ascii="Arial" w:hAnsi="Arial" w:cs="Arial"/>
          <w:b/>
          <w:bCs/>
          <w:i w:val="0"/>
          <w:iCs/>
          <w:spacing w:val="26"/>
          <w:sz w:val="22"/>
          <w:szCs w:val="22"/>
        </w:rPr>
        <w:t xml:space="preserve"> </w:t>
      </w:r>
      <w:r>
        <w:rPr>
          <w:rFonts w:hint="default" w:ascii="Arial" w:hAnsi="Arial" w:cs="Arial"/>
          <w:b/>
          <w:bCs/>
          <w:i w:val="0"/>
          <w:iCs/>
          <w:sz w:val="22"/>
          <w:szCs w:val="22"/>
        </w:rPr>
        <w:t>FORMA</w:t>
      </w:r>
      <w:r>
        <w:rPr>
          <w:rFonts w:hint="default" w:ascii="Arial" w:hAnsi="Arial" w:cs="Arial"/>
          <w:b/>
          <w:bCs/>
          <w:i w:val="0"/>
          <w:iCs/>
          <w:spacing w:val="27"/>
          <w:sz w:val="22"/>
          <w:szCs w:val="22"/>
        </w:rPr>
        <w:t xml:space="preserve"> </w:t>
      </w:r>
      <w:r>
        <w:rPr>
          <w:rFonts w:hint="default" w:ascii="Arial" w:hAnsi="Arial" w:cs="Arial"/>
          <w:b/>
          <w:bCs/>
          <w:i w:val="0"/>
          <w:iCs/>
          <w:sz w:val="22"/>
          <w:szCs w:val="22"/>
        </w:rPr>
        <w:t>DE</w:t>
      </w:r>
      <w:r>
        <w:rPr>
          <w:rFonts w:hint="default" w:ascii="Arial" w:hAnsi="Arial" w:cs="Arial"/>
          <w:b/>
          <w:bCs/>
          <w:i w:val="0"/>
          <w:iCs/>
          <w:spacing w:val="26"/>
          <w:sz w:val="22"/>
          <w:szCs w:val="22"/>
        </w:rPr>
        <w:t xml:space="preserve"> </w:t>
      </w:r>
      <w:r>
        <w:rPr>
          <w:rFonts w:hint="default" w:ascii="Arial" w:hAnsi="Arial" w:cs="Arial"/>
          <w:b/>
          <w:bCs/>
          <w:i w:val="0"/>
          <w:iCs/>
          <w:sz w:val="22"/>
          <w:szCs w:val="22"/>
        </w:rPr>
        <w:t>ENTREGA/EXECUÇÃO</w:t>
      </w:r>
      <w:r>
        <w:rPr>
          <w:rFonts w:hint="default" w:ascii="Arial" w:hAnsi="Arial" w:cs="Arial"/>
          <w:b/>
          <w:bCs/>
          <w:i w:val="0"/>
          <w:iCs/>
          <w:spacing w:val="26"/>
          <w:sz w:val="22"/>
          <w:szCs w:val="22"/>
        </w:rPr>
        <w:t xml:space="preserve"> </w:t>
      </w:r>
      <w:r>
        <w:rPr>
          <w:rFonts w:hint="default" w:ascii="Arial" w:hAnsi="Arial" w:cs="Arial"/>
          <w:b/>
          <w:bCs/>
          <w:i w:val="0"/>
          <w:iCs/>
          <w:sz w:val="22"/>
          <w:szCs w:val="22"/>
        </w:rPr>
        <w:t>DO</w:t>
      </w:r>
      <w:r>
        <w:rPr>
          <w:rFonts w:hint="default" w:ascii="Arial" w:hAnsi="Arial" w:cs="Arial"/>
          <w:b/>
          <w:bCs/>
          <w:i w:val="0"/>
          <w:iCs/>
          <w:spacing w:val="26"/>
          <w:sz w:val="22"/>
          <w:szCs w:val="22"/>
        </w:rPr>
        <w:t xml:space="preserve"> </w:t>
      </w:r>
      <w:r>
        <w:rPr>
          <w:rFonts w:hint="default" w:ascii="Arial" w:hAnsi="Arial" w:cs="Arial"/>
          <w:b/>
          <w:bCs/>
          <w:i w:val="0"/>
          <w:iCs/>
          <w:sz w:val="22"/>
          <w:szCs w:val="22"/>
        </w:rPr>
        <w:t>OBJETO</w:t>
      </w:r>
      <w:r>
        <w:rPr>
          <w:rFonts w:hint="default" w:ascii="Arial" w:hAnsi="Arial" w:cs="Arial"/>
          <w:b/>
          <w:bCs/>
          <w:i w:val="0"/>
          <w:iCs/>
          <w:spacing w:val="26"/>
          <w:sz w:val="22"/>
          <w:szCs w:val="22"/>
        </w:rPr>
        <w:t xml:space="preserve"> </w:t>
      </w:r>
      <w:r>
        <w:rPr>
          <w:rFonts w:hint="default" w:ascii="Arial" w:hAnsi="Arial" w:cs="Arial"/>
          <w:b/>
          <w:bCs/>
          <w:i w:val="0"/>
          <w:iCs/>
          <w:sz w:val="22"/>
          <w:szCs w:val="22"/>
        </w:rPr>
        <w:t>E</w:t>
      </w:r>
      <w:r>
        <w:rPr>
          <w:rFonts w:hint="default" w:ascii="Arial" w:hAnsi="Arial" w:cs="Arial"/>
          <w:b/>
          <w:bCs/>
          <w:i w:val="0"/>
          <w:iCs/>
          <w:spacing w:val="26"/>
          <w:sz w:val="22"/>
          <w:szCs w:val="22"/>
        </w:rPr>
        <w:t xml:space="preserve"> </w:t>
      </w:r>
      <w:r>
        <w:rPr>
          <w:rFonts w:hint="default" w:ascii="Arial" w:hAnsi="Arial" w:cs="Arial"/>
          <w:b/>
          <w:bCs/>
          <w:i w:val="0"/>
          <w:iCs/>
          <w:sz w:val="22"/>
          <w:szCs w:val="22"/>
        </w:rPr>
        <w:t>CRITÉRIOS</w:t>
      </w:r>
      <w:r>
        <w:rPr>
          <w:rFonts w:hint="default" w:ascii="Arial" w:hAnsi="Arial" w:cs="Arial"/>
          <w:b/>
          <w:bCs/>
          <w:i w:val="0"/>
          <w:iCs/>
          <w:spacing w:val="27"/>
          <w:sz w:val="22"/>
          <w:szCs w:val="22"/>
        </w:rPr>
        <w:t xml:space="preserve"> </w:t>
      </w:r>
      <w:r>
        <w:rPr>
          <w:rFonts w:hint="default" w:ascii="Arial" w:hAnsi="Arial" w:cs="Arial"/>
          <w:b/>
          <w:bCs/>
          <w:i w:val="0"/>
          <w:iCs/>
          <w:sz w:val="22"/>
          <w:szCs w:val="22"/>
        </w:rPr>
        <w:t>DE ACEITAÇÃO OU NÃO DO OBJETO</w:t>
      </w:r>
      <w:r>
        <w:rPr>
          <w:rFonts w:hint="default" w:ascii="Arial" w:hAnsi="Arial" w:cs="Arial"/>
          <w:b/>
          <w:bCs/>
          <w:i w:val="0"/>
          <w:iCs/>
          <w:sz w:val="22"/>
          <w:szCs w:val="22"/>
          <w:lang w:val="pt-BR"/>
        </w:rPr>
        <w:t>:</w:t>
      </w:r>
    </w:p>
    <w:p w14:paraId="4CBC8327">
      <w:pPr>
        <w:pStyle w:val="155"/>
        <w:keepNext w:val="0"/>
        <w:keepLines w:val="0"/>
        <w:pageBreakBefore w:val="0"/>
        <w:numPr>
          <w:ilvl w:val="0"/>
          <w:numId w:val="0"/>
        </w:numPr>
        <w:tabs>
          <w:tab w:val="left" w:pos="200"/>
        </w:tabs>
        <w:kinsoku/>
        <w:wordWrap/>
        <w:overflowPunct/>
        <w:topLinePunct w:val="0"/>
        <w:autoSpaceDE/>
        <w:autoSpaceDN/>
        <w:bidi w:val="0"/>
        <w:adjustRightInd/>
        <w:snapToGrid/>
        <w:spacing w:before="0" w:after="0" w:line="360" w:lineRule="auto"/>
        <w:ind w:leftChars="0" w:right="0" w:rightChars="0"/>
        <w:jc w:val="both"/>
        <w:textAlignment w:val="auto"/>
        <w:rPr>
          <w:rFonts w:hint="default" w:ascii="Arial" w:hAnsi="Arial" w:cs="Arial"/>
          <w:b/>
          <w:bCs/>
          <w:sz w:val="22"/>
          <w:szCs w:val="22"/>
        </w:rPr>
      </w:pPr>
      <w:r>
        <w:rPr>
          <w:rFonts w:hint="default" w:ascii="Arial" w:hAnsi="Arial" w:cs="Arial"/>
          <w:b/>
          <w:bCs/>
          <w:sz w:val="22"/>
          <w:szCs w:val="22"/>
        </w:rPr>
        <w:t>MODELO DE EXECUÇÃO DO CONTRATO</w:t>
      </w:r>
    </w:p>
    <w:p w14:paraId="77BC47C6">
      <w:pPr>
        <w:pStyle w:val="165"/>
        <w:keepNext w:val="0"/>
        <w:keepLines w:val="0"/>
        <w:pageBreakBefore w:val="0"/>
        <w:tabs>
          <w:tab w:val="left" w:pos="1276"/>
        </w:tabs>
        <w:kinsoku/>
        <w:wordWrap/>
        <w:overflowPunct/>
        <w:topLinePunct w:val="0"/>
        <w:autoSpaceDE/>
        <w:autoSpaceDN/>
        <w:bidi w:val="0"/>
        <w:adjustRightInd/>
        <w:snapToGrid/>
        <w:spacing w:line="360" w:lineRule="auto"/>
        <w:ind w:left="0" w:right="0" w:firstLine="0"/>
        <w:jc w:val="both"/>
        <w:textAlignment w:val="auto"/>
        <w:rPr>
          <w:rFonts w:hint="default" w:ascii="Arial" w:hAnsi="Arial" w:cs="Arial"/>
          <w:b/>
          <w:bCs/>
          <w:sz w:val="22"/>
          <w:szCs w:val="22"/>
        </w:rPr>
      </w:pPr>
      <w:r>
        <w:rPr>
          <w:rFonts w:hint="default" w:ascii="Arial" w:hAnsi="Arial" w:cs="Arial"/>
          <w:b/>
          <w:bCs/>
          <w:sz w:val="22"/>
          <w:szCs w:val="22"/>
        </w:rPr>
        <w:t xml:space="preserve">Rotinas de execução </w:t>
      </w:r>
    </w:p>
    <w:p w14:paraId="748153DA">
      <w:pPr>
        <w:pStyle w:val="165"/>
        <w:keepNext w:val="0"/>
        <w:keepLines w:val="0"/>
        <w:pageBreakBefore w:val="0"/>
        <w:numPr>
          <w:ilvl w:val="2"/>
          <w:numId w:val="17"/>
        </w:numPr>
        <w:tabs>
          <w:tab w:val="left" w:pos="1276"/>
        </w:tabs>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Horários para execução do serviço: O horário de entrega do produto e execução do serviço é o comercial, iniciando as 08:00 e terminando as 18:00 horas</w:t>
      </w:r>
      <w:r>
        <w:rPr>
          <w:rFonts w:hint="default" w:ascii="Arial" w:hAnsi="Arial" w:cs="Arial"/>
          <w:sz w:val="22"/>
          <w:szCs w:val="22"/>
          <w:lang w:val="pt-BR"/>
        </w:rPr>
        <w:t xml:space="preserve"> (horário local)</w:t>
      </w:r>
      <w:r>
        <w:rPr>
          <w:rFonts w:hint="default" w:ascii="Arial" w:hAnsi="Arial" w:cs="Arial"/>
          <w:sz w:val="22"/>
          <w:szCs w:val="22"/>
        </w:rPr>
        <w:t>. Podendo, a critério da PREFEITURA ser realizado fora do horário comercial, sem ônus para a CONTRATANTE mediante autorização com antecedência de 24 (vinte e quatro) horas, devendo a empresa apresentar lista de funcionários devidamente identificados.</w:t>
      </w:r>
    </w:p>
    <w:p w14:paraId="79AA3DDF">
      <w:pPr>
        <w:pStyle w:val="165"/>
        <w:keepNext w:val="0"/>
        <w:keepLines w:val="0"/>
        <w:pageBreakBefore w:val="0"/>
        <w:numPr>
          <w:ilvl w:val="2"/>
          <w:numId w:val="17"/>
        </w:numPr>
        <w:tabs>
          <w:tab w:val="left" w:pos="1276"/>
        </w:tabs>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Locais de entrega do produto ou execução do serviço: Os produtos adquiridos deverão ser entregues na Rua das Avencas, 1481, centro, Sinop-MT (Secretaria de Administração);</w:t>
      </w:r>
    </w:p>
    <w:p w14:paraId="0A131183">
      <w:pPr>
        <w:pStyle w:val="165"/>
        <w:keepNext w:val="0"/>
        <w:keepLines w:val="0"/>
        <w:pageBreakBefore w:val="0"/>
        <w:numPr>
          <w:ilvl w:val="0"/>
          <w:numId w:val="0"/>
        </w:numPr>
        <w:tabs>
          <w:tab w:val="left" w:pos="1276"/>
        </w:tabs>
        <w:kinsoku/>
        <w:wordWrap/>
        <w:overflowPunct/>
        <w:topLinePunct w:val="0"/>
        <w:autoSpaceDE/>
        <w:autoSpaceDN/>
        <w:bidi w:val="0"/>
        <w:adjustRightInd/>
        <w:snapToGrid/>
        <w:spacing w:line="360" w:lineRule="auto"/>
        <w:ind w:leftChars="0" w:right="0" w:rightChars="0"/>
        <w:jc w:val="both"/>
        <w:textAlignment w:val="auto"/>
        <w:rPr>
          <w:rFonts w:hint="default" w:ascii="Arial" w:hAnsi="Arial" w:cs="Arial"/>
          <w:sz w:val="22"/>
          <w:szCs w:val="22"/>
        </w:rPr>
      </w:pPr>
    </w:p>
    <w:p w14:paraId="5DF3D7EB">
      <w:pPr>
        <w:pStyle w:val="165"/>
        <w:keepNext w:val="0"/>
        <w:keepLines w:val="0"/>
        <w:pageBreakBefore w:val="0"/>
        <w:tabs>
          <w:tab w:val="left" w:pos="1276"/>
        </w:tabs>
        <w:kinsoku/>
        <w:wordWrap/>
        <w:overflowPunct/>
        <w:topLinePunct w:val="0"/>
        <w:autoSpaceDE/>
        <w:autoSpaceDN/>
        <w:bidi w:val="0"/>
        <w:adjustRightInd/>
        <w:snapToGrid/>
        <w:spacing w:line="360" w:lineRule="auto"/>
        <w:ind w:left="0" w:right="0" w:firstLine="0"/>
        <w:jc w:val="both"/>
        <w:textAlignment w:val="auto"/>
        <w:rPr>
          <w:rFonts w:hint="default" w:ascii="Arial" w:hAnsi="Arial" w:cs="Arial"/>
          <w:b/>
          <w:bCs/>
          <w:sz w:val="22"/>
          <w:szCs w:val="22"/>
        </w:rPr>
      </w:pPr>
      <w:bookmarkStart w:id="61" w:name="_Ref482090897"/>
      <w:r>
        <w:rPr>
          <w:rFonts w:hint="default" w:ascii="Arial" w:hAnsi="Arial" w:cs="Arial"/>
          <w:b/>
          <w:bCs/>
          <w:sz w:val="22"/>
          <w:szCs w:val="22"/>
        </w:rPr>
        <w:t>Prazos e condições:</w:t>
      </w:r>
      <w:bookmarkEnd w:id="61"/>
    </w:p>
    <w:p w14:paraId="47674E0C">
      <w:pPr>
        <w:pStyle w:val="165"/>
        <w:keepNext w:val="0"/>
        <w:keepLines w:val="0"/>
        <w:pageBreakBefore w:val="0"/>
        <w:numPr>
          <w:ilvl w:val="2"/>
          <w:numId w:val="17"/>
        </w:numPr>
        <w:tabs>
          <w:tab w:val="left" w:pos="1276"/>
        </w:tabs>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Em até 3 (três) dias úteis após a abertura da Ordem de Serviço (OS), a CONTRATADA deve realizar reunião inicial com a equipe técnica da PREFEITURA para colher informações necessárias à elaboração do projeto executivo, de acordo com a disponibilidade de agenda da equipe técnica da PREFEITURA;</w:t>
      </w:r>
    </w:p>
    <w:p w14:paraId="67C2AB84">
      <w:pPr>
        <w:pStyle w:val="165"/>
        <w:keepNext w:val="0"/>
        <w:keepLines w:val="0"/>
        <w:pageBreakBefore w:val="0"/>
        <w:numPr>
          <w:ilvl w:val="2"/>
          <w:numId w:val="17"/>
        </w:numPr>
        <w:tabs>
          <w:tab w:val="left" w:pos="1276"/>
        </w:tabs>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A CONTRATADA deverá entregar no prazo de 15 (quinze) dias úteis após a assinatura da ata da reunião inicial, o Estudo técnico do edifício da PREFEITURA para garantir o recepcionamento das cargas elétricas e térmicas atuais e futuras.</w:t>
      </w:r>
    </w:p>
    <w:p w14:paraId="226D374E">
      <w:pPr>
        <w:pStyle w:val="165"/>
        <w:keepNext w:val="0"/>
        <w:keepLines w:val="0"/>
        <w:pageBreakBefore w:val="0"/>
        <w:numPr>
          <w:ilvl w:val="2"/>
          <w:numId w:val="17"/>
        </w:numPr>
        <w:tabs>
          <w:tab w:val="left" w:pos="1276"/>
        </w:tabs>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 xml:space="preserve">A critério da CONTRATANTE ou CONTRATADA, poderão ser solicitadas reuniões para acompanhamento do Estudo técnico do edifício da PREFEITURA. </w:t>
      </w:r>
    </w:p>
    <w:p w14:paraId="4549F427">
      <w:pPr>
        <w:pStyle w:val="165"/>
        <w:keepNext w:val="0"/>
        <w:keepLines w:val="0"/>
        <w:pageBreakBefore w:val="0"/>
        <w:numPr>
          <w:ilvl w:val="2"/>
          <w:numId w:val="17"/>
        </w:numPr>
        <w:tabs>
          <w:tab w:val="left" w:pos="1276"/>
        </w:tabs>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Após o recebimento do Estudo técnico do edifício da PREFEITURA, a CONTRATANTE terá o prazo de 05 (cinco) dias úteis para aprovação da documentação.</w:t>
      </w:r>
    </w:p>
    <w:p w14:paraId="17F7E5F0">
      <w:pPr>
        <w:pStyle w:val="165"/>
        <w:keepNext w:val="0"/>
        <w:keepLines w:val="0"/>
        <w:pageBreakBefore w:val="0"/>
        <w:numPr>
          <w:ilvl w:val="2"/>
          <w:numId w:val="17"/>
        </w:numPr>
        <w:tabs>
          <w:tab w:val="left" w:pos="1276"/>
        </w:tabs>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Caso seja constatada a necessidade de correção da documentação recebida, a CONTRATADA terá o prazo de 2 (dois) dias úteis para a adequação do Estudo Técnico.</w:t>
      </w:r>
    </w:p>
    <w:p w14:paraId="63FF81ED">
      <w:pPr>
        <w:pStyle w:val="165"/>
        <w:keepNext w:val="0"/>
        <w:keepLines w:val="0"/>
        <w:pageBreakBefore w:val="0"/>
        <w:numPr>
          <w:ilvl w:val="2"/>
          <w:numId w:val="17"/>
        </w:numPr>
        <w:tabs>
          <w:tab w:val="left" w:pos="1276"/>
        </w:tabs>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Em até 30 (trinta) dias úteis após a aprovação do Estudo técnico, a CONTRATADA deverá entregar o Projeto Executivo;</w:t>
      </w:r>
    </w:p>
    <w:p w14:paraId="7C29C5AB">
      <w:pPr>
        <w:pStyle w:val="165"/>
        <w:keepNext w:val="0"/>
        <w:keepLines w:val="0"/>
        <w:pageBreakBefore w:val="0"/>
        <w:numPr>
          <w:ilvl w:val="2"/>
          <w:numId w:val="17"/>
        </w:numPr>
        <w:tabs>
          <w:tab w:val="left" w:pos="1276"/>
        </w:tabs>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Em até 90 (noventa) dias úteis após aceite do projeto executivo, a CONTRATADA deverá fornecer, instalar e testar o Centro de Processamento de Dados da PREFEITURA (incluindo adequações físicas caso seja verificado a necessidade do mesmo);</w:t>
      </w:r>
    </w:p>
    <w:p w14:paraId="5D928064">
      <w:pPr>
        <w:pStyle w:val="165"/>
        <w:keepNext w:val="0"/>
        <w:keepLines w:val="0"/>
        <w:pageBreakBefore w:val="0"/>
        <w:numPr>
          <w:ilvl w:val="2"/>
          <w:numId w:val="17"/>
        </w:numPr>
        <w:tabs>
          <w:tab w:val="left" w:pos="1276"/>
        </w:tabs>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Arial" w:hAnsi="Arial" w:cs="Arial"/>
          <w:color w:val="auto"/>
          <w:sz w:val="22"/>
          <w:szCs w:val="22"/>
        </w:rPr>
      </w:pPr>
      <w:r>
        <w:rPr>
          <w:rFonts w:hint="default" w:ascii="Arial" w:hAnsi="Arial" w:cs="Arial"/>
          <w:color w:val="auto"/>
          <w:sz w:val="22"/>
          <w:szCs w:val="22"/>
        </w:rPr>
        <w:t>O Termo de Recebimento Provisório será emitido após execução do serviço e entrega da primeira versão dos documentos finais do tipo as-built, tendo a PREFEITURA 15 (quinze) dias úteis para aprovar, podendo solicitar retrabalho quantas vezes julgar necessário para se obter a boa qualidade do documento;</w:t>
      </w:r>
    </w:p>
    <w:p w14:paraId="12358248">
      <w:pPr>
        <w:pStyle w:val="165"/>
        <w:keepNext w:val="0"/>
        <w:keepLines w:val="0"/>
        <w:pageBreakBefore w:val="0"/>
        <w:numPr>
          <w:ilvl w:val="2"/>
          <w:numId w:val="17"/>
        </w:numPr>
        <w:tabs>
          <w:tab w:val="left" w:pos="1276"/>
        </w:tabs>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Arial" w:hAnsi="Arial" w:cs="Arial"/>
          <w:color w:val="auto"/>
          <w:sz w:val="22"/>
          <w:szCs w:val="22"/>
        </w:rPr>
      </w:pPr>
      <w:r>
        <w:rPr>
          <w:rFonts w:hint="default" w:ascii="Arial" w:hAnsi="Arial" w:cs="Arial"/>
          <w:color w:val="auto"/>
          <w:sz w:val="22"/>
          <w:szCs w:val="22"/>
        </w:rPr>
        <w:t>O aceite dos documentos finais do tipo as-built serão dados com a assinatura do Termo de Recebimento Definitivo pela Comissão de Execução contratual e pela CONTRATADA, em até 20 (vinte) dias úteis a partir da emissão do Termo de Recebimento Provisório.</w:t>
      </w:r>
    </w:p>
    <w:p w14:paraId="644D06F1">
      <w:pPr>
        <w:keepNext w:val="0"/>
        <w:keepLines w:val="0"/>
        <w:widowControl/>
        <w:suppressLineNumbers w:val="0"/>
        <w:spacing w:line="360" w:lineRule="auto"/>
        <w:jc w:val="left"/>
        <w:rPr>
          <w:rFonts w:hint="default" w:ascii="Arial" w:hAnsi="Arial" w:cs="Arial"/>
          <w:sz w:val="22"/>
          <w:szCs w:val="22"/>
          <w:highlight w:val="green"/>
          <w:lang w:val="pt-BR"/>
        </w:rPr>
      </w:pPr>
    </w:p>
    <w:p w14:paraId="1AB7595A">
      <w:pPr>
        <w:keepNext w:val="0"/>
        <w:keepLines w:val="0"/>
        <w:pageBreakBefore w:val="0"/>
        <w:tabs>
          <w:tab w:val="left" w:pos="1276"/>
        </w:tabs>
        <w:kinsoku/>
        <w:wordWrap/>
        <w:overflowPunct/>
        <w:topLinePunct w:val="0"/>
        <w:autoSpaceDE/>
        <w:autoSpaceDN/>
        <w:bidi w:val="0"/>
        <w:snapToGrid/>
        <w:spacing w:line="360" w:lineRule="auto"/>
        <w:ind w:left="0" w:firstLine="0"/>
        <w:jc w:val="both"/>
        <w:rPr>
          <w:rFonts w:hint="default" w:ascii="Arial" w:hAnsi="Arial" w:cs="Arial"/>
          <w:b/>
          <w:bCs/>
          <w:color w:val="000000"/>
          <w:sz w:val="22"/>
          <w:szCs w:val="22"/>
        </w:rPr>
      </w:pPr>
      <w:r>
        <w:rPr>
          <w:rFonts w:hint="default" w:ascii="Arial" w:hAnsi="Arial" w:cs="Arial"/>
          <w:b/>
          <w:bCs/>
          <w:color w:val="000000"/>
          <w:sz w:val="22"/>
          <w:szCs w:val="22"/>
          <w:lang w:val="pt-BR"/>
        </w:rPr>
        <w:t xml:space="preserve">6.3.12. </w:t>
      </w:r>
      <w:r>
        <w:rPr>
          <w:rFonts w:hint="default" w:ascii="Arial" w:hAnsi="Arial" w:cs="Arial"/>
          <w:b/>
          <w:bCs/>
          <w:color w:val="000000"/>
          <w:sz w:val="22"/>
          <w:szCs w:val="22"/>
        </w:rPr>
        <w:t>Mecanismos formais de comunicação entre a CONTRATADA e a CONTRATANTE</w:t>
      </w:r>
    </w:p>
    <w:p w14:paraId="36EC9E39">
      <w:pPr>
        <w:pStyle w:val="165"/>
        <w:keepNext w:val="0"/>
        <w:keepLines w:val="0"/>
        <w:pageBreakBefore w:val="0"/>
        <w:tabs>
          <w:tab w:val="left" w:pos="1276"/>
        </w:tabs>
        <w:kinsoku/>
        <w:wordWrap/>
        <w:overflowPunct/>
        <w:topLinePunct w:val="0"/>
        <w:autoSpaceDE/>
        <w:autoSpaceDN/>
        <w:bidi w:val="0"/>
        <w:snapToGrid/>
        <w:spacing w:line="360" w:lineRule="auto"/>
        <w:ind w:left="0" w:firstLine="0"/>
        <w:jc w:val="both"/>
        <w:rPr>
          <w:rFonts w:hint="default" w:ascii="Arial" w:hAnsi="Arial" w:cs="Arial"/>
          <w:sz w:val="22"/>
          <w:szCs w:val="22"/>
        </w:rPr>
      </w:pPr>
      <w:r>
        <w:rPr>
          <w:rFonts w:hint="default" w:ascii="Arial" w:hAnsi="Arial" w:cs="Arial"/>
          <w:sz w:val="22"/>
          <w:szCs w:val="22"/>
        </w:rPr>
        <w:t>Quaisquer questões administrativas durante a execução do contrato, de cunho mais formal:</w:t>
      </w:r>
    </w:p>
    <w:p w14:paraId="7F4BA094">
      <w:pPr>
        <w:pStyle w:val="165"/>
        <w:keepNext w:val="0"/>
        <w:keepLines w:val="0"/>
        <w:pageBreakBefore w:val="0"/>
        <w:numPr>
          <w:ilvl w:val="0"/>
          <w:numId w:val="0"/>
        </w:numPr>
        <w:tabs>
          <w:tab w:val="left" w:pos="1276"/>
        </w:tabs>
        <w:kinsoku/>
        <w:wordWrap/>
        <w:overflowPunct/>
        <w:topLinePunct w:val="0"/>
        <w:autoSpaceDE/>
        <w:autoSpaceDN/>
        <w:bidi w:val="0"/>
        <w:snapToGrid/>
        <w:spacing w:line="360" w:lineRule="auto"/>
        <w:ind w:leftChars="0"/>
        <w:jc w:val="both"/>
        <w:rPr>
          <w:rFonts w:hint="default" w:ascii="Arial" w:hAnsi="Arial" w:cs="Arial"/>
          <w:sz w:val="22"/>
          <w:szCs w:val="22"/>
        </w:rPr>
      </w:pPr>
      <w:r>
        <w:rPr>
          <w:rFonts w:hint="default" w:ascii="Arial" w:hAnsi="Arial" w:cs="Arial"/>
          <w:b/>
          <w:bCs/>
          <w:sz w:val="22"/>
          <w:szCs w:val="22"/>
          <w:lang w:val="pt-BR"/>
        </w:rPr>
        <w:t>6.3.12.1.</w:t>
      </w:r>
      <w:r>
        <w:rPr>
          <w:rFonts w:hint="default" w:ascii="Arial" w:hAnsi="Arial" w:cs="Arial"/>
          <w:sz w:val="22"/>
          <w:szCs w:val="22"/>
          <w:lang w:val="pt-BR"/>
        </w:rPr>
        <w:t xml:space="preserve"> </w:t>
      </w:r>
      <w:r>
        <w:rPr>
          <w:rFonts w:hint="default" w:ascii="Arial" w:hAnsi="Arial" w:cs="Arial"/>
          <w:sz w:val="22"/>
          <w:szCs w:val="22"/>
        </w:rPr>
        <w:t>Emissor: PREFEITURA / Empresa CONTRATADA.</w:t>
      </w:r>
    </w:p>
    <w:p w14:paraId="607431CD">
      <w:pPr>
        <w:pStyle w:val="165"/>
        <w:keepNext w:val="0"/>
        <w:keepLines w:val="0"/>
        <w:pageBreakBefore w:val="0"/>
        <w:numPr>
          <w:ilvl w:val="0"/>
          <w:numId w:val="0"/>
        </w:numPr>
        <w:tabs>
          <w:tab w:val="left" w:pos="1276"/>
        </w:tabs>
        <w:kinsoku/>
        <w:wordWrap/>
        <w:overflowPunct/>
        <w:topLinePunct w:val="0"/>
        <w:autoSpaceDE/>
        <w:autoSpaceDN/>
        <w:bidi w:val="0"/>
        <w:snapToGrid/>
        <w:spacing w:line="360" w:lineRule="auto"/>
        <w:ind w:leftChars="0"/>
        <w:jc w:val="both"/>
        <w:rPr>
          <w:rFonts w:hint="default" w:ascii="Arial" w:hAnsi="Arial" w:cs="Arial"/>
          <w:sz w:val="22"/>
          <w:szCs w:val="22"/>
        </w:rPr>
      </w:pPr>
      <w:r>
        <w:rPr>
          <w:rFonts w:hint="default" w:ascii="Arial" w:hAnsi="Arial" w:cs="Arial"/>
          <w:b/>
          <w:bCs/>
          <w:sz w:val="22"/>
          <w:szCs w:val="22"/>
          <w:lang w:val="pt-BR"/>
        </w:rPr>
        <w:t>6.3.12.2.</w:t>
      </w:r>
      <w:r>
        <w:rPr>
          <w:rFonts w:hint="default" w:ascii="Arial" w:hAnsi="Arial" w:cs="Arial"/>
          <w:sz w:val="22"/>
          <w:szCs w:val="22"/>
          <w:lang w:val="pt-BR"/>
        </w:rPr>
        <w:t xml:space="preserve"> </w:t>
      </w:r>
      <w:r>
        <w:rPr>
          <w:rFonts w:hint="default" w:ascii="Arial" w:hAnsi="Arial" w:cs="Arial"/>
          <w:sz w:val="22"/>
          <w:szCs w:val="22"/>
        </w:rPr>
        <w:t>Destinatário: PREFEITURA / Empresa CONTRATADA.</w:t>
      </w:r>
    </w:p>
    <w:p w14:paraId="647314EF">
      <w:pPr>
        <w:pStyle w:val="165"/>
        <w:keepNext w:val="0"/>
        <w:keepLines w:val="0"/>
        <w:pageBreakBefore w:val="0"/>
        <w:numPr>
          <w:ilvl w:val="0"/>
          <w:numId w:val="0"/>
        </w:numPr>
        <w:tabs>
          <w:tab w:val="left" w:pos="1276"/>
        </w:tabs>
        <w:kinsoku/>
        <w:wordWrap/>
        <w:overflowPunct/>
        <w:topLinePunct w:val="0"/>
        <w:autoSpaceDE/>
        <w:autoSpaceDN/>
        <w:bidi w:val="0"/>
        <w:snapToGrid/>
        <w:spacing w:line="360" w:lineRule="auto"/>
        <w:ind w:leftChars="0"/>
        <w:jc w:val="both"/>
        <w:rPr>
          <w:rFonts w:hint="default" w:ascii="Arial" w:hAnsi="Arial" w:cs="Arial"/>
          <w:sz w:val="22"/>
          <w:szCs w:val="22"/>
        </w:rPr>
      </w:pPr>
      <w:r>
        <w:rPr>
          <w:rFonts w:hint="default" w:ascii="Arial" w:hAnsi="Arial" w:cs="Arial"/>
          <w:b/>
          <w:bCs/>
          <w:sz w:val="22"/>
          <w:szCs w:val="22"/>
          <w:lang w:val="pt-BR"/>
        </w:rPr>
        <w:t>6.3.12.3.</w:t>
      </w:r>
      <w:r>
        <w:rPr>
          <w:rFonts w:hint="default" w:ascii="Arial" w:hAnsi="Arial" w:cs="Arial"/>
          <w:sz w:val="22"/>
          <w:szCs w:val="22"/>
          <w:lang w:val="pt-BR"/>
        </w:rPr>
        <w:t xml:space="preserve"> </w:t>
      </w:r>
      <w:r>
        <w:rPr>
          <w:rFonts w:hint="default" w:ascii="Arial" w:hAnsi="Arial" w:cs="Arial"/>
          <w:sz w:val="22"/>
          <w:szCs w:val="22"/>
        </w:rPr>
        <w:t>Forma de Comunicação: Correio.</w:t>
      </w:r>
    </w:p>
    <w:p w14:paraId="0C011F18">
      <w:pPr>
        <w:pStyle w:val="165"/>
        <w:keepNext w:val="0"/>
        <w:keepLines w:val="0"/>
        <w:pageBreakBefore w:val="0"/>
        <w:numPr>
          <w:ilvl w:val="0"/>
          <w:numId w:val="0"/>
        </w:numPr>
        <w:tabs>
          <w:tab w:val="left" w:pos="1276"/>
        </w:tabs>
        <w:kinsoku/>
        <w:wordWrap/>
        <w:overflowPunct/>
        <w:topLinePunct w:val="0"/>
        <w:autoSpaceDE/>
        <w:autoSpaceDN/>
        <w:bidi w:val="0"/>
        <w:snapToGrid/>
        <w:spacing w:line="360" w:lineRule="auto"/>
        <w:ind w:leftChars="0"/>
        <w:jc w:val="both"/>
        <w:rPr>
          <w:rFonts w:hint="default" w:ascii="Arial" w:hAnsi="Arial" w:cs="Arial"/>
          <w:sz w:val="22"/>
          <w:szCs w:val="22"/>
        </w:rPr>
      </w:pPr>
      <w:r>
        <w:rPr>
          <w:rFonts w:hint="default" w:ascii="Arial" w:hAnsi="Arial" w:cs="Arial"/>
          <w:sz w:val="22"/>
          <w:szCs w:val="22"/>
          <w:lang w:val="pt-BR"/>
        </w:rPr>
        <w:t xml:space="preserve">6.3.12.4. </w:t>
      </w:r>
      <w:r>
        <w:rPr>
          <w:rFonts w:hint="default" w:ascii="Arial" w:hAnsi="Arial" w:cs="Arial"/>
          <w:sz w:val="22"/>
          <w:szCs w:val="22"/>
        </w:rPr>
        <w:t>Documento: Ofício.</w:t>
      </w:r>
    </w:p>
    <w:p w14:paraId="3637D9DA">
      <w:pPr>
        <w:pStyle w:val="165"/>
        <w:keepNext w:val="0"/>
        <w:keepLines w:val="0"/>
        <w:pageBreakBefore w:val="0"/>
        <w:numPr>
          <w:ilvl w:val="0"/>
          <w:numId w:val="0"/>
        </w:numPr>
        <w:tabs>
          <w:tab w:val="left" w:pos="1276"/>
        </w:tabs>
        <w:kinsoku/>
        <w:wordWrap/>
        <w:overflowPunct/>
        <w:topLinePunct w:val="0"/>
        <w:autoSpaceDE/>
        <w:autoSpaceDN/>
        <w:bidi w:val="0"/>
        <w:snapToGrid/>
        <w:spacing w:line="360" w:lineRule="auto"/>
        <w:ind w:leftChars="0"/>
        <w:jc w:val="both"/>
        <w:rPr>
          <w:rFonts w:hint="default" w:ascii="Arial" w:hAnsi="Arial" w:cs="Arial"/>
          <w:sz w:val="22"/>
          <w:szCs w:val="22"/>
        </w:rPr>
      </w:pPr>
      <w:r>
        <w:rPr>
          <w:rFonts w:hint="default" w:ascii="Arial" w:hAnsi="Arial" w:cs="Arial"/>
          <w:b/>
          <w:bCs/>
          <w:sz w:val="22"/>
          <w:szCs w:val="22"/>
          <w:lang w:val="pt-BR"/>
        </w:rPr>
        <w:t>6.3.12.5.</w:t>
      </w:r>
      <w:r>
        <w:rPr>
          <w:rFonts w:hint="default" w:ascii="Arial" w:hAnsi="Arial" w:cs="Arial"/>
          <w:sz w:val="22"/>
          <w:szCs w:val="22"/>
          <w:lang w:val="pt-BR"/>
        </w:rPr>
        <w:t xml:space="preserve"> </w:t>
      </w:r>
      <w:r>
        <w:rPr>
          <w:rFonts w:hint="default" w:ascii="Arial" w:hAnsi="Arial" w:cs="Arial"/>
          <w:sz w:val="22"/>
          <w:szCs w:val="22"/>
        </w:rPr>
        <w:t>Periodicidade: Eventual.</w:t>
      </w:r>
    </w:p>
    <w:p w14:paraId="1139614F">
      <w:pPr>
        <w:pStyle w:val="165"/>
        <w:keepNext w:val="0"/>
        <w:keepLines w:val="0"/>
        <w:pageBreakBefore w:val="0"/>
        <w:numPr>
          <w:ilvl w:val="0"/>
          <w:numId w:val="0"/>
        </w:numPr>
        <w:tabs>
          <w:tab w:val="left" w:pos="1276"/>
        </w:tabs>
        <w:kinsoku/>
        <w:wordWrap/>
        <w:overflowPunct/>
        <w:topLinePunct w:val="0"/>
        <w:autoSpaceDE/>
        <w:autoSpaceDN/>
        <w:bidi w:val="0"/>
        <w:snapToGrid/>
        <w:spacing w:line="360" w:lineRule="auto"/>
        <w:ind w:leftChars="0"/>
        <w:jc w:val="both"/>
        <w:rPr>
          <w:rFonts w:hint="default" w:ascii="Arial" w:hAnsi="Arial" w:cs="Arial"/>
          <w:sz w:val="22"/>
          <w:szCs w:val="22"/>
        </w:rPr>
      </w:pPr>
      <w:r>
        <w:rPr>
          <w:rFonts w:hint="default" w:ascii="Arial" w:hAnsi="Arial" w:cs="Arial"/>
          <w:b/>
          <w:bCs/>
          <w:sz w:val="22"/>
          <w:szCs w:val="22"/>
          <w:lang w:val="pt-BR"/>
        </w:rPr>
        <w:t>6.3.12.6.</w:t>
      </w:r>
      <w:r>
        <w:rPr>
          <w:rFonts w:hint="default" w:ascii="Arial" w:hAnsi="Arial" w:cs="Arial"/>
          <w:sz w:val="22"/>
          <w:szCs w:val="22"/>
          <w:lang w:val="pt-BR"/>
        </w:rPr>
        <w:t xml:space="preserve"> </w:t>
      </w:r>
      <w:r>
        <w:rPr>
          <w:rFonts w:hint="default" w:ascii="Arial" w:hAnsi="Arial" w:cs="Arial"/>
          <w:sz w:val="22"/>
          <w:szCs w:val="22"/>
        </w:rPr>
        <w:t>Questões administrativas cotidianas durante a execução do contrato:</w:t>
      </w:r>
    </w:p>
    <w:p w14:paraId="03D56A05">
      <w:pPr>
        <w:pStyle w:val="165"/>
        <w:keepNext w:val="0"/>
        <w:keepLines w:val="0"/>
        <w:pageBreakBefore w:val="0"/>
        <w:numPr>
          <w:ilvl w:val="0"/>
          <w:numId w:val="0"/>
        </w:numPr>
        <w:tabs>
          <w:tab w:val="left" w:pos="1276"/>
        </w:tabs>
        <w:kinsoku/>
        <w:wordWrap/>
        <w:overflowPunct/>
        <w:topLinePunct w:val="0"/>
        <w:autoSpaceDE/>
        <w:autoSpaceDN/>
        <w:bidi w:val="0"/>
        <w:snapToGrid/>
        <w:spacing w:line="360" w:lineRule="auto"/>
        <w:ind w:leftChars="0"/>
        <w:jc w:val="both"/>
        <w:rPr>
          <w:rFonts w:hint="default" w:ascii="Arial" w:hAnsi="Arial" w:cs="Arial"/>
          <w:sz w:val="22"/>
          <w:szCs w:val="22"/>
        </w:rPr>
      </w:pPr>
      <w:r>
        <w:rPr>
          <w:rFonts w:hint="default" w:ascii="Arial" w:hAnsi="Arial" w:cs="Arial"/>
          <w:b/>
          <w:bCs/>
          <w:sz w:val="22"/>
          <w:szCs w:val="22"/>
          <w:lang w:val="pt-BR"/>
        </w:rPr>
        <w:t>6.3.12.7.</w:t>
      </w:r>
      <w:r>
        <w:rPr>
          <w:rFonts w:hint="default" w:ascii="Arial" w:hAnsi="Arial" w:cs="Arial"/>
          <w:sz w:val="22"/>
          <w:szCs w:val="22"/>
          <w:lang w:val="pt-BR"/>
        </w:rPr>
        <w:t xml:space="preserve"> </w:t>
      </w:r>
      <w:r>
        <w:rPr>
          <w:rFonts w:hint="default" w:ascii="Arial" w:hAnsi="Arial" w:cs="Arial"/>
          <w:sz w:val="22"/>
          <w:szCs w:val="22"/>
        </w:rPr>
        <w:t>Emissor: PREFEITURA / Empresa CONTRATADA.</w:t>
      </w:r>
    </w:p>
    <w:p w14:paraId="72D2282B">
      <w:pPr>
        <w:pStyle w:val="165"/>
        <w:keepNext w:val="0"/>
        <w:keepLines w:val="0"/>
        <w:pageBreakBefore w:val="0"/>
        <w:numPr>
          <w:ilvl w:val="0"/>
          <w:numId w:val="0"/>
        </w:numPr>
        <w:tabs>
          <w:tab w:val="left" w:pos="1276"/>
        </w:tabs>
        <w:kinsoku/>
        <w:wordWrap/>
        <w:overflowPunct/>
        <w:topLinePunct w:val="0"/>
        <w:autoSpaceDE/>
        <w:autoSpaceDN/>
        <w:bidi w:val="0"/>
        <w:snapToGrid/>
        <w:spacing w:line="360" w:lineRule="auto"/>
        <w:ind w:leftChars="0"/>
        <w:jc w:val="both"/>
        <w:rPr>
          <w:rFonts w:hint="default" w:ascii="Arial" w:hAnsi="Arial" w:cs="Arial"/>
          <w:sz w:val="22"/>
          <w:szCs w:val="22"/>
        </w:rPr>
      </w:pPr>
      <w:r>
        <w:rPr>
          <w:rFonts w:hint="default" w:ascii="Arial" w:hAnsi="Arial" w:cs="Arial"/>
          <w:b/>
          <w:bCs/>
          <w:sz w:val="22"/>
          <w:szCs w:val="22"/>
          <w:lang w:val="pt-BR"/>
        </w:rPr>
        <w:t xml:space="preserve">6.3.12.8. </w:t>
      </w:r>
      <w:r>
        <w:rPr>
          <w:rFonts w:hint="default" w:ascii="Arial" w:hAnsi="Arial" w:cs="Arial"/>
          <w:sz w:val="22"/>
          <w:szCs w:val="22"/>
        </w:rPr>
        <w:t>Destinatário: PREFEITURA / Empresa CONTRATADA.</w:t>
      </w:r>
    </w:p>
    <w:p w14:paraId="1894CDAB">
      <w:pPr>
        <w:pStyle w:val="165"/>
        <w:keepNext w:val="0"/>
        <w:keepLines w:val="0"/>
        <w:pageBreakBefore w:val="0"/>
        <w:numPr>
          <w:ilvl w:val="0"/>
          <w:numId w:val="0"/>
        </w:numPr>
        <w:tabs>
          <w:tab w:val="left" w:pos="1276"/>
        </w:tabs>
        <w:kinsoku/>
        <w:wordWrap/>
        <w:overflowPunct/>
        <w:topLinePunct w:val="0"/>
        <w:autoSpaceDE/>
        <w:autoSpaceDN/>
        <w:bidi w:val="0"/>
        <w:snapToGrid/>
        <w:spacing w:line="360" w:lineRule="auto"/>
        <w:ind w:leftChars="0"/>
        <w:jc w:val="both"/>
        <w:rPr>
          <w:rFonts w:hint="default" w:ascii="Arial" w:hAnsi="Arial" w:cs="Arial"/>
          <w:sz w:val="22"/>
          <w:szCs w:val="22"/>
        </w:rPr>
      </w:pPr>
      <w:r>
        <w:rPr>
          <w:rFonts w:hint="default" w:ascii="Arial" w:hAnsi="Arial" w:cs="Arial"/>
          <w:b/>
          <w:bCs/>
          <w:sz w:val="22"/>
          <w:szCs w:val="22"/>
          <w:lang w:val="pt-BR"/>
        </w:rPr>
        <w:t>6.3.12.9.</w:t>
      </w:r>
      <w:r>
        <w:rPr>
          <w:rFonts w:hint="default" w:ascii="Arial" w:hAnsi="Arial" w:cs="Arial"/>
          <w:sz w:val="22"/>
          <w:szCs w:val="22"/>
          <w:lang w:val="pt-BR"/>
        </w:rPr>
        <w:t xml:space="preserve"> </w:t>
      </w:r>
      <w:r>
        <w:rPr>
          <w:rFonts w:hint="default" w:ascii="Arial" w:hAnsi="Arial" w:cs="Arial"/>
          <w:sz w:val="22"/>
          <w:szCs w:val="22"/>
        </w:rPr>
        <w:t>Forma de Comunicação: E-mail, telefone, ofício, correspondência oficial, fax ou qualquer outra forma acordada.</w:t>
      </w:r>
    </w:p>
    <w:p w14:paraId="4A34F66F">
      <w:pPr>
        <w:pStyle w:val="165"/>
        <w:keepNext w:val="0"/>
        <w:keepLines w:val="0"/>
        <w:pageBreakBefore w:val="0"/>
        <w:numPr>
          <w:ilvl w:val="0"/>
          <w:numId w:val="0"/>
        </w:numPr>
        <w:tabs>
          <w:tab w:val="left" w:pos="1276"/>
        </w:tabs>
        <w:kinsoku/>
        <w:wordWrap/>
        <w:overflowPunct/>
        <w:topLinePunct w:val="0"/>
        <w:autoSpaceDE/>
        <w:autoSpaceDN/>
        <w:bidi w:val="0"/>
        <w:snapToGrid/>
        <w:spacing w:line="360" w:lineRule="auto"/>
        <w:ind w:leftChars="0"/>
        <w:jc w:val="both"/>
        <w:rPr>
          <w:rFonts w:hint="default" w:ascii="Arial" w:hAnsi="Arial" w:cs="Arial"/>
          <w:sz w:val="22"/>
          <w:szCs w:val="22"/>
        </w:rPr>
      </w:pPr>
      <w:r>
        <w:rPr>
          <w:rFonts w:hint="default" w:ascii="Arial" w:hAnsi="Arial" w:cs="Arial"/>
          <w:b/>
          <w:bCs/>
          <w:sz w:val="22"/>
          <w:szCs w:val="22"/>
          <w:lang w:val="pt-BR"/>
        </w:rPr>
        <w:t>6.3.12.10.</w:t>
      </w:r>
      <w:r>
        <w:rPr>
          <w:rFonts w:hint="default" w:ascii="Arial" w:hAnsi="Arial" w:cs="Arial"/>
          <w:sz w:val="22"/>
          <w:szCs w:val="22"/>
          <w:lang w:val="pt-BR"/>
        </w:rPr>
        <w:t xml:space="preserve"> </w:t>
      </w:r>
      <w:r>
        <w:rPr>
          <w:rFonts w:hint="default" w:ascii="Arial" w:hAnsi="Arial" w:cs="Arial"/>
          <w:sz w:val="22"/>
          <w:szCs w:val="22"/>
        </w:rPr>
        <w:t>Periodicidade: Sempre disponível em horário comercial.</w:t>
      </w:r>
    </w:p>
    <w:p w14:paraId="55C0072A">
      <w:pPr>
        <w:pStyle w:val="165"/>
        <w:keepNext w:val="0"/>
        <w:keepLines w:val="0"/>
        <w:pageBreakBefore w:val="0"/>
        <w:numPr>
          <w:ilvl w:val="0"/>
          <w:numId w:val="0"/>
        </w:numPr>
        <w:tabs>
          <w:tab w:val="left" w:pos="1276"/>
        </w:tabs>
        <w:kinsoku/>
        <w:wordWrap/>
        <w:overflowPunct/>
        <w:topLinePunct w:val="0"/>
        <w:autoSpaceDE/>
        <w:autoSpaceDN/>
        <w:bidi w:val="0"/>
        <w:snapToGrid/>
        <w:spacing w:line="360" w:lineRule="auto"/>
        <w:ind w:leftChars="0"/>
        <w:jc w:val="both"/>
        <w:rPr>
          <w:rFonts w:hint="default" w:ascii="Arial" w:hAnsi="Arial" w:cs="Arial"/>
          <w:sz w:val="22"/>
          <w:szCs w:val="22"/>
        </w:rPr>
      </w:pPr>
      <w:r>
        <w:rPr>
          <w:rFonts w:hint="default" w:ascii="Arial" w:hAnsi="Arial" w:cs="Arial"/>
          <w:b/>
          <w:bCs/>
          <w:sz w:val="22"/>
          <w:szCs w:val="22"/>
          <w:lang w:val="pt-BR"/>
        </w:rPr>
        <w:t>6.3.12.11.</w:t>
      </w:r>
      <w:r>
        <w:rPr>
          <w:rFonts w:hint="default" w:ascii="Arial" w:hAnsi="Arial" w:cs="Arial"/>
          <w:sz w:val="22"/>
          <w:szCs w:val="22"/>
          <w:lang w:val="pt-BR"/>
        </w:rPr>
        <w:t xml:space="preserve"> </w:t>
      </w:r>
      <w:r>
        <w:rPr>
          <w:rFonts w:hint="default" w:ascii="Arial" w:hAnsi="Arial" w:cs="Arial"/>
          <w:sz w:val="22"/>
          <w:szCs w:val="22"/>
        </w:rPr>
        <w:t>Suporte Técnico:</w:t>
      </w:r>
    </w:p>
    <w:p w14:paraId="57261649">
      <w:pPr>
        <w:pStyle w:val="165"/>
        <w:keepNext w:val="0"/>
        <w:keepLines w:val="0"/>
        <w:pageBreakBefore w:val="0"/>
        <w:numPr>
          <w:ilvl w:val="0"/>
          <w:numId w:val="0"/>
        </w:numPr>
        <w:tabs>
          <w:tab w:val="left" w:pos="1276"/>
        </w:tabs>
        <w:kinsoku/>
        <w:wordWrap/>
        <w:overflowPunct/>
        <w:topLinePunct w:val="0"/>
        <w:autoSpaceDE/>
        <w:autoSpaceDN/>
        <w:bidi w:val="0"/>
        <w:snapToGrid/>
        <w:spacing w:line="360" w:lineRule="auto"/>
        <w:ind w:leftChars="0"/>
        <w:jc w:val="both"/>
        <w:rPr>
          <w:rFonts w:hint="default" w:ascii="Arial" w:hAnsi="Arial" w:cs="Arial"/>
          <w:sz w:val="22"/>
          <w:szCs w:val="22"/>
        </w:rPr>
      </w:pPr>
      <w:r>
        <w:rPr>
          <w:rFonts w:hint="default" w:ascii="Arial" w:hAnsi="Arial" w:cs="Arial"/>
          <w:b/>
          <w:bCs/>
          <w:sz w:val="22"/>
          <w:szCs w:val="22"/>
          <w:lang w:val="pt-BR"/>
        </w:rPr>
        <w:t>6.3.12.12.</w:t>
      </w:r>
      <w:r>
        <w:rPr>
          <w:rFonts w:hint="default" w:ascii="Arial" w:hAnsi="Arial" w:cs="Arial"/>
          <w:sz w:val="22"/>
          <w:szCs w:val="22"/>
          <w:lang w:val="pt-BR"/>
        </w:rPr>
        <w:t xml:space="preserve"> </w:t>
      </w:r>
      <w:r>
        <w:rPr>
          <w:rFonts w:hint="default" w:ascii="Arial" w:hAnsi="Arial" w:cs="Arial"/>
          <w:sz w:val="22"/>
          <w:szCs w:val="22"/>
        </w:rPr>
        <w:t>Emissor: PREFEITURA / Empresa CONTRATADA.</w:t>
      </w:r>
    </w:p>
    <w:p w14:paraId="70CBE8AA">
      <w:pPr>
        <w:pStyle w:val="165"/>
        <w:keepNext w:val="0"/>
        <w:keepLines w:val="0"/>
        <w:pageBreakBefore w:val="0"/>
        <w:numPr>
          <w:ilvl w:val="0"/>
          <w:numId w:val="0"/>
        </w:numPr>
        <w:tabs>
          <w:tab w:val="left" w:pos="1276"/>
        </w:tabs>
        <w:kinsoku/>
        <w:wordWrap/>
        <w:overflowPunct/>
        <w:topLinePunct w:val="0"/>
        <w:autoSpaceDE/>
        <w:autoSpaceDN/>
        <w:bidi w:val="0"/>
        <w:snapToGrid/>
        <w:spacing w:line="360" w:lineRule="auto"/>
        <w:ind w:leftChars="0"/>
        <w:jc w:val="both"/>
        <w:rPr>
          <w:rFonts w:hint="default" w:ascii="Arial" w:hAnsi="Arial" w:cs="Arial"/>
          <w:sz w:val="22"/>
          <w:szCs w:val="22"/>
        </w:rPr>
      </w:pPr>
      <w:r>
        <w:rPr>
          <w:rFonts w:hint="default" w:ascii="Arial" w:hAnsi="Arial" w:cs="Arial"/>
          <w:b/>
          <w:bCs/>
          <w:sz w:val="22"/>
          <w:szCs w:val="22"/>
          <w:lang w:val="pt-BR"/>
        </w:rPr>
        <w:t>6.3.12.13.</w:t>
      </w:r>
      <w:r>
        <w:rPr>
          <w:rFonts w:hint="default" w:ascii="Arial" w:hAnsi="Arial" w:cs="Arial"/>
          <w:sz w:val="22"/>
          <w:szCs w:val="22"/>
          <w:lang w:val="pt-BR"/>
        </w:rPr>
        <w:t xml:space="preserve"> </w:t>
      </w:r>
      <w:r>
        <w:rPr>
          <w:rFonts w:hint="default" w:ascii="Arial" w:hAnsi="Arial" w:cs="Arial"/>
          <w:sz w:val="22"/>
          <w:szCs w:val="22"/>
        </w:rPr>
        <w:t>Destinatário: PREFEITURA / Empresa CONTRATADA.</w:t>
      </w:r>
    </w:p>
    <w:p w14:paraId="15EE9296">
      <w:pPr>
        <w:pStyle w:val="165"/>
        <w:keepNext w:val="0"/>
        <w:keepLines w:val="0"/>
        <w:pageBreakBefore w:val="0"/>
        <w:numPr>
          <w:ilvl w:val="0"/>
          <w:numId w:val="0"/>
        </w:numPr>
        <w:tabs>
          <w:tab w:val="left" w:pos="1276"/>
        </w:tabs>
        <w:kinsoku/>
        <w:wordWrap/>
        <w:overflowPunct/>
        <w:topLinePunct w:val="0"/>
        <w:autoSpaceDE/>
        <w:autoSpaceDN/>
        <w:bidi w:val="0"/>
        <w:snapToGrid/>
        <w:spacing w:line="360" w:lineRule="auto"/>
        <w:ind w:leftChars="0"/>
        <w:jc w:val="both"/>
        <w:rPr>
          <w:rFonts w:hint="default" w:ascii="Arial" w:hAnsi="Arial" w:cs="Arial"/>
          <w:sz w:val="22"/>
          <w:szCs w:val="22"/>
        </w:rPr>
      </w:pPr>
      <w:r>
        <w:rPr>
          <w:rFonts w:hint="default" w:ascii="Arial" w:hAnsi="Arial" w:cs="Arial"/>
          <w:b/>
          <w:bCs/>
          <w:sz w:val="22"/>
          <w:szCs w:val="22"/>
          <w:lang w:val="pt-BR"/>
        </w:rPr>
        <w:t>6.3.12.14.</w:t>
      </w:r>
      <w:r>
        <w:rPr>
          <w:rFonts w:hint="default" w:ascii="Arial" w:hAnsi="Arial" w:cs="Arial"/>
          <w:sz w:val="22"/>
          <w:szCs w:val="22"/>
          <w:lang w:val="pt-BR"/>
        </w:rPr>
        <w:t xml:space="preserve"> </w:t>
      </w:r>
      <w:r>
        <w:rPr>
          <w:rFonts w:hint="default" w:ascii="Arial" w:hAnsi="Arial" w:cs="Arial"/>
          <w:sz w:val="22"/>
          <w:szCs w:val="22"/>
        </w:rPr>
        <w:t>Forma de Comunicação: Página web, e-mail ou telefone com custo de ligação local.</w:t>
      </w:r>
    </w:p>
    <w:p w14:paraId="637A01A5">
      <w:pPr>
        <w:pStyle w:val="165"/>
        <w:keepNext w:val="0"/>
        <w:keepLines w:val="0"/>
        <w:pageBreakBefore w:val="0"/>
        <w:numPr>
          <w:ilvl w:val="0"/>
          <w:numId w:val="0"/>
        </w:numPr>
        <w:tabs>
          <w:tab w:val="left" w:pos="1276"/>
        </w:tabs>
        <w:kinsoku/>
        <w:wordWrap/>
        <w:overflowPunct/>
        <w:topLinePunct w:val="0"/>
        <w:autoSpaceDE/>
        <w:autoSpaceDN/>
        <w:bidi w:val="0"/>
        <w:snapToGrid/>
        <w:spacing w:line="360" w:lineRule="auto"/>
        <w:ind w:leftChars="0"/>
        <w:jc w:val="both"/>
        <w:rPr>
          <w:rFonts w:hint="default" w:ascii="Arial" w:hAnsi="Arial" w:cs="Arial"/>
          <w:sz w:val="22"/>
          <w:szCs w:val="22"/>
        </w:rPr>
      </w:pPr>
      <w:r>
        <w:rPr>
          <w:rFonts w:hint="default" w:ascii="Arial" w:hAnsi="Arial" w:cs="Arial"/>
          <w:b/>
          <w:bCs/>
          <w:sz w:val="22"/>
          <w:szCs w:val="22"/>
          <w:lang w:val="pt-BR"/>
        </w:rPr>
        <w:t xml:space="preserve">6.3.12.15. </w:t>
      </w:r>
      <w:r>
        <w:rPr>
          <w:rFonts w:hint="default" w:ascii="Arial" w:hAnsi="Arial" w:cs="Arial"/>
          <w:sz w:val="22"/>
          <w:szCs w:val="22"/>
        </w:rPr>
        <w:t>Periodicidade: Tempo integral (24 horas por dia X 7 dias por semana).</w:t>
      </w:r>
    </w:p>
    <w:p w14:paraId="4B68F956">
      <w:pPr>
        <w:pStyle w:val="165"/>
        <w:keepNext w:val="0"/>
        <w:keepLines w:val="0"/>
        <w:pageBreakBefore w:val="0"/>
        <w:numPr>
          <w:ilvl w:val="0"/>
          <w:numId w:val="0"/>
        </w:numPr>
        <w:tabs>
          <w:tab w:val="left" w:pos="1276"/>
        </w:tabs>
        <w:kinsoku/>
        <w:wordWrap/>
        <w:overflowPunct/>
        <w:topLinePunct w:val="0"/>
        <w:autoSpaceDE/>
        <w:autoSpaceDN/>
        <w:bidi w:val="0"/>
        <w:snapToGrid/>
        <w:spacing w:line="360" w:lineRule="auto"/>
        <w:ind w:leftChars="0"/>
        <w:jc w:val="both"/>
        <w:rPr>
          <w:rFonts w:hint="default" w:ascii="Arial" w:hAnsi="Arial" w:cs="Arial"/>
          <w:sz w:val="22"/>
          <w:szCs w:val="22"/>
        </w:rPr>
      </w:pPr>
      <w:r>
        <w:rPr>
          <w:rFonts w:hint="default" w:ascii="Arial" w:hAnsi="Arial" w:cs="Arial"/>
          <w:b/>
          <w:bCs/>
          <w:sz w:val="22"/>
          <w:szCs w:val="22"/>
          <w:lang w:val="pt-BR"/>
        </w:rPr>
        <w:t>6.3.12.16.</w:t>
      </w:r>
      <w:r>
        <w:rPr>
          <w:rFonts w:hint="default" w:ascii="Arial" w:hAnsi="Arial" w:cs="Arial"/>
          <w:sz w:val="22"/>
          <w:szCs w:val="22"/>
          <w:lang w:val="pt-BR"/>
        </w:rPr>
        <w:t xml:space="preserve"> </w:t>
      </w:r>
      <w:r>
        <w:rPr>
          <w:rFonts w:hint="default" w:ascii="Arial" w:hAnsi="Arial" w:cs="Arial"/>
          <w:sz w:val="22"/>
          <w:szCs w:val="22"/>
        </w:rPr>
        <w:t>A CONTRATADA deverá protocolar qualquer documento entregue à PREFEITURA no Protocolo geral, localizado na Rua das Avencas, 1481, centro, Sinop-MT (Secretaria de Administração);</w:t>
      </w:r>
    </w:p>
    <w:p w14:paraId="017239F5">
      <w:pPr>
        <w:keepNext w:val="0"/>
        <w:keepLines w:val="0"/>
        <w:widowControl/>
        <w:suppressLineNumbers w:val="0"/>
        <w:spacing w:line="360" w:lineRule="auto"/>
        <w:jc w:val="left"/>
        <w:rPr>
          <w:rFonts w:hint="default" w:ascii="Arial" w:hAnsi="Arial" w:cs="Arial"/>
          <w:sz w:val="22"/>
          <w:szCs w:val="22"/>
          <w:highlight w:val="green"/>
          <w:lang w:val="pt-BR"/>
        </w:rPr>
      </w:pPr>
    </w:p>
    <w:p w14:paraId="62F100E0">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6.4. PRAZO MÍNIMO DE VALIDADE DO PRODUTO:</w:t>
      </w:r>
    </w:p>
    <w:p w14:paraId="37637D97">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6.4.1.</w:t>
      </w:r>
      <w:r>
        <w:rPr>
          <w:rFonts w:hint="default" w:ascii="Arial" w:hAnsi="Arial" w:cs="Arial"/>
          <w:b w:val="0"/>
          <w:bCs w:val="0"/>
          <w:sz w:val="22"/>
          <w:szCs w:val="22"/>
          <w:highlight w:val="none"/>
          <w:lang w:val="pt-BR"/>
        </w:rPr>
        <w:t xml:space="preserve"> (Não se aplica). </w:t>
      </w:r>
    </w:p>
    <w:p w14:paraId="5BABB6F4">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sz w:val="22"/>
          <w:szCs w:val="22"/>
          <w:highlight w:val="green"/>
          <w:lang w:val="pt-BR"/>
        </w:rPr>
      </w:pPr>
    </w:p>
    <w:p w14:paraId="4DC0B43D">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6.5. ESPECIFICAÇÃO DA GARANTIA EXIGIDA:</w:t>
      </w:r>
    </w:p>
    <w:p w14:paraId="37E5A821">
      <w:pPr>
        <w:spacing w:line="360" w:lineRule="auto"/>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 xml:space="preserve">6.5.1. </w:t>
      </w:r>
      <w:r>
        <w:rPr>
          <w:rFonts w:hint="default" w:ascii="Arial" w:hAnsi="Arial" w:cs="Arial"/>
          <w:color w:val="0D0D0D"/>
          <w:sz w:val="22"/>
          <w:szCs w:val="22"/>
          <w:highlight w:val="none"/>
          <w:shd w:val="clear" w:color="auto" w:fill="FFFFFF"/>
        </w:rPr>
        <w:t>Não será exigido garantia contratual, todavia é importante ressaltar que o descumprimento ou atraso nas exigências estabelecidas no edital acarretará sanções administrativas. Essas medidas punitivas estão claramente delineadas no regulamento municipal,  Decreto 360/2023 e na Lei de Licitação 14.133/2021. Portanto, é imperativo observar com rigor todas as condições do edital para evitar possíveis penalidades, conforme previsto na legislação aplicável.</w:t>
      </w:r>
      <w:r>
        <w:rPr>
          <w:rFonts w:hint="default" w:ascii="Arial" w:hAnsi="Arial" w:cs="Arial"/>
          <w:color w:val="0D0D0D"/>
          <w:sz w:val="22"/>
          <w:szCs w:val="22"/>
          <w:highlight w:val="none"/>
          <w:shd w:val="clear" w:color="auto" w:fill="FFFFFF"/>
          <w:lang w:val="pt-BR"/>
        </w:rPr>
        <w:t xml:space="preserve"> </w:t>
      </w:r>
      <w:r>
        <w:rPr>
          <w:rFonts w:hint="default" w:ascii="Arial" w:hAnsi="Arial" w:eastAsia="SimSun" w:cs="Arial"/>
          <w:color w:val="auto"/>
          <w:kern w:val="0"/>
          <w:sz w:val="22"/>
          <w:szCs w:val="22"/>
          <w:lang w:val="en-US" w:eastAsia="zh-CN" w:bidi="ar"/>
        </w:rPr>
        <w:t>O que se precisa ter é a garantia legal dos produtos</w:t>
      </w:r>
      <w:r>
        <w:rPr>
          <w:rFonts w:hint="default" w:ascii="Arial" w:hAnsi="Arial" w:eastAsia="SimSun" w:cs="Arial"/>
          <w:color w:val="auto"/>
          <w:kern w:val="0"/>
          <w:sz w:val="22"/>
          <w:szCs w:val="22"/>
          <w:lang w:val="pt-BR" w:eastAsia="zh-CN" w:bidi="ar"/>
        </w:rPr>
        <w:t>/serviços.</w:t>
      </w:r>
    </w:p>
    <w:p w14:paraId="4BE842C4">
      <w:pPr>
        <w:pStyle w:val="128"/>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sz w:val="22"/>
          <w:szCs w:val="22"/>
          <w:highlight w:val="none"/>
          <w:lang w:val="pt-BR"/>
        </w:rPr>
      </w:pPr>
    </w:p>
    <w:p w14:paraId="272F4F5D">
      <w:pPr>
        <w:keepNext w:val="0"/>
        <w:keepLines w:val="0"/>
        <w:pageBreakBefore w:val="0"/>
        <w:widowControl w:val="0"/>
        <w:numPr>
          <w:ilvl w:val="0"/>
          <w:numId w:val="0"/>
        </w:numPr>
        <w:tabs>
          <w:tab w:val="left" w:pos="-200"/>
        </w:tabs>
        <w:kinsoku/>
        <w:wordWrap/>
        <w:overflowPunct/>
        <w:topLinePunct w:val="0"/>
        <w:autoSpaceDE/>
        <w:autoSpaceDN/>
        <w:bidi w:val="0"/>
        <w:adjustRightInd w:val="0"/>
        <w:snapToGrid/>
        <w:spacing w:after="0" w:line="360" w:lineRule="auto"/>
        <w:ind w:left="0" w:leftChars="0" w:right="0" w:rightChars="0" w:firstLine="0" w:firstLineChars="0"/>
        <w:jc w:val="both"/>
        <w:textAlignment w:val="baseline"/>
        <w:rPr>
          <w:rFonts w:hint="default" w:ascii="Arial" w:hAnsi="Arial" w:cs="Arial"/>
          <w:b/>
          <w:bCs/>
          <w:i w:val="0"/>
          <w:iCs/>
          <w:spacing w:val="-2"/>
          <w:sz w:val="22"/>
          <w:szCs w:val="22"/>
          <w:highlight w:val="none"/>
          <w:lang w:val="pt-BR"/>
        </w:rPr>
      </w:pPr>
      <w:r>
        <w:rPr>
          <w:rFonts w:hint="default" w:ascii="Arial" w:hAnsi="Arial" w:cs="Arial"/>
          <w:b/>
          <w:bCs/>
          <w:sz w:val="22"/>
          <w:szCs w:val="22"/>
          <w:highlight w:val="none"/>
          <w:lang w:val="pt-BR"/>
        </w:rPr>
        <w:t xml:space="preserve">6.6. </w:t>
      </w:r>
      <w:r>
        <w:rPr>
          <w:rFonts w:hint="default" w:ascii="Arial" w:hAnsi="Arial" w:cs="Arial"/>
          <w:b/>
          <w:bCs/>
          <w:i w:val="0"/>
          <w:iCs/>
          <w:sz w:val="22"/>
          <w:szCs w:val="22"/>
          <w:highlight w:val="none"/>
        </w:rPr>
        <w:t>CONDIÇÕES</w:t>
      </w:r>
      <w:r>
        <w:rPr>
          <w:rFonts w:hint="default" w:ascii="Arial" w:hAnsi="Arial" w:cs="Arial"/>
          <w:b/>
          <w:bCs/>
          <w:i w:val="0"/>
          <w:iCs/>
          <w:spacing w:val="-4"/>
          <w:sz w:val="22"/>
          <w:szCs w:val="22"/>
          <w:highlight w:val="none"/>
        </w:rPr>
        <w:t xml:space="preserve"> </w:t>
      </w:r>
      <w:r>
        <w:rPr>
          <w:rFonts w:hint="default" w:ascii="Arial" w:hAnsi="Arial" w:cs="Arial"/>
          <w:b/>
          <w:bCs/>
          <w:i w:val="0"/>
          <w:iCs/>
          <w:sz w:val="22"/>
          <w:szCs w:val="22"/>
          <w:highlight w:val="none"/>
        </w:rPr>
        <w:t>DE</w:t>
      </w:r>
      <w:r>
        <w:rPr>
          <w:rFonts w:hint="default" w:ascii="Arial" w:hAnsi="Arial" w:cs="Arial"/>
          <w:b/>
          <w:bCs/>
          <w:i w:val="0"/>
          <w:iCs/>
          <w:spacing w:val="-2"/>
          <w:sz w:val="22"/>
          <w:szCs w:val="22"/>
          <w:highlight w:val="none"/>
        </w:rPr>
        <w:t xml:space="preserve"> </w:t>
      </w:r>
      <w:r>
        <w:rPr>
          <w:rFonts w:hint="default" w:ascii="Arial" w:hAnsi="Arial" w:cs="Arial"/>
          <w:b/>
          <w:bCs/>
          <w:i w:val="0"/>
          <w:iCs/>
          <w:sz w:val="22"/>
          <w:szCs w:val="22"/>
          <w:highlight w:val="none"/>
        </w:rPr>
        <w:t>MANUTENÇÃO</w:t>
      </w:r>
      <w:r>
        <w:rPr>
          <w:rFonts w:hint="default" w:ascii="Arial" w:hAnsi="Arial" w:cs="Arial"/>
          <w:b/>
          <w:bCs/>
          <w:i w:val="0"/>
          <w:iCs/>
          <w:spacing w:val="-1"/>
          <w:sz w:val="22"/>
          <w:szCs w:val="22"/>
          <w:highlight w:val="none"/>
        </w:rPr>
        <w:t xml:space="preserve"> </w:t>
      </w:r>
      <w:r>
        <w:rPr>
          <w:rFonts w:hint="default" w:ascii="Arial" w:hAnsi="Arial" w:cs="Arial"/>
          <w:b/>
          <w:bCs/>
          <w:i w:val="0"/>
          <w:iCs/>
          <w:sz w:val="22"/>
          <w:szCs w:val="22"/>
          <w:highlight w:val="none"/>
        </w:rPr>
        <w:t>PREVENTIVA</w:t>
      </w:r>
      <w:r>
        <w:rPr>
          <w:rFonts w:hint="default" w:ascii="Arial" w:hAnsi="Arial" w:cs="Arial"/>
          <w:b/>
          <w:bCs/>
          <w:i w:val="0"/>
          <w:iCs/>
          <w:spacing w:val="1"/>
          <w:sz w:val="22"/>
          <w:szCs w:val="22"/>
          <w:highlight w:val="none"/>
        </w:rPr>
        <w:t xml:space="preserve"> </w:t>
      </w:r>
      <w:r>
        <w:rPr>
          <w:rFonts w:hint="default" w:ascii="Arial" w:hAnsi="Arial" w:cs="Arial"/>
          <w:b/>
          <w:bCs/>
          <w:i w:val="0"/>
          <w:iCs/>
          <w:sz w:val="22"/>
          <w:szCs w:val="22"/>
          <w:highlight w:val="none"/>
        </w:rPr>
        <w:t>E/OU</w:t>
      </w:r>
      <w:r>
        <w:rPr>
          <w:rFonts w:hint="default" w:ascii="Arial" w:hAnsi="Arial" w:cs="Arial"/>
          <w:b/>
          <w:bCs/>
          <w:i w:val="0"/>
          <w:iCs/>
          <w:spacing w:val="-1"/>
          <w:sz w:val="22"/>
          <w:szCs w:val="22"/>
          <w:highlight w:val="none"/>
        </w:rPr>
        <w:t xml:space="preserve"> </w:t>
      </w:r>
      <w:r>
        <w:rPr>
          <w:rFonts w:hint="default" w:ascii="Arial" w:hAnsi="Arial" w:cs="Arial"/>
          <w:b/>
          <w:bCs/>
          <w:i w:val="0"/>
          <w:iCs/>
          <w:sz w:val="22"/>
          <w:szCs w:val="22"/>
          <w:highlight w:val="none"/>
        </w:rPr>
        <w:t>CORRETIVA</w:t>
      </w:r>
      <w:r>
        <w:rPr>
          <w:rFonts w:hint="default" w:ascii="Arial" w:hAnsi="Arial" w:cs="Arial"/>
          <w:b/>
          <w:bCs/>
          <w:i w:val="0"/>
          <w:iCs/>
          <w:spacing w:val="-1"/>
          <w:sz w:val="22"/>
          <w:szCs w:val="22"/>
          <w:highlight w:val="none"/>
        </w:rPr>
        <w:t xml:space="preserve"> </w:t>
      </w:r>
      <w:r>
        <w:rPr>
          <w:rFonts w:hint="default" w:ascii="Arial" w:hAnsi="Arial" w:cs="Arial"/>
          <w:b/>
          <w:bCs/>
          <w:i w:val="0"/>
          <w:iCs/>
          <w:sz w:val="22"/>
          <w:szCs w:val="22"/>
          <w:highlight w:val="none"/>
        </w:rPr>
        <w:t>E</w:t>
      </w:r>
      <w:r>
        <w:rPr>
          <w:rFonts w:hint="default" w:ascii="Arial" w:hAnsi="Arial" w:cs="Arial"/>
          <w:b/>
          <w:bCs/>
          <w:i w:val="0"/>
          <w:iCs/>
          <w:spacing w:val="-2"/>
          <w:sz w:val="22"/>
          <w:szCs w:val="22"/>
          <w:highlight w:val="none"/>
        </w:rPr>
        <w:t xml:space="preserve"> </w:t>
      </w:r>
      <w:r>
        <w:rPr>
          <w:rFonts w:hint="default" w:ascii="Arial" w:hAnsi="Arial" w:cs="Arial"/>
          <w:b/>
          <w:bCs/>
          <w:i w:val="0"/>
          <w:iCs/>
          <w:sz w:val="22"/>
          <w:szCs w:val="22"/>
          <w:highlight w:val="none"/>
        </w:rPr>
        <w:t>ASSISTÊNCIA</w:t>
      </w:r>
      <w:r>
        <w:rPr>
          <w:rFonts w:hint="default" w:ascii="Arial" w:hAnsi="Arial" w:cs="Arial"/>
          <w:b/>
          <w:bCs/>
          <w:i w:val="0"/>
          <w:iCs/>
          <w:spacing w:val="-1"/>
          <w:sz w:val="22"/>
          <w:szCs w:val="22"/>
          <w:highlight w:val="none"/>
        </w:rPr>
        <w:t xml:space="preserve"> </w:t>
      </w:r>
      <w:r>
        <w:rPr>
          <w:rFonts w:hint="default" w:ascii="Arial" w:hAnsi="Arial" w:cs="Arial"/>
          <w:b/>
          <w:bCs/>
          <w:i w:val="0"/>
          <w:iCs/>
          <w:spacing w:val="-2"/>
          <w:sz w:val="22"/>
          <w:szCs w:val="22"/>
          <w:highlight w:val="none"/>
        </w:rPr>
        <w:t>TÉCNICA</w:t>
      </w:r>
      <w:r>
        <w:rPr>
          <w:rFonts w:hint="default" w:ascii="Arial" w:hAnsi="Arial" w:cs="Arial"/>
          <w:b/>
          <w:bCs/>
          <w:i w:val="0"/>
          <w:iCs/>
          <w:spacing w:val="-2"/>
          <w:sz w:val="22"/>
          <w:szCs w:val="22"/>
          <w:highlight w:val="none"/>
          <w:lang w:val="pt-BR"/>
        </w:rPr>
        <w:t>:</w:t>
      </w:r>
    </w:p>
    <w:p w14:paraId="4FA4B2B9">
      <w:pPr>
        <w:keepNext w:val="0"/>
        <w:keepLines w:val="0"/>
        <w:pageBreakBefore w:val="0"/>
        <w:widowControl w:val="0"/>
        <w:numPr>
          <w:ilvl w:val="0"/>
          <w:numId w:val="0"/>
        </w:numPr>
        <w:tabs>
          <w:tab w:val="left" w:pos="-200"/>
        </w:tabs>
        <w:kinsoku/>
        <w:wordWrap/>
        <w:overflowPunct/>
        <w:topLinePunct w:val="0"/>
        <w:autoSpaceDE/>
        <w:autoSpaceDN/>
        <w:bidi w:val="0"/>
        <w:adjustRightInd w:val="0"/>
        <w:snapToGrid/>
        <w:spacing w:after="0" w:line="360" w:lineRule="auto"/>
        <w:ind w:left="0" w:leftChars="0" w:right="0" w:rightChars="0" w:firstLine="0" w:firstLineChars="0"/>
        <w:jc w:val="both"/>
        <w:textAlignment w:val="baseline"/>
        <w:rPr>
          <w:rFonts w:hint="default" w:ascii="Arial" w:hAnsi="Arial" w:cs="Arial"/>
          <w:b/>
          <w:bCs/>
          <w:i w:val="0"/>
          <w:iCs/>
          <w:spacing w:val="-2"/>
          <w:sz w:val="22"/>
          <w:szCs w:val="22"/>
          <w:highlight w:val="none"/>
          <w:lang w:val="pt-BR"/>
        </w:rPr>
      </w:pPr>
    </w:p>
    <w:p w14:paraId="14EA1E27">
      <w:pPr>
        <w:pStyle w:val="166"/>
        <w:pageBreakBefore w:val="0"/>
        <w:widowControl/>
        <w:kinsoku/>
        <w:wordWrap/>
        <w:overflowPunct/>
        <w:topLinePunct w:val="0"/>
        <w:autoSpaceDE/>
        <w:autoSpaceDN/>
        <w:bidi w:val="0"/>
        <w:adjustRightInd/>
        <w:snapToGrid/>
        <w:spacing w:before="0" w:line="360" w:lineRule="auto"/>
        <w:ind w:left="0" w:firstLine="1100" w:firstLineChars="500"/>
        <w:jc w:val="both"/>
        <w:textAlignment w:val="auto"/>
        <w:rPr>
          <w:rFonts w:hint="default"/>
        </w:rPr>
      </w:pPr>
      <w:r>
        <w:rPr>
          <w:rFonts w:hint="default" w:ascii="Arial" w:hAnsi="Arial" w:cs="Arial"/>
          <w:b w:val="0"/>
          <w:bCs w:val="0"/>
          <w:sz w:val="22"/>
          <w:szCs w:val="22"/>
          <w:highlight w:val="none"/>
          <w:lang w:val="pt-BR"/>
        </w:rPr>
        <w:t xml:space="preserve"> </w:t>
      </w:r>
      <w:r>
        <w:rPr>
          <w:rFonts w:hint="default" w:ascii="Arial" w:hAnsi="Arial" w:cs="Arial"/>
          <w:b/>
          <w:bCs/>
          <w:sz w:val="22"/>
          <w:szCs w:val="22"/>
        </w:rPr>
        <w:t>DOS ACORDOS DE NÍVEIS DE SERVIÇO</w:t>
      </w:r>
    </w:p>
    <w:p w14:paraId="0D408940">
      <w:pPr>
        <w:rPr>
          <w:rFonts w:hint="default"/>
        </w:rPr>
      </w:pPr>
    </w:p>
    <w:p w14:paraId="2372FB53">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highlight w:val="none"/>
          <w:lang w:val="pt-BR"/>
        </w:rPr>
        <w:t>6.6.1.</w:t>
      </w:r>
      <w:r>
        <w:rPr>
          <w:rFonts w:hint="default" w:ascii="Arial" w:hAnsi="Arial" w:cs="Arial"/>
          <w:b w:val="0"/>
          <w:bCs w:val="0"/>
          <w:sz w:val="22"/>
          <w:szCs w:val="22"/>
          <w:highlight w:val="none"/>
          <w:lang w:val="pt-BR"/>
        </w:rPr>
        <w:t xml:space="preserve"> </w:t>
      </w:r>
      <w:r>
        <w:rPr>
          <w:rFonts w:hint="default" w:ascii="Arial" w:hAnsi="Arial" w:cs="Arial"/>
          <w:sz w:val="22"/>
          <w:szCs w:val="22"/>
        </w:rPr>
        <w:t>Baseado em Metodologia e Formas de Avaliação da Qualidade e Adequação da Solução às Especificações Funcionais e Tecnológicas</w:t>
      </w:r>
    </w:p>
    <w:p w14:paraId="674BA5D0">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6.6.2.</w:t>
      </w:r>
      <w:r>
        <w:rPr>
          <w:rFonts w:hint="default" w:ascii="Arial" w:hAnsi="Arial" w:cs="Arial"/>
          <w:sz w:val="22"/>
          <w:szCs w:val="22"/>
          <w:lang w:val="pt-BR"/>
        </w:rPr>
        <w:t xml:space="preserve"> </w:t>
      </w:r>
      <w:r>
        <w:rPr>
          <w:rFonts w:hint="default" w:ascii="Arial" w:hAnsi="Arial" w:cs="Arial"/>
          <w:sz w:val="22"/>
          <w:szCs w:val="22"/>
        </w:rPr>
        <w:t>O atendimento dos chamados será prestado 24/7 (vinte e quatro horas por dia, sete dias por semana) pelo CONTRATADA/fabricante remotamente, e caso necessário on-site (na própria PREFEITURA);</w:t>
      </w:r>
    </w:p>
    <w:p w14:paraId="2FF1E3EA">
      <w:pPr>
        <w:pStyle w:val="165"/>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bookmarkStart w:id="62" w:name="_Ref516066440"/>
      <w:r>
        <w:rPr>
          <w:rFonts w:hint="default" w:ascii="Arial" w:hAnsi="Arial" w:cs="Arial"/>
          <w:b/>
          <w:bCs/>
          <w:sz w:val="22"/>
          <w:szCs w:val="22"/>
          <w:lang w:val="pt-BR"/>
        </w:rPr>
        <w:t>6.6.3.</w:t>
      </w:r>
      <w:r>
        <w:rPr>
          <w:rFonts w:hint="default" w:ascii="Arial" w:hAnsi="Arial" w:cs="Arial"/>
          <w:sz w:val="22"/>
          <w:szCs w:val="22"/>
          <w:lang w:val="pt-BR"/>
        </w:rPr>
        <w:t xml:space="preserve"> </w:t>
      </w:r>
      <w:r>
        <w:rPr>
          <w:rFonts w:hint="default" w:ascii="Arial" w:hAnsi="Arial" w:cs="Arial"/>
          <w:sz w:val="22"/>
          <w:szCs w:val="22"/>
        </w:rPr>
        <w:t>A PREFEITURA fará a “Abertura de Chamados Técnicos” que deverão obedecer aos prazos de atendimento estipulados abaixo:</w:t>
      </w:r>
      <w:bookmarkEnd w:id="62"/>
    </w:p>
    <w:p w14:paraId="66381993">
      <w:pPr>
        <w:pStyle w:val="165"/>
        <w:numPr>
          <w:ilvl w:val="0"/>
          <w:numId w:val="0"/>
        </w:numPr>
        <w:tabs>
          <w:tab w:val="left" w:pos="1276"/>
        </w:tabs>
        <w:ind w:left="200" w:leftChars="0"/>
        <w:jc w:val="both"/>
        <w:rPr>
          <w:rFonts w:ascii="Times New Roman" w:hAnsi="Times New Roman"/>
          <w:sz w:val="24"/>
          <w:szCs w:val="24"/>
        </w:rPr>
      </w:pPr>
    </w:p>
    <w:tbl>
      <w:tblPr>
        <w:tblStyle w:val="10"/>
        <w:tblW w:w="0" w:type="auto"/>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1"/>
        <w:gridCol w:w="5121"/>
        <w:gridCol w:w="1458"/>
      </w:tblGrid>
      <w:tr w14:paraId="682D6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1651" w:type="dxa"/>
            <w:shd w:val="clear" w:color="FFFFFF" w:fill="D9D9D9"/>
            <w:noWrap w:val="0"/>
            <w:vAlign w:val="center"/>
          </w:tcPr>
          <w:p w14:paraId="0721EB24">
            <w:pPr>
              <w:pStyle w:val="167"/>
              <w:spacing w:after="170" w:line="276" w:lineRule="auto"/>
              <w:ind w:left="0" w:firstLine="0"/>
              <w:jc w:val="center"/>
              <w:rPr>
                <w:rFonts w:hint="default" w:ascii="Arial" w:hAnsi="Arial" w:cs="Arial"/>
                <w:b/>
                <w:bCs/>
                <w:color w:val="auto"/>
                <w:sz w:val="22"/>
                <w:szCs w:val="22"/>
              </w:rPr>
            </w:pPr>
            <w:r>
              <w:rPr>
                <w:rFonts w:hint="default" w:ascii="Arial" w:hAnsi="Arial" w:cs="Arial"/>
                <w:b/>
                <w:bCs/>
                <w:color w:val="auto"/>
                <w:sz w:val="22"/>
                <w:szCs w:val="22"/>
              </w:rPr>
              <w:t>SEVERIDADE</w:t>
            </w:r>
          </w:p>
        </w:tc>
        <w:tc>
          <w:tcPr>
            <w:tcW w:w="5121" w:type="dxa"/>
            <w:shd w:val="clear" w:color="FFFFFF" w:fill="D9D9D9"/>
            <w:noWrap w:val="0"/>
            <w:vAlign w:val="center"/>
          </w:tcPr>
          <w:p w14:paraId="3B3D21DF">
            <w:pPr>
              <w:pStyle w:val="167"/>
              <w:spacing w:after="170" w:line="276" w:lineRule="auto"/>
              <w:ind w:left="0" w:firstLine="0"/>
              <w:jc w:val="center"/>
              <w:rPr>
                <w:rFonts w:hint="default" w:ascii="Arial" w:hAnsi="Arial" w:cs="Arial"/>
                <w:b/>
                <w:bCs/>
                <w:color w:val="auto"/>
                <w:sz w:val="22"/>
                <w:szCs w:val="22"/>
              </w:rPr>
            </w:pPr>
            <w:r>
              <w:rPr>
                <w:rFonts w:hint="default" w:ascii="Arial" w:hAnsi="Arial" w:cs="Arial"/>
                <w:b/>
                <w:bCs/>
                <w:color w:val="auto"/>
                <w:sz w:val="22"/>
                <w:szCs w:val="22"/>
              </w:rPr>
              <w:t>DESCRIÇÃO</w:t>
            </w:r>
          </w:p>
        </w:tc>
        <w:tc>
          <w:tcPr>
            <w:tcW w:w="1458" w:type="dxa"/>
            <w:shd w:val="clear" w:color="FFFFFF" w:fill="D9D9D9"/>
            <w:noWrap w:val="0"/>
            <w:vAlign w:val="center"/>
          </w:tcPr>
          <w:p w14:paraId="2C491F1F">
            <w:pPr>
              <w:pStyle w:val="167"/>
              <w:spacing w:after="170" w:line="276" w:lineRule="auto"/>
              <w:ind w:left="0" w:firstLine="0"/>
              <w:jc w:val="center"/>
              <w:rPr>
                <w:rFonts w:hint="default" w:ascii="Arial" w:hAnsi="Arial" w:cs="Arial"/>
                <w:b/>
                <w:bCs/>
                <w:color w:val="auto"/>
                <w:sz w:val="22"/>
                <w:szCs w:val="22"/>
              </w:rPr>
            </w:pPr>
            <w:r>
              <w:rPr>
                <w:rFonts w:hint="default" w:ascii="Arial" w:hAnsi="Arial" w:cs="Arial"/>
                <w:b/>
                <w:bCs/>
                <w:color w:val="auto"/>
                <w:sz w:val="22"/>
                <w:szCs w:val="22"/>
              </w:rPr>
              <w:t>PRAZO DE SOLUÇÃO</w:t>
            </w:r>
          </w:p>
        </w:tc>
      </w:tr>
      <w:tr w14:paraId="5F534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1651" w:type="dxa"/>
            <w:noWrap w:val="0"/>
            <w:vAlign w:val="center"/>
          </w:tcPr>
          <w:p w14:paraId="32267DE0">
            <w:pPr>
              <w:pStyle w:val="167"/>
              <w:spacing w:after="170" w:line="276" w:lineRule="auto"/>
              <w:ind w:left="0" w:firstLine="0"/>
              <w:jc w:val="center"/>
              <w:rPr>
                <w:rFonts w:hint="default" w:ascii="Arial" w:hAnsi="Arial" w:cs="Arial"/>
                <w:bCs/>
                <w:color w:val="auto"/>
                <w:sz w:val="22"/>
                <w:szCs w:val="22"/>
              </w:rPr>
            </w:pPr>
            <w:r>
              <w:rPr>
                <w:rFonts w:hint="default" w:ascii="Arial" w:hAnsi="Arial" w:cs="Arial"/>
                <w:bCs/>
                <w:color w:val="auto"/>
                <w:sz w:val="22"/>
                <w:szCs w:val="22"/>
              </w:rPr>
              <w:t>ALTA</w:t>
            </w:r>
          </w:p>
        </w:tc>
        <w:tc>
          <w:tcPr>
            <w:tcW w:w="5121" w:type="dxa"/>
            <w:noWrap w:val="0"/>
            <w:vAlign w:val="center"/>
          </w:tcPr>
          <w:p w14:paraId="5C4B5CD9">
            <w:pPr>
              <w:pStyle w:val="167"/>
              <w:spacing w:after="170" w:line="276" w:lineRule="auto"/>
              <w:ind w:left="0" w:firstLine="0"/>
              <w:rPr>
                <w:rFonts w:hint="default" w:ascii="Arial" w:hAnsi="Arial" w:cs="Arial"/>
                <w:bCs/>
                <w:color w:val="auto"/>
                <w:sz w:val="22"/>
                <w:szCs w:val="22"/>
              </w:rPr>
            </w:pPr>
            <w:r>
              <w:rPr>
                <w:rFonts w:hint="default" w:ascii="Arial" w:hAnsi="Arial" w:cs="Arial"/>
                <w:bCs/>
                <w:color w:val="auto"/>
                <w:sz w:val="22"/>
                <w:szCs w:val="22"/>
              </w:rPr>
              <w:t>Este nível de severidade é aplicado quando há indisponibilidade crítica no uso dos serviços.</w:t>
            </w:r>
          </w:p>
        </w:tc>
        <w:tc>
          <w:tcPr>
            <w:tcW w:w="1458" w:type="dxa"/>
            <w:noWrap w:val="0"/>
            <w:vAlign w:val="center"/>
          </w:tcPr>
          <w:p w14:paraId="157EE86C">
            <w:pPr>
              <w:pStyle w:val="167"/>
              <w:spacing w:after="170" w:line="276" w:lineRule="auto"/>
              <w:ind w:left="0" w:firstLine="0"/>
              <w:jc w:val="center"/>
              <w:rPr>
                <w:rFonts w:hint="default" w:ascii="Arial" w:hAnsi="Arial" w:cs="Arial"/>
                <w:bCs/>
                <w:color w:val="auto"/>
                <w:sz w:val="22"/>
                <w:szCs w:val="22"/>
              </w:rPr>
            </w:pPr>
            <w:r>
              <w:rPr>
                <w:rFonts w:hint="default" w:ascii="Arial" w:hAnsi="Arial" w:cs="Arial"/>
                <w:bCs/>
                <w:color w:val="auto"/>
                <w:sz w:val="22"/>
                <w:szCs w:val="22"/>
              </w:rPr>
              <w:t>4 (quatro) horas</w:t>
            </w:r>
          </w:p>
        </w:tc>
      </w:tr>
      <w:tr w14:paraId="663D8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1651" w:type="dxa"/>
            <w:noWrap w:val="0"/>
            <w:vAlign w:val="center"/>
          </w:tcPr>
          <w:p w14:paraId="0A9BDEEC">
            <w:pPr>
              <w:pStyle w:val="167"/>
              <w:spacing w:after="170" w:line="276" w:lineRule="auto"/>
              <w:ind w:left="0" w:firstLine="0"/>
              <w:jc w:val="center"/>
              <w:rPr>
                <w:rFonts w:hint="default" w:ascii="Arial" w:hAnsi="Arial" w:cs="Arial"/>
                <w:bCs/>
                <w:color w:val="auto"/>
                <w:sz w:val="22"/>
                <w:szCs w:val="22"/>
              </w:rPr>
            </w:pPr>
            <w:r>
              <w:rPr>
                <w:rFonts w:hint="default" w:ascii="Arial" w:hAnsi="Arial" w:cs="Arial"/>
                <w:bCs/>
                <w:color w:val="auto"/>
                <w:sz w:val="22"/>
                <w:szCs w:val="22"/>
              </w:rPr>
              <w:t>MÉDIA</w:t>
            </w:r>
          </w:p>
        </w:tc>
        <w:tc>
          <w:tcPr>
            <w:tcW w:w="5121" w:type="dxa"/>
            <w:noWrap w:val="0"/>
            <w:vAlign w:val="center"/>
          </w:tcPr>
          <w:p w14:paraId="201FE4FB">
            <w:pPr>
              <w:pStyle w:val="167"/>
              <w:spacing w:after="170" w:line="276" w:lineRule="auto"/>
              <w:ind w:left="0" w:firstLine="0"/>
              <w:rPr>
                <w:rFonts w:hint="default" w:ascii="Arial" w:hAnsi="Arial" w:cs="Arial"/>
                <w:bCs/>
                <w:color w:val="auto"/>
                <w:sz w:val="22"/>
                <w:szCs w:val="22"/>
              </w:rPr>
            </w:pPr>
            <w:r>
              <w:rPr>
                <w:rFonts w:hint="default" w:ascii="Arial" w:hAnsi="Arial" w:cs="Arial"/>
                <w:bCs/>
                <w:color w:val="auto"/>
                <w:sz w:val="22"/>
                <w:szCs w:val="22"/>
              </w:rPr>
              <w:t>Este nível de severidade é aplicado quando há falha em diversos mas não todos os componentes do produto, simultânea ou não, estando ainda disponíveis a parte crítica, porém apresentando problemas.</w:t>
            </w:r>
          </w:p>
        </w:tc>
        <w:tc>
          <w:tcPr>
            <w:tcW w:w="1458" w:type="dxa"/>
            <w:noWrap w:val="0"/>
            <w:vAlign w:val="center"/>
          </w:tcPr>
          <w:p w14:paraId="7E030002">
            <w:pPr>
              <w:pStyle w:val="167"/>
              <w:spacing w:after="170" w:line="276" w:lineRule="auto"/>
              <w:ind w:left="0" w:firstLine="0"/>
              <w:jc w:val="center"/>
              <w:rPr>
                <w:rFonts w:hint="default" w:ascii="Arial" w:hAnsi="Arial" w:cs="Arial"/>
                <w:bCs/>
                <w:color w:val="auto"/>
                <w:sz w:val="22"/>
                <w:szCs w:val="22"/>
              </w:rPr>
            </w:pPr>
            <w:r>
              <w:rPr>
                <w:rFonts w:hint="default" w:ascii="Arial" w:hAnsi="Arial" w:cs="Arial"/>
                <w:bCs/>
                <w:color w:val="auto"/>
                <w:sz w:val="22"/>
                <w:szCs w:val="22"/>
              </w:rPr>
              <w:t>8 (oito) horas</w:t>
            </w:r>
          </w:p>
        </w:tc>
      </w:tr>
      <w:tr w14:paraId="2E86D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7" w:hRule="atLeast"/>
          <w:jc w:val="right"/>
        </w:trPr>
        <w:tc>
          <w:tcPr>
            <w:tcW w:w="1651" w:type="dxa"/>
            <w:noWrap w:val="0"/>
            <w:vAlign w:val="center"/>
          </w:tcPr>
          <w:p w14:paraId="30AA1E0C">
            <w:pPr>
              <w:pStyle w:val="167"/>
              <w:spacing w:after="170" w:line="276" w:lineRule="auto"/>
              <w:ind w:left="0" w:firstLine="0"/>
              <w:jc w:val="center"/>
              <w:rPr>
                <w:rFonts w:hint="default" w:ascii="Arial" w:hAnsi="Arial" w:cs="Arial"/>
                <w:bCs/>
                <w:color w:val="auto"/>
                <w:sz w:val="22"/>
                <w:szCs w:val="22"/>
              </w:rPr>
            </w:pPr>
            <w:r>
              <w:rPr>
                <w:rFonts w:hint="default" w:ascii="Arial" w:hAnsi="Arial" w:cs="Arial"/>
                <w:bCs/>
                <w:color w:val="auto"/>
                <w:sz w:val="22"/>
                <w:szCs w:val="22"/>
              </w:rPr>
              <w:t>BAIXA</w:t>
            </w:r>
          </w:p>
        </w:tc>
        <w:tc>
          <w:tcPr>
            <w:tcW w:w="5121" w:type="dxa"/>
            <w:noWrap w:val="0"/>
            <w:vAlign w:val="center"/>
          </w:tcPr>
          <w:p w14:paraId="7908A3E4">
            <w:pPr>
              <w:pStyle w:val="167"/>
              <w:spacing w:after="170" w:line="276" w:lineRule="auto"/>
              <w:ind w:left="0" w:firstLine="0"/>
              <w:rPr>
                <w:rFonts w:hint="default" w:ascii="Arial" w:hAnsi="Arial" w:cs="Arial"/>
                <w:bCs/>
                <w:color w:val="auto"/>
                <w:sz w:val="22"/>
                <w:szCs w:val="22"/>
              </w:rPr>
            </w:pPr>
            <w:r>
              <w:rPr>
                <w:rFonts w:hint="default" w:ascii="Arial" w:hAnsi="Arial" w:cs="Arial"/>
                <w:bCs/>
                <w:color w:val="auto"/>
                <w:sz w:val="22"/>
                <w:szCs w:val="22"/>
              </w:rPr>
              <w:t>Este nível de severidade é aplicado para problemas que não afetem o desempenho e disponibilidade dos serviços, esclarecimentos técnicos relativos ao uso e aprimoramento dos serviços (operações, relatórios, customizações, manutenções evolutivas, dúvidas etc.) Não haverá abertura de chamados de suporte técnico com esta severidade em sábados, domingos e feriados.</w:t>
            </w:r>
          </w:p>
        </w:tc>
        <w:tc>
          <w:tcPr>
            <w:tcW w:w="1458" w:type="dxa"/>
            <w:noWrap w:val="0"/>
            <w:vAlign w:val="center"/>
          </w:tcPr>
          <w:p w14:paraId="6CD9781A">
            <w:pPr>
              <w:pStyle w:val="167"/>
              <w:tabs>
                <w:tab w:val="clear" w:pos="878"/>
                <w:tab w:val="clear" w:pos="1586"/>
                <w:tab w:val="clear" w:pos="2294"/>
                <w:tab w:val="clear" w:pos="3002"/>
                <w:tab w:val="clear" w:pos="3710"/>
                <w:tab w:val="clear" w:pos="4418"/>
                <w:tab w:val="clear" w:pos="5126"/>
                <w:tab w:val="clear" w:pos="5834"/>
                <w:tab w:val="clear" w:pos="6542"/>
                <w:tab w:val="clear" w:pos="7250"/>
                <w:tab w:val="clear" w:pos="7958"/>
                <w:tab w:val="clear" w:pos="8666"/>
                <w:tab w:val="clear" w:pos="9374"/>
                <w:tab w:val="clear" w:pos="10082"/>
                <w:tab w:val="clear" w:pos="10790"/>
                <w:tab w:val="clear" w:pos="11498"/>
                <w:tab w:val="clear" w:pos="12206"/>
                <w:tab w:val="clear" w:pos="12914"/>
                <w:tab w:val="clear" w:pos="13622"/>
                <w:tab w:val="clear" w:pos="14330"/>
                <w:tab w:val="clear" w:pos="15038"/>
                <w:tab w:val="clear" w:pos="15746"/>
                <w:tab w:val="clear" w:pos="16454"/>
                <w:tab w:val="clear" w:pos="17162"/>
                <w:tab w:val="clear" w:pos="17870"/>
                <w:tab w:val="clear" w:pos="18578"/>
                <w:tab w:val="clear" w:pos="19286"/>
                <w:tab w:val="clear" w:pos="19994"/>
                <w:tab w:val="clear" w:pos="20702"/>
                <w:tab w:val="clear" w:pos="21410"/>
                <w:tab w:val="clear" w:pos="22118"/>
                <w:tab w:val="clear" w:pos="22826"/>
                <w:tab w:val="clear" w:pos="23534"/>
                <w:tab w:val="clear" w:pos="24242"/>
                <w:tab w:val="clear" w:pos="24950"/>
                <w:tab w:val="clear" w:pos="25658"/>
                <w:tab w:val="clear" w:pos="26366"/>
                <w:tab w:val="clear" w:pos="27074"/>
                <w:tab w:val="clear" w:pos="27782"/>
                <w:tab w:val="clear" w:pos="28490"/>
              </w:tabs>
              <w:spacing w:after="170" w:line="276" w:lineRule="auto"/>
              <w:ind w:left="0" w:firstLine="0"/>
              <w:jc w:val="center"/>
              <w:rPr>
                <w:rFonts w:hint="default" w:ascii="Arial" w:hAnsi="Arial" w:cs="Arial"/>
                <w:bCs/>
                <w:color w:val="auto"/>
                <w:sz w:val="22"/>
                <w:szCs w:val="22"/>
              </w:rPr>
            </w:pPr>
            <w:r>
              <w:rPr>
                <w:rFonts w:hint="default" w:ascii="Arial" w:hAnsi="Arial" w:cs="Arial"/>
                <w:bCs/>
                <w:color w:val="auto"/>
                <w:sz w:val="22"/>
                <w:szCs w:val="22"/>
              </w:rPr>
              <w:t>1 (um) dia útil</w:t>
            </w:r>
          </w:p>
        </w:tc>
      </w:tr>
    </w:tbl>
    <w:p w14:paraId="182E5D5A">
      <w:pPr>
        <w:pStyle w:val="165"/>
        <w:numPr>
          <w:ilvl w:val="0"/>
          <w:numId w:val="0"/>
        </w:numPr>
        <w:tabs>
          <w:tab w:val="left" w:pos="1276"/>
        </w:tabs>
        <w:ind w:left="200" w:leftChars="0"/>
        <w:jc w:val="both"/>
        <w:rPr>
          <w:rFonts w:ascii="Times New Roman" w:hAnsi="Times New Roman"/>
          <w:sz w:val="24"/>
          <w:szCs w:val="24"/>
        </w:rPr>
      </w:pPr>
    </w:p>
    <w:p w14:paraId="1B43DD03">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color w:val="auto"/>
          <w:sz w:val="22"/>
          <w:szCs w:val="22"/>
        </w:rPr>
      </w:pPr>
      <w:r>
        <w:rPr>
          <w:rFonts w:hint="default" w:ascii="Arial" w:hAnsi="Arial" w:cs="Arial"/>
          <w:b/>
          <w:bCs/>
          <w:color w:val="auto"/>
          <w:sz w:val="22"/>
          <w:szCs w:val="22"/>
          <w:lang w:val="pt-BR"/>
        </w:rPr>
        <w:t xml:space="preserve">6.6.4. </w:t>
      </w:r>
      <w:r>
        <w:rPr>
          <w:rFonts w:hint="default" w:ascii="Arial" w:hAnsi="Arial" w:cs="Arial"/>
          <w:color w:val="auto"/>
          <w:sz w:val="22"/>
          <w:szCs w:val="22"/>
        </w:rPr>
        <w:t>Os</w:t>
      </w:r>
      <w:r>
        <w:rPr>
          <w:rFonts w:hint="default" w:ascii="Arial" w:hAnsi="Arial" w:cs="Arial"/>
          <w:color w:val="auto"/>
          <w:sz w:val="22"/>
          <w:szCs w:val="22"/>
          <w:lang w:val="pt-BR"/>
        </w:rPr>
        <w:t xml:space="preserve"> </w:t>
      </w:r>
      <w:r>
        <w:rPr>
          <w:rFonts w:hint="default" w:ascii="Arial" w:hAnsi="Arial" w:cs="Arial"/>
          <w:color w:val="auto"/>
          <w:sz w:val="22"/>
          <w:szCs w:val="22"/>
        </w:rPr>
        <w:t>chamados serão abertos no portal de atendimento do CONTRATADA/fabricante,</w:t>
      </w:r>
      <w:r>
        <w:rPr>
          <w:rFonts w:hint="default" w:ascii="Arial" w:hAnsi="Arial" w:cs="Arial"/>
          <w:color w:val="auto"/>
          <w:sz w:val="22"/>
          <w:szCs w:val="22"/>
          <w:lang w:val="pt-BR"/>
        </w:rPr>
        <w:t xml:space="preserve"> </w:t>
      </w:r>
      <w:r>
        <w:rPr>
          <w:rFonts w:hint="default" w:ascii="Arial" w:hAnsi="Arial" w:cs="Arial"/>
          <w:color w:val="auto"/>
          <w:sz w:val="22"/>
          <w:szCs w:val="22"/>
        </w:rPr>
        <w:t>por telefone ou por e-mail junto ao CONTRATADA/fabricante;</w:t>
      </w:r>
    </w:p>
    <w:p w14:paraId="66942666">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color w:val="auto"/>
          <w:sz w:val="22"/>
          <w:szCs w:val="22"/>
        </w:rPr>
      </w:pPr>
      <w:r>
        <w:rPr>
          <w:rFonts w:hint="default" w:ascii="Arial" w:hAnsi="Arial" w:cs="Arial"/>
          <w:b/>
          <w:bCs/>
          <w:color w:val="auto"/>
          <w:sz w:val="22"/>
          <w:szCs w:val="22"/>
          <w:lang w:val="pt-BR"/>
        </w:rPr>
        <w:t>6.6.5.</w:t>
      </w:r>
      <w:r>
        <w:rPr>
          <w:rFonts w:hint="default" w:ascii="Arial" w:hAnsi="Arial" w:cs="Arial"/>
          <w:color w:val="auto"/>
          <w:sz w:val="22"/>
          <w:szCs w:val="22"/>
          <w:lang w:val="pt-BR"/>
        </w:rPr>
        <w:t xml:space="preserve"> </w:t>
      </w:r>
      <w:r>
        <w:rPr>
          <w:rFonts w:hint="default" w:ascii="Arial" w:hAnsi="Arial" w:cs="Arial"/>
          <w:color w:val="auto"/>
          <w:sz w:val="22"/>
          <w:szCs w:val="22"/>
        </w:rPr>
        <w:t>Entende-se como portal de atendimento, qualquer ferramenta de gerência acessível através da internet por intermédio de um navegador web, com acesso restrito através de usuário/senha eletrônica;</w:t>
      </w:r>
    </w:p>
    <w:p w14:paraId="7BEFD37D">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color w:val="auto"/>
          <w:sz w:val="22"/>
          <w:szCs w:val="22"/>
        </w:rPr>
      </w:pPr>
      <w:r>
        <w:rPr>
          <w:rFonts w:hint="default" w:ascii="Arial" w:hAnsi="Arial" w:cs="Arial"/>
          <w:b/>
          <w:bCs/>
          <w:color w:val="auto"/>
          <w:sz w:val="22"/>
          <w:szCs w:val="22"/>
          <w:lang w:val="pt-BR"/>
        </w:rPr>
        <w:t>6.6.6.</w:t>
      </w:r>
      <w:r>
        <w:rPr>
          <w:rFonts w:hint="default" w:ascii="Arial" w:hAnsi="Arial" w:cs="Arial"/>
          <w:color w:val="auto"/>
          <w:sz w:val="22"/>
          <w:szCs w:val="22"/>
          <w:lang w:val="pt-BR"/>
        </w:rPr>
        <w:t xml:space="preserve"> </w:t>
      </w:r>
      <w:r>
        <w:rPr>
          <w:rFonts w:hint="default" w:ascii="Arial" w:hAnsi="Arial" w:cs="Arial"/>
          <w:color w:val="auto"/>
          <w:sz w:val="22"/>
          <w:szCs w:val="22"/>
        </w:rPr>
        <w:t>O portal de atendimento deverá possuir informações de estatísticas do atendimento, consulta aos históricos dos registros das ocorrências e registros de solicitações e reclamações enviadas pela PREFEITURA;</w:t>
      </w:r>
    </w:p>
    <w:p w14:paraId="1F1B0069">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color w:val="auto"/>
          <w:sz w:val="22"/>
          <w:szCs w:val="22"/>
        </w:rPr>
      </w:pPr>
      <w:r>
        <w:rPr>
          <w:rFonts w:hint="default" w:ascii="Arial" w:hAnsi="Arial" w:cs="Arial"/>
          <w:b/>
          <w:bCs/>
          <w:color w:val="auto"/>
          <w:sz w:val="22"/>
          <w:szCs w:val="22"/>
          <w:lang w:val="pt-BR"/>
        </w:rPr>
        <w:t>6.6.7.</w:t>
      </w:r>
      <w:r>
        <w:rPr>
          <w:rFonts w:hint="default" w:ascii="Arial" w:hAnsi="Arial" w:cs="Arial"/>
          <w:color w:val="auto"/>
          <w:sz w:val="22"/>
          <w:szCs w:val="22"/>
          <w:lang w:val="pt-BR"/>
        </w:rPr>
        <w:t xml:space="preserve"> </w:t>
      </w:r>
      <w:r>
        <w:rPr>
          <w:rFonts w:hint="default" w:ascii="Arial" w:hAnsi="Arial" w:cs="Arial"/>
          <w:color w:val="auto"/>
          <w:sz w:val="22"/>
          <w:szCs w:val="22"/>
        </w:rPr>
        <w:t>A CONTRATADA deverá fornecer pelo menos um usuário/senha para acessar o portal de atendimento dos serviços. O portal de atendimento poderá ser substituído pelo e-mail, com relatórios por demanda;</w:t>
      </w:r>
    </w:p>
    <w:p w14:paraId="5705B759">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color w:val="auto"/>
          <w:sz w:val="22"/>
          <w:szCs w:val="22"/>
        </w:rPr>
      </w:pPr>
      <w:r>
        <w:rPr>
          <w:rFonts w:hint="default" w:ascii="Arial" w:hAnsi="Arial" w:cs="Arial"/>
          <w:b/>
          <w:bCs/>
          <w:color w:val="auto"/>
          <w:sz w:val="22"/>
          <w:szCs w:val="22"/>
          <w:lang w:val="pt-BR"/>
        </w:rPr>
        <w:t>6.6.8.</w:t>
      </w:r>
      <w:r>
        <w:rPr>
          <w:rFonts w:hint="default" w:ascii="Arial" w:hAnsi="Arial" w:cs="Arial"/>
          <w:color w:val="auto"/>
          <w:sz w:val="22"/>
          <w:szCs w:val="22"/>
          <w:lang w:val="pt-BR"/>
        </w:rPr>
        <w:t xml:space="preserve"> </w:t>
      </w:r>
      <w:r>
        <w:rPr>
          <w:rFonts w:hint="default" w:ascii="Arial" w:hAnsi="Arial" w:cs="Arial"/>
          <w:color w:val="auto"/>
          <w:sz w:val="22"/>
          <w:szCs w:val="22"/>
        </w:rPr>
        <w:t>A CONTRATADA deve gerar relatórios mensal e anual com histórico de chamados abertos pela PREFEITURA quando solicitada;</w:t>
      </w:r>
    </w:p>
    <w:p w14:paraId="55FFB508">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color w:val="auto"/>
          <w:sz w:val="22"/>
          <w:szCs w:val="22"/>
        </w:rPr>
      </w:pPr>
      <w:r>
        <w:rPr>
          <w:rFonts w:hint="default" w:ascii="Arial" w:hAnsi="Arial" w:cs="Arial"/>
          <w:b/>
          <w:bCs/>
          <w:color w:val="auto"/>
          <w:sz w:val="22"/>
          <w:szCs w:val="22"/>
          <w:lang w:val="pt-BR"/>
        </w:rPr>
        <w:t>6.6.9.</w:t>
      </w:r>
      <w:r>
        <w:rPr>
          <w:rFonts w:hint="default" w:ascii="Arial" w:hAnsi="Arial" w:cs="Arial"/>
          <w:color w:val="auto"/>
          <w:sz w:val="22"/>
          <w:szCs w:val="22"/>
          <w:lang w:val="pt-BR"/>
        </w:rPr>
        <w:t xml:space="preserve"> </w:t>
      </w:r>
      <w:r>
        <w:rPr>
          <w:rFonts w:hint="default" w:ascii="Arial" w:hAnsi="Arial" w:cs="Arial"/>
          <w:color w:val="auto"/>
          <w:sz w:val="22"/>
          <w:szCs w:val="22"/>
        </w:rPr>
        <w:t>Possuir meios de auditoria de todos os serviços, possibilitando que a PREFEITURA possa sempre que desejar, comprovar a qualidade e eficácia dos serviços oferecidos;</w:t>
      </w:r>
    </w:p>
    <w:p w14:paraId="4A298EA1">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color w:val="auto"/>
          <w:sz w:val="22"/>
          <w:szCs w:val="22"/>
        </w:rPr>
      </w:pPr>
      <w:r>
        <w:rPr>
          <w:rFonts w:hint="default" w:ascii="Arial" w:hAnsi="Arial" w:cs="Arial"/>
          <w:b/>
          <w:bCs/>
          <w:color w:val="auto"/>
          <w:sz w:val="22"/>
          <w:szCs w:val="22"/>
          <w:lang w:val="pt-BR"/>
        </w:rPr>
        <w:t>6.6.10.</w:t>
      </w:r>
      <w:r>
        <w:rPr>
          <w:rFonts w:hint="default" w:ascii="Arial" w:hAnsi="Arial" w:cs="Arial"/>
          <w:color w:val="auto"/>
          <w:sz w:val="22"/>
          <w:szCs w:val="22"/>
          <w:lang w:val="pt-BR"/>
        </w:rPr>
        <w:t xml:space="preserve"> </w:t>
      </w:r>
      <w:r>
        <w:rPr>
          <w:rFonts w:hint="default" w:ascii="Arial" w:hAnsi="Arial" w:cs="Arial"/>
          <w:color w:val="auto"/>
          <w:sz w:val="22"/>
          <w:szCs w:val="22"/>
        </w:rPr>
        <w:t>Todas as substituições de peças, ajustes e reparos necessários, deverão ser compatíveis com os ofertados pela licitante e deverão estar de acordo com os manuais e normas técnicas especificadas pelo Fabricante;</w:t>
      </w:r>
    </w:p>
    <w:p w14:paraId="79C5F703">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color w:val="auto"/>
          <w:sz w:val="22"/>
          <w:szCs w:val="22"/>
        </w:rPr>
      </w:pPr>
      <w:r>
        <w:rPr>
          <w:rFonts w:hint="default" w:ascii="Arial" w:hAnsi="Arial" w:cs="Arial"/>
          <w:b/>
          <w:bCs/>
          <w:color w:val="auto"/>
          <w:sz w:val="22"/>
          <w:szCs w:val="22"/>
          <w:lang w:val="pt-BR"/>
        </w:rPr>
        <w:t>6.6.11.</w:t>
      </w:r>
      <w:r>
        <w:rPr>
          <w:rFonts w:hint="default" w:ascii="Arial" w:hAnsi="Arial" w:cs="Arial"/>
          <w:color w:val="auto"/>
          <w:sz w:val="22"/>
          <w:szCs w:val="22"/>
          <w:lang w:val="pt-BR"/>
        </w:rPr>
        <w:t xml:space="preserve"> </w:t>
      </w:r>
      <w:r>
        <w:rPr>
          <w:rFonts w:hint="default" w:ascii="Arial" w:hAnsi="Arial" w:cs="Arial"/>
          <w:color w:val="auto"/>
          <w:sz w:val="22"/>
          <w:szCs w:val="22"/>
        </w:rPr>
        <w:t>Em caso necessidade de deslocamento do equipamento para manutenção em local diferente do instalado, todas as despesas correrão por conta do fornecedor;</w:t>
      </w:r>
    </w:p>
    <w:p w14:paraId="2D476546">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color w:val="auto"/>
          <w:sz w:val="22"/>
          <w:szCs w:val="22"/>
        </w:rPr>
      </w:pPr>
      <w:r>
        <w:rPr>
          <w:rFonts w:hint="default" w:ascii="Arial" w:hAnsi="Arial" w:cs="Arial"/>
          <w:b/>
          <w:bCs/>
          <w:color w:val="auto"/>
          <w:sz w:val="22"/>
          <w:szCs w:val="22"/>
          <w:lang w:val="pt-BR"/>
        </w:rPr>
        <w:t>6.6.12.</w:t>
      </w:r>
      <w:r>
        <w:rPr>
          <w:rFonts w:hint="default" w:ascii="Arial" w:hAnsi="Arial" w:cs="Arial"/>
          <w:color w:val="auto"/>
          <w:sz w:val="22"/>
          <w:szCs w:val="22"/>
          <w:lang w:val="pt-BR"/>
        </w:rPr>
        <w:t xml:space="preserve"> </w:t>
      </w:r>
      <w:r>
        <w:rPr>
          <w:rFonts w:hint="default" w:ascii="Arial" w:hAnsi="Arial" w:cs="Arial"/>
          <w:color w:val="auto"/>
          <w:sz w:val="22"/>
          <w:szCs w:val="22"/>
        </w:rPr>
        <w:t>Em caso de necessidade de substituição do produto, o produto que vier a substituir deverá atender à especificação do edital e deverá ser “novo e de primeiro uso”;</w:t>
      </w:r>
    </w:p>
    <w:p w14:paraId="33DE2311">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color w:val="auto"/>
          <w:sz w:val="22"/>
          <w:szCs w:val="22"/>
        </w:rPr>
      </w:pPr>
      <w:r>
        <w:rPr>
          <w:rFonts w:hint="default" w:ascii="Arial" w:hAnsi="Arial" w:cs="Arial"/>
          <w:b/>
          <w:bCs/>
          <w:color w:val="auto"/>
          <w:sz w:val="22"/>
          <w:szCs w:val="22"/>
          <w:lang w:val="pt-BR"/>
        </w:rPr>
        <w:t xml:space="preserve">6.6.13. </w:t>
      </w:r>
      <w:r>
        <w:rPr>
          <w:rFonts w:hint="default" w:ascii="Arial" w:hAnsi="Arial" w:cs="Arial"/>
          <w:color w:val="auto"/>
          <w:sz w:val="22"/>
          <w:szCs w:val="22"/>
        </w:rPr>
        <w:t>Estar em conformidade dos serviços/produtos ofertados às especificações descritas neste termo de referência.</w:t>
      </w:r>
    </w:p>
    <w:p w14:paraId="6BFE1CA1">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b w:val="0"/>
          <w:bCs w:val="0"/>
          <w:sz w:val="22"/>
          <w:szCs w:val="22"/>
          <w:highlight w:val="none"/>
          <w:lang w:val="pt-BR"/>
        </w:rPr>
      </w:pPr>
      <w:r>
        <w:rPr>
          <w:rFonts w:hint="default" w:ascii="Arial" w:hAnsi="Arial" w:cs="Arial"/>
          <w:b/>
          <w:bCs/>
          <w:color w:val="auto"/>
          <w:sz w:val="22"/>
          <w:szCs w:val="22"/>
          <w:lang w:val="pt-BR"/>
        </w:rPr>
        <w:t>6.6.14.</w:t>
      </w:r>
      <w:r>
        <w:rPr>
          <w:rFonts w:hint="default" w:ascii="Arial" w:hAnsi="Arial" w:cs="Arial"/>
          <w:color w:val="auto"/>
          <w:sz w:val="22"/>
          <w:szCs w:val="22"/>
          <w:lang w:val="pt-BR"/>
        </w:rPr>
        <w:t xml:space="preserve"> </w:t>
      </w:r>
      <w:r>
        <w:rPr>
          <w:rFonts w:hint="default" w:ascii="Arial" w:hAnsi="Arial" w:cs="Arial"/>
          <w:color w:val="auto"/>
          <w:sz w:val="22"/>
          <w:szCs w:val="22"/>
        </w:rPr>
        <w:t>A simples omissões ou irregularidades irrelevantes, isso inclui prazos, sanáveis ou desprezíveis a juízo da PREFEITURA, poderão ser relevadas desde que não causem prejuízo à administração</w:t>
      </w:r>
    </w:p>
    <w:p w14:paraId="685299B6">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sz w:val="22"/>
          <w:szCs w:val="22"/>
          <w:highlight w:val="yellow"/>
        </w:rPr>
      </w:pPr>
    </w:p>
    <w:p w14:paraId="5380D63E">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6.7. CRONOGRAMA DE EXECUÇÃO:</w:t>
      </w:r>
    </w:p>
    <w:p w14:paraId="2E2C98AB">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jc w:val="both"/>
        <w:textAlignment w:val="auto"/>
        <w:rPr>
          <w:rFonts w:hint="default" w:ascii="Arial" w:hAnsi="Arial" w:cs="Arial"/>
          <w:color w:val="auto"/>
          <w:sz w:val="22"/>
          <w:szCs w:val="22"/>
        </w:rPr>
      </w:pPr>
      <w:r>
        <w:rPr>
          <w:rFonts w:hint="default" w:ascii="Arial" w:hAnsi="Arial" w:cs="Arial"/>
          <w:b/>
          <w:bCs/>
          <w:sz w:val="22"/>
          <w:szCs w:val="22"/>
          <w:highlight w:val="none"/>
          <w:lang w:val="pt-BR"/>
        </w:rPr>
        <w:t>6.7.1.</w:t>
      </w:r>
      <w:r>
        <w:rPr>
          <w:rFonts w:hint="default" w:ascii="Arial" w:hAnsi="Arial" w:cs="Arial"/>
          <w:b w:val="0"/>
          <w:bCs w:val="0"/>
          <w:sz w:val="22"/>
          <w:szCs w:val="22"/>
          <w:highlight w:val="none"/>
          <w:lang w:val="pt-BR"/>
        </w:rPr>
        <w:t xml:space="preserve"> </w:t>
      </w:r>
      <w:r>
        <w:rPr>
          <w:rFonts w:hint="default" w:ascii="Arial" w:hAnsi="Arial" w:cs="Arial"/>
          <w:b w:val="0"/>
          <w:bCs w:val="0"/>
          <w:color w:val="auto"/>
          <w:sz w:val="22"/>
          <w:szCs w:val="22"/>
          <w:highlight w:val="none"/>
          <w:lang w:val="pt-BR"/>
        </w:rPr>
        <w:t>A contratada d</w:t>
      </w:r>
      <w:r>
        <w:rPr>
          <w:rFonts w:hint="default" w:ascii="Arial" w:hAnsi="Arial" w:cs="Arial"/>
          <w:color w:val="auto"/>
          <w:sz w:val="22"/>
          <w:szCs w:val="22"/>
        </w:rPr>
        <w:t>everá apresentar um fluxograma completo de manutenção dos equipamentos, informando como será realizado o atendimento em caráter emergencial fora do expediente, sábado, domingo e feriados contemplando o atendimento através de telefones (fixo e celular) para atendimento durante o horário comercial e para emergência (sábado, domingo e feriados). Os telefones de contatos deverão ser informados na proposta.</w:t>
      </w:r>
    </w:p>
    <w:p w14:paraId="521DDE5F">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sz w:val="22"/>
          <w:szCs w:val="22"/>
          <w:highlight w:val="none"/>
          <w:lang w:val="pt-BR"/>
        </w:rPr>
      </w:pPr>
    </w:p>
    <w:p w14:paraId="5F0E9FCA">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6.8. NECESSIDADE DE ACOMPANHAMENTO DOS SERVIÇOS POR PROFISSIONAIS DA “ÁREA” DEMANDANTE:</w:t>
      </w:r>
    </w:p>
    <w:p w14:paraId="0C61498E">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sz w:val="22"/>
          <w:szCs w:val="22"/>
          <w:lang w:val="pt-BR"/>
        </w:rPr>
      </w:pPr>
      <w:r>
        <w:rPr>
          <w:rFonts w:hint="default" w:ascii="Arial" w:hAnsi="Arial" w:cs="Arial"/>
          <w:b/>
          <w:bCs/>
          <w:sz w:val="22"/>
          <w:szCs w:val="22"/>
          <w:highlight w:val="none"/>
          <w:lang w:val="pt-BR"/>
        </w:rPr>
        <w:t xml:space="preserve">6.8.1. </w:t>
      </w:r>
      <w:r>
        <w:rPr>
          <w:rFonts w:hint="default" w:ascii="Arial" w:hAnsi="Arial" w:cs="Arial"/>
          <w:b w:val="0"/>
          <w:bCs w:val="0"/>
          <w:sz w:val="22"/>
          <w:szCs w:val="22"/>
          <w:highlight w:val="none"/>
          <w:lang w:val="pt-BR"/>
        </w:rPr>
        <w:t>Os serviços serão acompanhados pelos profissionais técnicos da Prefeitura de Sinop/MT,</w:t>
      </w:r>
      <w:r>
        <w:rPr>
          <w:rFonts w:hint="default" w:ascii="Arial" w:hAnsi="Arial" w:cs="Arial"/>
          <w:sz w:val="22"/>
          <w:szCs w:val="22"/>
          <w:lang w:val="pt-BR"/>
        </w:rPr>
        <w:t xml:space="preserve"> que fiscalizarão a execução dos mesmos e aplicará as penalidades quando e se necessário.</w:t>
      </w:r>
    </w:p>
    <w:p w14:paraId="639B4685">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green"/>
          <w:lang w:val="pt-BR"/>
        </w:rPr>
      </w:pPr>
    </w:p>
    <w:p w14:paraId="4FEE6A06">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 xml:space="preserve">6.9. POSSIBILIDADE DE TROCA DE PEÇAS, SE POR ORIGINAIS OU SIMILARES, E DE PROCESSOS DE REMANUFATURA, RECONDICIONAMENTO, REUTILIZAÇÃO OU REFILAMENTO: </w:t>
      </w:r>
    </w:p>
    <w:p w14:paraId="11E933D8">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(Não se aplica)</w:t>
      </w:r>
    </w:p>
    <w:p w14:paraId="2D3488B5">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none"/>
          <w:lang w:val="pt-BR"/>
        </w:rPr>
      </w:pPr>
    </w:p>
    <w:p w14:paraId="38C19C37">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6.10. POSSIBILIDADE OU NÃO DE SUBCONTRATAÇÃO:</w:t>
      </w:r>
    </w:p>
    <w:p w14:paraId="7D580EF9">
      <w:pPr>
        <w:pStyle w:val="128"/>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sz w:val="22"/>
          <w:szCs w:val="22"/>
          <w:highlight w:val="none"/>
          <w:lang w:val="pt-BR"/>
        </w:rPr>
      </w:pPr>
      <w:r>
        <w:rPr>
          <w:rFonts w:hint="default" w:ascii="Arial" w:hAnsi="Arial" w:cs="Arial"/>
          <w:b/>
          <w:bCs/>
          <w:sz w:val="22"/>
          <w:szCs w:val="22"/>
          <w:highlight w:val="none"/>
          <w:lang w:val="pt-BR"/>
        </w:rPr>
        <w:t xml:space="preserve">6.10.1. </w:t>
      </w:r>
      <w:r>
        <w:rPr>
          <w:rFonts w:hint="default" w:ascii="Arial" w:hAnsi="Arial" w:cs="Arial"/>
          <w:b w:val="0"/>
          <w:bCs w:val="0"/>
          <w:sz w:val="22"/>
          <w:szCs w:val="22"/>
          <w:highlight w:val="none"/>
          <w:lang w:val="pt-BR"/>
        </w:rPr>
        <w:t>Será vedado</w:t>
      </w:r>
      <w:r>
        <w:rPr>
          <w:rFonts w:hint="default" w:ascii="Arial" w:hAnsi="Arial" w:cs="Arial"/>
          <w:b/>
          <w:bCs/>
          <w:sz w:val="22"/>
          <w:szCs w:val="22"/>
          <w:highlight w:val="none"/>
          <w:lang w:val="pt-BR"/>
        </w:rPr>
        <w:t xml:space="preserve"> </w:t>
      </w:r>
      <w:r>
        <w:rPr>
          <w:rFonts w:hint="default" w:ascii="Arial" w:hAnsi="Arial" w:cs="Arial"/>
          <w:sz w:val="22"/>
          <w:szCs w:val="22"/>
          <w:highlight w:val="none"/>
        </w:rPr>
        <w:t>transferir a terceiros</w:t>
      </w:r>
      <w:r>
        <w:rPr>
          <w:rFonts w:hint="default" w:ascii="Arial" w:hAnsi="Arial" w:cs="Arial"/>
          <w:sz w:val="22"/>
          <w:szCs w:val="22"/>
          <w:highlight w:val="none"/>
          <w:lang w:val="pt-BR"/>
        </w:rPr>
        <w:t xml:space="preserve"> ou subcontratar</w:t>
      </w:r>
      <w:r>
        <w:rPr>
          <w:rFonts w:hint="default" w:ascii="Arial" w:hAnsi="Arial" w:cs="Arial"/>
          <w:sz w:val="22"/>
          <w:szCs w:val="22"/>
          <w:highlight w:val="none"/>
        </w:rPr>
        <w:t xml:space="preserve"> as obrigações assumidas</w:t>
      </w:r>
      <w:r>
        <w:rPr>
          <w:rFonts w:hint="default" w:ascii="Arial" w:hAnsi="Arial" w:cs="Arial"/>
          <w:sz w:val="22"/>
          <w:szCs w:val="22"/>
          <w:highlight w:val="none"/>
          <w:lang w:val="pt-BR"/>
        </w:rPr>
        <w:t>.</w:t>
      </w:r>
    </w:p>
    <w:p w14:paraId="41880D0E">
      <w:pPr>
        <w:pStyle w:val="128"/>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sz w:val="22"/>
          <w:szCs w:val="22"/>
          <w:highlight w:val="green"/>
          <w:lang w:val="pt-BR"/>
        </w:rPr>
      </w:pPr>
    </w:p>
    <w:p w14:paraId="34A7CD3E">
      <w:pPr>
        <w:pStyle w:val="128"/>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6.11. POSSIBILIDADE DE PRORROGAÇÃO CONTRATUAL E REAJUSTE:</w:t>
      </w:r>
    </w:p>
    <w:p w14:paraId="0800C240">
      <w:pPr>
        <w:pStyle w:val="165"/>
        <w:keepNext w:val="0"/>
        <w:keepLines w:val="0"/>
        <w:pageBreakBefore w:val="0"/>
        <w:numPr>
          <w:ilvl w:val="0"/>
          <w:numId w:val="0"/>
        </w:numPr>
        <w:tabs>
          <w:tab w:val="left" w:pos="1276"/>
        </w:tabs>
        <w:kinsoku/>
        <w:wordWrap/>
        <w:overflowPunct/>
        <w:topLinePunct w:val="0"/>
        <w:autoSpaceDE/>
        <w:autoSpaceDN/>
        <w:bidi w:val="0"/>
        <w:snapToGrid/>
        <w:spacing w:line="360" w:lineRule="auto"/>
        <w:jc w:val="both"/>
        <w:rPr>
          <w:rFonts w:hint="default" w:ascii="Arial" w:hAnsi="Arial" w:cs="Arial"/>
          <w:sz w:val="22"/>
          <w:szCs w:val="22"/>
        </w:rPr>
      </w:pPr>
      <w:r>
        <w:rPr>
          <w:rFonts w:hint="default" w:ascii="Arial" w:hAnsi="Arial" w:cs="Arial"/>
          <w:b/>
          <w:bCs/>
          <w:sz w:val="22"/>
          <w:szCs w:val="22"/>
          <w:highlight w:val="none"/>
          <w:lang w:val="pt-BR"/>
        </w:rPr>
        <w:t xml:space="preserve">6.11.1. </w:t>
      </w:r>
      <w:r>
        <w:rPr>
          <w:rFonts w:hint="default" w:ascii="Arial" w:hAnsi="Arial" w:cs="Arial"/>
          <w:sz w:val="22"/>
          <w:szCs w:val="22"/>
        </w:rPr>
        <w:t>O contrato terá vigência de 12 (doze) meses, a contar da data de sua assinatura, com eficácia a partir de sua publicação, compreendendo os prazos de instalação e configuração, dos procedimentos de recebimento fixados</w:t>
      </w:r>
      <w:r>
        <w:rPr>
          <w:rFonts w:hint="default" w:ascii="Arial" w:hAnsi="Arial" w:cs="Arial"/>
          <w:sz w:val="22"/>
          <w:szCs w:val="22"/>
          <w:lang w:val="pt-BR"/>
        </w:rPr>
        <w:t xml:space="preserve">, </w:t>
      </w:r>
      <w:r>
        <w:rPr>
          <w:rFonts w:hint="default" w:ascii="Arial" w:hAnsi="Arial" w:cs="Arial"/>
          <w:sz w:val="22"/>
          <w:szCs w:val="22"/>
        </w:rPr>
        <w:t xml:space="preserve">podendo ser prorrogado, nos termos do Art. </w:t>
      </w:r>
      <w:r>
        <w:rPr>
          <w:rFonts w:hint="default" w:ascii="Arial" w:hAnsi="Arial" w:cs="Arial"/>
          <w:sz w:val="22"/>
          <w:szCs w:val="22"/>
          <w:lang w:val="pt-BR"/>
        </w:rPr>
        <w:t>105 a 107</w:t>
      </w:r>
      <w:r>
        <w:rPr>
          <w:rFonts w:hint="default" w:ascii="Arial" w:hAnsi="Arial" w:cs="Arial"/>
          <w:sz w:val="22"/>
          <w:szCs w:val="22"/>
        </w:rPr>
        <w:t xml:space="preserve"> da Lei nº </w:t>
      </w:r>
      <w:r>
        <w:rPr>
          <w:rFonts w:hint="default" w:ascii="Arial" w:hAnsi="Arial" w:cs="Arial"/>
          <w:sz w:val="22"/>
          <w:szCs w:val="22"/>
          <w:lang w:val="pt-BR"/>
        </w:rPr>
        <w:t>14.133/2021.</w:t>
      </w:r>
    </w:p>
    <w:p w14:paraId="0038985F">
      <w:pPr>
        <w:pStyle w:val="165"/>
        <w:keepNext w:val="0"/>
        <w:keepLines w:val="0"/>
        <w:pageBreakBefore w:val="0"/>
        <w:numPr>
          <w:ilvl w:val="0"/>
          <w:numId w:val="0"/>
        </w:numPr>
        <w:tabs>
          <w:tab w:val="left" w:pos="1276"/>
        </w:tabs>
        <w:kinsoku/>
        <w:wordWrap/>
        <w:overflowPunct/>
        <w:topLinePunct w:val="0"/>
        <w:autoSpaceDE/>
        <w:autoSpaceDN/>
        <w:bidi w:val="0"/>
        <w:snapToGrid/>
        <w:spacing w:line="360" w:lineRule="auto"/>
        <w:jc w:val="both"/>
        <w:rPr>
          <w:rFonts w:hint="default" w:ascii="Arial" w:hAnsi="Arial" w:cs="Arial"/>
          <w:sz w:val="22"/>
          <w:szCs w:val="22"/>
        </w:rPr>
      </w:pPr>
      <w:r>
        <w:rPr>
          <w:rFonts w:hint="default" w:ascii="Arial" w:hAnsi="Arial" w:cs="Arial"/>
          <w:b/>
          <w:bCs/>
          <w:sz w:val="22"/>
          <w:szCs w:val="22"/>
          <w:lang w:val="pt-BR"/>
        </w:rPr>
        <w:t>6.11.2.</w:t>
      </w:r>
      <w:r>
        <w:rPr>
          <w:rFonts w:hint="default" w:ascii="Arial" w:hAnsi="Arial" w:cs="Arial"/>
          <w:sz w:val="22"/>
          <w:szCs w:val="22"/>
          <w:lang w:val="pt-BR"/>
        </w:rPr>
        <w:t xml:space="preserve"> </w:t>
      </w:r>
      <w:r>
        <w:rPr>
          <w:rFonts w:hint="default" w:ascii="Arial" w:hAnsi="Arial" w:cs="Arial"/>
          <w:sz w:val="22"/>
          <w:szCs w:val="22"/>
        </w:rPr>
        <w:t>O prazo de vigência do Contrato para a prestação de serviços e assistência técnica, na modalidade on-site (no local) dos equipamentos, será de até 12 (doze) meses, a contar da data de emissão do Termo de Recebimento Definitivo</w:t>
      </w:r>
      <w:r>
        <w:rPr>
          <w:rFonts w:hint="default" w:ascii="Arial" w:hAnsi="Arial" w:cs="Arial"/>
          <w:sz w:val="22"/>
          <w:szCs w:val="22"/>
          <w:lang w:val="pt-BR"/>
        </w:rPr>
        <w:t xml:space="preserve">, </w:t>
      </w:r>
      <w:r>
        <w:rPr>
          <w:rFonts w:hint="default" w:ascii="Arial" w:hAnsi="Arial" w:cs="Arial"/>
          <w:sz w:val="22"/>
          <w:szCs w:val="22"/>
        </w:rPr>
        <w:t xml:space="preserve">podendo ser prorrogado, nos termos do Art. </w:t>
      </w:r>
      <w:r>
        <w:rPr>
          <w:rFonts w:hint="default" w:ascii="Arial" w:hAnsi="Arial" w:cs="Arial"/>
          <w:sz w:val="22"/>
          <w:szCs w:val="22"/>
          <w:lang w:val="pt-BR"/>
        </w:rPr>
        <w:t>105 a 107</w:t>
      </w:r>
      <w:r>
        <w:rPr>
          <w:rFonts w:hint="default" w:ascii="Arial" w:hAnsi="Arial" w:cs="Arial"/>
          <w:sz w:val="22"/>
          <w:szCs w:val="22"/>
        </w:rPr>
        <w:t xml:space="preserve"> da Lei nº </w:t>
      </w:r>
      <w:r>
        <w:rPr>
          <w:rFonts w:hint="default" w:ascii="Arial" w:hAnsi="Arial" w:cs="Arial"/>
          <w:sz w:val="22"/>
          <w:szCs w:val="22"/>
          <w:lang w:val="pt-BR"/>
        </w:rPr>
        <w:t>14.133/2021.</w:t>
      </w:r>
    </w:p>
    <w:p w14:paraId="66259421">
      <w:pPr>
        <w:pStyle w:val="128"/>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val="0"/>
          <w:bCs/>
          <w:sz w:val="22"/>
          <w:szCs w:val="22"/>
          <w:highlight w:val="none"/>
          <w:lang w:val="pt-BR"/>
        </w:rPr>
      </w:pPr>
    </w:p>
    <w:p w14:paraId="7A51A9E0">
      <w:pPr>
        <w:pStyle w:val="128"/>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6.12. APLICAÇÃO DE SANÇÕES ADMINISTRATIVAS:</w:t>
      </w:r>
    </w:p>
    <w:p w14:paraId="73AAFFA9">
      <w:pPr>
        <w:pStyle w:val="128"/>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 xml:space="preserve">6.12.1. </w:t>
      </w:r>
      <w:r>
        <w:rPr>
          <w:rFonts w:hint="default" w:ascii="Arial" w:hAnsi="Arial" w:cs="Arial"/>
          <w:b w:val="0"/>
          <w:bCs/>
          <w:sz w:val="22"/>
          <w:szCs w:val="22"/>
          <w:highlight w:val="none"/>
          <w:lang w:val="pt-BR"/>
        </w:rPr>
        <w:t>As sanções de que tratam  este Termo de Referência são aquelas descritas nos Art. 155 a 163 da Lei 14.133/2021 e no Decreto 360/2023.</w:t>
      </w:r>
    </w:p>
    <w:p w14:paraId="55F2926C">
      <w:pPr>
        <w:pStyle w:val="128"/>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val="0"/>
          <w:bCs/>
          <w:sz w:val="22"/>
          <w:szCs w:val="22"/>
          <w:highlight w:val="none"/>
          <w:lang w:val="pt-BR"/>
        </w:rPr>
      </w:pPr>
    </w:p>
    <w:p w14:paraId="506CD601">
      <w:pPr>
        <w:pStyle w:val="166"/>
        <w:pageBreakBefore w:val="0"/>
        <w:widowControl/>
        <w:kinsoku/>
        <w:wordWrap/>
        <w:overflowPunct/>
        <w:topLinePunct w:val="0"/>
        <w:autoSpaceDE/>
        <w:autoSpaceDN/>
        <w:bidi w:val="0"/>
        <w:adjustRightInd/>
        <w:snapToGrid/>
        <w:spacing w:before="0" w:after="0" w:line="360" w:lineRule="auto"/>
        <w:ind w:left="0" w:firstLine="0"/>
        <w:jc w:val="both"/>
        <w:textAlignment w:val="auto"/>
        <w:rPr>
          <w:rFonts w:hint="default" w:ascii="Arial" w:hAnsi="Arial" w:cs="Arial"/>
          <w:b/>
          <w:bCs/>
          <w:sz w:val="22"/>
          <w:szCs w:val="22"/>
        </w:rPr>
      </w:pPr>
      <w:r>
        <w:rPr>
          <w:rFonts w:hint="default" w:cs="Arial"/>
          <w:b/>
          <w:bCs/>
          <w:sz w:val="22"/>
          <w:szCs w:val="22"/>
          <w:lang w:val="pt-BR"/>
        </w:rPr>
        <w:t xml:space="preserve">6.12.2. </w:t>
      </w:r>
      <w:r>
        <w:rPr>
          <w:rFonts w:hint="default" w:ascii="Arial" w:hAnsi="Arial" w:cs="Arial"/>
          <w:b/>
          <w:bCs/>
          <w:sz w:val="22"/>
          <w:szCs w:val="22"/>
        </w:rPr>
        <w:t xml:space="preserve">PROCEDIMENTOS PARA APLICAÇÃO DE SANSÕES </w:t>
      </w:r>
    </w:p>
    <w:p w14:paraId="74D0830E">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6.12.2.1. </w:t>
      </w:r>
      <w:r>
        <w:rPr>
          <w:rFonts w:hint="default" w:ascii="Arial" w:hAnsi="Arial" w:cs="Arial"/>
          <w:sz w:val="22"/>
          <w:szCs w:val="22"/>
        </w:rPr>
        <w:t>As multas deverão ser aplicadas à CONTRATADA, em caso de descumprimento das cláusulas, conforme planilha abaixo:</w:t>
      </w:r>
    </w:p>
    <w:p w14:paraId="6A3603F4">
      <w:pPr>
        <w:pStyle w:val="165"/>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Chars="0"/>
        <w:jc w:val="both"/>
        <w:textAlignment w:val="auto"/>
        <w:rPr>
          <w:rFonts w:hint="default" w:ascii="Arial" w:hAnsi="Arial" w:cs="Arial"/>
          <w:sz w:val="22"/>
          <w:szCs w:val="22"/>
        </w:rPr>
      </w:pPr>
    </w:p>
    <w:tbl>
      <w:tblPr>
        <w:tblStyle w:val="10"/>
        <w:tblW w:w="5820" w:type="dxa"/>
        <w:jc w:val="center"/>
        <w:tblLayout w:type="autofit"/>
        <w:tblCellMar>
          <w:top w:w="0" w:type="dxa"/>
          <w:left w:w="70" w:type="dxa"/>
          <w:bottom w:w="0" w:type="dxa"/>
          <w:right w:w="70" w:type="dxa"/>
        </w:tblCellMar>
      </w:tblPr>
      <w:tblGrid>
        <w:gridCol w:w="3980"/>
        <w:gridCol w:w="1840"/>
      </w:tblGrid>
      <w:tr w14:paraId="080B7759">
        <w:tblPrEx>
          <w:tblCellMar>
            <w:top w:w="0" w:type="dxa"/>
            <w:left w:w="70" w:type="dxa"/>
            <w:bottom w:w="0" w:type="dxa"/>
            <w:right w:w="70" w:type="dxa"/>
          </w:tblCellMar>
        </w:tblPrEx>
        <w:trPr>
          <w:trHeight w:val="330" w:hRule="atLeast"/>
          <w:jc w:val="center"/>
        </w:trPr>
        <w:tc>
          <w:tcPr>
            <w:tcW w:w="5820" w:type="dxa"/>
            <w:gridSpan w:val="2"/>
            <w:tcBorders>
              <w:top w:val="single" w:color="auto" w:sz="4" w:space="0"/>
              <w:left w:val="single" w:color="auto" w:sz="4" w:space="0"/>
              <w:bottom w:val="single" w:color="auto" w:sz="4" w:space="0"/>
              <w:right w:val="single" w:color="auto" w:sz="4" w:space="0"/>
            </w:tcBorders>
            <w:shd w:val="clear" w:color="000000" w:fill="7F7F7F"/>
            <w:noWrap w:val="0"/>
            <w:vAlign w:val="center"/>
          </w:tcPr>
          <w:p w14:paraId="257D39C8">
            <w:pPr>
              <w:spacing w:after="0"/>
              <w:jc w:val="center"/>
              <w:rPr>
                <w:rFonts w:hint="default" w:ascii="Arial" w:hAnsi="Arial" w:eastAsia="Times New Roman" w:cs="Arial"/>
                <w:b/>
                <w:bCs/>
                <w:color w:val="FFFFFF"/>
                <w:sz w:val="22"/>
                <w:szCs w:val="22"/>
                <w:lang w:eastAsia="pt-BR"/>
              </w:rPr>
            </w:pPr>
            <w:r>
              <w:rPr>
                <w:rFonts w:hint="default" w:ascii="Arial" w:hAnsi="Arial" w:eastAsia="Times New Roman" w:cs="Arial"/>
                <w:b/>
                <w:bCs/>
                <w:color w:val="FFFFFF"/>
                <w:sz w:val="22"/>
                <w:szCs w:val="22"/>
                <w:lang w:eastAsia="pt-BR"/>
              </w:rPr>
              <w:t>TABELA 1 - PERCENTAGEM</w:t>
            </w:r>
          </w:p>
        </w:tc>
      </w:tr>
      <w:tr w14:paraId="10D1E04A">
        <w:tblPrEx>
          <w:tblCellMar>
            <w:top w:w="0" w:type="dxa"/>
            <w:left w:w="70" w:type="dxa"/>
            <w:bottom w:w="0" w:type="dxa"/>
            <w:right w:w="70" w:type="dxa"/>
          </w:tblCellMar>
        </w:tblPrEx>
        <w:trPr>
          <w:trHeight w:val="330" w:hRule="atLeast"/>
          <w:jc w:val="center"/>
        </w:trPr>
        <w:tc>
          <w:tcPr>
            <w:tcW w:w="3980" w:type="dxa"/>
            <w:tcBorders>
              <w:top w:val="single" w:color="auto" w:sz="4" w:space="0"/>
              <w:left w:val="single" w:color="auto" w:sz="4" w:space="0"/>
              <w:bottom w:val="single" w:color="auto" w:sz="4" w:space="0"/>
              <w:right w:val="single" w:color="auto" w:sz="4" w:space="0"/>
            </w:tcBorders>
            <w:shd w:val="clear" w:color="000000" w:fill="BFBFBF"/>
            <w:noWrap w:val="0"/>
            <w:vAlign w:val="center"/>
          </w:tcPr>
          <w:p w14:paraId="58EAACE9">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GRAU</w:t>
            </w:r>
          </w:p>
        </w:tc>
        <w:tc>
          <w:tcPr>
            <w:tcW w:w="1840" w:type="dxa"/>
            <w:tcBorders>
              <w:top w:val="single" w:color="auto" w:sz="4" w:space="0"/>
              <w:left w:val="single" w:color="auto" w:sz="4" w:space="0"/>
              <w:bottom w:val="single" w:color="auto" w:sz="4" w:space="0"/>
              <w:right w:val="single" w:color="auto" w:sz="4" w:space="0"/>
            </w:tcBorders>
            <w:shd w:val="clear" w:color="000000" w:fill="BFBFBF"/>
            <w:noWrap w:val="0"/>
            <w:vAlign w:val="center"/>
          </w:tcPr>
          <w:p w14:paraId="3D8276FE">
            <w:pPr>
              <w:spacing w:after="0"/>
              <w:ind w:firstLine="748" w:firstLineChars="34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w:t>
            </w:r>
          </w:p>
        </w:tc>
      </w:tr>
      <w:tr w14:paraId="750C0C16">
        <w:tblPrEx>
          <w:tblCellMar>
            <w:top w:w="0" w:type="dxa"/>
            <w:left w:w="70" w:type="dxa"/>
            <w:bottom w:w="0" w:type="dxa"/>
            <w:right w:w="70" w:type="dxa"/>
          </w:tblCellMar>
        </w:tblPrEx>
        <w:trPr>
          <w:trHeight w:val="330" w:hRule="atLeast"/>
          <w:jc w:val="center"/>
        </w:trPr>
        <w:tc>
          <w:tcPr>
            <w:tcW w:w="3980"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16387AD5">
            <w:pPr>
              <w:spacing w:after="0"/>
              <w:ind w:left="337"/>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1 – BAIXO</w:t>
            </w:r>
          </w:p>
        </w:tc>
        <w:tc>
          <w:tcPr>
            <w:tcW w:w="1840"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3656530D">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3%</w:t>
            </w:r>
          </w:p>
        </w:tc>
      </w:tr>
      <w:tr w14:paraId="47F71BF7">
        <w:tblPrEx>
          <w:tblCellMar>
            <w:top w:w="0" w:type="dxa"/>
            <w:left w:w="70" w:type="dxa"/>
            <w:bottom w:w="0" w:type="dxa"/>
            <w:right w:w="70" w:type="dxa"/>
          </w:tblCellMar>
        </w:tblPrEx>
        <w:trPr>
          <w:trHeight w:val="330" w:hRule="atLeast"/>
          <w:jc w:val="center"/>
        </w:trPr>
        <w:tc>
          <w:tcPr>
            <w:tcW w:w="3980"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451A7A06">
            <w:pPr>
              <w:spacing w:after="0"/>
              <w:ind w:left="337"/>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2 – MEDIO</w:t>
            </w:r>
          </w:p>
        </w:tc>
        <w:tc>
          <w:tcPr>
            <w:tcW w:w="1840"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5F152DA7">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5%</w:t>
            </w:r>
          </w:p>
        </w:tc>
      </w:tr>
      <w:tr w14:paraId="1782DF39">
        <w:tblPrEx>
          <w:tblCellMar>
            <w:top w:w="0" w:type="dxa"/>
            <w:left w:w="70" w:type="dxa"/>
            <w:bottom w:w="0" w:type="dxa"/>
            <w:right w:w="70" w:type="dxa"/>
          </w:tblCellMar>
        </w:tblPrEx>
        <w:trPr>
          <w:trHeight w:val="330" w:hRule="atLeast"/>
          <w:jc w:val="center"/>
        </w:trPr>
        <w:tc>
          <w:tcPr>
            <w:tcW w:w="3980"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43D2DE04">
            <w:pPr>
              <w:spacing w:after="0"/>
              <w:ind w:left="337"/>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3 – ALTO</w:t>
            </w:r>
          </w:p>
        </w:tc>
        <w:tc>
          <w:tcPr>
            <w:tcW w:w="1840"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1CCA97F9">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10%</w:t>
            </w:r>
          </w:p>
        </w:tc>
      </w:tr>
      <w:tr w14:paraId="3C1484A3">
        <w:tblPrEx>
          <w:tblCellMar>
            <w:top w:w="0" w:type="dxa"/>
            <w:left w:w="70" w:type="dxa"/>
            <w:bottom w:w="0" w:type="dxa"/>
            <w:right w:w="70" w:type="dxa"/>
          </w:tblCellMar>
        </w:tblPrEx>
        <w:trPr>
          <w:trHeight w:val="330" w:hRule="atLeast"/>
          <w:jc w:val="center"/>
        </w:trPr>
        <w:tc>
          <w:tcPr>
            <w:tcW w:w="3980"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0E2B7494">
            <w:pPr>
              <w:spacing w:after="0"/>
              <w:ind w:left="337"/>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4 –</w:t>
            </w:r>
            <w:r>
              <w:rPr>
                <w:rFonts w:hint="default" w:ascii="Arial" w:hAnsi="Arial" w:eastAsia="Times New Roman" w:cs="Arial"/>
                <w:b/>
                <w:bCs/>
                <w:color w:val="000000"/>
                <w:sz w:val="22"/>
                <w:szCs w:val="22"/>
                <w:lang w:val="en-US" w:eastAsia="pt-BR"/>
              </w:rPr>
              <w:t xml:space="preserve"> </w:t>
            </w:r>
            <w:r>
              <w:rPr>
                <w:rFonts w:hint="default" w:ascii="Arial" w:hAnsi="Arial" w:eastAsia="Times New Roman" w:cs="Arial"/>
                <w:b/>
                <w:bCs/>
                <w:color w:val="000000"/>
                <w:sz w:val="22"/>
                <w:szCs w:val="22"/>
                <w:lang w:eastAsia="pt-BR"/>
              </w:rPr>
              <w:t>ALTÍSSIMO</w:t>
            </w:r>
          </w:p>
        </w:tc>
        <w:tc>
          <w:tcPr>
            <w:tcW w:w="1840"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1B7E48DA">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20%</w:t>
            </w:r>
          </w:p>
        </w:tc>
      </w:tr>
    </w:tbl>
    <w:p w14:paraId="2ACB63A0">
      <w:pPr>
        <w:tabs>
          <w:tab w:val="left" w:pos="1276"/>
        </w:tabs>
        <w:jc w:val="both"/>
        <w:rPr>
          <w:rFonts w:hint="default" w:ascii="Arial" w:hAnsi="Arial" w:cs="Arial"/>
          <w:sz w:val="22"/>
          <w:szCs w:val="22"/>
        </w:rPr>
      </w:pPr>
    </w:p>
    <w:p w14:paraId="564AAC37">
      <w:pPr>
        <w:tabs>
          <w:tab w:val="left" w:pos="1276"/>
        </w:tabs>
        <w:jc w:val="both"/>
        <w:rPr>
          <w:rFonts w:hint="default" w:ascii="Arial" w:hAnsi="Arial" w:cs="Arial"/>
          <w:sz w:val="22"/>
          <w:szCs w:val="22"/>
        </w:rPr>
      </w:pPr>
    </w:p>
    <w:p w14:paraId="68C3F8D8">
      <w:pPr>
        <w:tabs>
          <w:tab w:val="left" w:pos="1276"/>
        </w:tabs>
        <w:jc w:val="both"/>
        <w:rPr>
          <w:rFonts w:hint="default" w:ascii="Arial" w:hAnsi="Arial" w:cs="Arial"/>
          <w:sz w:val="22"/>
          <w:szCs w:val="22"/>
        </w:rPr>
      </w:pPr>
    </w:p>
    <w:tbl>
      <w:tblPr>
        <w:tblStyle w:val="10"/>
        <w:tblpPr w:leftFromText="180" w:rightFromText="180" w:vertAnchor="text" w:horzAnchor="page" w:tblpX="2224" w:tblpY="493"/>
        <w:tblOverlap w:val="never"/>
        <w:tblW w:w="7796" w:type="dxa"/>
        <w:tblInd w:w="0" w:type="dxa"/>
        <w:tblLayout w:type="autofit"/>
        <w:tblCellMar>
          <w:top w:w="0" w:type="dxa"/>
          <w:left w:w="70" w:type="dxa"/>
          <w:bottom w:w="0" w:type="dxa"/>
          <w:right w:w="70" w:type="dxa"/>
        </w:tblCellMar>
      </w:tblPr>
      <w:tblGrid>
        <w:gridCol w:w="424"/>
        <w:gridCol w:w="6584"/>
        <w:gridCol w:w="788"/>
      </w:tblGrid>
      <w:tr w14:paraId="5A2AF988">
        <w:tblPrEx>
          <w:tblCellMar>
            <w:top w:w="0" w:type="dxa"/>
            <w:left w:w="70" w:type="dxa"/>
            <w:bottom w:w="0" w:type="dxa"/>
            <w:right w:w="70" w:type="dxa"/>
          </w:tblCellMar>
        </w:tblPrEx>
        <w:trPr>
          <w:trHeight w:val="330" w:hRule="atLeast"/>
        </w:trPr>
        <w:tc>
          <w:tcPr>
            <w:tcW w:w="7796" w:type="dxa"/>
            <w:gridSpan w:val="3"/>
            <w:tcBorders>
              <w:top w:val="single" w:color="auto" w:sz="4" w:space="0"/>
              <w:left w:val="single" w:color="auto" w:sz="4" w:space="0"/>
              <w:bottom w:val="single" w:color="auto" w:sz="4" w:space="0"/>
              <w:right w:val="single" w:color="auto" w:sz="4" w:space="0"/>
            </w:tcBorders>
            <w:shd w:val="clear" w:color="000000" w:fill="7F7F7F"/>
            <w:noWrap w:val="0"/>
            <w:vAlign w:val="center"/>
          </w:tcPr>
          <w:p w14:paraId="32E9EDC4">
            <w:pPr>
              <w:spacing w:after="0"/>
              <w:jc w:val="center"/>
              <w:rPr>
                <w:rFonts w:hint="default" w:ascii="Arial" w:hAnsi="Arial" w:eastAsia="Times New Roman" w:cs="Arial"/>
                <w:b/>
                <w:bCs/>
                <w:color w:val="FFFFFF"/>
                <w:sz w:val="22"/>
                <w:szCs w:val="22"/>
                <w:lang w:eastAsia="pt-BR"/>
              </w:rPr>
            </w:pPr>
            <w:r>
              <w:rPr>
                <w:rFonts w:hint="default" w:ascii="Arial" w:hAnsi="Arial" w:eastAsia="Times New Roman" w:cs="Arial"/>
                <w:b/>
                <w:bCs/>
                <w:color w:val="FFFFFF"/>
                <w:sz w:val="22"/>
                <w:szCs w:val="22"/>
                <w:lang w:eastAsia="pt-BR"/>
              </w:rPr>
              <w:t>TABELA 2 – INFRAÇÃO/GRADUAÇÃO</w:t>
            </w:r>
          </w:p>
        </w:tc>
      </w:tr>
      <w:tr w14:paraId="67AAFAC4">
        <w:tblPrEx>
          <w:tblCellMar>
            <w:top w:w="0" w:type="dxa"/>
            <w:left w:w="70" w:type="dxa"/>
            <w:bottom w:w="0" w:type="dxa"/>
            <w:right w:w="70" w:type="dxa"/>
          </w:tblCellMar>
        </w:tblPrEx>
        <w:trPr>
          <w:trHeight w:val="330" w:hRule="atLeast"/>
        </w:trPr>
        <w:tc>
          <w:tcPr>
            <w:tcW w:w="424" w:type="dxa"/>
            <w:tcBorders>
              <w:top w:val="single" w:color="auto" w:sz="4" w:space="0"/>
              <w:left w:val="single" w:color="auto" w:sz="4" w:space="0"/>
              <w:bottom w:val="single" w:color="auto" w:sz="4" w:space="0"/>
              <w:right w:val="single" w:color="auto" w:sz="4" w:space="0"/>
            </w:tcBorders>
            <w:shd w:val="clear" w:color="000000" w:fill="BFBFBF"/>
            <w:noWrap w:val="0"/>
            <w:vAlign w:val="center"/>
          </w:tcPr>
          <w:p w14:paraId="5C499D7C">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N</w:t>
            </w:r>
          </w:p>
        </w:tc>
        <w:tc>
          <w:tcPr>
            <w:tcW w:w="6584" w:type="dxa"/>
            <w:tcBorders>
              <w:top w:val="single" w:color="auto" w:sz="4" w:space="0"/>
              <w:left w:val="single" w:color="auto" w:sz="4" w:space="0"/>
              <w:bottom w:val="single" w:color="auto" w:sz="4" w:space="0"/>
              <w:right w:val="single" w:color="auto" w:sz="4" w:space="0"/>
            </w:tcBorders>
            <w:shd w:val="clear" w:color="000000" w:fill="BFBFBF"/>
            <w:noWrap w:val="0"/>
            <w:vAlign w:val="center"/>
          </w:tcPr>
          <w:p w14:paraId="6BB573A5">
            <w:pPr>
              <w:spacing w:after="0"/>
              <w:ind w:firstLine="201"/>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INFRAÇÃO</w:t>
            </w:r>
          </w:p>
        </w:tc>
        <w:tc>
          <w:tcPr>
            <w:tcW w:w="788" w:type="dxa"/>
            <w:tcBorders>
              <w:top w:val="single" w:color="auto" w:sz="4" w:space="0"/>
              <w:left w:val="single" w:color="auto" w:sz="4" w:space="0"/>
              <w:bottom w:val="single" w:color="auto" w:sz="4" w:space="0"/>
              <w:right w:val="single" w:color="auto" w:sz="4" w:space="0"/>
            </w:tcBorders>
            <w:shd w:val="clear" w:color="000000" w:fill="BFBFBF"/>
            <w:noWrap w:val="0"/>
            <w:vAlign w:val="center"/>
          </w:tcPr>
          <w:p w14:paraId="79F1C583">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GRAU</w:t>
            </w:r>
          </w:p>
        </w:tc>
      </w:tr>
      <w:tr w14:paraId="11174A94">
        <w:tblPrEx>
          <w:tblCellMar>
            <w:top w:w="0" w:type="dxa"/>
            <w:left w:w="70" w:type="dxa"/>
            <w:bottom w:w="0" w:type="dxa"/>
            <w:right w:w="70" w:type="dxa"/>
          </w:tblCellMar>
        </w:tblPrEx>
        <w:trPr>
          <w:trHeight w:val="630" w:hRule="atLeast"/>
        </w:trPr>
        <w:tc>
          <w:tcPr>
            <w:tcW w:w="424" w:type="dxa"/>
            <w:vMerge w:val="restart"/>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2F08975F">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1</w:t>
            </w: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490CF1A7">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Descrição:</w:t>
            </w:r>
            <w:r>
              <w:rPr>
                <w:rFonts w:hint="default" w:ascii="Arial" w:hAnsi="Arial" w:eastAsia="Times New Roman" w:cs="Arial"/>
                <w:color w:val="000000"/>
                <w:sz w:val="22"/>
                <w:szCs w:val="22"/>
                <w:lang w:eastAsia="pt-BR"/>
              </w:rPr>
              <w:t xml:space="preserve"> Descumprimento do prazo de entrega do projeto executivo estabelecido no item </w:t>
            </w:r>
            <w:r>
              <w:rPr>
                <w:rFonts w:hint="default" w:ascii="Arial" w:hAnsi="Arial" w:eastAsia="Times New Roman" w:cs="Arial"/>
                <w:color w:val="000000"/>
                <w:sz w:val="22"/>
                <w:szCs w:val="22"/>
                <w:highlight w:val="none"/>
                <w:lang w:eastAsia="pt-BR"/>
              </w:rPr>
              <w:t>“</w:t>
            </w:r>
            <w:r>
              <w:rPr>
                <w:rFonts w:hint="default" w:ascii="Arial" w:hAnsi="Arial" w:eastAsia="Times New Roman" w:cs="Arial"/>
                <w:color w:val="000000"/>
                <w:sz w:val="22"/>
                <w:szCs w:val="22"/>
                <w:highlight w:val="none"/>
                <w:lang w:val="en-US" w:eastAsia="pt-BR"/>
              </w:rPr>
              <w:t>6</w:t>
            </w:r>
            <w:r>
              <w:rPr>
                <w:rFonts w:hint="default" w:ascii="Arial" w:hAnsi="Arial" w:eastAsia="Times New Roman" w:cs="Arial"/>
                <w:color w:val="000000"/>
                <w:sz w:val="22"/>
                <w:szCs w:val="22"/>
                <w:highlight w:val="none"/>
                <w:lang w:eastAsia="pt-BR"/>
              </w:rPr>
              <w:t>.3</w:t>
            </w:r>
            <w:r>
              <w:rPr>
                <w:rFonts w:hint="default" w:ascii="Arial" w:hAnsi="Arial" w:eastAsia="Times New Roman" w:cs="Arial"/>
                <w:color w:val="000000"/>
                <w:sz w:val="22"/>
                <w:szCs w:val="22"/>
                <w:lang w:eastAsia="pt-BR"/>
              </w:rPr>
              <w:t xml:space="preserve"> </w:t>
            </w:r>
            <w:r>
              <w:rPr>
                <w:rFonts w:hint="default" w:ascii="Arial" w:hAnsi="Arial" w:eastAsia="Times New Roman" w:cs="Arial"/>
                <w:color w:val="000000"/>
                <w:sz w:val="22"/>
                <w:szCs w:val="22"/>
                <w:lang w:val="en-US" w:eastAsia="pt-BR"/>
              </w:rPr>
              <w:t xml:space="preserve">até 6.3.11 </w:t>
            </w:r>
            <w:r>
              <w:rPr>
                <w:rFonts w:hint="default" w:ascii="Arial" w:hAnsi="Arial" w:eastAsia="Times New Roman" w:cs="Arial"/>
                <w:color w:val="000000"/>
                <w:sz w:val="22"/>
                <w:szCs w:val="22"/>
                <w:lang w:eastAsia="pt-BR"/>
              </w:rPr>
              <w:t>– Prazos e condições”.</w:t>
            </w:r>
          </w:p>
        </w:tc>
        <w:tc>
          <w:tcPr>
            <w:tcW w:w="788" w:type="dxa"/>
            <w:vMerge w:val="restart"/>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0389003E">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4</w:t>
            </w:r>
          </w:p>
        </w:tc>
      </w:tr>
      <w:tr w14:paraId="38C87EC7">
        <w:tblPrEx>
          <w:tblCellMar>
            <w:top w:w="0" w:type="dxa"/>
            <w:left w:w="70" w:type="dxa"/>
            <w:bottom w:w="0" w:type="dxa"/>
            <w:right w:w="70" w:type="dxa"/>
          </w:tblCellMar>
        </w:tblPrEx>
        <w:trPr>
          <w:trHeight w:val="330" w:hRule="atLeast"/>
        </w:trPr>
        <w:tc>
          <w:tcPr>
            <w:tcW w:w="424" w:type="dxa"/>
            <w:vMerge w:val="continue"/>
            <w:tcBorders>
              <w:top w:val="single" w:color="auto" w:sz="4" w:space="0"/>
              <w:left w:val="single" w:color="auto" w:sz="4" w:space="0"/>
              <w:bottom w:val="single" w:color="auto" w:sz="4" w:space="0"/>
              <w:right w:val="single" w:color="auto" w:sz="4" w:space="0"/>
            </w:tcBorders>
            <w:noWrap w:val="0"/>
            <w:vAlign w:val="center"/>
          </w:tcPr>
          <w:p w14:paraId="40B54D65">
            <w:pPr>
              <w:spacing w:after="0"/>
              <w:jc w:val="center"/>
              <w:rPr>
                <w:rFonts w:hint="default" w:ascii="Arial" w:hAnsi="Arial" w:eastAsia="Times New Roman" w:cs="Arial"/>
                <w:b/>
                <w:bCs/>
                <w:color w:val="000000"/>
                <w:sz w:val="22"/>
                <w:szCs w:val="22"/>
                <w:lang w:eastAsia="pt-BR"/>
              </w:rPr>
            </w:pP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1F005CD2">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 xml:space="preserve">Unidade Temporal: </w:t>
            </w:r>
            <w:r>
              <w:rPr>
                <w:rFonts w:hint="default" w:ascii="Arial" w:hAnsi="Arial" w:eastAsia="Times New Roman" w:cs="Arial"/>
                <w:color w:val="000000"/>
                <w:sz w:val="22"/>
                <w:szCs w:val="22"/>
                <w:lang w:eastAsia="pt-BR"/>
              </w:rPr>
              <w:t>% do GRAU de INFRAÇÃO por dia de atraso, limitado a 10%.</w:t>
            </w:r>
          </w:p>
        </w:tc>
        <w:tc>
          <w:tcPr>
            <w:tcW w:w="788" w:type="dxa"/>
            <w:vMerge w:val="continue"/>
            <w:tcBorders>
              <w:top w:val="single" w:color="auto" w:sz="4" w:space="0"/>
              <w:left w:val="single" w:color="auto" w:sz="4" w:space="0"/>
              <w:bottom w:val="single" w:color="auto" w:sz="4" w:space="0"/>
              <w:right w:val="single" w:color="auto" w:sz="4" w:space="0"/>
            </w:tcBorders>
            <w:noWrap w:val="0"/>
            <w:vAlign w:val="center"/>
          </w:tcPr>
          <w:p w14:paraId="1938E4E4">
            <w:pPr>
              <w:spacing w:after="0"/>
              <w:jc w:val="center"/>
              <w:rPr>
                <w:rFonts w:hint="default" w:ascii="Arial" w:hAnsi="Arial" w:eastAsia="Times New Roman" w:cs="Arial"/>
                <w:b/>
                <w:bCs/>
                <w:color w:val="000000"/>
                <w:sz w:val="22"/>
                <w:szCs w:val="22"/>
                <w:lang w:eastAsia="pt-BR"/>
              </w:rPr>
            </w:pPr>
          </w:p>
        </w:tc>
      </w:tr>
      <w:tr w14:paraId="6C281846">
        <w:tblPrEx>
          <w:tblCellMar>
            <w:top w:w="0" w:type="dxa"/>
            <w:left w:w="70" w:type="dxa"/>
            <w:bottom w:w="0" w:type="dxa"/>
            <w:right w:w="70" w:type="dxa"/>
          </w:tblCellMar>
        </w:tblPrEx>
        <w:trPr>
          <w:trHeight w:val="330" w:hRule="atLeast"/>
        </w:trPr>
        <w:tc>
          <w:tcPr>
            <w:tcW w:w="424" w:type="dxa"/>
            <w:vMerge w:val="continue"/>
            <w:tcBorders>
              <w:top w:val="single" w:color="auto" w:sz="4" w:space="0"/>
              <w:left w:val="single" w:color="auto" w:sz="4" w:space="0"/>
              <w:bottom w:val="single" w:color="auto" w:sz="4" w:space="0"/>
              <w:right w:val="single" w:color="auto" w:sz="4" w:space="0"/>
            </w:tcBorders>
            <w:noWrap w:val="0"/>
            <w:vAlign w:val="center"/>
          </w:tcPr>
          <w:p w14:paraId="10CB504D">
            <w:pPr>
              <w:spacing w:after="0"/>
              <w:jc w:val="center"/>
              <w:rPr>
                <w:rFonts w:hint="default" w:ascii="Arial" w:hAnsi="Arial" w:eastAsia="Times New Roman" w:cs="Arial"/>
                <w:b/>
                <w:bCs/>
                <w:color w:val="000000"/>
                <w:sz w:val="22"/>
                <w:szCs w:val="22"/>
                <w:lang w:eastAsia="pt-BR"/>
              </w:rPr>
            </w:pP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2A7A1FBA">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 xml:space="preserve">Correspondência: </w:t>
            </w:r>
            <w:r>
              <w:rPr>
                <w:rFonts w:hint="default" w:ascii="Arial" w:hAnsi="Arial" w:eastAsia="Times New Roman" w:cs="Arial"/>
                <w:color w:val="000000"/>
                <w:sz w:val="22"/>
                <w:szCs w:val="22"/>
                <w:lang w:eastAsia="pt-BR"/>
              </w:rPr>
              <w:t>sobre o valor do Item.</w:t>
            </w:r>
          </w:p>
        </w:tc>
        <w:tc>
          <w:tcPr>
            <w:tcW w:w="788" w:type="dxa"/>
            <w:vMerge w:val="continue"/>
            <w:tcBorders>
              <w:top w:val="single" w:color="auto" w:sz="4" w:space="0"/>
              <w:left w:val="single" w:color="auto" w:sz="4" w:space="0"/>
              <w:bottom w:val="single" w:color="auto" w:sz="4" w:space="0"/>
              <w:right w:val="single" w:color="auto" w:sz="4" w:space="0"/>
            </w:tcBorders>
            <w:noWrap w:val="0"/>
            <w:vAlign w:val="center"/>
          </w:tcPr>
          <w:p w14:paraId="39AA5CBC">
            <w:pPr>
              <w:spacing w:after="0"/>
              <w:jc w:val="center"/>
              <w:rPr>
                <w:rFonts w:hint="default" w:ascii="Arial" w:hAnsi="Arial" w:eastAsia="Times New Roman" w:cs="Arial"/>
                <w:b/>
                <w:bCs/>
                <w:color w:val="000000"/>
                <w:sz w:val="22"/>
                <w:szCs w:val="22"/>
                <w:lang w:eastAsia="pt-BR"/>
              </w:rPr>
            </w:pPr>
          </w:p>
        </w:tc>
      </w:tr>
      <w:tr w14:paraId="614BE937">
        <w:tblPrEx>
          <w:tblCellMar>
            <w:top w:w="0" w:type="dxa"/>
            <w:left w:w="70" w:type="dxa"/>
            <w:bottom w:w="0" w:type="dxa"/>
            <w:right w:w="70" w:type="dxa"/>
          </w:tblCellMar>
        </w:tblPrEx>
        <w:trPr>
          <w:trHeight w:val="930" w:hRule="atLeast"/>
        </w:trPr>
        <w:tc>
          <w:tcPr>
            <w:tcW w:w="424" w:type="dxa"/>
            <w:vMerge w:val="restart"/>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270BE00C">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2</w:t>
            </w: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1544CB28">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Descrição:</w:t>
            </w:r>
            <w:r>
              <w:rPr>
                <w:rFonts w:hint="default" w:ascii="Arial" w:hAnsi="Arial" w:eastAsia="Times New Roman" w:cs="Arial"/>
                <w:color w:val="000000"/>
                <w:sz w:val="22"/>
                <w:szCs w:val="22"/>
                <w:lang w:eastAsia="pt-BR"/>
              </w:rPr>
              <w:t xml:space="preserve"> Descumprimento do prazo de reunião inicial com a PREFEITURA afim de levantar as necessidades de projeto para subsidiar a elaboração do projeto executivo, conforme prazo estabelecido no item “</w:t>
            </w:r>
            <w:r>
              <w:rPr>
                <w:rFonts w:hint="default" w:ascii="Arial" w:hAnsi="Arial" w:eastAsia="Times New Roman" w:cs="Arial"/>
                <w:color w:val="000000"/>
                <w:sz w:val="22"/>
                <w:szCs w:val="22"/>
                <w:highlight w:val="none"/>
                <w:lang w:val="en-US" w:eastAsia="pt-BR"/>
              </w:rPr>
              <w:t>6</w:t>
            </w:r>
            <w:r>
              <w:rPr>
                <w:rFonts w:hint="default" w:ascii="Arial" w:hAnsi="Arial" w:eastAsia="Times New Roman" w:cs="Arial"/>
                <w:color w:val="000000"/>
                <w:sz w:val="22"/>
                <w:szCs w:val="22"/>
                <w:highlight w:val="none"/>
                <w:lang w:eastAsia="pt-BR"/>
              </w:rPr>
              <w:t>.3</w:t>
            </w:r>
            <w:r>
              <w:rPr>
                <w:rFonts w:hint="default" w:ascii="Arial" w:hAnsi="Arial" w:eastAsia="Times New Roman" w:cs="Arial"/>
                <w:color w:val="000000"/>
                <w:sz w:val="22"/>
                <w:szCs w:val="22"/>
                <w:lang w:eastAsia="pt-BR"/>
              </w:rPr>
              <w:t xml:space="preserve"> </w:t>
            </w:r>
            <w:r>
              <w:rPr>
                <w:rFonts w:hint="default" w:ascii="Arial" w:hAnsi="Arial" w:eastAsia="Times New Roman" w:cs="Arial"/>
                <w:color w:val="000000"/>
                <w:sz w:val="22"/>
                <w:szCs w:val="22"/>
                <w:lang w:val="en-US" w:eastAsia="pt-BR"/>
              </w:rPr>
              <w:t>até 6.3.11</w:t>
            </w:r>
            <w:r>
              <w:rPr>
                <w:rFonts w:hint="default" w:ascii="Arial" w:hAnsi="Arial" w:eastAsia="Times New Roman" w:cs="Arial"/>
                <w:color w:val="000000"/>
                <w:sz w:val="22"/>
                <w:szCs w:val="22"/>
                <w:lang w:eastAsia="pt-BR"/>
              </w:rPr>
              <w:t xml:space="preserve"> – Prazos e condições”.</w:t>
            </w:r>
          </w:p>
        </w:tc>
        <w:tc>
          <w:tcPr>
            <w:tcW w:w="788" w:type="dxa"/>
            <w:vMerge w:val="restart"/>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49DFA806">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2</w:t>
            </w:r>
          </w:p>
        </w:tc>
      </w:tr>
      <w:tr w14:paraId="469AE1AD">
        <w:tblPrEx>
          <w:tblCellMar>
            <w:top w:w="0" w:type="dxa"/>
            <w:left w:w="70" w:type="dxa"/>
            <w:bottom w:w="0" w:type="dxa"/>
            <w:right w:w="70" w:type="dxa"/>
          </w:tblCellMar>
        </w:tblPrEx>
        <w:trPr>
          <w:trHeight w:val="330" w:hRule="atLeast"/>
        </w:trPr>
        <w:tc>
          <w:tcPr>
            <w:tcW w:w="424" w:type="dxa"/>
            <w:vMerge w:val="continue"/>
            <w:tcBorders>
              <w:top w:val="single" w:color="auto" w:sz="4" w:space="0"/>
              <w:left w:val="single" w:color="auto" w:sz="4" w:space="0"/>
              <w:bottom w:val="single" w:color="auto" w:sz="4" w:space="0"/>
              <w:right w:val="single" w:color="auto" w:sz="4" w:space="0"/>
            </w:tcBorders>
            <w:noWrap w:val="0"/>
            <w:vAlign w:val="center"/>
          </w:tcPr>
          <w:p w14:paraId="11EBA082">
            <w:pPr>
              <w:spacing w:after="0"/>
              <w:jc w:val="both"/>
              <w:rPr>
                <w:rFonts w:hint="default" w:ascii="Arial" w:hAnsi="Arial" w:eastAsia="Times New Roman" w:cs="Arial"/>
                <w:b/>
                <w:bCs/>
                <w:color w:val="000000"/>
                <w:sz w:val="22"/>
                <w:szCs w:val="22"/>
                <w:lang w:eastAsia="pt-BR"/>
              </w:rPr>
            </w:pP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6099C3A6">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 xml:space="preserve">Unidade Temporal: </w:t>
            </w:r>
            <w:r>
              <w:rPr>
                <w:rFonts w:hint="default" w:ascii="Arial" w:hAnsi="Arial" w:eastAsia="Times New Roman" w:cs="Arial"/>
                <w:color w:val="000000"/>
                <w:sz w:val="22"/>
                <w:szCs w:val="22"/>
                <w:lang w:eastAsia="pt-BR"/>
              </w:rPr>
              <w:t>% do GRAU de INFRAÇÃO por dia de atraso, limitado a 1,25%.</w:t>
            </w:r>
          </w:p>
        </w:tc>
        <w:tc>
          <w:tcPr>
            <w:tcW w:w="788" w:type="dxa"/>
            <w:vMerge w:val="continue"/>
            <w:tcBorders>
              <w:top w:val="single" w:color="auto" w:sz="4" w:space="0"/>
              <w:left w:val="single" w:color="auto" w:sz="4" w:space="0"/>
              <w:bottom w:val="single" w:color="auto" w:sz="4" w:space="0"/>
              <w:right w:val="single" w:color="auto" w:sz="4" w:space="0"/>
            </w:tcBorders>
            <w:noWrap w:val="0"/>
            <w:vAlign w:val="center"/>
          </w:tcPr>
          <w:p w14:paraId="4F705AD5">
            <w:pPr>
              <w:spacing w:after="0"/>
              <w:jc w:val="center"/>
              <w:rPr>
                <w:rFonts w:hint="default" w:ascii="Arial" w:hAnsi="Arial" w:eastAsia="Times New Roman" w:cs="Arial"/>
                <w:b/>
                <w:bCs/>
                <w:color w:val="000000"/>
                <w:sz w:val="22"/>
                <w:szCs w:val="22"/>
                <w:lang w:eastAsia="pt-BR"/>
              </w:rPr>
            </w:pPr>
          </w:p>
        </w:tc>
      </w:tr>
      <w:tr w14:paraId="0BF2B735">
        <w:tblPrEx>
          <w:tblCellMar>
            <w:top w:w="0" w:type="dxa"/>
            <w:left w:w="70" w:type="dxa"/>
            <w:bottom w:w="0" w:type="dxa"/>
            <w:right w:w="70" w:type="dxa"/>
          </w:tblCellMar>
        </w:tblPrEx>
        <w:trPr>
          <w:trHeight w:val="330" w:hRule="atLeast"/>
        </w:trPr>
        <w:tc>
          <w:tcPr>
            <w:tcW w:w="424" w:type="dxa"/>
            <w:vMerge w:val="continue"/>
            <w:tcBorders>
              <w:top w:val="single" w:color="auto" w:sz="4" w:space="0"/>
              <w:left w:val="single" w:color="auto" w:sz="4" w:space="0"/>
              <w:bottom w:val="single" w:color="auto" w:sz="4" w:space="0"/>
              <w:right w:val="single" w:color="auto" w:sz="4" w:space="0"/>
            </w:tcBorders>
            <w:noWrap w:val="0"/>
            <w:vAlign w:val="center"/>
          </w:tcPr>
          <w:p w14:paraId="0CF6B0F8">
            <w:pPr>
              <w:spacing w:after="0"/>
              <w:jc w:val="both"/>
              <w:rPr>
                <w:rFonts w:hint="default" w:ascii="Arial" w:hAnsi="Arial" w:eastAsia="Times New Roman" w:cs="Arial"/>
                <w:b/>
                <w:bCs/>
                <w:color w:val="000000"/>
                <w:sz w:val="22"/>
                <w:szCs w:val="22"/>
                <w:lang w:eastAsia="pt-BR"/>
              </w:rPr>
            </w:pP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001AEE5A">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 xml:space="preserve">Correspondência: </w:t>
            </w:r>
            <w:r>
              <w:rPr>
                <w:rFonts w:hint="default" w:ascii="Arial" w:hAnsi="Arial" w:eastAsia="Times New Roman" w:cs="Arial"/>
                <w:color w:val="000000"/>
                <w:sz w:val="22"/>
                <w:szCs w:val="22"/>
                <w:lang w:eastAsia="pt-BR"/>
              </w:rPr>
              <w:t>sobre o valor do Item.</w:t>
            </w:r>
          </w:p>
        </w:tc>
        <w:tc>
          <w:tcPr>
            <w:tcW w:w="788" w:type="dxa"/>
            <w:vMerge w:val="continue"/>
            <w:tcBorders>
              <w:top w:val="single" w:color="auto" w:sz="4" w:space="0"/>
              <w:left w:val="single" w:color="auto" w:sz="4" w:space="0"/>
              <w:bottom w:val="single" w:color="auto" w:sz="4" w:space="0"/>
              <w:right w:val="single" w:color="auto" w:sz="4" w:space="0"/>
            </w:tcBorders>
            <w:noWrap w:val="0"/>
            <w:vAlign w:val="center"/>
          </w:tcPr>
          <w:p w14:paraId="1019F295">
            <w:pPr>
              <w:spacing w:after="0"/>
              <w:jc w:val="center"/>
              <w:rPr>
                <w:rFonts w:hint="default" w:ascii="Arial" w:hAnsi="Arial" w:eastAsia="Times New Roman" w:cs="Arial"/>
                <w:b/>
                <w:bCs/>
                <w:color w:val="000000"/>
                <w:sz w:val="22"/>
                <w:szCs w:val="22"/>
                <w:lang w:eastAsia="pt-BR"/>
              </w:rPr>
            </w:pPr>
          </w:p>
        </w:tc>
      </w:tr>
      <w:tr w14:paraId="1885F6BB">
        <w:tblPrEx>
          <w:tblCellMar>
            <w:top w:w="0" w:type="dxa"/>
            <w:left w:w="70" w:type="dxa"/>
            <w:bottom w:w="0" w:type="dxa"/>
            <w:right w:w="70" w:type="dxa"/>
          </w:tblCellMar>
        </w:tblPrEx>
        <w:trPr>
          <w:trHeight w:val="630" w:hRule="atLeast"/>
        </w:trPr>
        <w:tc>
          <w:tcPr>
            <w:tcW w:w="424" w:type="dxa"/>
            <w:vMerge w:val="restart"/>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29FE0A98">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3</w:t>
            </w: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560F2993">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Descrição:</w:t>
            </w:r>
            <w:r>
              <w:rPr>
                <w:rFonts w:hint="default" w:ascii="Arial" w:hAnsi="Arial" w:eastAsia="Times New Roman" w:cs="Arial"/>
                <w:color w:val="000000"/>
                <w:sz w:val="22"/>
                <w:szCs w:val="22"/>
                <w:lang w:eastAsia="pt-BR"/>
              </w:rPr>
              <w:t xml:space="preserve"> Descumprimento do prazo de entrega do projeto executivo, conforme prazo estabelecido no item “</w:t>
            </w:r>
            <w:r>
              <w:rPr>
                <w:rFonts w:hint="default" w:ascii="Arial" w:hAnsi="Arial" w:eastAsia="Times New Roman" w:cs="Arial"/>
                <w:color w:val="000000"/>
                <w:sz w:val="22"/>
                <w:szCs w:val="22"/>
                <w:highlight w:val="none"/>
                <w:lang w:val="en-US" w:eastAsia="pt-BR"/>
              </w:rPr>
              <w:t>6</w:t>
            </w:r>
            <w:r>
              <w:rPr>
                <w:rFonts w:hint="default" w:ascii="Arial" w:hAnsi="Arial" w:eastAsia="Times New Roman" w:cs="Arial"/>
                <w:color w:val="000000"/>
                <w:sz w:val="22"/>
                <w:szCs w:val="22"/>
                <w:highlight w:val="none"/>
                <w:lang w:eastAsia="pt-BR"/>
              </w:rPr>
              <w:t>.3</w:t>
            </w:r>
            <w:r>
              <w:rPr>
                <w:rFonts w:hint="default" w:ascii="Arial" w:hAnsi="Arial" w:eastAsia="Times New Roman" w:cs="Arial"/>
                <w:color w:val="000000"/>
                <w:sz w:val="22"/>
                <w:szCs w:val="22"/>
                <w:lang w:eastAsia="pt-BR"/>
              </w:rPr>
              <w:t xml:space="preserve"> </w:t>
            </w:r>
            <w:r>
              <w:rPr>
                <w:rFonts w:hint="default" w:ascii="Arial" w:hAnsi="Arial" w:eastAsia="Times New Roman" w:cs="Arial"/>
                <w:color w:val="000000"/>
                <w:sz w:val="22"/>
                <w:szCs w:val="22"/>
                <w:lang w:val="en-US" w:eastAsia="pt-BR"/>
              </w:rPr>
              <w:t>até 6.3.11</w:t>
            </w:r>
            <w:r>
              <w:rPr>
                <w:rFonts w:hint="default" w:ascii="Arial" w:hAnsi="Arial" w:eastAsia="Times New Roman" w:cs="Arial"/>
                <w:color w:val="000000"/>
                <w:sz w:val="22"/>
                <w:szCs w:val="22"/>
                <w:lang w:eastAsia="pt-BR"/>
              </w:rPr>
              <w:t xml:space="preserve"> – Prazos e condições”.</w:t>
            </w:r>
          </w:p>
        </w:tc>
        <w:tc>
          <w:tcPr>
            <w:tcW w:w="788" w:type="dxa"/>
            <w:vMerge w:val="restart"/>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1BD06223">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3</w:t>
            </w:r>
          </w:p>
        </w:tc>
      </w:tr>
      <w:tr w14:paraId="60832DF7">
        <w:tblPrEx>
          <w:tblCellMar>
            <w:top w:w="0" w:type="dxa"/>
            <w:left w:w="70" w:type="dxa"/>
            <w:bottom w:w="0" w:type="dxa"/>
            <w:right w:w="70" w:type="dxa"/>
          </w:tblCellMar>
        </w:tblPrEx>
        <w:trPr>
          <w:trHeight w:val="330" w:hRule="atLeast"/>
        </w:trPr>
        <w:tc>
          <w:tcPr>
            <w:tcW w:w="424" w:type="dxa"/>
            <w:vMerge w:val="continue"/>
            <w:tcBorders>
              <w:top w:val="single" w:color="auto" w:sz="4" w:space="0"/>
              <w:left w:val="single" w:color="auto" w:sz="4" w:space="0"/>
              <w:bottom w:val="single" w:color="auto" w:sz="4" w:space="0"/>
              <w:right w:val="single" w:color="auto" w:sz="4" w:space="0"/>
            </w:tcBorders>
            <w:noWrap w:val="0"/>
            <w:vAlign w:val="center"/>
          </w:tcPr>
          <w:p w14:paraId="47403F8E">
            <w:pPr>
              <w:spacing w:after="0"/>
              <w:jc w:val="center"/>
              <w:rPr>
                <w:rFonts w:hint="default" w:ascii="Arial" w:hAnsi="Arial" w:eastAsia="Times New Roman" w:cs="Arial"/>
                <w:b/>
                <w:bCs/>
                <w:color w:val="000000"/>
                <w:sz w:val="22"/>
                <w:szCs w:val="22"/>
                <w:lang w:eastAsia="pt-BR"/>
              </w:rPr>
            </w:pP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63093437">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 xml:space="preserve">Unidade Temporal: </w:t>
            </w:r>
            <w:r>
              <w:rPr>
                <w:rFonts w:hint="default" w:ascii="Arial" w:hAnsi="Arial" w:eastAsia="Times New Roman" w:cs="Arial"/>
                <w:color w:val="000000"/>
                <w:sz w:val="22"/>
                <w:szCs w:val="22"/>
                <w:lang w:eastAsia="pt-BR"/>
              </w:rPr>
              <w:t>% do GRAU de INFRAÇÃO por dia de atraso, limitado a 2,5%.</w:t>
            </w:r>
          </w:p>
        </w:tc>
        <w:tc>
          <w:tcPr>
            <w:tcW w:w="788" w:type="dxa"/>
            <w:vMerge w:val="continue"/>
            <w:tcBorders>
              <w:top w:val="single" w:color="auto" w:sz="4" w:space="0"/>
              <w:left w:val="single" w:color="auto" w:sz="4" w:space="0"/>
              <w:bottom w:val="single" w:color="auto" w:sz="4" w:space="0"/>
              <w:right w:val="single" w:color="auto" w:sz="4" w:space="0"/>
            </w:tcBorders>
            <w:noWrap w:val="0"/>
            <w:vAlign w:val="center"/>
          </w:tcPr>
          <w:p w14:paraId="0FED9849">
            <w:pPr>
              <w:spacing w:after="0"/>
              <w:jc w:val="both"/>
              <w:rPr>
                <w:rFonts w:hint="default" w:ascii="Arial" w:hAnsi="Arial" w:eastAsia="Times New Roman" w:cs="Arial"/>
                <w:b/>
                <w:bCs/>
                <w:color w:val="000000"/>
                <w:sz w:val="22"/>
                <w:szCs w:val="22"/>
                <w:lang w:eastAsia="pt-BR"/>
              </w:rPr>
            </w:pPr>
          </w:p>
        </w:tc>
      </w:tr>
      <w:tr w14:paraId="6EAF5118">
        <w:tblPrEx>
          <w:tblCellMar>
            <w:top w:w="0" w:type="dxa"/>
            <w:left w:w="70" w:type="dxa"/>
            <w:bottom w:w="0" w:type="dxa"/>
            <w:right w:w="70" w:type="dxa"/>
          </w:tblCellMar>
        </w:tblPrEx>
        <w:trPr>
          <w:trHeight w:val="330" w:hRule="atLeast"/>
        </w:trPr>
        <w:tc>
          <w:tcPr>
            <w:tcW w:w="424" w:type="dxa"/>
            <w:vMerge w:val="continue"/>
            <w:tcBorders>
              <w:top w:val="single" w:color="auto" w:sz="4" w:space="0"/>
              <w:left w:val="single" w:color="auto" w:sz="4" w:space="0"/>
              <w:bottom w:val="single" w:color="auto" w:sz="4" w:space="0"/>
              <w:right w:val="single" w:color="auto" w:sz="4" w:space="0"/>
            </w:tcBorders>
            <w:noWrap w:val="0"/>
            <w:vAlign w:val="center"/>
          </w:tcPr>
          <w:p w14:paraId="62808350">
            <w:pPr>
              <w:spacing w:after="0"/>
              <w:jc w:val="center"/>
              <w:rPr>
                <w:rFonts w:hint="default" w:ascii="Arial" w:hAnsi="Arial" w:eastAsia="Times New Roman" w:cs="Arial"/>
                <w:b/>
                <w:bCs/>
                <w:color w:val="000000"/>
                <w:sz w:val="22"/>
                <w:szCs w:val="22"/>
                <w:lang w:eastAsia="pt-BR"/>
              </w:rPr>
            </w:pP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2B0F991B">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 xml:space="preserve">Correspondência: </w:t>
            </w:r>
            <w:r>
              <w:rPr>
                <w:rFonts w:hint="default" w:ascii="Arial" w:hAnsi="Arial" w:eastAsia="Times New Roman" w:cs="Arial"/>
                <w:color w:val="000000"/>
                <w:sz w:val="22"/>
                <w:szCs w:val="22"/>
                <w:lang w:eastAsia="pt-BR"/>
              </w:rPr>
              <w:t>sobre o valor do Item.</w:t>
            </w:r>
          </w:p>
        </w:tc>
        <w:tc>
          <w:tcPr>
            <w:tcW w:w="788" w:type="dxa"/>
            <w:vMerge w:val="continue"/>
            <w:tcBorders>
              <w:top w:val="single" w:color="auto" w:sz="4" w:space="0"/>
              <w:left w:val="single" w:color="auto" w:sz="4" w:space="0"/>
              <w:bottom w:val="single" w:color="auto" w:sz="4" w:space="0"/>
              <w:right w:val="single" w:color="auto" w:sz="4" w:space="0"/>
            </w:tcBorders>
            <w:noWrap w:val="0"/>
            <w:vAlign w:val="center"/>
          </w:tcPr>
          <w:p w14:paraId="3DD6A533">
            <w:pPr>
              <w:spacing w:after="0"/>
              <w:jc w:val="both"/>
              <w:rPr>
                <w:rFonts w:hint="default" w:ascii="Arial" w:hAnsi="Arial" w:eastAsia="Times New Roman" w:cs="Arial"/>
                <w:b/>
                <w:bCs/>
                <w:color w:val="000000"/>
                <w:sz w:val="22"/>
                <w:szCs w:val="22"/>
                <w:lang w:eastAsia="pt-BR"/>
              </w:rPr>
            </w:pPr>
          </w:p>
        </w:tc>
      </w:tr>
      <w:tr w14:paraId="17533D42">
        <w:tblPrEx>
          <w:tblCellMar>
            <w:top w:w="0" w:type="dxa"/>
            <w:left w:w="70" w:type="dxa"/>
            <w:bottom w:w="0" w:type="dxa"/>
            <w:right w:w="70" w:type="dxa"/>
          </w:tblCellMar>
        </w:tblPrEx>
        <w:trPr>
          <w:trHeight w:val="630" w:hRule="atLeast"/>
        </w:trPr>
        <w:tc>
          <w:tcPr>
            <w:tcW w:w="424" w:type="dxa"/>
            <w:vMerge w:val="restart"/>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2ADE9872">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4</w:t>
            </w: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3872B6EC">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Descrição:</w:t>
            </w:r>
            <w:r>
              <w:rPr>
                <w:rFonts w:hint="default" w:ascii="Arial" w:hAnsi="Arial" w:eastAsia="Times New Roman" w:cs="Arial"/>
                <w:color w:val="000000"/>
                <w:sz w:val="22"/>
                <w:szCs w:val="22"/>
                <w:lang w:eastAsia="pt-BR"/>
              </w:rPr>
              <w:t xml:space="preserve"> Descumprimento do prazo de entrega do documento final do tipo </w:t>
            </w:r>
            <w:r>
              <w:rPr>
                <w:rFonts w:hint="default" w:ascii="Arial" w:hAnsi="Arial" w:eastAsia="Times New Roman" w:cs="Arial"/>
                <w:i/>
                <w:iCs/>
                <w:color w:val="000000"/>
                <w:sz w:val="22"/>
                <w:szCs w:val="22"/>
                <w:lang w:eastAsia="pt-BR"/>
              </w:rPr>
              <w:t>as-built</w:t>
            </w:r>
            <w:r>
              <w:rPr>
                <w:rFonts w:hint="default" w:ascii="Arial" w:hAnsi="Arial" w:eastAsia="Times New Roman" w:cs="Arial"/>
                <w:color w:val="000000"/>
                <w:sz w:val="22"/>
                <w:szCs w:val="22"/>
                <w:lang w:eastAsia="pt-BR"/>
              </w:rPr>
              <w:t>, conforme prazo estabelecido no item “</w:t>
            </w:r>
            <w:r>
              <w:rPr>
                <w:rFonts w:hint="default" w:ascii="Arial" w:hAnsi="Arial" w:eastAsia="Times New Roman" w:cs="Arial"/>
                <w:color w:val="000000"/>
                <w:sz w:val="22"/>
                <w:szCs w:val="22"/>
                <w:highlight w:val="none"/>
                <w:lang w:val="en-US" w:eastAsia="pt-BR"/>
              </w:rPr>
              <w:t>6</w:t>
            </w:r>
            <w:r>
              <w:rPr>
                <w:rFonts w:hint="default" w:ascii="Arial" w:hAnsi="Arial" w:eastAsia="Times New Roman" w:cs="Arial"/>
                <w:color w:val="000000"/>
                <w:sz w:val="22"/>
                <w:szCs w:val="22"/>
                <w:highlight w:val="none"/>
                <w:lang w:eastAsia="pt-BR"/>
              </w:rPr>
              <w:t>.3</w:t>
            </w:r>
            <w:r>
              <w:rPr>
                <w:rFonts w:hint="default" w:ascii="Arial" w:hAnsi="Arial" w:eastAsia="Times New Roman" w:cs="Arial"/>
                <w:color w:val="000000"/>
                <w:sz w:val="22"/>
                <w:szCs w:val="22"/>
                <w:lang w:eastAsia="pt-BR"/>
              </w:rPr>
              <w:t xml:space="preserve"> </w:t>
            </w:r>
            <w:r>
              <w:rPr>
                <w:rFonts w:hint="default" w:ascii="Arial" w:hAnsi="Arial" w:eastAsia="Times New Roman" w:cs="Arial"/>
                <w:color w:val="000000"/>
                <w:sz w:val="22"/>
                <w:szCs w:val="22"/>
                <w:lang w:val="en-US" w:eastAsia="pt-BR"/>
              </w:rPr>
              <w:t xml:space="preserve">até 6.3.11 </w:t>
            </w:r>
            <w:r>
              <w:rPr>
                <w:rFonts w:hint="default" w:ascii="Arial" w:hAnsi="Arial" w:eastAsia="Times New Roman" w:cs="Arial"/>
                <w:color w:val="000000"/>
                <w:sz w:val="22"/>
                <w:szCs w:val="22"/>
                <w:lang w:eastAsia="pt-BR"/>
              </w:rPr>
              <w:t>– Prazos e condições”;</w:t>
            </w:r>
          </w:p>
        </w:tc>
        <w:tc>
          <w:tcPr>
            <w:tcW w:w="788" w:type="dxa"/>
            <w:vMerge w:val="restart"/>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19C0155F">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3</w:t>
            </w:r>
          </w:p>
        </w:tc>
      </w:tr>
      <w:tr w14:paraId="4454BCAE">
        <w:tblPrEx>
          <w:tblCellMar>
            <w:top w:w="0" w:type="dxa"/>
            <w:left w:w="70" w:type="dxa"/>
            <w:bottom w:w="0" w:type="dxa"/>
            <w:right w:w="70" w:type="dxa"/>
          </w:tblCellMar>
        </w:tblPrEx>
        <w:trPr>
          <w:trHeight w:val="330" w:hRule="atLeast"/>
        </w:trPr>
        <w:tc>
          <w:tcPr>
            <w:tcW w:w="424" w:type="dxa"/>
            <w:vMerge w:val="continue"/>
            <w:tcBorders>
              <w:top w:val="single" w:color="auto" w:sz="4" w:space="0"/>
              <w:left w:val="single" w:color="auto" w:sz="4" w:space="0"/>
              <w:bottom w:val="single" w:color="auto" w:sz="4" w:space="0"/>
              <w:right w:val="single" w:color="auto" w:sz="4" w:space="0"/>
            </w:tcBorders>
            <w:noWrap w:val="0"/>
            <w:vAlign w:val="center"/>
          </w:tcPr>
          <w:p w14:paraId="31528049">
            <w:pPr>
              <w:spacing w:after="0"/>
              <w:jc w:val="center"/>
              <w:rPr>
                <w:rFonts w:hint="default" w:ascii="Arial" w:hAnsi="Arial" w:eastAsia="Times New Roman" w:cs="Arial"/>
                <w:b/>
                <w:bCs/>
                <w:color w:val="000000"/>
                <w:sz w:val="22"/>
                <w:szCs w:val="22"/>
                <w:lang w:eastAsia="pt-BR"/>
              </w:rPr>
            </w:pP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2F853E8A">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 xml:space="preserve">Unidade Temporal: </w:t>
            </w:r>
            <w:r>
              <w:rPr>
                <w:rFonts w:hint="default" w:ascii="Arial" w:hAnsi="Arial" w:eastAsia="Times New Roman" w:cs="Arial"/>
                <w:color w:val="000000"/>
                <w:sz w:val="22"/>
                <w:szCs w:val="22"/>
                <w:lang w:eastAsia="pt-BR"/>
              </w:rPr>
              <w:t>% do GRAU de INFRAÇÃO por dia de atraso, limitado a 2,5%.</w:t>
            </w:r>
          </w:p>
        </w:tc>
        <w:tc>
          <w:tcPr>
            <w:tcW w:w="788" w:type="dxa"/>
            <w:vMerge w:val="continue"/>
            <w:tcBorders>
              <w:top w:val="single" w:color="auto" w:sz="4" w:space="0"/>
              <w:left w:val="single" w:color="auto" w:sz="4" w:space="0"/>
              <w:bottom w:val="single" w:color="auto" w:sz="4" w:space="0"/>
              <w:right w:val="single" w:color="auto" w:sz="4" w:space="0"/>
            </w:tcBorders>
            <w:noWrap w:val="0"/>
            <w:vAlign w:val="center"/>
          </w:tcPr>
          <w:p w14:paraId="59822D2D">
            <w:pPr>
              <w:spacing w:after="0"/>
              <w:jc w:val="center"/>
              <w:rPr>
                <w:rFonts w:hint="default" w:ascii="Arial" w:hAnsi="Arial" w:eastAsia="Times New Roman" w:cs="Arial"/>
                <w:b/>
                <w:bCs/>
                <w:color w:val="000000"/>
                <w:sz w:val="22"/>
                <w:szCs w:val="22"/>
                <w:lang w:eastAsia="pt-BR"/>
              </w:rPr>
            </w:pPr>
          </w:p>
        </w:tc>
      </w:tr>
      <w:tr w14:paraId="47FF0E29">
        <w:tblPrEx>
          <w:tblCellMar>
            <w:top w:w="0" w:type="dxa"/>
            <w:left w:w="70" w:type="dxa"/>
            <w:bottom w:w="0" w:type="dxa"/>
            <w:right w:w="70" w:type="dxa"/>
          </w:tblCellMar>
        </w:tblPrEx>
        <w:trPr>
          <w:trHeight w:val="330" w:hRule="atLeast"/>
        </w:trPr>
        <w:tc>
          <w:tcPr>
            <w:tcW w:w="424" w:type="dxa"/>
            <w:vMerge w:val="continue"/>
            <w:tcBorders>
              <w:top w:val="single" w:color="auto" w:sz="4" w:space="0"/>
              <w:left w:val="single" w:color="auto" w:sz="4" w:space="0"/>
              <w:bottom w:val="single" w:color="auto" w:sz="4" w:space="0"/>
              <w:right w:val="single" w:color="auto" w:sz="4" w:space="0"/>
            </w:tcBorders>
            <w:noWrap w:val="0"/>
            <w:vAlign w:val="center"/>
          </w:tcPr>
          <w:p w14:paraId="50656523">
            <w:pPr>
              <w:spacing w:after="0"/>
              <w:jc w:val="center"/>
              <w:rPr>
                <w:rFonts w:hint="default" w:ascii="Arial" w:hAnsi="Arial" w:eastAsia="Times New Roman" w:cs="Arial"/>
                <w:b/>
                <w:bCs/>
                <w:color w:val="000000"/>
                <w:sz w:val="22"/>
                <w:szCs w:val="22"/>
                <w:lang w:eastAsia="pt-BR"/>
              </w:rPr>
            </w:pP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029C026E">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 xml:space="preserve">Correspondência: </w:t>
            </w:r>
            <w:r>
              <w:rPr>
                <w:rFonts w:hint="default" w:ascii="Arial" w:hAnsi="Arial" w:eastAsia="Times New Roman" w:cs="Arial"/>
                <w:color w:val="000000"/>
                <w:sz w:val="22"/>
                <w:szCs w:val="22"/>
                <w:lang w:eastAsia="pt-BR"/>
              </w:rPr>
              <w:t>sobre o valor do Item.</w:t>
            </w:r>
          </w:p>
        </w:tc>
        <w:tc>
          <w:tcPr>
            <w:tcW w:w="788" w:type="dxa"/>
            <w:vMerge w:val="continue"/>
            <w:tcBorders>
              <w:top w:val="single" w:color="auto" w:sz="4" w:space="0"/>
              <w:left w:val="single" w:color="auto" w:sz="4" w:space="0"/>
              <w:bottom w:val="single" w:color="auto" w:sz="4" w:space="0"/>
              <w:right w:val="single" w:color="auto" w:sz="4" w:space="0"/>
            </w:tcBorders>
            <w:noWrap w:val="0"/>
            <w:vAlign w:val="center"/>
          </w:tcPr>
          <w:p w14:paraId="1319F8B9">
            <w:pPr>
              <w:spacing w:after="0"/>
              <w:jc w:val="center"/>
              <w:rPr>
                <w:rFonts w:hint="default" w:ascii="Arial" w:hAnsi="Arial" w:eastAsia="Times New Roman" w:cs="Arial"/>
                <w:b/>
                <w:bCs/>
                <w:color w:val="000000"/>
                <w:sz w:val="22"/>
                <w:szCs w:val="22"/>
                <w:lang w:eastAsia="pt-BR"/>
              </w:rPr>
            </w:pPr>
          </w:p>
        </w:tc>
      </w:tr>
      <w:tr w14:paraId="55E45687">
        <w:tblPrEx>
          <w:tblCellMar>
            <w:top w:w="0" w:type="dxa"/>
            <w:left w:w="70" w:type="dxa"/>
            <w:bottom w:w="0" w:type="dxa"/>
            <w:right w:w="70" w:type="dxa"/>
          </w:tblCellMar>
        </w:tblPrEx>
        <w:trPr>
          <w:trHeight w:val="930" w:hRule="atLeast"/>
        </w:trPr>
        <w:tc>
          <w:tcPr>
            <w:tcW w:w="424" w:type="dxa"/>
            <w:vMerge w:val="restart"/>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102765AB">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5</w:t>
            </w: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4E3E8188">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Descrição:</w:t>
            </w:r>
            <w:r>
              <w:rPr>
                <w:rFonts w:hint="default" w:ascii="Arial" w:hAnsi="Arial" w:eastAsia="Times New Roman" w:cs="Arial"/>
                <w:color w:val="000000"/>
                <w:sz w:val="22"/>
                <w:szCs w:val="22"/>
                <w:lang w:eastAsia="pt-BR"/>
              </w:rPr>
              <w:t xml:space="preserve"> Descumprimento do prazo de entrega dos documentos (atas, projeto executivo, </w:t>
            </w:r>
            <w:r>
              <w:rPr>
                <w:rFonts w:hint="default" w:ascii="Arial" w:hAnsi="Arial" w:eastAsia="Times New Roman" w:cs="Arial"/>
                <w:i/>
                <w:iCs/>
                <w:color w:val="000000"/>
                <w:sz w:val="22"/>
                <w:szCs w:val="22"/>
                <w:lang w:eastAsia="pt-BR"/>
              </w:rPr>
              <w:t>as-built</w:t>
            </w:r>
            <w:r>
              <w:rPr>
                <w:rFonts w:hint="default" w:ascii="Arial" w:hAnsi="Arial" w:eastAsia="Times New Roman" w:cs="Arial"/>
                <w:color w:val="000000"/>
                <w:sz w:val="22"/>
                <w:szCs w:val="22"/>
                <w:lang w:eastAsia="pt-BR"/>
              </w:rPr>
              <w:t xml:space="preserve"> etc.) com a qualidade, justificadamente, inaceitável pela equipe técnica da PREFEITURA.</w:t>
            </w:r>
          </w:p>
        </w:tc>
        <w:tc>
          <w:tcPr>
            <w:tcW w:w="788" w:type="dxa"/>
            <w:vMerge w:val="restart"/>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48EE9AF5">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1</w:t>
            </w:r>
          </w:p>
        </w:tc>
      </w:tr>
      <w:tr w14:paraId="29CAF229">
        <w:tblPrEx>
          <w:tblCellMar>
            <w:top w:w="0" w:type="dxa"/>
            <w:left w:w="70" w:type="dxa"/>
            <w:bottom w:w="0" w:type="dxa"/>
            <w:right w:w="70" w:type="dxa"/>
          </w:tblCellMar>
        </w:tblPrEx>
        <w:trPr>
          <w:trHeight w:val="630" w:hRule="atLeast"/>
        </w:trPr>
        <w:tc>
          <w:tcPr>
            <w:tcW w:w="424" w:type="dxa"/>
            <w:vMerge w:val="continue"/>
            <w:tcBorders>
              <w:top w:val="single" w:color="auto" w:sz="4" w:space="0"/>
              <w:left w:val="single" w:color="auto" w:sz="4" w:space="0"/>
              <w:bottom w:val="single" w:color="auto" w:sz="4" w:space="0"/>
              <w:right w:val="single" w:color="auto" w:sz="4" w:space="0"/>
            </w:tcBorders>
            <w:noWrap w:val="0"/>
            <w:vAlign w:val="center"/>
          </w:tcPr>
          <w:p w14:paraId="2CD60462">
            <w:pPr>
              <w:spacing w:after="0"/>
              <w:jc w:val="center"/>
              <w:rPr>
                <w:rFonts w:hint="default" w:ascii="Arial" w:hAnsi="Arial" w:eastAsia="Times New Roman" w:cs="Arial"/>
                <w:b/>
                <w:bCs/>
                <w:color w:val="000000"/>
                <w:sz w:val="22"/>
                <w:szCs w:val="22"/>
                <w:lang w:eastAsia="pt-BR"/>
              </w:rPr>
            </w:pP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389D6292">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Unidade Temporal:</w:t>
            </w:r>
            <w:r>
              <w:rPr>
                <w:rFonts w:hint="default" w:ascii="Arial" w:hAnsi="Arial" w:eastAsia="Times New Roman" w:cs="Arial"/>
                <w:color w:val="000000"/>
                <w:sz w:val="22"/>
                <w:szCs w:val="22"/>
                <w:lang w:eastAsia="pt-BR"/>
              </w:rPr>
              <w:t xml:space="preserve"> % do GRAU de INFRAÇÃO por dia de retrabalho da CONTRATADA, limitado a 1,25%.</w:t>
            </w:r>
          </w:p>
        </w:tc>
        <w:tc>
          <w:tcPr>
            <w:tcW w:w="788" w:type="dxa"/>
            <w:vMerge w:val="continue"/>
            <w:tcBorders>
              <w:top w:val="single" w:color="auto" w:sz="4" w:space="0"/>
              <w:left w:val="single" w:color="auto" w:sz="4" w:space="0"/>
              <w:bottom w:val="single" w:color="auto" w:sz="4" w:space="0"/>
              <w:right w:val="single" w:color="auto" w:sz="4" w:space="0"/>
            </w:tcBorders>
            <w:noWrap w:val="0"/>
            <w:vAlign w:val="center"/>
          </w:tcPr>
          <w:p w14:paraId="211AA1E5">
            <w:pPr>
              <w:spacing w:after="0"/>
              <w:jc w:val="center"/>
              <w:rPr>
                <w:rFonts w:hint="default" w:ascii="Arial" w:hAnsi="Arial" w:eastAsia="Times New Roman" w:cs="Arial"/>
                <w:b/>
                <w:bCs/>
                <w:color w:val="000000"/>
                <w:sz w:val="22"/>
                <w:szCs w:val="22"/>
                <w:lang w:eastAsia="pt-BR"/>
              </w:rPr>
            </w:pPr>
          </w:p>
        </w:tc>
      </w:tr>
      <w:tr w14:paraId="6F7896BD">
        <w:tblPrEx>
          <w:tblCellMar>
            <w:top w:w="0" w:type="dxa"/>
            <w:left w:w="70" w:type="dxa"/>
            <w:bottom w:w="0" w:type="dxa"/>
            <w:right w:w="70" w:type="dxa"/>
          </w:tblCellMar>
        </w:tblPrEx>
        <w:trPr>
          <w:trHeight w:val="330" w:hRule="atLeast"/>
        </w:trPr>
        <w:tc>
          <w:tcPr>
            <w:tcW w:w="424" w:type="dxa"/>
            <w:vMerge w:val="continue"/>
            <w:tcBorders>
              <w:top w:val="single" w:color="auto" w:sz="4" w:space="0"/>
              <w:left w:val="single" w:color="auto" w:sz="4" w:space="0"/>
              <w:bottom w:val="single" w:color="auto" w:sz="4" w:space="0"/>
              <w:right w:val="single" w:color="auto" w:sz="4" w:space="0"/>
            </w:tcBorders>
            <w:noWrap w:val="0"/>
            <w:vAlign w:val="center"/>
          </w:tcPr>
          <w:p w14:paraId="22DDF515">
            <w:pPr>
              <w:spacing w:after="0"/>
              <w:jc w:val="center"/>
              <w:rPr>
                <w:rFonts w:hint="default" w:ascii="Arial" w:hAnsi="Arial" w:eastAsia="Times New Roman" w:cs="Arial"/>
                <w:b/>
                <w:bCs/>
                <w:color w:val="000000"/>
                <w:sz w:val="22"/>
                <w:szCs w:val="22"/>
                <w:lang w:eastAsia="pt-BR"/>
              </w:rPr>
            </w:pP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55937F69">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Correspondência:</w:t>
            </w:r>
            <w:r>
              <w:rPr>
                <w:rFonts w:hint="default" w:ascii="Arial" w:hAnsi="Arial" w:eastAsia="Times New Roman" w:cs="Arial"/>
                <w:color w:val="000000"/>
                <w:sz w:val="22"/>
                <w:szCs w:val="22"/>
                <w:lang w:eastAsia="pt-BR"/>
              </w:rPr>
              <w:t xml:space="preserve"> sobre o valor do Item.</w:t>
            </w:r>
          </w:p>
        </w:tc>
        <w:tc>
          <w:tcPr>
            <w:tcW w:w="788" w:type="dxa"/>
            <w:vMerge w:val="continue"/>
            <w:tcBorders>
              <w:top w:val="single" w:color="auto" w:sz="4" w:space="0"/>
              <w:left w:val="single" w:color="auto" w:sz="4" w:space="0"/>
              <w:bottom w:val="single" w:color="auto" w:sz="4" w:space="0"/>
              <w:right w:val="single" w:color="auto" w:sz="4" w:space="0"/>
            </w:tcBorders>
            <w:noWrap w:val="0"/>
            <w:vAlign w:val="center"/>
          </w:tcPr>
          <w:p w14:paraId="0FD19E49">
            <w:pPr>
              <w:spacing w:after="0"/>
              <w:jc w:val="center"/>
              <w:rPr>
                <w:rFonts w:hint="default" w:ascii="Arial" w:hAnsi="Arial" w:eastAsia="Times New Roman" w:cs="Arial"/>
                <w:b/>
                <w:bCs/>
                <w:color w:val="000000"/>
                <w:sz w:val="22"/>
                <w:szCs w:val="22"/>
                <w:lang w:eastAsia="pt-BR"/>
              </w:rPr>
            </w:pPr>
          </w:p>
        </w:tc>
      </w:tr>
      <w:tr w14:paraId="3DAB6449">
        <w:tblPrEx>
          <w:tblCellMar>
            <w:top w:w="0" w:type="dxa"/>
            <w:left w:w="70" w:type="dxa"/>
            <w:bottom w:w="0" w:type="dxa"/>
            <w:right w:w="70" w:type="dxa"/>
          </w:tblCellMar>
        </w:tblPrEx>
        <w:trPr>
          <w:trHeight w:val="630" w:hRule="atLeast"/>
        </w:trPr>
        <w:tc>
          <w:tcPr>
            <w:tcW w:w="424" w:type="dxa"/>
            <w:vMerge w:val="restart"/>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7EF69394">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6</w:t>
            </w: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3A1ADB2C">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 xml:space="preserve">Descrição: </w:t>
            </w:r>
            <w:r>
              <w:rPr>
                <w:rFonts w:hint="default" w:ascii="Arial" w:hAnsi="Arial" w:eastAsia="Times New Roman" w:cs="Arial"/>
                <w:color w:val="000000"/>
                <w:sz w:val="22"/>
                <w:szCs w:val="22"/>
                <w:lang w:eastAsia="pt-BR"/>
              </w:rPr>
              <w:t>Descumprimento do prazo de atendimento de suporte técnico, conforme estabelecido no ite</w:t>
            </w:r>
            <w:r>
              <w:rPr>
                <w:rFonts w:hint="default" w:ascii="Arial" w:hAnsi="Arial" w:eastAsia="Times New Roman" w:cs="Arial"/>
                <w:color w:val="000000"/>
                <w:sz w:val="22"/>
                <w:szCs w:val="22"/>
                <w:lang w:val="en-US" w:eastAsia="pt-BR"/>
              </w:rPr>
              <w:t>m 6.6.3</w:t>
            </w:r>
            <w:r>
              <w:rPr>
                <w:rFonts w:hint="default" w:ascii="Arial" w:hAnsi="Arial" w:eastAsia="Times New Roman" w:cs="Arial"/>
                <w:color w:val="000000"/>
                <w:sz w:val="22"/>
                <w:szCs w:val="22"/>
                <w:lang w:eastAsia="pt-BR"/>
              </w:rPr>
              <w:t xml:space="preserve"> na resolução do problema.</w:t>
            </w:r>
          </w:p>
        </w:tc>
        <w:tc>
          <w:tcPr>
            <w:tcW w:w="788" w:type="dxa"/>
            <w:vMerge w:val="restart"/>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0FC48765">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1</w:t>
            </w:r>
          </w:p>
        </w:tc>
      </w:tr>
      <w:tr w14:paraId="396ED1A2">
        <w:tblPrEx>
          <w:tblCellMar>
            <w:top w:w="0" w:type="dxa"/>
            <w:left w:w="70" w:type="dxa"/>
            <w:bottom w:w="0" w:type="dxa"/>
            <w:right w:w="70" w:type="dxa"/>
          </w:tblCellMar>
        </w:tblPrEx>
        <w:trPr>
          <w:trHeight w:val="330" w:hRule="atLeast"/>
        </w:trPr>
        <w:tc>
          <w:tcPr>
            <w:tcW w:w="424" w:type="dxa"/>
            <w:vMerge w:val="continue"/>
            <w:tcBorders>
              <w:top w:val="single" w:color="auto" w:sz="4" w:space="0"/>
              <w:left w:val="single" w:color="auto" w:sz="4" w:space="0"/>
              <w:bottom w:val="single" w:color="auto" w:sz="4" w:space="0"/>
              <w:right w:val="single" w:color="auto" w:sz="4" w:space="0"/>
            </w:tcBorders>
            <w:noWrap w:val="0"/>
            <w:vAlign w:val="center"/>
          </w:tcPr>
          <w:p w14:paraId="2CAA1988">
            <w:pPr>
              <w:spacing w:after="0"/>
              <w:jc w:val="both"/>
              <w:rPr>
                <w:rFonts w:hint="default" w:ascii="Arial" w:hAnsi="Arial" w:eastAsia="Times New Roman" w:cs="Arial"/>
                <w:b/>
                <w:bCs/>
                <w:color w:val="000000"/>
                <w:sz w:val="22"/>
                <w:szCs w:val="22"/>
                <w:lang w:eastAsia="pt-BR"/>
              </w:rPr>
            </w:pP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2EC17CC1">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Unidade Temporal:</w:t>
            </w:r>
            <w:r>
              <w:rPr>
                <w:rFonts w:hint="default" w:ascii="Arial" w:hAnsi="Arial" w:eastAsia="Times New Roman" w:cs="Arial"/>
                <w:color w:val="000000"/>
                <w:sz w:val="22"/>
                <w:szCs w:val="22"/>
                <w:lang w:eastAsia="pt-BR"/>
              </w:rPr>
              <w:t xml:space="preserve"> % do GRAU de INFRAÇÃO por hora de atraso, limitado a 1%.</w:t>
            </w:r>
          </w:p>
        </w:tc>
        <w:tc>
          <w:tcPr>
            <w:tcW w:w="788" w:type="dxa"/>
            <w:vMerge w:val="continue"/>
            <w:tcBorders>
              <w:top w:val="single" w:color="auto" w:sz="4" w:space="0"/>
              <w:left w:val="single" w:color="auto" w:sz="4" w:space="0"/>
              <w:bottom w:val="single" w:color="auto" w:sz="4" w:space="0"/>
              <w:right w:val="single" w:color="auto" w:sz="4" w:space="0"/>
            </w:tcBorders>
            <w:noWrap w:val="0"/>
            <w:vAlign w:val="center"/>
          </w:tcPr>
          <w:p w14:paraId="3F6FF7E1">
            <w:pPr>
              <w:spacing w:after="0"/>
              <w:jc w:val="both"/>
              <w:rPr>
                <w:rFonts w:hint="default" w:ascii="Arial" w:hAnsi="Arial" w:eastAsia="Times New Roman" w:cs="Arial"/>
                <w:b/>
                <w:bCs/>
                <w:color w:val="000000"/>
                <w:sz w:val="22"/>
                <w:szCs w:val="22"/>
                <w:lang w:eastAsia="pt-BR"/>
              </w:rPr>
            </w:pPr>
          </w:p>
        </w:tc>
      </w:tr>
      <w:tr w14:paraId="0E062B79">
        <w:tblPrEx>
          <w:tblCellMar>
            <w:top w:w="0" w:type="dxa"/>
            <w:left w:w="70" w:type="dxa"/>
            <w:bottom w:w="0" w:type="dxa"/>
            <w:right w:w="70" w:type="dxa"/>
          </w:tblCellMar>
        </w:tblPrEx>
        <w:trPr>
          <w:trHeight w:val="330" w:hRule="atLeast"/>
        </w:trPr>
        <w:tc>
          <w:tcPr>
            <w:tcW w:w="424" w:type="dxa"/>
            <w:vMerge w:val="continue"/>
            <w:tcBorders>
              <w:top w:val="single" w:color="auto" w:sz="4" w:space="0"/>
              <w:left w:val="single" w:color="auto" w:sz="4" w:space="0"/>
              <w:bottom w:val="single" w:color="auto" w:sz="4" w:space="0"/>
              <w:right w:val="single" w:color="auto" w:sz="4" w:space="0"/>
            </w:tcBorders>
            <w:noWrap w:val="0"/>
            <w:vAlign w:val="center"/>
          </w:tcPr>
          <w:p w14:paraId="5245CB04">
            <w:pPr>
              <w:spacing w:after="0"/>
              <w:jc w:val="both"/>
              <w:rPr>
                <w:rFonts w:hint="default" w:ascii="Arial" w:hAnsi="Arial" w:eastAsia="Times New Roman" w:cs="Arial"/>
                <w:b/>
                <w:bCs/>
                <w:color w:val="000000"/>
                <w:sz w:val="22"/>
                <w:szCs w:val="22"/>
                <w:lang w:eastAsia="pt-BR"/>
              </w:rPr>
            </w:pP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5CA7178D">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Correspondência:</w:t>
            </w:r>
            <w:r>
              <w:rPr>
                <w:rFonts w:hint="default" w:ascii="Arial" w:hAnsi="Arial" w:eastAsia="Times New Roman" w:cs="Arial"/>
                <w:color w:val="000000"/>
                <w:sz w:val="22"/>
                <w:szCs w:val="22"/>
                <w:lang w:eastAsia="pt-BR"/>
              </w:rPr>
              <w:t xml:space="preserve"> sobre o valor do serviço.</w:t>
            </w:r>
          </w:p>
        </w:tc>
        <w:tc>
          <w:tcPr>
            <w:tcW w:w="788" w:type="dxa"/>
            <w:vMerge w:val="continue"/>
            <w:tcBorders>
              <w:top w:val="single" w:color="auto" w:sz="4" w:space="0"/>
              <w:left w:val="single" w:color="auto" w:sz="4" w:space="0"/>
              <w:bottom w:val="single" w:color="auto" w:sz="4" w:space="0"/>
              <w:right w:val="single" w:color="auto" w:sz="4" w:space="0"/>
            </w:tcBorders>
            <w:noWrap w:val="0"/>
            <w:vAlign w:val="center"/>
          </w:tcPr>
          <w:p w14:paraId="50DC287A">
            <w:pPr>
              <w:spacing w:after="0"/>
              <w:jc w:val="both"/>
              <w:rPr>
                <w:rFonts w:hint="default" w:ascii="Arial" w:hAnsi="Arial" w:eastAsia="Times New Roman" w:cs="Arial"/>
                <w:b/>
                <w:bCs/>
                <w:color w:val="000000"/>
                <w:sz w:val="22"/>
                <w:szCs w:val="22"/>
                <w:lang w:eastAsia="pt-BR"/>
              </w:rPr>
            </w:pPr>
          </w:p>
        </w:tc>
      </w:tr>
    </w:tbl>
    <w:p w14:paraId="524A276C">
      <w:pPr>
        <w:tabs>
          <w:tab w:val="left" w:pos="1276"/>
        </w:tabs>
        <w:jc w:val="both"/>
        <w:rPr>
          <w:rFonts w:hint="default" w:ascii="Arial" w:hAnsi="Arial" w:cs="Arial"/>
          <w:sz w:val="22"/>
          <w:szCs w:val="22"/>
        </w:rPr>
      </w:pPr>
    </w:p>
    <w:p w14:paraId="630CDEDC">
      <w:pPr>
        <w:pStyle w:val="165"/>
        <w:numPr>
          <w:ilvl w:val="0"/>
          <w:numId w:val="0"/>
        </w:numPr>
        <w:tabs>
          <w:tab w:val="left" w:pos="1276"/>
        </w:tabs>
        <w:ind w:left="440" w:leftChars="0"/>
        <w:jc w:val="both"/>
        <w:rPr>
          <w:rFonts w:hint="default" w:ascii="Arial" w:hAnsi="Arial" w:cs="Arial"/>
          <w:sz w:val="22"/>
          <w:szCs w:val="22"/>
        </w:rPr>
      </w:pPr>
    </w:p>
    <w:p w14:paraId="706C6BF2">
      <w:pPr>
        <w:pStyle w:val="165"/>
        <w:numPr>
          <w:ilvl w:val="0"/>
          <w:numId w:val="0"/>
        </w:numPr>
        <w:tabs>
          <w:tab w:val="left" w:pos="1276"/>
        </w:tabs>
        <w:ind w:left="440" w:leftChars="0"/>
        <w:jc w:val="both"/>
        <w:rPr>
          <w:rFonts w:hint="default" w:ascii="Arial" w:hAnsi="Arial" w:cs="Arial"/>
          <w:sz w:val="22"/>
          <w:szCs w:val="22"/>
        </w:rPr>
      </w:pPr>
    </w:p>
    <w:p w14:paraId="5F42AB3D">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6.12.2.2.</w:t>
      </w:r>
      <w:r>
        <w:rPr>
          <w:rFonts w:hint="default" w:ascii="Arial" w:hAnsi="Arial" w:cs="Arial"/>
          <w:sz w:val="22"/>
          <w:szCs w:val="22"/>
          <w:lang w:val="pt-BR"/>
        </w:rPr>
        <w:t xml:space="preserve"> </w:t>
      </w:r>
      <w:r>
        <w:rPr>
          <w:rFonts w:hint="default" w:ascii="Arial" w:hAnsi="Arial" w:cs="Arial"/>
          <w:sz w:val="22"/>
          <w:szCs w:val="22"/>
        </w:rPr>
        <w:t>Entende-se por dia de retrabalho, aqueles dias em que o documento ou atividade desaprovada pela CONTRATANTE ficou em re-execução pela CONTRATADA até a aprovação pela comissão gestora do contrato, diante da qualidade dos trabalhos.</w:t>
      </w:r>
    </w:p>
    <w:p w14:paraId="6CC7AB75">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6.12.2.3.</w:t>
      </w:r>
      <w:r>
        <w:rPr>
          <w:rFonts w:hint="default" w:ascii="Arial" w:hAnsi="Arial" w:cs="Arial"/>
          <w:sz w:val="22"/>
          <w:szCs w:val="22"/>
          <w:lang w:val="pt-BR"/>
        </w:rPr>
        <w:t xml:space="preserve"> </w:t>
      </w:r>
      <w:r>
        <w:rPr>
          <w:rFonts w:hint="default" w:ascii="Arial" w:hAnsi="Arial" w:cs="Arial"/>
          <w:sz w:val="22"/>
          <w:szCs w:val="22"/>
        </w:rPr>
        <w:t>Para fins de comprovação de tempo para aplicação das multas referente às infrações do item anterior, considera-se como 1 (uma) hora inteira a fração igual ou superior 30 minutos;</w:t>
      </w:r>
    </w:p>
    <w:p w14:paraId="75813077">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6.12.2.4.</w:t>
      </w:r>
      <w:r>
        <w:rPr>
          <w:rFonts w:hint="default" w:ascii="Arial" w:hAnsi="Arial" w:cs="Arial"/>
          <w:sz w:val="22"/>
          <w:szCs w:val="22"/>
          <w:lang w:val="pt-BR"/>
        </w:rPr>
        <w:t xml:space="preserve"> </w:t>
      </w:r>
      <w:r>
        <w:rPr>
          <w:rFonts w:hint="default" w:ascii="Arial" w:hAnsi="Arial" w:cs="Arial"/>
          <w:sz w:val="22"/>
          <w:szCs w:val="22"/>
        </w:rPr>
        <w:t xml:space="preserve">Caso a CONTRATADA não cumpra integralmente as obrigações assumidas, garantida a prévia defesa, fica sujeita as sanções previstas no Decreto nº </w:t>
      </w:r>
      <w:r>
        <w:rPr>
          <w:rFonts w:hint="default" w:ascii="Arial" w:hAnsi="Arial" w:cs="Arial"/>
          <w:sz w:val="22"/>
          <w:szCs w:val="22"/>
          <w:lang w:val="pt-BR"/>
        </w:rPr>
        <w:t xml:space="preserve">360/2023 e </w:t>
      </w:r>
      <w:r>
        <w:rPr>
          <w:rFonts w:hint="default" w:ascii="Arial" w:hAnsi="Arial" w:cs="Arial"/>
          <w:b w:val="0"/>
          <w:bCs/>
          <w:sz w:val="22"/>
          <w:szCs w:val="22"/>
          <w:highlight w:val="none"/>
          <w:lang w:val="pt-BR"/>
        </w:rPr>
        <w:t>descritas nos Art. 155 a 163 da Lei 14.133/2021</w:t>
      </w:r>
      <w:r>
        <w:rPr>
          <w:rFonts w:hint="default" w:ascii="Arial" w:hAnsi="Arial" w:cs="Arial"/>
          <w:sz w:val="22"/>
          <w:szCs w:val="22"/>
        </w:rPr>
        <w:t>.</w:t>
      </w:r>
    </w:p>
    <w:p w14:paraId="678ED5FA">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6.12.2.5.</w:t>
      </w:r>
      <w:r>
        <w:rPr>
          <w:rFonts w:hint="default" w:ascii="Arial" w:hAnsi="Arial" w:cs="Arial"/>
          <w:sz w:val="22"/>
          <w:szCs w:val="22"/>
          <w:lang w:val="pt-BR"/>
        </w:rPr>
        <w:t xml:space="preserve"> </w:t>
      </w:r>
      <w:r>
        <w:rPr>
          <w:rFonts w:hint="default" w:ascii="Arial" w:hAnsi="Arial" w:cs="Arial"/>
          <w:sz w:val="22"/>
          <w:szCs w:val="22"/>
        </w:rPr>
        <w:t>Advertência por escrito quando do descumprimento de qualquer um dos requisitos constantes deste termo de referência;</w:t>
      </w:r>
    </w:p>
    <w:p w14:paraId="1839F5C5">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6.12.2.6.</w:t>
      </w:r>
      <w:r>
        <w:rPr>
          <w:rFonts w:hint="default" w:ascii="Arial" w:hAnsi="Arial" w:cs="Arial"/>
          <w:sz w:val="22"/>
          <w:szCs w:val="22"/>
          <w:lang w:val="pt-BR"/>
        </w:rPr>
        <w:t xml:space="preserve"> </w:t>
      </w:r>
      <w:r>
        <w:rPr>
          <w:rFonts w:hint="default" w:ascii="Arial" w:hAnsi="Arial" w:cs="Arial"/>
          <w:sz w:val="22"/>
          <w:szCs w:val="22"/>
        </w:rPr>
        <w:t xml:space="preserve">Multa, conforme percentuais definido no </w:t>
      </w:r>
      <w:r>
        <w:rPr>
          <w:rFonts w:hint="default" w:ascii="Arial" w:hAnsi="Arial" w:cs="Arial"/>
          <w:sz w:val="22"/>
          <w:szCs w:val="22"/>
          <w:lang w:val="pt-BR"/>
        </w:rPr>
        <w:t>Art. 156, inciso II, parágrafo 3º da Lei 14.133/2021</w:t>
      </w:r>
      <w:r>
        <w:rPr>
          <w:rFonts w:hint="default" w:ascii="Arial" w:hAnsi="Arial" w:cs="Arial"/>
          <w:sz w:val="22"/>
          <w:szCs w:val="22"/>
        </w:rPr>
        <w:t>;</w:t>
      </w:r>
    </w:p>
    <w:p w14:paraId="4C536F70">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6.12.2.7.</w:t>
      </w:r>
      <w:r>
        <w:rPr>
          <w:rFonts w:hint="default" w:ascii="Arial" w:hAnsi="Arial" w:cs="Arial"/>
          <w:sz w:val="22"/>
          <w:szCs w:val="22"/>
          <w:lang w:val="pt-BR"/>
        </w:rPr>
        <w:t xml:space="preserve"> </w:t>
      </w:r>
      <w:r>
        <w:rPr>
          <w:rFonts w:hint="default" w:ascii="Arial" w:hAnsi="Arial" w:cs="Arial"/>
          <w:sz w:val="22"/>
          <w:szCs w:val="22"/>
        </w:rPr>
        <w:t>Suspensão temporária de participação em licitação, e impedimento de contratar com a Administração d</w:t>
      </w:r>
      <w:r>
        <w:rPr>
          <w:rFonts w:hint="default" w:ascii="Arial" w:hAnsi="Arial" w:cs="Arial"/>
          <w:sz w:val="22"/>
          <w:szCs w:val="22"/>
          <w:lang w:val="pt-BR"/>
        </w:rPr>
        <w:t>a Prefeitura de Sinop/MT</w:t>
      </w:r>
      <w:r>
        <w:rPr>
          <w:rFonts w:hint="default" w:ascii="Arial" w:hAnsi="Arial" w:cs="Arial"/>
          <w:sz w:val="22"/>
          <w:szCs w:val="22"/>
        </w:rPr>
        <w:t>, por prazo não superior a 2 (dois) anos, e dosada segundo a natureza e gravidade da falta cometida;</w:t>
      </w:r>
    </w:p>
    <w:p w14:paraId="7668F7A9">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6.12.2.8.</w:t>
      </w:r>
      <w:r>
        <w:rPr>
          <w:rFonts w:hint="default" w:ascii="Arial" w:hAnsi="Arial" w:cs="Arial"/>
          <w:sz w:val="22"/>
          <w:szCs w:val="22"/>
          <w:lang w:val="pt-BR"/>
        </w:rPr>
        <w:t xml:space="preserve"> </w:t>
      </w:r>
      <w:r>
        <w:rPr>
          <w:rFonts w:hint="default" w:ascii="Arial" w:hAnsi="Arial" w:cs="Arial"/>
          <w:sz w:val="22"/>
          <w:szCs w:val="22"/>
        </w:rPr>
        <w:t>Declaração de inidoneidade para licitar ou contratar com a Administração Pública, enquanto perdurarem os motivos que determinaram sua punição ou até que seja promovida sua reabilitação perante a própria autoridade.</w:t>
      </w:r>
    </w:p>
    <w:p w14:paraId="4149D0A8">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after="0" w:line="360" w:lineRule="auto"/>
        <w:ind w:leftChars="0"/>
        <w:jc w:val="both"/>
        <w:textAlignment w:val="auto"/>
        <w:rPr>
          <w:rFonts w:hint="default" w:ascii="Arial" w:hAnsi="Arial" w:cs="Arial"/>
          <w:b w:val="0"/>
          <w:bCs/>
          <w:sz w:val="22"/>
          <w:szCs w:val="22"/>
          <w:highlight w:val="none"/>
          <w:lang w:val="pt-BR"/>
        </w:rPr>
      </w:pPr>
      <w:r>
        <w:rPr>
          <w:rFonts w:hint="default" w:ascii="Arial" w:hAnsi="Arial" w:cs="Arial"/>
          <w:b/>
          <w:bCs/>
          <w:sz w:val="22"/>
          <w:szCs w:val="22"/>
          <w:lang w:val="pt-BR"/>
        </w:rPr>
        <w:t>6.12.2.9.</w:t>
      </w:r>
      <w:r>
        <w:rPr>
          <w:rFonts w:hint="default" w:ascii="Arial" w:hAnsi="Arial" w:cs="Arial"/>
          <w:sz w:val="22"/>
          <w:szCs w:val="22"/>
          <w:lang w:val="pt-BR"/>
        </w:rPr>
        <w:t xml:space="preserve"> </w:t>
      </w:r>
      <w:r>
        <w:rPr>
          <w:rFonts w:hint="default" w:ascii="Arial" w:hAnsi="Arial" w:cs="Arial"/>
          <w:sz w:val="22"/>
          <w:szCs w:val="22"/>
        </w:rPr>
        <w:t>Caso haja aplicação de multa, o valor será descontado de qualquer fatura ou crédito existente na CONTRATADA em favor do futuro contratado ou na execução da garantia prestada. Caso a mesma seja superior ao crédito eventualmente existente, a diferença será cobrada administrativa ou judicialmente, se necessário.</w:t>
      </w:r>
    </w:p>
    <w:p w14:paraId="73F1FD12">
      <w:pPr>
        <w:pStyle w:val="128"/>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val="0"/>
          <w:bCs/>
          <w:sz w:val="22"/>
          <w:szCs w:val="22"/>
          <w:highlight w:val="none"/>
          <w:lang w:val="pt-BR"/>
        </w:rPr>
      </w:pPr>
    </w:p>
    <w:p w14:paraId="4D5A8B17">
      <w:pPr>
        <w:pStyle w:val="128"/>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6.13. NECESSIDADE DE APRESENTAÇÃO DE RELATÓRIOS DE MANUTENÇÃO:</w:t>
      </w:r>
    </w:p>
    <w:p w14:paraId="3670B396">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highlight w:val="none"/>
          <w:lang w:val="pt-BR"/>
        </w:rPr>
        <w:t xml:space="preserve">6.13.1. </w:t>
      </w:r>
      <w:r>
        <w:rPr>
          <w:rFonts w:hint="default" w:ascii="Arial" w:hAnsi="Arial" w:cs="Arial"/>
          <w:sz w:val="22"/>
          <w:szCs w:val="22"/>
        </w:rPr>
        <w:t xml:space="preserve">A CONTRATADA deverá emitir relatórios da manutenção e de todas as ocorrências referente a manutenção corretiva quando em garantia. </w:t>
      </w:r>
    </w:p>
    <w:p w14:paraId="68F14FDC">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p>
    <w:p w14:paraId="6010C741">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6.14. MOBILIZAÇÃO E DESMOBILIZAÇÃO DO CANTEIRO DE OBRAS ( BARRACÃO, INSTALAÇÕES DE PONTOS DE ÁGUA, ENERGIA E ESGOTO):</w:t>
      </w:r>
    </w:p>
    <w:p w14:paraId="33965F3B">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6.14.1. </w:t>
      </w:r>
      <w:r>
        <w:rPr>
          <w:rFonts w:hint="default" w:ascii="Arial" w:hAnsi="Arial" w:cs="Arial"/>
          <w:b w:val="0"/>
          <w:bCs w:val="0"/>
          <w:sz w:val="22"/>
          <w:szCs w:val="22"/>
          <w:highlight w:val="none"/>
          <w:lang w:val="pt-BR"/>
        </w:rPr>
        <w:t>(Não se aplica).</w:t>
      </w:r>
    </w:p>
    <w:p w14:paraId="1FED1E0F">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none"/>
          <w:lang w:val="pt-BR"/>
        </w:rPr>
      </w:pPr>
    </w:p>
    <w:p w14:paraId="6C717B5A">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6.15. LIMPEZA DOS LOCAIS DE INSTALAÇÃO E/OU REMOÇÃO DE ENTULHOS; EXIGÊNCIAS ESPECÍFICAS PARA O OBJETO A SER CONTRATADO:</w:t>
      </w:r>
    </w:p>
    <w:p w14:paraId="06DB35BA">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6.15.1. </w:t>
      </w:r>
      <w:r>
        <w:rPr>
          <w:rFonts w:hint="default" w:ascii="Arial" w:hAnsi="Arial" w:cs="Arial"/>
          <w:b w:val="0"/>
          <w:bCs w:val="0"/>
          <w:sz w:val="22"/>
          <w:szCs w:val="22"/>
          <w:highlight w:val="none"/>
          <w:lang w:val="pt-BR"/>
        </w:rPr>
        <w:t>(Não se aplica).</w:t>
      </w:r>
    </w:p>
    <w:p w14:paraId="5C76B3E8">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green"/>
          <w:lang w:val="pt-BR"/>
        </w:rPr>
      </w:pPr>
    </w:p>
    <w:p w14:paraId="68FDF633">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6.16. NECESSIDADE DE DISPONIBILIZAÇÃO DE SAC E INDICAÇÃO DO NÚMERO PARA ATENDIMENTO COMERCIAL:</w:t>
      </w:r>
    </w:p>
    <w:p w14:paraId="0FF6171B">
      <w:pPr>
        <w:keepNext w:val="0"/>
        <w:keepLines w:val="0"/>
        <w:widowControl/>
        <w:suppressLineNumbers w:val="0"/>
        <w:spacing w:line="360" w:lineRule="auto"/>
        <w:jc w:val="both"/>
        <w:rPr>
          <w:rFonts w:hint="default" w:ascii="Arial" w:hAnsi="Arial" w:eastAsia="Cambria" w:cs="Arial"/>
          <w:color w:val="000000"/>
          <w:kern w:val="0"/>
          <w:sz w:val="22"/>
          <w:szCs w:val="22"/>
          <w:highlight w:val="none"/>
          <w:lang w:val="pt-BR" w:eastAsia="zh-CN" w:bidi="ar"/>
        </w:rPr>
      </w:pPr>
      <w:r>
        <w:rPr>
          <w:rFonts w:hint="default" w:ascii="Arial" w:hAnsi="Arial" w:cs="Arial"/>
          <w:b/>
          <w:bCs/>
          <w:sz w:val="22"/>
          <w:szCs w:val="22"/>
          <w:highlight w:val="none"/>
          <w:lang w:val="pt-BR"/>
        </w:rPr>
        <w:t xml:space="preserve">6.16.1. </w:t>
      </w:r>
      <w:r>
        <w:rPr>
          <w:rFonts w:hint="default" w:ascii="Arial" w:hAnsi="Arial" w:cs="Arial"/>
          <w:b w:val="0"/>
          <w:bCs w:val="0"/>
          <w:sz w:val="22"/>
          <w:szCs w:val="22"/>
          <w:highlight w:val="none"/>
          <w:lang w:val="pt-BR"/>
        </w:rPr>
        <w:t xml:space="preserve">Para manter melhor </w:t>
      </w:r>
      <w:r>
        <w:rPr>
          <w:rFonts w:hint="default" w:ascii="Arial" w:hAnsi="Arial" w:eastAsia="Cambria" w:cs="Arial"/>
          <w:b w:val="0"/>
          <w:bCs w:val="0"/>
          <w:color w:val="000000"/>
          <w:kern w:val="0"/>
          <w:sz w:val="22"/>
          <w:szCs w:val="22"/>
          <w:highlight w:val="none"/>
          <w:lang w:val="en-US" w:eastAsia="zh-CN" w:bidi="ar"/>
        </w:rPr>
        <w:t>c</w:t>
      </w:r>
      <w:r>
        <w:rPr>
          <w:rFonts w:hint="default" w:ascii="Arial" w:hAnsi="Arial" w:eastAsia="Cambria" w:cs="Arial"/>
          <w:color w:val="000000"/>
          <w:kern w:val="0"/>
          <w:sz w:val="22"/>
          <w:szCs w:val="22"/>
          <w:highlight w:val="none"/>
          <w:lang w:val="en-US" w:eastAsia="zh-CN" w:bidi="ar"/>
        </w:rPr>
        <w:t>omunicaç</w:t>
      </w:r>
      <w:r>
        <w:rPr>
          <w:rFonts w:hint="default" w:ascii="Arial" w:hAnsi="Arial" w:eastAsia="Cambria" w:cs="Arial"/>
          <w:color w:val="000000"/>
          <w:kern w:val="0"/>
          <w:sz w:val="22"/>
          <w:szCs w:val="22"/>
          <w:highlight w:val="none"/>
          <w:lang w:val="pt-BR" w:eastAsia="zh-CN" w:bidi="ar"/>
        </w:rPr>
        <w:t>ão</w:t>
      </w:r>
      <w:r>
        <w:rPr>
          <w:rFonts w:hint="default" w:ascii="Arial" w:hAnsi="Arial" w:eastAsia="Cambria" w:cs="Arial"/>
          <w:color w:val="000000"/>
          <w:kern w:val="0"/>
          <w:sz w:val="22"/>
          <w:szCs w:val="22"/>
          <w:highlight w:val="none"/>
          <w:lang w:val="en-US" w:eastAsia="zh-CN" w:bidi="ar"/>
        </w:rPr>
        <w:t xml:space="preserve"> entre a </w:t>
      </w:r>
      <w:r>
        <w:rPr>
          <w:rFonts w:hint="default" w:ascii="Arial" w:hAnsi="Arial" w:eastAsia="Cambria" w:cs="Arial"/>
          <w:color w:val="000000"/>
          <w:kern w:val="0"/>
          <w:sz w:val="22"/>
          <w:szCs w:val="22"/>
          <w:highlight w:val="none"/>
          <w:lang w:val="pt-BR" w:eastAsia="zh-CN" w:bidi="ar"/>
        </w:rPr>
        <w:t xml:space="preserve">Prefeitura Municipal de Sinop/Secretaria </w:t>
      </w:r>
      <w:r>
        <w:rPr>
          <w:rFonts w:hint="default" w:ascii="Arial" w:hAnsi="Arial" w:eastAsia="Cambria" w:cs="Arial"/>
          <w:color w:val="000000"/>
          <w:kern w:val="0"/>
          <w:sz w:val="22"/>
          <w:szCs w:val="22"/>
          <w:highlight w:val="none"/>
          <w:lang w:val="en-US" w:eastAsia="zh-CN" w:bidi="ar"/>
        </w:rPr>
        <w:t>e o contratado, devem ser</w:t>
      </w:r>
      <w:r>
        <w:rPr>
          <w:rFonts w:hint="default" w:ascii="Arial" w:hAnsi="Arial" w:eastAsia="Cambria" w:cs="Arial"/>
          <w:color w:val="000000"/>
          <w:kern w:val="0"/>
          <w:sz w:val="22"/>
          <w:szCs w:val="22"/>
          <w:highlight w:val="none"/>
          <w:lang w:val="pt-BR" w:eastAsia="zh-CN" w:bidi="ar"/>
        </w:rPr>
        <w:t xml:space="preserve"> disponibilizados no mínimo 1(um) número para atendimento comercial</w:t>
      </w:r>
      <w:r>
        <w:rPr>
          <w:rFonts w:hint="default" w:ascii="Arial" w:hAnsi="Arial" w:eastAsia="Cambria" w:cs="Arial"/>
          <w:color w:val="000000"/>
          <w:kern w:val="0"/>
          <w:sz w:val="22"/>
          <w:szCs w:val="22"/>
          <w:highlight w:val="none"/>
          <w:lang w:val="en-US" w:eastAsia="zh-CN" w:bidi="ar"/>
        </w:rPr>
        <w:t xml:space="preserve"> via telefone,</w:t>
      </w:r>
      <w:r>
        <w:rPr>
          <w:rFonts w:hint="default" w:ascii="Arial" w:hAnsi="Arial" w:eastAsia="Cambria" w:cs="Arial"/>
          <w:color w:val="000000"/>
          <w:kern w:val="0"/>
          <w:sz w:val="22"/>
          <w:szCs w:val="22"/>
          <w:highlight w:val="none"/>
          <w:lang w:val="pt-BR" w:eastAsia="zh-CN" w:bidi="ar"/>
        </w:rPr>
        <w:t xml:space="preserve"> 1 (um) número via  </w:t>
      </w:r>
      <w:r>
        <w:rPr>
          <w:rFonts w:hint="default" w:ascii="Arial" w:hAnsi="Arial" w:eastAsia="Cambria" w:cs="Arial"/>
          <w:color w:val="000000"/>
          <w:kern w:val="0"/>
          <w:sz w:val="22"/>
          <w:szCs w:val="22"/>
          <w:highlight w:val="none"/>
          <w:lang w:val="en-US" w:eastAsia="zh-CN" w:bidi="ar"/>
        </w:rPr>
        <w:t xml:space="preserve">whatsapp </w:t>
      </w:r>
      <w:r>
        <w:rPr>
          <w:rFonts w:hint="default" w:ascii="Arial" w:hAnsi="Arial" w:eastAsia="Cambria" w:cs="Arial"/>
          <w:color w:val="000000"/>
          <w:kern w:val="0"/>
          <w:sz w:val="22"/>
          <w:szCs w:val="22"/>
          <w:highlight w:val="none"/>
          <w:lang w:val="pt-BR" w:eastAsia="zh-CN" w:bidi="ar"/>
        </w:rPr>
        <w:t>e</w:t>
      </w:r>
      <w:r>
        <w:rPr>
          <w:rFonts w:hint="default" w:ascii="Arial" w:hAnsi="Arial" w:eastAsia="Cambria" w:cs="Arial"/>
          <w:color w:val="000000"/>
          <w:kern w:val="0"/>
          <w:sz w:val="22"/>
          <w:szCs w:val="22"/>
          <w:highlight w:val="none"/>
          <w:lang w:val="en-US" w:eastAsia="zh-CN" w:bidi="ar"/>
        </w:rPr>
        <w:t xml:space="preserve"> e</w:t>
      </w:r>
      <w:r>
        <w:rPr>
          <w:rFonts w:hint="default" w:ascii="Arial" w:hAnsi="Arial" w:eastAsia="Cambria" w:cs="Arial"/>
          <w:color w:val="000000"/>
          <w:kern w:val="0"/>
          <w:sz w:val="22"/>
          <w:szCs w:val="22"/>
          <w:highlight w:val="none"/>
          <w:lang w:val="pt-BR" w:eastAsia="zh-CN" w:bidi="ar"/>
        </w:rPr>
        <w:t>-</w:t>
      </w:r>
      <w:r>
        <w:rPr>
          <w:rFonts w:hint="default" w:ascii="Arial" w:hAnsi="Arial" w:eastAsia="Cambria" w:cs="Arial"/>
          <w:color w:val="000000"/>
          <w:kern w:val="0"/>
          <w:sz w:val="22"/>
          <w:szCs w:val="22"/>
          <w:highlight w:val="none"/>
          <w:lang w:val="en-US" w:eastAsia="zh-CN" w:bidi="ar"/>
        </w:rPr>
        <w:t xml:space="preserve">mail, devendo ser </w:t>
      </w:r>
      <w:r>
        <w:rPr>
          <w:rFonts w:hint="default" w:ascii="Arial" w:hAnsi="Arial" w:eastAsia="Cambria" w:cs="Arial"/>
          <w:color w:val="000000"/>
          <w:kern w:val="0"/>
          <w:sz w:val="22"/>
          <w:szCs w:val="22"/>
          <w:highlight w:val="none"/>
          <w:lang w:val="pt-BR" w:eastAsia="zh-CN" w:bidi="ar"/>
        </w:rPr>
        <w:t>fornecido</w:t>
      </w:r>
      <w:r>
        <w:rPr>
          <w:rFonts w:hint="default" w:ascii="Arial" w:hAnsi="Arial" w:eastAsia="Cambria" w:cs="Arial"/>
          <w:color w:val="000000"/>
          <w:kern w:val="0"/>
          <w:sz w:val="22"/>
          <w:szCs w:val="22"/>
          <w:highlight w:val="none"/>
          <w:lang w:val="en-US" w:eastAsia="zh-CN" w:bidi="ar"/>
        </w:rPr>
        <w:t xml:space="preserve"> por escrito</w:t>
      </w:r>
      <w:r>
        <w:rPr>
          <w:rFonts w:hint="default" w:ascii="Arial" w:hAnsi="Arial" w:eastAsia="Cambria" w:cs="Arial"/>
          <w:color w:val="000000"/>
          <w:kern w:val="0"/>
          <w:sz w:val="22"/>
          <w:szCs w:val="22"/>
          <w:highlight w:val="none"/>
          <w:lang w:val="pt-BR" w:eastAsia="zh-CN" w:bidi="ar"/>
        </w:rPr>
        <w:t>.</w:t>
      </w:r>
    </w:p>
    <w:p w14:paraId="64C216FE">
      <w:pPr>
        <w:keepNext w:val="0"/>
        <w:keepLines w:val="0"/>
        <w:widowControl/>
        <w:suppressLineNumbers w:val="0"/>
        <w:spacing w:line="360" w:lineRule="auto"/>
        <w:jc w:val="both"/>
        <w:rPr>
          <w:rFonts w:hint="default" w:ascii="Arial" w:hAnsi="Arial" w:eastAsia="Cambria" w:cs="Arial"/>
          <w:color w:val="000000"/>
          <w:kern w:val="0"/>
          <w:sz w:val="22"/>
          <w:szCs w:val="22"/>
          <w:highlight w:val="green"/>
          <w:lang w:val="en-US" w:eastAsia="zh-CN" w:bidi="ar"/>
        </w:rPr>
      </w:pPr>
    </w:p>
    <w:p w14:paraId="46716AF0">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6.17. POSSIBILIDADE DE SUPORTE TÉCNICO REMOTO OU PELO SITE ELETRÔNICO, BEM COMO O PRAZO PARA ATENDIMENTO, FORMA DE ATENDIMENTO (0-800, E-MAIL, ETC.), PRAZO E FORMA PARA A SOLUÇÃO DO PROBLEMA, SUBSTITUIÇÃO DO EQUIPAMENTO DEFEITUOSO:</w:t>
      </w:r>
    </w:p>
    <w:p w14:paraId="3367BBE7">
      <w:pPr>
        <w:pStyle w:val="128"/>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right="0" w:rightChars="0"/>
        <w:jc w:val="both"/>
        <w:textAlignment w:val="baseline"/>
        <w:rPr>
          <w:rFonts w:hint="default" w:ascii="Arial" w:hAnsi="Arial" w:cs="Arial"/>
          <w:i w:val="0"/>
          <w:iCs/>
          <w:sz w:val="22"/>
          <w:szCs w:val="22"/>
          <w:lang w:val="pt-BR"/>
        </w:rPr>
      </w:pPr>
      <w:r>
        <w:rPr>
          <w:rFonts w:hint="default" w:ascii="Arial" w:hAnsi="Arial" w:cs="Arial"/>
          <w:i w:val="0"/>
          <w:iCs/>
          <w:sz w:val="22"/>
          <w:szCs w:val="22"/>
          <w:lang w:val="pt-BR"/>
        </w:rPr>
        <w:t>(Não se aplica)</w:t>
      </w:r>
    </w:p>
    <w:p w14:paraId="7CDA47FC">
      <w:pPr>
        <w:pStyle w:val="128"/>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right="0" w:rightChars="0"/>
        <w:jc w:val="both"/>
        <w:textAlignment w:val="baseline"/>
        <w:rPr>
          <w:rFonts w:hint="default" w:ascii="Arial" w:hAnsi="Arial" w:cs="Arial"/>
          <w:i w:val="0"/>
          <w:iCs/>
          <w:sz w:val="22"/>
          <w:szCs w:val="22"/>
          <w:lang w:val="pt-BR"/>
        </w:rPr>
      </w:pP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72673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289BB7F5">
            <w:pPr>
              <w:numPr>
                <w:ilvl w:val="0"/>
                <w:numId w:val="17"/>
              </w:numPr>
              <w:ind w:left="0" w:leftChars="0" w:firstLine="0" w:firstLineChars="0"/>
              <w:jc w:val="center"/>
              <w:rPr>
                <w:rFonts w:hint="default" w:ascii="Arial" w:hAnsi="Arial" w:cs="Arial"/>
                <w:b/>
                <w:sz w:val="22"/>
                <w:szCs w:val="22"/>
                <w:highlight w:val="green"/>
                <w:vertAlign w:val="baseline"/>
                <w:lang w:val="pt-BR"/>
              </w:rPr>
            </w:pPr>
            <w:r>
              <w:rPr>
                <w:rFonts w:hint="default" w:ascii="Arial" w:hAnsi="Arial" w:cs="Arial"/>
                <w:b/>
                <w:sz w:val="22"/>
                <w:szCs w:val="22"/>
                <w:highlight w:val="none"/>
              </w:rPr>
              <w:t>CONTROLE E</w:t>
            </w:r>
            <w:r>
              <w:rPr>
                <w:rFonts w:hint="default" w:ascii="Arial" w:hAnsi="Arial" w:cs="Arial"/>
                <w:b/>
                <w:spacing w:val="-1"/>
                <w:sz w:val="22"/>
                <w:szCs w:val="22"/>
                <w:highlight w:val="none"/>
              </w:rPr>
              <w:t xml:space="preserve"> </w:t>
            </w:r>
            <w:r>
              <w:rPr>
                <w:rFonts w:hint="default" w:ascii="Arial" w:hAnsi="Arial" w:cs="Arial"/>
                <w:b/>
                <w:sz w:val="22"/>
                <w:szCs w:val="22"/>
                <w:highlight w:val="none"/>
              </w:rPr>
              <w:t>FISCALIZAÇÃO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D</w:t>
            </w:r>
            <w:r>
              <w:rPr>
                <w:rFonts w:hint="default" w:ascii="Arial" w:hAnsi="Arial" w:cs="Arial"/>
                <w:b/>
                <w:sz w:val="22"/>
                <w:szCs w:val="22"/>
                <w:highlight w:val="none"/>
                <w:lang w:val="pt-BR"/>
              </w:rPr>
              <w:t>A ATA/</w:t>
            </w:r>
            <w:r>
              <w:rPr>
                <w:rFonts w:hint="default" w:ascii="Arial" w:hAnsi="Arial" w:cs="Arial"/>
                <w:b/>
                <w:spacing w:val="-2"/>
                <w:sz w:val="22"/>
                <w:szCs w:val="22"/>
                <w:highlight w:val="none"/>
              </w:rPr>
              <w:t>CONTRATO</w:t>
            </w:r>
          </w:p>
        </w:tc>
      </w:tr>
    </w:tbl>
    <w:p w14:paraId="6FE112D7">
      <w:pPr>
        <w:pStyle w:val="128"/>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right="0" w:rightChars="0"/>
        <w:jc w:val="both"/>
        <w:textAlignment w:val="baseline"/>
        <w:rPr>
          <w:rFonts w:hint="default" w:ascii="Arial" w:hAnsi="Arial" w:cs="Arial"/>
          <w:i/>
          <w:sz w:val="22"/>
          <w:szCs w:val="22"/>
          <w:lang w:val="pt-BR"/>
        </w:rPr>
      </w:pPr>
    </w:p>
    <w:p w14:paraId="561544C1">
      <w:pPr>
        <w:keepNext w:val="0"/>
        <w:keepLines w:val="0"/>
        <w:pageBreakBefore w:val="0"/>
        <w:widowControl/>
        <w:tabs>
          <w:tab w:val="left" w:pos="1276"/>
        </w:tabs>
        <w:kinsoku/>
        <w:wordWrap/>
        <w:overflowPunct/>
        <w:topLinePunct w:val="0"/>
        <w:autoSpaceDE/>
        <w:autoSpaceDN/>
        <w:bidi w:val="0"/>
        <w:adjustRightInd/>
        <w:snapToGrid/>
        <w:spacing w:line="360" w:lineRule="auto"/>
        <w:ind w:left="0" w:firstLine="0"/>
        <w:jc w:val="both"/>
        <w:textAlignment w:val="auto"/>
        <w:rPr>
          <w:rFonts w:hint="default" w:ascii="Arial" w:hAnsi="Arial" w:cs="Arial"/>
          <w:b/>
          <w:bCs/>
          <w:color w:val="000000"/>
          <w:sz w:val="22"/>
          <w:szCs w:val="22"/>
        </w:rPr>
      </w:pPr>
      <w:r>
        <w:rPr>
          <w:rFonts w:hint="default" w:ascii="Arial" w:hAnsi="Arial" w:cs="Arial"/>
          <w:b/>
          <w:bCs/>
          <w:color w:val="000000"/>
          <w:sz w:val="22"/>
          <w:szCs w:val="22"/>
        </w:rPr>
        <w:t>Controle e Fiscalização da Execução</w:t>
      </w:r>
    </w:p>
    <w:p w14:paraId="632D8443">
      <w:pPr>
        <w:keepNext w:val="0"/>
        <w:keepLines w:val="0"/>
        <w:pageBreakBefore w:val="0"/>
        <w:widowControl/>
        <w:tabs>
          <w:tab w:val="left" w:pos="1276"/>
        </w:tabs>
        <w:kinsoku/>
        <w:wordWrap/>
        <w:overflowPunct/>
        <w:topLinePunct w:val="0"/>
        <w:autoSpaceDE/>
        <w:autoSpaceDN/>
        <w:bidi w:val="0"/>
        <w:adjustRightInd/>
        <w:snapToGrid/>
        <w:spacing w:line="360" w:lineRule="auto"/>
        <w:ind w:left="0" w:firstLine="0"/>
        <w:jc w:val="both"/>
        <w:textAlignment w:val="auto"/>
        <w:rPr>
          <w:rFonts w:hint="default" w:ascii="Arial" w:hAnsi="Arial" w:cs="Arial"/>
          <w:b/>
          <w:bCs/>
          <w:color w:val="000000"/>
          <w:sz w:val="22"/>
          <w:szCs w:val="22"/>
        </w:rPr>
      </w:pPr>
    </w:p>
    <w:p w14:paraId="5B95A776">
      <w:pPr>
        <w:pStyle w:val="165"/>
        <w:keepNext w:val="0"/>
        <w:keepLines w:val="0"/>
        <w:pageBreakBefore w:val="0"/>
        <w:widowControl/>
        <w:numPr>
          <w:ilvl w:val="1"/>
          <w:numId w:val="17"/>
        </w:numPr>
        <w:tabs>
          <w:tab w:val="left" w:pos="1276"/>
        </w:tabs>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O acompanhamento e a fiscalização da execução do contrato consistem na verificação da conformidade da prestação dos serviços e da alocação dos recursos necessários, de forma a assegurar o perfeito cumprimento do ajuste, devendo ser exercidos por um ou mais representantes da Contratante.</w:t>
      </w:r>
    </w:p>
    <w:p w14:paraId="1FAB612A">
      <w:pPr>
        <w:pStyle w:val="165"/>
        <w:keepNext w:val="0"/>
        <w:keepLines w:val="0"/>
        <w:pageBreakBefore w:val="0"/>
        <w:widowControl/>
        <w:numPr>
          <w:ilvl w:val="1"/>
          <w:numId w:val="17"/>
        </w:numPr>
        <w:tabs>
          <w:tab w:val="left" w:pos="1276"/>
        </w:tabs>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O representante da CONTRATANTE deverá ter a experiência necessária para o acompanhamento e controle da execução dos serviços e do contrato.</w:t>
      </w:r>
    </w:p>
    <w:p w14:paraId="0DB0BE1C">
      <w:pPr>
        <w:pStyle w:val="165"/>
        <w:keepNext w:val="0"/>
        <w:keepLines w:val="0"/>
        <w:pageBreakBefore w:val="0"/>
        <w:widowControl/>
        <w:numPr>
          <w:ilvl w:val="1"/>
          <w:numId w:val="17"/>
        </w:numPr>
        <w:tabs>
          <w:tab w:val="left" w:pos="1276"/>
        </w:tabs>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A verificação da adequação da prestação do serviço deverá ser realizada com base nos critérios previstos neste Termo de Referência.</w:t>
      </w:r>
    </w:p>
    <w:p w14:paraId="0E4867E5">
      <w:pPr>
        <w:pStyle w:val="165"/>
        <w:keepNext w:val="0"/>
        <w:keepLines w:val="0"/>
        <w:pageBreakBefore w:val="0"/>
        <w:widowControl/>
        <w:numPr>
          <w:ilvl w:val="1"/>
          <w:numId w:val="17"/>
        </w:numPr>
        <w:tabs>
          <w:tab w:val="left" w:pos="1276"/>
        </w:tabs>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A conformidade do material a ser utilizado na execução dos serviços deverá ser verificada juntamente com a Contratada que contenha a relação detalhada dos mesmos, de acordo com o estabelecido neste Termo de Referência e na proposta, informando as respectivas quantidades e especificações técnicas, tais como: marca, qualidade e forma de uso.</w:t>
      </w:r>
    </w:p>
    <w:p w14:paraId="02277D0E">
      <w:pPr>
        <w:pStyle w:val="165"/>
        <w:keepNext w:val="0"/>
        <w:keepLines w:val="0"/>
        <w:pageBreakBefore w:val="0"/>
        <w:widowControl/>
        <w:numPr>
          <w:ilvl w:val="1"/>
          <w:numId w:val="17"/>
        </w:numPr>
        <w:tabs>
          <w:tab w:val="left" w:pos="1276"/>
        </w:tabs>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color w:val="auto"/>
          <w:sz w:val="22"/>
          <w:szCs w:val="22"/>
        </w:rPr>
      </w:pPr>
      <w:r>
        <w:rPr>
          <w:rFonts w:hint="default" w:ascii="Arial" w:hAnsi="Arial" w:cs="Arial"/>
          <w:color w:val="auto"/>
          <w:sz w:val="22"/>
          <w:szCs w:val="22"/>
        </w:rPr>
        <w:t xml:space="preserve">O representante da CONTRATANTE deverá promover o registro das ocorrências verificadas, adotando as providências necessárias ao fiel cumprimento das cláusulas contratuais, conforme o disposto nos §§ 1º e 2º do art. </w:t>
      </w:r>
      <w:r>
        <w:rPr>
          <w:rFonts w:hint="default" w:ascii="Arial" w:hAnsi="Arial" w:cs="Arial"/>
          <w:color w:val="auto"/>
          <w:sz w:val="22"/>
          <w:szCs w:val="22"/>
          <w:lang w:val="pt-BR"/>
        </w:rPr>
        <w:t>11</w:t>
      </w:r>
      <w:r>
        <w:rPr>
          <w:rFonts w:hint="default" w:ascii="Arial" w:hAnsi="Arial" w:cs="Arial"/>
          <w:color w:val="auto"/>
          <w:sz w:val="22"/>
          <w:szCs w:val="22"/>
        </w:rPr>
        <w:t xml:space="preserve">7 da Lei nº </w:t>
      </w:r>
      <w:r>
        <w:rPr>
          <w:rFonts w:hint="default" w:ascii="Arial" w:hAnsi="Arial" w:cs="Arial"/>
          <w:color w:val="auto"/>
          <w:sz w:val="22"/>
          <w:szCs w:val="22"/>
          <w:lang w:val="pt-BR"/>
        </w:rPr>
        <w:t>14.133</w:t>
      </w:r>
      <w:r>
        <w:rPr>
          <w:rFonts w:hint="default" w:ascii="Arial" w:hAnsi="Arial" w:cs="Arial"/>
          <w:color w:val="auto"/>
          <w:sz w:val="22"/>
          <w:szCs w:val="22"/>
        </w:rPr>
        <w:t xml:space="preserve">, de </w:t>
      </w:r>
      <w:r>
        <w:rPr>
          <w:rFonts w:hint="default" w:ascii="Arial" w:hAnsi="Arial" w:cs="Arial"/>
          <w:color w:val="auto"/>
          <w:sz w:val="22"/>
          <w:szCs w:val="22"/>
          <w:lang w:val="pt-BR"/>
        </w:rPr>
        <w:t>2021</w:t>
      </w:r>
      <w:r>
        <w:rPr>
          <w:rFonts w:hint="default" w:ascii="Arial" w:hAnsi="Arial" w:cs="Arial"/>
          <w:color w:val="auto"/>
          <w:sz w:val="22"/>
          <w:szCs w:val="22"/>
        </w:rPr>
        <w:t>.</w:t>
      </w:r>
    </w:p>
    <w:p w14:paraId="7D42BE43">
      <w:pPr>
        <w:keepNext w:val="0"/>
        <w:keepLines w:val="0"/>
        <w:widowControl/>
        <w:numPr>
          <w:ilvl w:val="1"/>
          <w:numId w:val="17"/>
        </w:numPr>
        <w:suppressLineNumbers w:val="0"/>
        <w:spacing w:line="360" w:lineRule="auto"/>
        <w:ind w:left="0" w:leftChars="0" w:firstLine="0" w:firstLineChars="0"/>
        <w:jc w:val="both"/>
        <w:rPr>
          <w:rFonts w:hint="default" w:ascii="Arial" w:hAnsi="Arial" w:cs="Arial"/>
          <w:sz w:val="22"/>
          <w:szCs w:val="22"/>
          <w:highlight w:val="none"/>
          <w:lang w:val="pt-BR"/>
        </w:rPr>
      </w:pPr>
      <w:r>
        <w:rPr>
          <w:rFonts w:hint="default" w:ascii="Arial" w:hAnsi="Arial" w:cs="Arial"/>
          <w:color w:val="auto"/>
          <w:sz w:val="22"/>
          <w:szCs w:val="22"/>
        </w:rPr>
        <w:t xml:space="preserve">A fiscalização de que trata esta cláusula não exclui nem reduz a responsabilidade da CONTRANTE,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w:t>
      </w:r>
      <w:r>
        <w:rPr>
          <w:rFonts w:hint="default" w:ascii="Arial" w:hAnsi="Arial" w:cs="Arial"/>
          <w:color w:val="auto"/>
          <w:sz w:val="22"/>
          <w:szCs w:val="22"/>
          <w:lang w:val="pt-BR"/>
        </w:rPr>
        <w:t>120</w:t>
      </w:r>
      <w:r>
        <w:rPr>
          <w:rFonts w:hint="default" w:ascii="Arial" w:hAnsi="Arial" w:cs="Arial"/>
          <w:color w:val="auto"/>
          <w:sz w:val="22"/>
          <w:szCs w:val="22"/>
        </w:rPr>
        <w:t xml:space="preserve"> da Lei nº </w:t>
      </w:r>
      <w:r>
        <w:rPr>
          <w:rFonts w:hint="default" w:ascii="Arial" w:hAnsi="Arial" w:cs="Arial"/>
          <w:color w:val="auto"/>
          <w:sz w:val="22"/>
          <w:szCs w:val="22"/>
          <w:lang w:val="pt-BR"/>
        </w:rPr>
        <w:t>14.133</w:t>
      </w:r>
      <w:r>
        <w:rPr>
          <w:rFonts w:hint="default" w:ascii="Arial" w:hAnsi="Arial" w:cs="Arial"/>
          <w:color w:val="auto"/>
          <w:sz w:val="22"/>
          <w:szCs w:val="22"/>
        </w:rPr>
        <w:t xml:space="preserve">, de </w:t>
      </w:r>
      <w:r>
        <w:rPr>
          <w:rFonts w:hint="default" w:ascii="Arial" w:hAnsi="Arial" w:cs="Arial"/>
          <w:color w:val="auto"/>
          <w:sz w:val="22"/>
          <w:szCs w:val="22"/>
          <w:lang w:val="pt-BR"/>
        </w:rPr>
        <w:t>2021</w:t>
      </w:r>
      <w:r>
        <w:rPr>
          <w:rFonts w:hint="default" w:ascii="Arial" w:hAnsi="Arial" w:cs="Arial"/>
          <w:color w:val="auto"/>
          <w:sz w:val="22"/>
          <w:szCs w:val="22"/>
        </w:rPr>
        <w:t>.</w:t>
      </w:r>
    </w:p>
    <w:p w14:paraId="2A3A62B0">
      <w:pPr>
        <w:keepNext w:val="0"/>
        <w:keepLines w:val="0"/>
        <w:widowControl/>
        <w:numPr>
          <w:ilvl w:val="1"/>
          <w:numId w:val="17"/>
        </w:numPr>
        <w:suppressLineNumbers w:val="0"/>
        <w:spacing w:line="360" w:lineRule="auto"/>
        <w:ind w:left="0" w:leftChars="0" w:firstLine="0" w:firstLineChars="0"/>
        <w:jc w:val="both"/>
        <w:rPr>
          <w:rFonts w:hint="default" w:ascii="Arial" w:hAnsi="Arial" w:cs="Arial"/>
          <w:sz w:val="22"/>
          <w:szCs w:val="22"/>
          <w:highlight w:val="none"/>
          <w:lang w:val="pt-BR"/>
        </w:rPr>
      </w:pPr>
      <w:r>
        <w:rPr>
          <w:rFonts w:hint="default" w:ascii="Arial" w:hAnsi="Arial" w:cs="Arial"/>
          <w:sz w:val="22"/>
          <w:szCs w:val="22"/>
          <w:lang w:val="pt-BR"/>
        </w:rPr>
        <w:t xml:space="preserve">A </w:t>
      </w:r>
      <w:r>
        <w:rPr>
          <w:rFonts w:hint="default" w:ascii="Arial" w:hAnsi="Arial" w:cs="Arial"/>
          <w:sz w:val="22"/>
          <w:szCs w:val="22"/>
        </w:rPr>
        <w:t>gestão e acompanhamento da entrega do objeto serão feitos pela Secretaria Municipal solicitante, através do servidor responsável pelo recebimento do mesmo, bem como o Termo de Aceite e posterior atesto em Nota Fiscal que será remetida para pagamento.</w:t>
      </w:r>
    </w:p>
    <w:p w14:paraId="58ED0B88">
      <w:pPr>
        <w:keepNext w:val="0"/>
        <w:keepLines w:val="0"/>
        <w:widowControl/>
        <w:numPr>
          <w:ilvl w:val="1"/>
          <w:numId w:val="17"/>
        </w:numPr>
        <w:suppressLineNumbers w:val="0"/>
        <w:spacing w:line="360" w:lineRule="auto"/>
        <w:ind w:left="0" w:leftChars="0" w:firstLine="0" w:firstLineChars="0"/>
        <w:jc w:val="both"/>
        <w:rPr>
          <w:rFonts w:hint="default" w:ascii="Arial" w:hAnsi="Arial" w:cs="Arial"/>
          <w:sz w:val="22"/>
          <w:szCs w:val="22"/>
          <w:highlight w:val="none"/>
          <w:lang w:val="pt-BR"/>
        </w:rPr>
      </w:pPr>
      <w:r>
        <w:rPr>
          <w:rFonts w:hint="default" w:ascii="Arial" w:hAnsi="Arial" w:cs="Arial"/>
          <w:sz w:val="22"/>
          <w:szCs w:val="22"/>
          <w:lang w:val="pt-BR"/>
        </w:rPr>
        <w:t xml:space="preserve">A </w:t>
      </w:r>
      <w:r>
        <w:rPr>
          <w:rFonts w:hint="default" w:ascii="Arial" w:hAnsi="Arial" w:cs="Arial"/>
          <w:sz w:val="22"/>
          <w:szCs w:val="22"/>
        </w:rPr>
        <w:t>Contratante deverá monitorar constantemente o nível de qualidade dos serviços para evitar a sua degeneração, devendo intervir para corrigir ou aplicar sanções quando verificar desconformidades da prestação do serviço com a qualidade exigida.</w:t>
      </w:r>
    </w:p>
    <w:p w14:paraId="558C86DB">
      <w:pPr>
        <w:keepNext w:val="0"/>
        <w:keepLines w:val="0"/>
        <w:pageBreakBefore w:val="0"/>
        <w:widowControl/>
        <w:kinsoku/>
        <w:wordWrap/>
        <w:overflowPunct/>
        <w:topLinePunct w:val="0"/>
        <w:autoSpaceDE/>
        <w:autoSpaceDN/>
        <w:bidi w:val="0"/>
        <w:adjustRightInd/>
        <w:snapToGrid/>
        <w:spacing w:line="360" w:lineRule="auto"/>
        <w:ind w:left="0" w:firstLine="0"/>
        <w:jc w:val="both"/>
        <w:textAlignment w:val="auto"/>
        <w:rPr>
          <w:rFonts w:hint="default" w:ascii="Arial" w:hAnsi="Arial" w:cs="Arial"/>
          <w:b/>
          <w:bCs/>
          <w:sz w:val="22"/>
          <w:szCs w:val="22"/>
        </w:rPr>
      </w:pPr>
      <w:r>
        <w:rPr>
          <w:rFonts w:hint="default" w:ascii="Arial" w:hAnsi="Arial" w:cs="Arial"/>
          <w:b/>
          <w:bCs/>
          <w:sz w:val="22"/>
          <w:szCs w:val="22"/>
        </w:rPr>
        <w:t xml:space="preserve">A fiscalização da execução dos serviços abrange, ainda, as seguintes rotinas: </w:t>
      </w:r>
    </w:p>
    <w:p w14:paraId="49709C2B">
      <w:pPr>
        <w:pStyle w:val="165"/>
        <w:keepNext w:val="0"/>
        <w:keepLines w:val="0"/>
        <w:pageBreakBefore w:val="0"/>
        <w:widowControl/>
        <w:numPr>
          <w:ilvl w:val="1"/>
          <w:numId w:val="17"/>
        </w:numPr>
        <w:tabs>
          <w:tab w:val="left" w:pos="1276"/>
        </w:tabs>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Após a assinatura do contrato, será realizada uma reunião inicial entre a CONTRATANTE e a CONTRATADA com o objetivo de identificar as expectativas, nivelar os entendimentos acerca das condições estabelecidas neste Termo de Referência e no Contrato, e esclarecer possíveis dúvidas acerca da entrega, instalação e configuração do sistema de infraestrutura de alta eficiência e disponibilidade. A CONTRATADA deverá fornecer nesta reunião os seguintes documentos:</w:t>
      </w:r>
    </w:p>
    <w:p w14:paraId="06C50EEC">
      <w:pPr>
        <w:pStyle w:val="165"/>
        <w:keepNext w:val="0"/>
        <w:keepLines w:val="0"/>
        <w:pageBreakBefore w:val="0"/>
        <w:widowControl/>
        <w:numPr>
          <w:ilvl w:val="1"/>
          <w:numId w:val="17"/>
        </w:numPr>
        <w:tabs>
          <w:tab w:val="left" w:pos="1276"/>
        </w:tabs>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Carta de apresentação do Preposto, contendo no mínimo o nome completo e CPF do funcionário da empresa designado para acompanhar a execução do contrato e atuar como interlocutor principal junto à contratante, incumbido de receber, diligenciar, encaminhar e responder as principais questões técnicas, legais e administrativas referentes ao andamento contratual;</w:t>
      </w:r>
    </w:p>
    <w:p w14:paraId="4E9CABFD">
      <w:pPr>
        <w:pStyle w:val="165"/>
        <w:keepNext w:val="0"/>
        <w:keepLines w:val="0"/>
        <w:pageBreakBefore w:val="0"/>
        <w:widowControl/>
        <w:numPr>
          <w:ilvl w:val="1"/>
          <w:numId w:val="17"/>
        </w:numPr>
        <w:tabs>
          <w:tab w:val="left" w:pos="1276"/>
        </w:tabs>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Termo de Manutenção de Ciência da Declaração de Manutenção de Sigilo e das Normas de Segurança Vigentes no Órgão.</w:t>
      </w:r>
    </w:p>
    <w:p w14:paraId="2C65DDC2">
      <w:pPr>
        <w:pStyle w:val="165"/>
        <w:keepNext w:val="0"/>
        <w:keepLines w:val="0"/>
        <w:pageBreakBefore w:val="0"/>
        <w:widowControl/>
        <w:numPr>
          <w:ilvl w:val="1"/>
          <w:numId w:val="17"/>
        </w:numPr>
        <w:tabs>
          <w:tab w:val="left" w:pos="1276"/>
        </w:tabs>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Deverão participar principalmente da reunião inicial o Gestor e Fiscal da contratação e o Preposto da CONTRATADA.</w:t>
      </w:r>
    </w:p>
    <w:p w14:paraId="3A9D4779">
      <w:pPr>
        <w:pStyle w:val="165"/>
        <w:keepNext w:val="0"/>
        <w:keepLines w:val="0"/>
        <w:pageBreakBefore w:val="0"/>
        <w:widowControl/>
        <w:numPr>
          <w:ilvl w:val="1"/>
          <w:numId w:val="17"/>
        </w:numPr>
        <w:tabs>
          <w:tab w:val="left" w:pos="1276"/>
        </w:tabs>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A ata da reunião inicial contendo o detalhamento das informações e esclarecimentos expostos nesta reunião deverá ser assinado pelos representantes da CONTRATANTE e da CONTRATADA.</w:t>
      </w:r>
    </w:p>
    <w:p w14:paraId="22FA92D4">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7.14.</w:t>
      </w:r>
      <w:r>
        <w:rPr>
          <w:rFonts w:hint="default" w:ascii="Arial" w:hAnsi="Arial" w:cs="Arial"/>
          <w:sz w:val="22"/>
          <w:szCs w:val="22"/>
          <w:lang w:val="pt-BR"/>
        </w:rPr>
        <w:t xml:space="preserve"> </w:t>
      </w:r>
      <w:r>
        <w:rPr>
          <w:rFonts w:hint="default" w:ascii="Arial" w:hAnsi="Arial" w:cs="Arial"/>
          <w:sz w:val="22"/>
          <w:szCs w:val="22"/>
        </w:rPr>
        <w:t>As etapas de execução do objeto deste Termo de Referência serão definidas pela CONTRATANTE e serão demandas via Ordem de Serviço pelo Gestor do Contrato ao Preposto da CONTRATADA.</w:t>
      </w:r>
    </w:p>
    <w:p w14:paraId="0F51DA2C">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7.15. </w:t>
      </w:r>
      <w:r>
        <w:rPr>
          <w:rFonts w:hint="default" w:ascii="Arial" w:hAnsi="Arial" w:cs="Arial"/>
          <w:sz w:val="22"/>
          <w:szCs w:val="22"/>
        </w:rPr>
        <w:t>O transporte dos materiais e equipamentos ofertados deverá ser realizado pela CONTRATADA ou por serviço de transporte especializado, a cargo da CONTRATADA.</w:t>
      </w:r>
    </w:p>
    <w:p w14:paraId="51830766">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7.16.</w:t>
      </w:r>
      <w:r>
        <w:rPr>
          <w:rFonts w:hint="default" w:ascii="Arial" w:hAnsi="Arial" w:cs="Arial"/>
          <w:sz w:val="22"/>
          <w:szCs w:val="22"/>
          <w:lang w:val="pt-BR"/>
        </w:rPr>
        <w:t xml:space="preserve"> </w:t>
      </w:r>
      <w:r>
        <w:rPr>
          <w:rFonts w:hint="default" w:ascii="Arial" w:hAnsi="Arial" w:cs="Arial"/>
          <w:sz w:val="22"/>
          <w:szCs w:val="22"/>
        </w:rPr>
        <w:t>No momento da entrega de equipamentos o representante da CONTRATANTE receberá os produtos e recolherá uma via da Guia de Transporte ou similar.</w:t>
      </w:r>
    </w:p>
    <w:p w14:paraId="5CB6269D">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7.17.</w:t>
      </w:r>
      <w:r>
        <w:rPr>
          <w:rFonts w:hint="default" w:ascii="Arial" w:hAnsi="Arial" w:cs="Arial"/>
          <w:sz w:val="22"/>
          <w:szCs w:val="22"/>
          <w:lang w:val="pt-BR"/>
        </w:rPr>
        <w:t xml:space="preserve"> </w:t>
      </w:r>
      <w:r>
        <w:rPr>
          <w:rFonts w:hint="default" w:ascii="Arial" w:hAnsi="Arial" w:cs="Arial"/>
          <w:sz w:val="22"/>
          <w:szCs w:val="22"/>
        </w:rPr>
        <w:t>No ato de fornecimento do objeto, a CONTRATADA deverá entregar a seguinte documentação mínima:</w:t>
      </w:r>
    </w:p>
    <w:p w14:paraId="1BCF182F">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7.18.</w:t>
      </w:r>
      <w:r>
        <w:rPr>
          <w:rFonts w:hint="default" w:ascii="Arial" w:hAnsi="Arial" w:cs="Arial"/>
          <w:sz w:val="22"/>
          <w:szCs w:val="22"/>
          <w:lang w:val="pt-BR"/>
        </w:rPr>
        <w:t xml:space="preserve"> </w:t>
      </w:r>
      <w:r>
        <w:rPr>
          <w:rFonts w:hint="default" w:ascii="Arial" w:hAnsi="Arial" w:cs="Arial"/>
          <w:sz w:val="22"/>
          <w:szCs w:val="22"/>
        </w:rPr>
        <w:t>O manual do usuário do equipamento, que contemple no mínimo o uso das funcionalidades constantes do prospecto do fabricante.</w:t>
      </w:r>
    </w:p>
    <w:p w14:paraId="677124F7">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7.19.</w:t>
      </w:r>
      <w:r>
        <w:rPr>
          <w:rFonts w:hint="default" w:ascii="Arial" w:hAnsi="Arial" w:cs="Arial"/>
          <w:sz w:val="22"/>
          <w:szCs w:val="22"/>
          <w:lang w:val="pt-BR"/>
        </w:rPr>
        <w:t xml:space="preserve"> </w:t>
      </w:r>
      <w:r>
        <w:rPr>
          <w:rFonts w:hint="default" w:ascii="Arial" w:hAnsi="Arial" w:cs="Arial"/>
          <w:sz w:val="22"/>
          <w:szCs w:val="22"/>
        </w:rPr>
        <w:t>O termo de garantia, que deve esclarecer, de maneira adequada em que consiste a mesma garantia, bem como a forma, o prazo e o lugar em que pode ser exercitada e os ônus a cargo da CONTRATANTE, nos termos do art. 50 da Lei nº 8.078, de 11 de setembro de 1990.</w:t>
      </w:r>
    </w:p>
    <w:p w14:paraId="615297F9">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7.20.</w:t>
      </w:r>
      <w:r>
        <w:rPr>
          <w:rFonts w:hint="default" w:ascii="Arial" w:hAnsi="Arial" w:cs="Arial"/>
          <w:sz w:val="22"/>
          <w:szCs w:val="22"/>
          <w:lang w:val="pt-BR"/>
        </w:rPr>
        <w:t xml:space="preserve"> </w:t>
      </w:r>
      <w:r>
        <w:rPr>
          <w:rFonts w:hint="default" w:ascii="Arial" w:hAnsi="Arial" w:cs="Arial"/>
          <w:sz w:val="22"/>
          <w:szCs w:val="22"/>
        </w:rPr>
        <w:t>Em casos de identificação de não conformidade com os termos contratuais, os Fiscais da CONTRATANTE encaminharão ao Gestor do Contrato para que ele, por sua vez, tome as medidas pertinentes.</w:t>
      </w:r>
    </w:p>
    <w:p w14:paraId="67E4C726">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7.21. </w:t>
      </w:r>
      <w:r>
        <w:rPr>
          <w:rFonts w:hint="default" w:ascii="Arial" w:hAnsi="Arial" w:cs="Arial"/>
          <w:sz w:val="22"/>
          <w:szCs w:val="22"/>
        </w:rPr>
        <w:t>Após a emissão do Termo de Recebimento Definitivo, o Gestor autorizará, por escrito, a emissão da nota fiscal do produto pela CONTRATADA após a constatação de entrega efetiva da solução e apuração dos indicadores de níveis mínimos de qualidade.</w:t>
      </w:r>
    </w:p>
    <w:p w14:paraId="293839C5">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7.22.</w:t>
      </w:r>
      <w:r>
        <w:rPr>
          <w:rFonts w:hint="default" w:ascii="Arial" w:hAnsi="Arial" w:cs="Arial"/>
          <w:sz w:val="22"/>
          <w:szCs w:val="22"/>
          <w:lang w:val="pt-BR"/>
        </w:rPr>
        <w:t xml:space="preserve"> </w:t>
      </w:r>
      <w:r>
        <w:rPr>
          <w:rFonts w:hint="default" w:ascii="Arial" w:hAnsi="Arial" w:cs="Arial"/>
          <w:sz w:val="22"/>
          <w:szCs w:val="22"/>
        </w:rPr>
        <w:t>Após emissão da nota fiscal, a área administrativa realizará a verificação das regularidades fiscais, trabalhistas e previdenciárias para fins de pagamento.</w:t>
      </w:r>
    </w:p>
    <w:p w14:paraId="0B24D324">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7.23.</w:t>
      </w:r>
      <w:r>
        <w:rPr>
          <w:rFonts w:hint="default" w:ascii="Arial" w:hAnsi="Arial" w:cs="Arial"/>
          <w:sz w:val="22"/>
          <w:szCs w:val="22"/>
          <w:lang w:val="pt-BR"/>
        </w:rPr>
        <w:t xml:space="preserve"> </w:t>
      </w:r>
      <w:r>
        <w:rPr>
          <w:rFonts w:hint="default" w:ascii="Arial" w:hAnsi="Arial" w:cs="Arial"/>
          <w:sz w:val="22"/>
          <w:szCs w:val="22"/>
        </w:rPr>
        <w:t>Durante a vigência do contrato existirão os seguintes papéis:</w:t>
      </w:r>
    </w:p>
    <w:p w14:paraId="2EC95ED5">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7.24.</w:t>
      </w:r>
      <w:r>
        <w:rPr>
          <w:rFonts w:hint="default" w:ascii="Arial" w:hAnsi="Arial" w:cs="Arial"/>
          <w:sz w:val="22"/>
          <w:szCs w:val="22"/>
          <w:lang w:val="pt-BR"/>
        </w:rPr>
        <w:t xml:space="preserve"> </w:t>
      </w:r>
      <w:r>
        <w:rPr>
          <w:rFonts w:hint="default" w:ascii="Arial" w:hAnsi="Arial" w:cs="Arial"/>
          <w:sz w:val="22"/>
          <w:szCs w:val="22"/>
        </w:rPr>
        <w:t>Preposto: representante da contratada, responsável por acompanhar a execução do contrato e atuar como interlocutor principal junto à contratante, incumbido de receber, diligenciar, encaminhar e responder as principais questões técnicas, legais e administrativas referentes ao andamento contratual;</w:t>
      </w:r>
    </w:p>
    <w:p w14:paraId="20BF30EE">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7.25.</w:t>
      </w:r>
      <w:r>
        <w:rPr>
          <w:rFonts w:hint="default" w:ascii="Arial" w:hAnsi="Arial" w:cs="Arial"/>
          <w:sz w:val="22"/>
          <w:szCs w:val="22"/>
          <w:lang w:val="pt-BR"/>
        </w:rPr>
        <w:t xml:space="preserve"> </w:t>
      </w:r>
      <w:r>
        <w:rPr>
          <w:rFonts w:hint="default" w:ascii="Arial" w:hAnsi="Arial" w:cs="Arial"/>
          <w:sz w:val="22"/>
          <w:szCs w:val="22"/>
        </w:rPr>
        <w:t>Fiscal Requisitante do Contrato: servidor representante da Área Requisitante da Solução, indicado pela autoridade competente dessa área para fiscalizar o contrato do ponto de vista funcional da Solução de Tecnologia da Informação;</w:t>
      </w:r>
    </w:p>
    <w:p w14:paraId="067BC6F9">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7.26.</w:t>
      </w:r>
      <w:r>
        <w:rPr>
          <w:rFonts w:hint="default" w:ascii="Arial" w:hAnsi="Arial" w:cs="Arial"/>
          <w:sz w:val="22"/>
          <w:szCs w:val="22"/>
          <w:lang w:val="pt-BR"/>
        </w:rPr>
        <w:t xml:space="preserve"> </w:t>
      </w:r>
      <w:r>
        <w:rPr>
          <w:rFonts w:hint="default" w:ascii="Arial" w:hAnsi="Arial" w:cs="Arial"/>
          <w:sz w:val="22"/>
          <w:szCs w:val="22"/>
        </w:rPr>
        <w:t>Fiscal Administrativo do Contrato: servidor representante da Área Administrativa, indicado pela autoridade competente dessa área para fiscalizar o contrato quanto aos aspectos administrativos;</w:t>
      </w:r>
    </w:p>
    <w:p w14:paraId="5B4CD0DE">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7.27. </w:t>
      </w:r>
      <w:r>
        <w:rPr>
          <w:rFonts w:hint="default" w:ascii="Arial" w:hAnsi="Arial" w:cs="Arial"/>
          <w:sz w:val="22"/>
          <w:szCs w:val="22"/>
        </w:rPr>
        <w:t>Fiscal Técnico do Contrato: servidor representante da Área de Tecnologia da Informação, indicado pela autoridade competente dessa área para fiscalizar tecnicamente o contrato;</w:t>
      </w:r>
    </w:p>
    <w:p w14:paraId="3CC49548">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7.28.</w:t>
      </w:r>
      <w:r>
        <w:rPr>
          <w:rFonts w:hint="default" w:ascii="Arial" w:hAnsi="Arial" w:cs="Arial"/>
          <w:sz w:val="22"/>
          <w:szCs w:val="22"/>
          <w:lang w:val="pt-BR"/>
        </w:rPr>
        <w:t xml:space="preserve"> </w:t>
      </w:r>
      <w:r>
        <w:rPr>
          <w:rFonts w:hint="default" w:ascii="Arial" w:hAnsi="Arial" w:cs="Arial"/>
          <w:sz w:val="22"/>
          <w:szCs w:val="22"/>
        </w:rPr>
        <w:t>Gestor do Contrato: servidor com atribuições gerenciais, designado para coordenar e comandar o processo de gestão e fiscalização da execução contratual, indicado por autoridade competente;</w:t>
      </w:r>
    </w:p>
    <w:p w14:paraId="67DA151A">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b/>
          <w:bCs w:val="0"/>
          <w:sz w:val="22"/>
          <w:szCs w:val="22"/>
          <w:highlight w:val="yellow"/>
          <w:lang w:val="pt-BR"/>
        </w:rPr>
      </w:pPr>
      <w:r>
        <w:rPr>
          <w:rFonts w:hint="default" w:ascii="Arial" w:hAnsi="Arial" w:cs="Arial"/>
          <w:b/>
          <w:bCs/>
          <w:color w:val="auto"/>
          <w:sz w:val="22"/>
          <w:szCs w:val="22"/>
          <w:highlight w:val="none"/>
          <w:lang w:val="pt-BR"/>
        </w:rPr>
        <w:t>7.29.</w:t>
      </w:r>
      <w:r>
        <w:rPr>
          <w:rFonts w:hint="default" w:ascii="Arial" w:hAnsi="Arial" w:cs="Arial"/>
          <w:color w:val="auto"/>
          <w:sz w:val="22"/>
          <w:szCs w:val="22"/>
          <w:highlight w:val="none"/>
          <w:lang w:val="pt-BR"/>
        </w:rPr>
        <w:t xml:space="preserve"> </w:t>
      </w:r>
      <w:r>
        <w:rPr>
          <w:rFonts w:hint="default" w:ascii="Arial" w:hAnsi="Arial" w:cs="Arial"/>
          <w:color w:val="auto"/>
          <w:sz w:val="22"/>
          <w:szCs w:val="22"/>
          <w:highlight w:val="none"/>
        </w:rPr>
        <w:t xml:space="preserve">Autoridade competente da área administrativa da PREFEITURA: Servidor superior hierarquicamente ao gestor da contratação, a qual cabe tomar decisões e providências que ultrapassem a competência do responsável, de acordo com o art. </w:t>
      </w:r>
      <w:r>
        <w:rPr>
          <w:rFonts w:hint="default" w:ascii="Arial" w:hAnsi="Arial" w:cs="Arial"/>
          <w:color w:val="auto"/>
          <w:sz w:val="22"/>
          <w:szCs w:val="22"/>
          <w:highlight w:val="none"/>
          <w:lang w:val="pt-BR"/>
        </w:rPr>
        <w:t>117</w:t>
      </w:r>
      <w:r>
        <w:rPr>
          <w:rFonts w:hint="default" w:ascii="Arial" w:hAnsi="Arial" w:cs="Arial"/>
          <w:color w:val="auto"/>
          <w:sz w:val="22"/>
          <w:szCs w:val="22"/>
          <w:highlight w:val="none"/>
        </w:rPr>
        <w:t xml:space="preserve">, §2°, da Lei </w:t>
      </w:r>
      <w:r>
        <w:rPr>
          <w:rFonts w:hint="default" w:ascii="Arial" w:hAnsi="Arial" w:cs="Arial"/>
          <w:color w:val="auto"/>
          <w:sz w:val="22"/>
          <w:szCs w:val="22"/>
          <w:highlight w:val="none"/>
          <w:lang w:val="pt-BR"/>
        </w:rPr>
        <w:t>14.133/21</w:t>
      </w:r>
      <w:r>
        <w:rPr>
          <w:rFonts w:hint="default" w:ascii="Arial" w:hAnsi="Arial" w:cs="Arial"/>
          <w:color w:val="auto"/>
          <w:sz w:val="22"/>
          <w:szCs w:val="22"/>
          <w:highlight w:val="none"/>
        </w:rPr>
        <w:t>.</w:t>
      </w:r>
    </w:p>
    <w:p w14:paraId="5193D38A">
      <w:pPr>
        <w:pStyle w:val="155"/>
        <w:spacing w:line="275" w:lineRule="exact"/>
        <w:ind w:left="414"/>
        <w:jc w:val="center"/>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DO FISCAL DO CONTRATO</w:t>
      </w:r>
    </w:p>
    <w:p w14:paraId="276F4FE7">
      <w:pPr>
        <w:numPr>
          <w:ilvl w:val="0"/>
          <w:numId w:val="0"/>
        </w:numPr>
        <w:ind w:leftChars="0"/>
        <w:jc w:val="center"/>
        <w:rPr>
          <w:rFonts w:hint="default" w:ascii="Arial" w:hAnsi="Arial" w:cs="Arial"/>
          <w:color w:val="000000"/>
          <w:sz w:val="22"/>
          <w:szCs w:val="22"/>
          <w:highlight w:val="green"/>
          <w:lang w:val="pt-BR"/>
        </w:rPr>
      </w:pP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2"/>
        <w:gridCol w:w="2872"/>
        <w:gridCol w:w="2872"/>
      </w:tblGrid>
      <w:tr w14:paraId="6FB0D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4FB94CAD">
            <w:pPr>
              <w:numPr>
                <w:ilvl w:val="0"/>
                <w:numId w:val="0"/>
              </w:numPr>
              <w:jc w:val="center"/>
              <w:rPr>
                <w:rFonts w:hint="default" w:ascii="Arial" w:hAnsi="Arial" w:cs="Arial"/>
                <w:b/>
                <w:bCs/>
                <w:color w:val="000000" w:themeColor="text1"/>
                <w:sz w:val="22"/>
                <w:szCs w:val="22"/>
                <w:highlight w:val="none"/>
                <w:vertAlign w:val="baseline"/>
                <w:lang w:val="pt-BR"/>
                <w14:textFill>
                  <w14:solidFill>
                    <w14:schemeClr w14:val="tx1"/>
                  </w14:solidFill>
                </w14:textFill>
              </w:rPr>
            </w:pPr>
            <w:r>
              <w:rPr>
                <w:rFonts w:hint="default" w:ascii="Arial" w:hAnsi="Arial" w:cs="Arial"/>
                <w:b/>
                <w:bCs/>
                <w:color w:val="000000" w:themeColor="text1"/>
                <w:sz w:val="22"/>
                <w:szCs w:val="22"/>
                <w:highlight w:val="none"/>
                <w:vertAlign w:val="baseline"/>
                <w:lang w:val="pt-BR"/>
                <w14:textFill>
                  <w14:solidFill>
                    <w14:schemeClr w14:val="tx1"/>
                  </w14:solidFill>
                </w14:textFill>
              </w:rPr>
              <w:t>SECRETARIA</w:t>
            </w:r>
          </w:p>
        </w:tc>
        <w:tc>
          <w:tcPr>
            <w:tcW w:w="2872" w:type="dxa"/>
            <w:vAlign w:val="center"/>
          </w:tcPr>
          <w:p w14:paraId="5F15AC67">
            <w:pPr>
              <w:numPr>
                <w:ilvl w:val="0"/>
                <w:numId w:val="0"/>
              </w:numPr>
              <w:jc w:val="center"/>
              <w:rPr>
                <w:rFonts w:hint="default" w:ascii="Arial" w:hAnsi="Arial" w:cs="Arial"/>
                <w:b/>
                <w:bCs/>
                <w:color w:val="000000" w:themeColor="text1"/>
                <w:sz w:val="22"/>
                <w:szCs w:val="22"/>
                <w:highlight w:val="none"/>
                <w:vertAlign w:val="baseline"/>
                <w:lang w:val="pt-BR"/>
                <w14:textFill>
                  <w14:solidFill>
                    <w14:schemeClr w14:val="tx1"/>
                  </w14:solidFill>
                </w14:textFill>
              </w:rPr>
            </w:pPr>
            <w:r>
              <w:rPr>
                <w:rFonts w:hint="default" w:ascii="Arial" w:hAnsi="Arial" w:cs="Arial"/>
                <w:b/>
                <w:bCs/>
                <w:color w:val="000000" w:themeColor="text1"/>
                <w:sz w:val="22"/>
                <w:szCs w:val="22"/>
                <w:highlight w:val="none"/>
                <w:vertAlign w:val="baseline"/>
                <w:lang w:val="pt-BR"/>
                <w14:textFill>
                  <w14:solidFill>
                    <w14:schemeClr w14:val="tx1"/>
                  </w14:solidFill>
                </w14:textFill>
              </w:rPr>
              <w:t>FISCAL DO CONTRATO</w:t>
            </w:r>
          </w:p>
        </w:tc>
        <w:tc>
          <w:tcPr>
            <w:tcW w:w="2872" w:type="dxa"/>
            <w:vAlign w:val="center"/>
          </w:tcPr>
          <w:p w14:paraId="1566B655">
            <w:pPr>
              <w:numPr>
                <w:ilvl w:val="0"/>
                <w:numId w:val="0"/>
              </w:numPr>
              <w:jc w:val="center"/>
              <w:rPr>
                <w:rFonts w:hint="default" w:ascii="Arial" w:hAnsi="Arial" w:cs="Arial"/>
                <w:b/>
                <w:bCs/>
                <w:color w:val="000000" w:themeColor="text1"/>
                <w:sz w:val="22"/>
                <w:szCs w:val="22"/>
                <w:highlight w:val="none"/>
                <w:vertAlign w:val="baseline"/>
                <w:lang w:val="pt-BR"/>
                <w14:textFill>
                  <w14:solidFill>
                    <w14:schemeClr w14:val="tx1"/>
                  </w14:solidFill>
                </w14:textFill>
              </w:rPr>
            </w:pPr>
            <w:r>
              <w:rPr>
                <w:rFonts w:hint="default" w:ascii="Arial" w:hAnsi="Arial" w:cs="Arial"/>
                <w:b/>
                <w:bCs/>
                <w:color w:val="000000" w:themeColor="text1"/>
                <w:sz w:val="22"/>
                <w:szCs w:val="22"/>
                <w:highlight w:val="none"/>
                <w:vertAlign w:val="baseline"/>
                <w:lang w:val="pt-BR"/>
                <w14:textFill>
                  <w14:solidFill>
                    <w14:schemeClr w14:val="tx1"/>
                  </w14:solidFill>
                </w14:textFill>
              </w:rPr>
              <w:t>SUPLENTE</w:t>
            </w:r>
          </w:p>
        </w:tc>
      </w:tr>
      <w:tr w14:paraId="652BA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5" w:hRule="atLeast"/>
        </w:trPr>
        <w:tc>
          <w:tcPr>
            <w:tcW w:w="2872" w:type="dxa"/>
            <w:vAlign w:val="center"/>
          </w:tcPr>
          <w:p w14:paraId="7E43FCF0">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lang w:val="pt-BR" w:eastAsia="zh-CN" w:bidi="ar-SA"/>
                <w14:textFill>
                  <w14:solidFill>
                    <w14:schemeClr w14:val="tx1"/>
                  </w14:solidFill>
                </w14:textFill>
              </w:rPr>
              <w:t>SECRETARIA DE ADMINISTRAÇÃO E MODERNIZAÇÃO</w:t>
            </w:r>
          </w:p>
        </w:tc>
        <w:tc>
          <w:tcPr>
            <w:tcW w:w="2872" w:type="dxa"/>
            <w:vAlign w:val="center"/>
          </w:tcPr>
          <w:p w14:paraId="1ACF62F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Daniel José Sepi de Lima</w:t>
            </w:r>
            <w:r>
              <w:rPr>
                <w:rFonts w:hint="default" w:ascii="Arial" w:hAnsi="Arial" w:eastAsia="Times New Roman" w:cs="Arial"/>
                <w:b w:val="0"/>
                <w:bCs/>
                <w:color w:val="000000" w:themeColor="text1"/>
                <w:sz w:val="22"/>
                <w:szCs w:val="22"/>
                <w:highlight w:val="none"/>
                <w14:textFill>
                  <w14:solidFill>
                    <w14:schemeClr w14:val="tx1"/>
                  </w14:solidFill>
                </w14:textFill>
              </w:rPr>
              <w:t xml:space="preserve"> </w:t>
            </w:r>
          </w:p>
          <w:p w14:paraId="6F7286E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Diretor de Gestão Digital</w:t>
            </w:r>
          </w:p>
          <w:p w14:paraId="011C31D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color w:val="FF0000"/>
                <w:sz w:val="22"/>
                <w:szCs w:val="22"/>
                <w:highlight w:val="none"/>
                <w:vertAlign w:val="baseline"/>
                <w:lang w:val="pt-BR"/>
              </w:rPr>
            </w:pPr>
            <w:r>
              <w:rPr>
                <w:rFonts w:hint="default" w:ascii="Arial" w:hAnsi="Arial" w:cs="Arial"/>
                <w:b w:val="0"/>
                <w:bCs/>
                <w:color w:val="000000" w:themeColor="text1"/>
                <w:sz w:val="22"/>
                <w:szCs w:val="22"/>
                <w:highlight w:val="none"/>
                <w14:textFill>
                  <w14:solidFill>
                    <w14:schemeClr w14:val="tx1"/>
                  </w14:solidFill>
                </w14:textFill>
              </w:rPr>
              <w:t xml:space="preserve">Matrícula: </w:t>
            </w:r>
            <w:r>
              <w:rPr>
                <w:rFonts w:hint="default" w:ascii="Arial" w:hAnsi="Arial" w:cs="Arial"/>
                <w:b w:val="0"/>
                <w:bCs/>
                <w:color w:val="000000" w:themeColor="text1"/>
                <w:sz w:val="22"/>
                <w:szCs w:val="22"/>
                <w:highlight w:val="none"/>
                <w:lang w:val="pt-BR"/>
                <w14:textFill>
                  <w14:solidFill>
                    <w14:schemeClr w14:val="tx1"/>
                  </w14:solidFill>
                </w14:textFill>
              </w:rPr>
              <w:t>7230-1</w:t>
            </w:r>
          </w:p>
        </w:tc>
        <w:tc>
          <w:tcPr>
            <w:tcW w:w="2872" w:type="dxa"/>
            <w:vAlign w:val="center"/>
          </w:tcPr>
          <w:p w14:paraId="72A4B1E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Luis Fernando de Oliveira Gomes</w:t>
            </w:r>
          </w:p>
          <w:p w14:paraId="0B0B829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Gerente II</w:t>
            </w:r>
          </w:p>
          <w:p w14:paraId="44C75A8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color w:val="FF0000"/>
                <w:sz w:val="22"/>
                <w:szCs w:val="22"/>
                <w:highlight w:val="none"/>
                <w:vertAlign w:val="baseline"/>
                <w:lang w:val="pt-BR"/>
              </w:rPr>
            </w:pPr>
            <w:r>
              <w:rPr>
                <w:rFonts w:hint="default" w:ascii="Arial" w:hAnsi="Arial" w:cs="Arial"/>
                <w:b w:val="0"/>
                <w:bCs/>
                <w:color w:val="000000" w:themeColor="text1"/>
                <w:sz w:val="22"/>
                <w:szCs w:val="22"/>
                <w:highlight w:val="none"/>
                <w14:textFill>
                  <w14:solidFill>
                    <w14:schemeClr w14:val="tx1"/>
                  </w14:solidFill>
                </w14:textFill>
              </w:rPr>
              <w:t xml:space="preserve">Matrícula: </w:t>
            </w:r>
            <w:r>
              <w:rPr>
                <w:rFonts w:hint="default" w:ascii="Arial" w:hAnsi="Arial" w:cs="Arial"/>
                <w:b w:val="0"/>
                <w:bCs/>
                <w:color w:val="000000" w:themeColor="text1"/>
                <w:sz w:val="22"/>
                <w:szCs w:val="22"/>
                <w:highlight w:val="none"/>
                <w:lang w:val="pt-BR"/>
                <w14:textFill>
                  <w14:solidFill>
                    <w14:schemeClr w14:val="tx1"/>
                  </w14:solidFill>
                </w14:textFill>
              </w:rPr>
              <w:t>15831-1</w:t>
            </w:r>
          </w:p>
        </w:tc>
      </w:tr>
    </w:tbl>
    <w:p w14:paraId="3A17F9C6">
      <w:pPr>
        <w:numPr>
          <w:ilvl w:val="0"/>
          <w:numId w:val="0"/>
        </w:numPr>
        <w:ind w:leftChars="0"/>
        <w:jc w:val="left"/>
        <w:rPr>
          <w:rFonts w:hint="default" w:ascii="Arial" w:hAnsi="Arial" w:cs="Arial"/>
          <w:color w:val="000000"/>
          <w:sz w:val="22"/>
          <w:szCs w:val="22"/>
          <w:highlight w:val="green"/>
          <w:lang w:val="pt-BR"/>
        </w:rPr>
      </w:pP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377BC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0C48A11E">
            <w:pPr>
              <w:numPr>
                <w:ilvl w:val="0"/>
                <w:numId w:val="17"/>
              </w:numPr>
              <w:ind w:left="0" w:leftChars="0" w:firstLine="0" w:firstLineChars="0"/>
              <w:jc w:val="center"/>
              <w:rPr>
                <w:rFonts w:hint="default" w:ascii="Arial" w:hAnsi="Arial" w:cs="Arial"/>
                <w:b/>
                <w:sz w:val="22"/>
                <w:szCs w:val="22"/>
                <w:highlight w:val="none"/>
                <w:vertAlign w:val="baseline"/>
                <w:lang w:val="pt-BR"/>
              </w:rPr>
            </w:pPr>
            <w:r>
              <w:rPr>
                <w:rFonts w:hint="default" w:ascii="Arial" w:hAnsi="Arial" w:cs="Arial"/>
                <w:b/>
                <w:sz w:val="22"/>
                <w:szCs w:val="22"/>
                <w:highlight w:val="none"/>
              </w:rPr>
              <w:t>MEDIÇÃO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 xml:space="preserve">E </w:t>
            </w:r>
            <w:r>
              <w:rPr>
                <w:rFonts w:hint="default" w:ascii="Arial" w:hAnsi="Arial" w:cs="Arial"/>
                <w:b/>
                <w:spacing w:val="-2"/>
                <w:sz w:val="22"/>
                <w:szCs w:val="22"/>
                <w:highlight w:val="none"/>
              </w:rPr>
              <w:t>PAGAMENTO</w:t>
            </w:r>
          </w:p>
        </w:tc>
      </w:tr>
    </w:tbl>
    <w:p w14:paraId="74411FF3">
      <w:pPr>
        <w:numPr>
          <w:ilvl w:val="0"/>
          <w:numId w:val="0"/>
        </w:numPr>
        <w:ind w:leftChars="0"/>
        <w:jc w:val="left"/>
        <w:rPr>
          <w:rFonts w:hint="default" w:ascii="Arial" w:hAnsi="Arial" w:cs="Arial"/>
          <w:color w:val="000000"/>
          <w:sz w:val="22"/>
          <w:szCs w:val="22"/>
          <w:highlight w:val="green"/>
          <w:lang w:val="pt-BR"/>
        </w:rPr>
      </w:pPr>
    </w:p>
    <w:p w14:paraId="5534869F">
      <w:pPr>
        <w:pStyle w:val="128"/>
        <w:keepNext w:val="0"/>
        <w:keepLines w:val="0"/>
        <w:pageBreakBefore w:val="0"/>
        <w:widowControl w:val="0"/>
        <w:numPr>
          <w:ilvl w:val="1"/>
          <w:numId w:val="17"/>
        </w:numPr>
        <w:tabs>
          <w:tab w:val="left" w:pos="400"/>
        </w:tabs>
        <w:kinsoku/>
        <w:wordWrap/>
        <w:overflowPunct/>
        <w:topLinePunct w:val="0"/>
        <w:autoSpaceDE/>
        <w:autoSpaceDN/>
        <w:bidi w:val="0"/>
        <w:adjustRightInd w:val="0"/>
        <w:snapToGrid/>
        <w:spacing w:line="360" w:lineRule="auto"/>
        <w:ind w:left="0" w:leftChars="0" w:right="0" w:rightChars="0" w:firstLine="0" w:firstLineChars="0"/>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z w:val="22"/>
          <w:szCs w:val="22"/>
          <w:highlight w:val="none"/>
          <w14:textFill>
            <w14:solidFill>
              <w14:schemeClr w14:val="tx1"/>
            </w14:solidFill>
          </w14:textFill>
        </w:rPr>
        <w:t>O pagamento da</w:t>
      </w:r>
      <w:r>
        <w:rPr>
          <w:rFonts w:hint="default" w:ascii="Arial" w:hAnsi="Arial" w:cs="Arial"/>
          <w:color w:val="000000" w:themeColor="text1"/>
          <w:sz w:val="22"/>
          <w:szCs w:val="22"/>
          <w:highlight w:val="none"/>
          <w:lang w:val="pt-BR"/>
          <w14:textFill>
            <w14:solidFill>
              <w14:schemeClr w14:val="tx1"/>
            </w14:solidFill>
          </w14:textFill>
        </w:rPr>
        <w:t>s</w:t>
      </w:r>
      <w:r>
        <w:rPr>
          <w:rFonts w:hint="default" w:ascii="Arial" w:hAnsi="Arial" w:cs="Arial"/>
          <w:color w:val="000000" w:themeColor="text1"/>
          <w:sz w:val="22"/>
          <w:szCs w:val="22"/>
          <w:highlight w:val="none"/>
          <w14:textFill>
            <w14:solidFill>
              <w14:schemeClr w14:val="tx1"/>
            </w14:solidFill>
          </w14:textFill>
        </w:rPr>
        <w:t xml:space="preserve"> despesas orçamentárias </w:t>
      </w:r>
      <w:r>
        <w:rPr>
          <w:rFonts w:hint="default" w:ascii="Arial" w:hAnsi="Arial" w:cs="Arial"/>
          <w:color w:val="000000" w:themeColor="text1"/>
          <w:sz w:val="22"/>
          <w:szCs w:val="22"/>
          <w:highlight w:val="none"/>
          <w:lang w:val="pt-BR"/>
          <w14:textFill>
            <w14:solidFill>
              <w14:schemeClr w14:val="tx1"/>
            </w14:solidFill>
          </w14:textFill>
        </w:rPr>
        <w:t xml:space="preserve">será efetuado conforme prazos e cronograma </w:t>
      </w:r>
      <w:r>
        <w:rPr>
          <w:rFonts w:hint="default" w:ascii="Arial" w:hAnsi="Arial" w:cs="Arial"/>
          <w:color w:val="000000" w:themeColor="text1"/>
          <w:sz w:val="22"/>
          <w:szCs w:val="22"/>
          <w:highlight w:val="none"/>
          <w14:textFill>
            <w14:solidFill>
              <w14:schemeClr w14:val="tx1"/>
            </w14:solidFill>
          </w14:textFill>
        </w:rPr>
        <w:t xml:space="preserve">previstos no </w:t>
      </w:r>
      <w:r>
        <w:rPr>
          <w:rFonts w:hint="default" w:ascii="Arial" w:hAnsi="Arial" w:cs="Arial"/>
          <w:color w:val="000000" w:themeColor="text1"/>
          <w:sz w:val="22"/>
          <w:szCs w:val="22"/>
          <w:highlight w:val="none"/>
          <w:lang w:val="pt-BR"/>
          <w14:textFill>
            <w14:solidFill>
              <w14:schemeClr w14:val="tx1"/>
            </w14:solidFill>
          </w14:textFill>
        </w:rPr>
        <w:t xml:space="preserve">art. 7º do </w:t>
      </w:r>
      <w:r>
        <w:rPr>
          <w:rFonts w:hint="default" w:ascii="Arial" w:hAnsi="Arial" w:cs="Arial"/>
          <w:color w:val="000000" w:themeColor="text1"/>
          <w:sz w:val="22"/>
          <w:szCs w:val="22"/>
          <w:highlight w:val="none"/>
          <w14:textFill>
            <w14:solidFill>
              <w14:schemeClr w14:val="tx1"/>
            </w14:solidFill>
          </w14:textFill>
        </w:rPr>
        <w:t xml:space="preserve">Decreto </w:t>
      </w:r>
      <w:r>
        <w:rPr>
          <w:rFonts w:hint="default" w:ascii="Arial" w:hAnsi="Arial" w:cs="Arial"/>
          <w:color w:val="000000" w:themeColor="text1"/>
          <w:sz w:val="22"/>
          <w:szCs w:val="22"/>
          <w:highlight w:val="none"/>
          <w:lang w:val="pt-BR"/>
          <w14:textFill>
            <w14:solidFill>
              <w14:schemeClr w14:val="tx1"/>
            </w14:solidFill>
          </w14:textFill>
        </w:rPr>
        <w:t xml:space="preserve">municipal </w:t>
      </w:r>
      <w:r>
        <w:rPr>
          <w:rFonts w:hint="default" w:ascii="Arial" w:hAnsi="Arial" w:cs="Arial"/>
          <w:color w:val="000000" w:themeColor="text1"/>
          <w:sz w:val="22"/>
          <w:szCs w:val="22"/>
          <w:highlight w:val="none"/>
          <w14:textFill>
            <w14:solidFill>
              <w14:schemeClr w14:val="tx1"/>
            </w14:solidFill>
          </w14:textFill>
        </w:rPr>
        <w:t xml:space="preserve">nº </w:t>
      </w:r>
      <w:r>
        <w:rPr>
          <w:rFonts w:hint="default" w:ascii="Arial" w:hAnsi="Arial" w:cs="Arial"/>
          <w:color w:val="000000" w:themeColor="text1"/>
          <w:sz w:val="22"/>
          <w:szCs w:val="22"/>
          <w:highlight w:val="none"/>
          <w:lang w:val="pt-BR"/>
          <w14:textFill>
            <w14:solidFill>
              <w14:schemeClr w14:val="tx1"/>
            </w14:solidFill>
          </w14:textFill>
        </w:rPr>
        <w:t>129</w:t>
      </w:r>
      <w:r>
        <w:rPr>
          <w:rFonts w:hint="default" w:ascii="Arial" w:hAnsi="Arial" w:cs="Arial"/>
          <w:color w:val="000000" w:themeColor="text1"/>
          <w:sz w:val="22"/>
          <w:szCs w:val="22"/>
          <w:highlight w:val="none"/>
          <w14:textFill>
            <w14:solidFill>
              <w14:schemeClr w14:val="tx1"/>
            </w14:solidFill>
          </w14:textFill>
        </w:rPr>
        <w:t>/</w:t>
      </w:r>
      <w:r>
        <w:rPr>
          <w:rFonts w:hint="default" w:ascii="Arial" w:hAnsi="Arial" w:cs="Arial"/>
          <w:color w:val="000000" w:themeColor="text1"/>
          <w:sz w:val="22"/>
          <w:szCs w:val="22"/>
          <w:highlight w:val="none"/>
          <w:lang w:val="pt-BR"/>
          <w14:textFill>
            <w14:solidFill>
              <w14:schemeClr w14:val="tx1"/>
            </w14:solidFill>
          </w14:textFill>
        </w:rPr>
        <w:t xml:space="preserve">2024 </w:t>
      </w:r>
      <w:r>
        <w:rPr>
          <w:rFonts w:hint="default" w:ascii="Arial" w:hAnsi="Arial" w:cs="Arial"/>
          <w:color w:val="000000" w:themeColor="text1"/>
          <w:sz w:val="22"/>
          <w:szCs w:val="22"/>
          <w:highlight w:val="none"/>
          <w14:textFill>
            <w14:solidFill>
              <w14:schemeClr w14:val="tx1"/>
            </w14:solidFill>
          </w14:textFill>
        </w:rPr>
        <w:t>e será efetuado mediante a apresentação da(s) respectiva(s) nota(s) fiscais/fatura devidamente acompanhada das certidões demonstrando sua regularidade fiscal e trabalhista, que serão liberadas para pagamento somente quando aferidas seu recebimento por meio de fiscal designado.</w:t>
      </w:r>
    </w:p>
    <w:p w14:paraId="698341FA">
      <w:pPr>
        <w:pStyle w:val="128"/>
        <w:keepNext w:val="0"/>
        <w:keepLines w:val="0"/>
        <w:pageBreakBefore w:val="0"/>
        <w:widowControl w:val="0"/>
        <w:numPr>
          <w:ilvl w:val="0"/>
          <w:numId w:val="0"/>
        </w:numPr>
        <w:tabs>
          <w:tab w:val="left" w:pos="400"/>
        </w:tabs>
        <w:kinsoku/>
        <w:wordWrap/>
        <w:overflowPunct/>
        <w:topLinePunct w:val="0"/>
        <w:autoSpaceDE/>
        <w:autoSpaceDN/>
        <w:bidi w:val="0"/>
        <w:adjustRightInd w:val="0"/>
        <w:snapToGrid/>
        <w:spacing w:line="360" w:lineRule="auto"/>
        <w:ind w:leftChars="0" w:right="0" w:rightChars="0"/>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8.2.</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As notas fiscais não poderão ter rasuras e deverão descrever corretamente o item</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e número de empenho, o número do processo de compras, dados bancários para depósito, devendo ainda, destacar e discriminar a retenção a que está sujeita, informando de forma clara e inequívoca todos os impostos e alíquotas incidentes, cabendo a ela toda a responsabilidade pela eventual ausência dessa informação ou pela informação incorreta.</w:t>
      </w:r>
      <w:r>
        <w:rPr>
          <w:rFonts w:hint="default" w:ascii="Arial" w:hAnsi="Arial" w:cs="Arial"/>
          <w:color w:val="000000" w:themeColor="text1"/>
          <w:sz w:val="22"/>
          <w:szCs w:val="22"/>
          <w:highlight w:val="none"/>
          <w:lang w:val="pt-BR"/>
          <w14:textFill>
            <w14:solidFill>
              <w14:schemeClr w14:val="tx1"/>
            </w14:solidFill>
          </w14:textFill>
        </w:rPr>
        <w:t xml:space="preserve"> </w:t>
      </w:r>
    </w:p>
    <w:p w14:paraId="0B660A5F">
      <w:pPr>
        <w:pStyle w:val="128"/>
        <w:keepNext w:val="0"/>
        <w:keepLines w:val="0"/>
        <w:pageBreakBefore w:val="0"/>
        <w:widowControl w:val="0"/>
        <w:numPr>
          <w:ilvl w:val="0"/>
          <w:numId w:val="0"/>
        </w:numPr>
        <w:tabs>
          <w:tab w:val="left" w:pos="400"/>
        </w:tabs>
        <w:kinsoku/>
        <w:wordWrap/>
        <w:overflowPunct/>
        <w:topLinePunct w:val="0"/>
        <w:autoSpaceDE/>
        <w:autoSpaceDN/>
        <w:bidi w:val="0"/>
        <w:adjustRightInd w:val="0"/>
        <w:snapToGrid/>
        <w:spacing w:line="360" w:lineRule="auto"/>
        <w:ind w:leftChars="0" w:right="0" w:rightChars="0"/>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8.3.</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Os prestadores de serviço e fornecedores de bens deverão observar às regras de retenção dispostas na Instrução Normativa RFB nº 1.234, de 2012.</w:t>
      </w:r>
    </w:p>
    <w:p w14:paraId="1DE14BD1">
      <w:pPr>
        <w:keepNext w:val="0"/>
        <w:keepLines w:val="0"/>
        <w:pageBreakBefore w:val="0"/>
        <w:numPr>
          <w:ilvl w:val="0"/>
          <w:numId w:val="0"/>
        </w:numPr>
        <w:tabs>
          <w:tab w:val="left" w:pos="220"/>
        </w:tabs>
        <w:kinsoku/>
        <w:wordWrap/>
        <w:overflowPunct/>
        <w:topLinePunct w:val="0"/>
        <w:bidi w:val="0"/>
        <w:adjustRightInd/>
        <w:snapToGrid/>
        <w:spacing w:after="0" w:line="360" w:lineRule="auto"/>
        <w:ind w:leftChars="0" w:right="0" w:rightChars="0"/>
        <w:contextualSpacing/>
        <w:jc w:val="both"/>
        <w:textAlignment w:val="auto"/>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8.4.</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Caso a documentação não esteja de acordo com o solicitado, será devolvida para a correção, sendo v</w:t>
      </w:r>
      <w:r>
        <w:rPr>
          <w:rFonts w:hint="default" w:ascii="Arial" w:hAnsi="Arial" w:cs="Arial"/>
          <w:color w:val="000000" w:themeColor="text1"/>
          <w:sz w:val="22"/>
          <w:szCs w:val="22"/>
          <w:highlight w:val="none"/>
          <w:lang w:val="pt-BR"/>
          <w14:textFill>
            <w14:solidFill>
              <w14:schemeClr w14:val="tx1"/>
            </w14:solidFill>
          </w14:textFill>
        </w:rPr>
        <w:t>á</w:t>
      </w:r>
      <w:r>
        <w:rPr>
          <w:rFonts w:hint="default" w:ascii="Arial" w:hAnsi="Arial" w:cs="Arial"/>
          <w:color w:val="000000" w:themeColor="text1"/>
          <w:sz w:val="22"/>
          <w:szCs w:val="22"/>
          <w:highlight w:val="none"/>
          <w14:textFill>
            <w14:solidFill>
              <w14:schemeClr w14:val="tx1"/>
            </w14:solidFill>
          </w14:textFill>
        </w:rPr>
        <w:t>lida a data de protocolo corrigida, para fins de prazo de pagamento.</w:t>
      </w:r>
    </w:p>
    <w:p w14:paraId="7C6C05C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Style w:val="9"/>
          <w:rFonts w:hint="default" w:ascii="Arial" w:hAnsi="Arial" w:cs="Arial"/>
          <w:sz w:val="22"/>
          <w:szCs w:val="22"/>
          <w:highlight w:val="none"/>
        </w:rPr>
      </w:pPr>
      <w:r>
        <w:rPr>
          <w:rStyle w:val="9"/>
          <w:rFonts w:hint="default" w:ascii="Arial" w:hAnsi="Arial" w:cs="Arial"/>
          <w:b/>
          <w:bCs w:val="0"/>
          <w:sz w:val="22"/>
          <w:szCs w:val="22"/>
          <w:highlight w:val="none"/>
          <w:lang w:val="pt-BR"/>
        </w:rPr>
        <w:t xml:space="preserve">8.5. </w:t>
      </w:r>
      <w:r>
        <w:rPr>
          <w:rStyle w:val="9"/>
          <w:rFonts w:hint="default" w:ascii="Arial" w:hAnsi="Arial" w:cs="Arial"/>
          <w:sz w:val="22"/>
          <w:szCs w:val="22"/>
          <w:highlight w:val="none"/>
        </w:rPr>
        <w:t>O</w:t>
      </w:r>
      <w:r>
        <w:rPr>
          <w:rStyle w:val="9"/>
          <w:rFonts w:hint="default" w:ascii="Arial" w:hAnsi="Arial" w:cs="Arial"/>
          <w:sz w:val="22"/>
          <w:szCs w:val="22"/>
          <w:highlight w:val="none"/>
          <w:lang w:val="pt-BR"/>
        </w:rPr>
        <w:t xml:space="preserve"> </w:t>
      </w:r>
      <w:r>
        <w:rPr>
          <w:rStyle w:val="9"/>
          <w:rFonts w:hint="default" w:ascii="Arial" w:hAnsi="Arial" w:cs="Arial"/>
          <w:sz w:val="22"/>
          <w:szCs w:val="22"/>
          <w:highlight w:val="none"/>
        </w:rPr>
        <w:t>Recebimento d</w:t>
      </w:r>
      <w:r>
        <w:rPr>
          <w:rStyle w:val="9"/>
          <w:rFonts w:hint="default" w:ascii="Arial" w:hAnsi="Arial" w:cs="Arial"/>
          <w:sz w:val="22"/>
          <w:szCs w:val="22"/>
          <w:highlight w:val="none"/>
          <w:lang w:val="pt-BR"/>
        </w:rPr>
        <w:t>os serviços</w:t>
      </w:r>
      <w:r>
        <w:rPr>
          <w:rStyle w:val="9"/>
          <w:rFonts w:hint="default" w:ascii="Arial" w:hAnsi="Arial" w:cs="Arial"/>
          <w:sz w:val="22"/>
          <w:szCs w:val="22"/>
          <w:highlight w:val="none"/>
        </w:rPr>
        <w:t xml:space="preserve"> não exclui a responsabilidade da contratada por vícios de qualidade ou disparidade com as especificações técnicas verificadas posteriormente;</w:t>
      </w:r>
    </w:p>
    <w:p w14:paraId="1F07AD1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sz w:val="22"/>
          <w:szCs w:val="22"/>
          <w:highlight w:val="none"/>
        </w:rPr>
      </w:pPr>
      <w:r>
        <w:rPr>
          <w:rFonts w:hint="default" w:ascii="Arial" w:hAnsi="Arial" w:cs="Arial"/>
          <w:b/>
          <w:bCs w:val="0"/>
          <w:sz w:val="22"/>
          <w:szCs w:val="22"/>
          <w:highlight w:val="none"/>
          <w:lang w:val="pt-BR"/>
        </w:rPr>
        <w:t xml:space="preserve">8.6. </w:t>
      </w:r>
      <w:r>
        <w:rPr>
          <w:rFonts w:hint="default" w:ascii="Arial" w:hAnsi="Arial" w:cs="Arial"/>
          <w:sz w:val="22"/>
          <w:szCs w:val="22"/>
          <w:highlight w:val="none"/>
        </w:rPr>
        <w:t xml:space="preserve">Os </w:t>
      </w:r>
      <w:r>
        <w:rPr>
          <w:rFonts w:hint="default" w:ascii="Arial" w:hAnsi="Arial" w:cs="Arial"/>
          <w:sz w:val="22"/>
          <w:szCs w:val="22"/>
          <w:highlight w:val="none"/>
          <w:lang w:val="pt-BR"/>
        </w:rPr>
        <w:t>serviços</w:t>
      </w:r>
      <w:r>
        <w:rPr>
          <w:rFonts w:hint="default" w:ascii="Arial" w:hAnsi="Arial" w:cs="Arial"/>
          <w:sz w:val="22"/>
          <w:szCs w:val="22"/>
          <w:highlight w:val="none"/>
        </w:rPr>
        <w:t xml:space="preserve"> poderão ser rejeitados, no todo ou em parte, quando em desacordo com as especificações constantes neste Termo de Referência</w:t>
      </w:r>
      <w:r>
        <w:rPr>
          <w:rFonts w:hint="default" w:ascii="Arial" w:hAnsi="Arial" w:cs="Arial"/>
          <w:sz w:val="22"/>
          <w:szCs w:val="22"/>
          <w:highlight w:val="none"/>
          <w:lang w:val="pt-BR"/>
        </w:rPr>
        <w:t>;</w:t>
      </w:r>
      <w:r>
        <w:rPr>
          <w:rFonts w:hint="default" w:ascii="Arial" w:hAnsi="Arial" w:cs="Arial"/>
          <w:sz w:val="22"/>
          <w:szCs w:val="22"/>
          <w:highlight w:val="none"/>
        </w:rPr>
        <w:t xml:space="preserve"> </w:t>
      </w:r>
    </w:p>
    <w:p w14:paraId="2142B1C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sz w:val="22"/>
          <w:szCs w:val="22"/>
          <w:highlight w:val="none"/>
        </w:rPr>
      </w:pP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235BC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75" w:hRule="atLeast"/>
        </w:trPr>
        <w:tc>
          <w:tcPr>
            <w:tcW w:w="8616" w:type="dxa"/>
            <w:shd w:val="clear" w:color="auto" w:fill="D7D7D7" w:themeFill="background1" w:themeFillShade="D8"/>
            <w:vAlign w:val="center"/>
          </w:tcPr>
          <w:p w14:paraId="47CE3850">
            <w:pPr>
              <w:numPr>
                <w:ilvl w:val="0"/>
                <w:numId w:val="17"/>
              </w:numPr>
              <w:ind w:left="0" w:leftChars="0" w:firstLine="0" w:firstLineChars="0"/>
              <w:jc w:val="center"/>
              <w:rPr>
                <w:rFonts w:hint="default" w:ascii="Arial" w:hAnsi="Arial" w:cs="Arial"/>
                <w:b/>
                <w:sz w:val="22"/>
                <w:szCs w:val="22"/>
                <w:highlight w:val="none"/>
                <w:vertAlign w:val="baseline"/>
                <w:lang w:val="pt-BR"/>
              </w:rPr>
            </w:pPr>
            <w:r>
              <w:rPr>
                <w:rFonts w:hint="default" w:ascii="Arial" w:hAnsi="Arial" w:cs="Arial"/>
                <w:b/>
                <w:sz w:val="22"/>
                <w:szCs w:val="22"/>
                <w:highlight w:val="none"/>
                <w:shd w:val="clear" w:fill="D7D7D7" w:themeFill="background1" w:themeFillShade="D8"/>
              </w:rPr>
              <w:t>FORMA</w:t>
            </w:r>
            <w:r>
              <w:rPr>
                <w:rFonts w:hint="default" w:ascii="Arial" w:hAnsi="Arial" w:cs="Arial"/>
                <w:b/>
                <w:spacing w:val="-1"/>
                <w:sz w:val="22"/>
                <w:szCs w:val="22"/>
                <w:highlight w:val="none"/>
                <w:shd w:val="clear" w:fill="D7D7D7" w:themeFill="background1" w:themeFillShade="D8"/>
              </w:rPr>
              <w:t xml:space="preserve"> </w:t>
            </w:r>
            <w:r>
              <w:rPr>
                <w:rFonts w:hint="default" w:ascii="Arial" w:hAnsi="Arial" w:cs="Arial"/>
                <w:b/>
                <w:sz w:val="22"/>
                <w:szCs w:val="22"/>
                <w:highlight w:val="none"/>
                <w:shd w:val="clear" w:fill="D7D7D7" w:themeFill="background1" w:themeFillShade="D8"/>
              </w:rPr>
              <w:t>E CRITÉRIOS</w:t>
            </w:r>
            <w:r>
              <w:rPr>
                <w:rFonts w:hint="default" w:ascii="Arial" w:hAnsi="Arial" w:cs="Arial"/>
                <w:b/>
                <w:spacing w:val="-1"/>
                <w:sz w:val="22"/>
                <w:szCs w:val="22"/>
                <w:highlight w:val="none"/>
                <w:shd w:val="clear" w:fill="D7D7D7" w:themeFill="background1" w:themeFillShade="D8"/>
              </w:rPr>
              <w:t xml:space="preserve"> </w:t>
            </w:r>
            <w:r>
              <w:rPr>
                <w:rFonts w:hint="default" w:ascii="Arial" w:hAnsi="Arial" w:cs="Arial"/>
                <w:b/>
                <w:sz w:val="22"/>
                <w:szCs w:val="22"/>
                <w:highlight w:val="none"/>
                <w:shd w:val="clear" w:fill="D7D7D7" w:themeFill="background1" w:themeFillShade="D8"/>
              </w:rPr>
              <w:t>DE</w:t>
            </w:r>
            <w:r>
              <w:rPr>
                <w:rFonts w:hint="default" w:ascii="Arial" w:hAnsi="Arial" w:cs="Arial"/>
                <w:b/>
                <w:spacing w:val="-1"/>
                <w:sz w:val="22"/>
                <w:szCs w:val="22"/>
                <w:highlight w:val="none"/>
                <w:shd w:val="clear" w:fill="D7D7D7" w:themeFill="background1" w:themeFillShade="D8"/>
              </w:rPr>
              <w:t xml:space="preserve"> </w:t>
            </w:r>
            <w:r>
              <w:rPr>
                <w:rFonts w:hint="default" w:ascii="Arial" w:hAnsi="Arial" w:cs="Arial"/>
                <w:b/>
                <w:sz w:val="22"/>
                <w:szCs w:val="22"/>
                <w:highlight w:val="none"/>
                <w:shd w:val="clear" w:fill="D7D7D7" w:themeFill="background1" w:themeFillShade="D8"/>
              </w:rPr>
              <w:t>SELEÇÃO</w:t>
            </w:r>
            <w:r>
              <w:rPr>
                <w:rFonts w:hint="default" w:ascii="Arial" w:hAnsi="Arial" w:cs="Arial"/>
                <w:b/>
                <w:spacing w:val="-1"/>
                <w:sz w:val="22"/>
                <w:szCs w:val="22"/>
                <w:highlight w:val="none"/>
                <w:shd w:val="clear" w:fill="D7D7D7" w:themeFill="background1" w:themeFillShade="D8"/>
              </w:rPr>
              <w:t xml:space="preserve"> </w:t>
            </w:r>
            <w:r>
              <w:rPr>
                <w:rFonts w:hint="default" w:ascii="Arial" w:hAnsi="Arial" w:cs="Arial"/>
                <w:b/>
                <w:sz w:val="22"/>
                <w:szCs w:val="22"/>
                <w:highlight w:val="none"/>
                <w:shd w:val="clear" w:fill="D7D7D7" w:themeFill="background1" w:themeFillShade="D8"/>
              </w:rPr>
              <w:t xml:space="preserve">DO </w:t>
            </w:r>
            <w:r>
              <w:rPr>
                <w:rFonts w:hint="default" w:ascii="Arial" w:hAnsi="Arial" w:cs="Arial"/>
                <w:b/>
                <w:spacing w:val="-2"/>
                <w:sz w:val="22"/>
                <w:szCs w:val="22"/>
                <w:highlight w:val="none"/>
                <w:shd w:val="clear" w:fill="D7D7D7" w:themeFill="background1" w:themeFillShade="D8"/>
              </w:rPr>
              <w:t>FORNECEDOR</w:t>
            </w:r>
          </w:p>
        </w:tc>
      </w:tr>
    </w:tbl>
    <w:p w14:paraId="4F38015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sz w:val="22"/>
          <w:szCs w:val="22"/>
          <w:highlight w:val="none"/>
        </w:rPr>
      </w:pPr>
    </w:p>
    <w:p w14:paraId="63A39F56">
      <w:pPr>
        <w:keepNext w:val="0"/>
        <w:keepLines w:val="0"/>
        <w:pageBreakBefore w:val="0"/>
        <w:widowControl/>
        <w:numPr>
          <w:ilvl w:val="1"/>
          <w:numId w:val="17"/>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color w:val="000000"/>
          <w:sz w:val="22"/>
          <w:szCs w:val="22"/>
          <w:highlight w:val="none"/>
          <w:lang w:val="pt-BR"/>
        </w:rPr>
      </w:pPr>
      <w:r>
        <w:rPr>
          <w:rFonts w:hint="default" w:ascii="Arial" w:hAnsi="Arial" w:cs="Arial"/>
          <w:color w:val="000000"/>
          <w:sz w:val="22"/>
          <w:szCs w:val="22"/>
          <w:highlight w:val="none"/>
        </w:rPr>
        <w:t xml:space="preserve">A referida licitação </w:t>
      </w:r>
      <w:r>
        <w:rPr>
          <w:rFonts w:hint="default" w:ascii="Arial" w:hAnsi="Arial" w:cs="Arial"/>
          <w:color w:val="000000"/>
          <w:sz w:val="22"/>
          <w:szCs w:val="22"/>
          <w:highlight w:val="none"/>
          <w:lang w:val="pt-BR"/>
        </w:rPr>
        <w:t>trata - se de bens e serviços comuns e será realizado de forma eletrônica no critério por menor preço por grupo único, de acordo com a Lei n° 14.133/2021, Art. 6. no Incisos XIII e XLI.</w:t>
      </w:r>
    </w:p>
    <w:p w14:paraId="42D5BC80">
      <w:pPr>
        <w:keepNext w:val="0"/>
        <w:keepLines w:val="0"/>
        <w:pageBreakBefore w:val="0"/>
        <w:widowControl/>
        <w:numPr>
          <w:ilvl w:val="1"/>
          <w:numId w:val="17"/>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color w:val="000000"/>
          <w:sz w:val="22"/>
          <w:szCs w:val="22"/>
          <w:highlight w:val="none"/>
          <w:lang w:val="pt-BR"/>
        </w:rPr>
      </w:pPr>
      <w:r>
        <w:rPr>
          <w:rFonts w:hint="default" w:ascii="Arial" w:hAnsi="Arial" w:cs="Arial"/>
          <w:color w:val="000000"/>
          <w:sz w:val="22"/>
          <w:szCs w:val="22"/>
          <w:highlight w:val="none"/>
          <w:lang w:val="pt-BR"/>
        </w:rPr>
        <w:t xml:space="preserve">Será realizada preferencialmente sob a forma eletrônica conforme Art. 17  do § 2º da Lei n° 14.133/2021. </w:t>
      </w:r>
    </w:p>
    <w:p w14:paraId="23684C22">
      <w:pPr>
        <w:keepNext w:val="0"/>
        <w:keepLines w:val="0"/>
        <w:pageBreakBefore w:val="0"/>
        <w:widowControl/>
        <w:numPr>
          <w:ilvl w:val="1"/>
          <w:numId w:val="17"/>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sz w:val="22"/>
          <w:szCs w:val="22"/>
          <w:highlight w:val="none"/>
        </w:rPr>
      </w:pPr>
      <w:r>
        <w:rPr>
          <w:rFonts w:hint="default" w:ascii="Arial" w:hAnsi="Arial" w:cs="Arial"/>
          <w:color w:val="000000"/>
          <w:sz w:val="22"/>
          <w:szCs w:val="22"/>
          <w:highlight w:val="none"/>
          <w:lang w:val="pt-BR"/>
        </w:rPr>
        <w:t xml:space="preserve">A modalidade de licitação está regida no Art. 28, Inciso I, e trata-se da modalidade de pregão. </w:t>
      </w:r>
    </w:p>
    <w:p w14:paraId="7485B111">
      <w:pPr>
        <w:keepNext w:val="0"/>
        <w:keepLines w:val="0"/>
        <w:pageBreakBefore w:val="0"/>
        <w:widowControl/>
        <w:numPr>
          <w:ilvl w:val="1"/>
          <w:numId w:val="17"/>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eastAsia="SimSun" w:cs="Arial"/>
          <w:sz w:val="22"/>
          <w:szCs w:val="22"/>
          <w:lang w:val="pt-BR"/>
        </w:rPr>
      </w:pPr>
      <w:r>
        <w:rPr>
          <w:rFonts w:hint="default" w:ascii="Arial" w:hAnsi="Arial" w:eastAsia="SimSun" w:cs="Arial"/>
          <w:sz w:val="22"/>
          <w:szCs w:val="22"/>
        </w:rPr>
        <w:t>sendo o critério para seleção do fornecedor o de MENOR PREÇO POR GRUPO ÚNICO</w:t>
      </w:r>
      <w:r>
        <w:rPr>
          <w:rFonts w:hint="default" w:ascii="Arial" w:hAnsi="Arial" w:eastAsia="SimSun" w:cs="Arial"/>
          <w:sz w:val="22"/>
          <w:szCs w:val="22"/>
          <w:lang w:val="pt-BR"/>
        </w:rPr>
        <w:t>.</w:t>
      </w:r>
    </w:p>
    <w:p w14:paraId="5E2AC7CB">
      <w:pPr>
        <w:keepNext w:val="0"/>
        <w:keepLines w:val="0"/>
        <w:pageBreakBefore w:val="0"/>
        <w:widowControl/>
        <w:numPr>
          <w:ilvl w:val="0"/>
          <w:numId w:val="0"/>
        </w:numPr>
        <w:kinsoku/>
        <w:wordWrap/>
        <w:overflowPunct/>
        <w:topLinePunct w:val="0"/>
        <w:autoSpaceDE/>
        <w:autoSpaceDN/>
        <w:bidi w:val="0"/>
        <w:adjustRightInd/>
        <w:snapToGrid/>
        <w:spacing w:after="0" w:line="360" w:lineRule="auto"/>
        <w:contextualSpacing/>
        <w:jc w:val="both"/>
        <w:textAlignment w:val="auto"/>
        <w:rPr>
          <w:rFonts w:hint="default" w:ascii="Arial" w:hAnsi="Arial" w:eastAsia="SimSun" w:cs="Arial"/>
          <w:sz w:val="22"/>
          <w:szCs w:val="22"/>
          <w:lang w:val="pt-BR"/>
        </w:rPr>
      </w:pP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56F59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0036857A">
            <w:pPr>
              <w:numPr>
                <w:ilvl w:val="0"/>
                <w:numId w:val="17"/>
              </w:numPr>
              <w:ind w:left="0" w:leftChars="0" w:firstLine="0" w:firstLineChars="0"/>
              <w:jc w:val="center"/>
              <w:rPr>
                <w:rFonts w:hint="default" w:ascii="Arial" w:hAnsi="Arial" w:cs="Arial"/>
                <w:b/>
                <w:sz w:val="22"/>
                <w:szCs w:val="22"/>
                <w:highlight w:val="none"/>
                <w:vertAlign w:val="baseline"/>
                <w:lang w:val="pt-BR"/>
              </w:rPr>
            </w:pPr>
            <w:r>
              <w:rPr>
                <w:rFonts w:hint="default" w:ascii="Arial" w:hAnsi="Arial" w:cs="Arial"/>
                <w:b/>
                <w:sz w:val="22"/>
                <w:szCs w:val="22"/>
              </w:rPr>
              <w:t>CUSTO</w:t>
            </w:r>
            <w:r>
              <w:rPr>
                <w:rFonts w:hint="default" w:ascii="Arial" w:hAnsi="Arial" w:cs="Arial"/>
                <w:b/>
                <w:spacing w:val="-1"/>
                <w:sz w:val="22"/>
                <w:szCs w:val="22"/>
              </w:rPr>
              <w:t xml:space="preserve"> </w:t>
            </w:r>
            <w:r>
              <w:rPr>
                <w:rFonts w:hint="default" w:ascii="Arial" w:hAnsi="Arial" w:cs="Arial"/>
                <w:b/>
                <w:sz w:val="22"/>
                <w:szCs w:val="22"/>
              </w:rPr>
              <w:t>ESTIMADO DA</w:t>
            </w:r>
            <w:r>
              <w:rPr>
                <w:rFonts w:hint="default" w:ascii="Arial" w:hAnsi="Arial" w:cs="Arial"/>
                <w:b/>
                <w:spacing w:val="-2"/>
                <w:sz w:val="22"/>
                <w:szCs w:val="22"/>
              </w:rPr>
              <w:t xml:space="preserve"> </w:t>
            </w:r>
            <w:r>
              <w:rPr>
                <w:rFonts w:hint="default" w:ascii="Arial" w:hAnsi="Arial" w:cs="Arial"/>
                <w:b/>
                <w:sz w:val="22"/>
                <w:szCs w:val="22"/>
              </w:rPr>
              <w:t>CONTRATAÇÃO/PREÇO</w:t>
            </w:r>
            <w:r>
              <w:rPr>
                <w:rFonts w:hint="default" w:ascii="Arial" w:hAnsi="Arial" w:cs="Arial"/>
                <w:b/>
                <w:spacing w:val="-1"/>
                <w:sz w:val="22"/>
                <w:szCs w:val="22"/>
              </w:rPr>
              <w:t xml:space="preserve"> </w:t>
            </w:r>
            <w:r>
              <w:rPr>
                <w:rFonts w:hint="default" w:ascii="Arial" w:hAnsi="Arial" w:cs="Arial"/>
                <w:b/>
                <w:sz w:val="22"/>
                <w:szCs w:val="22"/>
              </w:rPr>
              <w:t xml:space="preserve">DE </w:t>
            </w:r>
            <w:r>
              <w:rPr>
                <w:rFonts w:hint="default" w:ascii="Arial" w:hAnsi="Arial" w:cs="Arial"/>
                <w:b/>
                <w:spacing w:val="-2"/>
                <w:sz w:val="22"/>
                <w:szCs w:val="22"/>
              </w:rPr>
              <w:t>REFERÊNCIA</w:t>
            </w:r>
          </w:p>
        </w:tc>
      </w:tr>
    </w:tbl>
    <w:p w14:paraId="4C95CB8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i/>
          <w:spacing w:val="-2"/>
          <w:sz w:val="22"/>
          <w:szCs w:val="22"/>
          <w:highlight w:val="red"/>
          <w:lang w:val="pt-BR"/>
        </w:rPr>
      </w:pPr>
    </w:p>
    <w:p w14:paraId="2826A13B">
      <w:pPr>
        <w:keepNext w:val="0"/>
        <w:keepLines w:val="0"/>
        <w:pageBreakBefore w:val="0"/>
        <w:widowControl w:val="0"/>
        <w:numPr>
          <w:ilvl w:val="1"/>
          <w:numId w:val="17"/>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i/>
          <w:spacing w:val="-2"/>
          <w:sz w:val="22"/>
          <w:szCs w:val="22"/>
          <w:highlight w:val="red"/>
          <w:lang w:val="pt-BR"/>
        </w:rPr>
      </w:pPr>
      <w:r>
        <w:rPr>
          <w:rFonts w:hint="default" w:ascii="Arial" w:hAnsi="Arial" w:cs="Arial"/>
          <w:b/>
          <w:bCs/>
          <w:color w:val="auto"/>
          <w:spacing w:val="-2"/>
          <w:sz w:val="22"/>
          <w:szCs w:val="22"/>
          <w:highlight w:val="none"/>
          <w:lang w:val="pt-BR"/>
        </w:rPr>
        <w:t>Valor estimado para a contratação: R$ 1.003.165,60 (um milhão e três mil e cento e sessenta e cinco reais e sessenta centavos)</w:t>
      </w:r>
    </w:p>
    <w:p w14:paraId="0B1B589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i/>
          <w:spacing w:val="-2"/>
          <w:sz w:val="22"/>
          <w:szCs w:val="22"/>
          <w:highlight w:val="red"/>
          <w:lang w:val="pt-BR"/>
        </w:rPr>
      </w:pP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453C6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48799626">
            <w:pPr>
              <w:numPr>
                <w:ilvl w:val="0"/>
                <w:numId w:val="17"/>
              </w:numPr>
              <w:ind w:left="0" w:leftChars="0" w:firstLine="0" w:firstLineChars="0"/>
              <w:jc w:val="center"/>
              <w:rPr>
                <w:rFonts w:hint="default" w:ascii="Arial" w:hAnsi="Arial" w:cs="Arial"/>
                <w:b/>
                <w:sz w:val="22"/>
                <w:szCs w:val="22"/>
                <w:highlight w:val="none"/>
                <w:vertAlign w:val="baseline"/>
                <w:lang w:val="pt-BR"/>
              </w:rPr>
            </w:pPr>
            <w:r>
              <w:rPr>
                <w:rFonts w:hint="default" w:ascii="Arial" w:hAnsi="Arial" w:cs="Arial"/>
                <w:b/>
                <w:sz w:val="22"/>
                <w:szCs w:val="22"/>
              </w:rPr>
              <w:t xml:space="preserve">DOTAÇÃO </w:t>
            </w:r>
            <w:r>
              <w:rPr>
                <w:rFonts w:hint="default" w:ascii="Arial" w:hAnsi="Arial" w:cs="Arial"/>
                <w:b/>
                <w:spacing w:val="-2"/>
                <w:sz w:val="22"/>
                <w:szCs w:val="22"/>
              </w:rPr>
              <w:t>ORÇAME</w:t>
            </w:r>
            <w:r>
              <w:rPr>
                <w:rFonts w:hint="default" w:ascii="Arial" w:hAnsi="Arial" w:cs="Arial"/>
                <w:b/>
                <w:spacing w:val="-2"/>
                <w:sz w:val="22"/>
                <w:szCs w:val="22"/>
                <w:lang w:val="pt-BR"/>
              </w:rPr>
              <w:t>N</w:t>
            </w:r>
            <w:r>
              <w:rPr>
                <w:rFonts w:hint="default" w:ascii="Arial" w:hAnsi="Arial" w:cs="Arial"/>
                <w:b/>
                <w:spacing w:val="-2"/>
                <w:sz w:val="22"/>
                <w:szCs w:val="22"/>
              </w:rPr>
              <w:t>TÁRIA</w:t>
            </w:r>
          </w:p>
        </w:tc>
      </w:tr>
    </w:tbl>
    <w:p w14:paraId="14601AE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i/>
          <w:spacing w:val="-2"/>
          <w:sz w:val="22"/>
          <w:szCs w:val="22"/>
          <w:highlight w:val="red"/>
        </w:rPr>
      </w:pPr>
    </w:p>
    <w:tbl>
      <w:tblPr>
        <w:tblStyle w:val="10"/>
        <w:tblW w:w="6806" w:type="dxa"/>
        <w:tblInd w:w="5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405"/>
        <w:gridCol w:w="3401"/>
      </w:tblGrid>
      <w:tr w14:paraId="29A826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trPr>
        <w:tc>
          <w:tcPr>
            <w:tcW w:w="3405" w:type="dxa"/>
            <w:vAlign w:val="center"/>
          </w:tcPr>
          <w:p w14:paraId="3963788B">
            <w:pPr>
              <w:contextualSpacing/>
              <w:jc w:val="center"/>
              <w:rPr>
                <w:rFonts w:hint="default" w:ascii="Arial" w:hAnsi="Arial" w:cs="Arial"/>
                <w:b/>
                <w:bCs/>
                <w:color w:val="auto"/>
                <w:sz w:val="18"/>
                <w:szCs w:val="18"/>
              </w:rPr>
            </w:pPr>
            <w:r>
              <w:rPr>
                <w:rFonts w:hint="default" w:ascii="Arial" w:hAnsi="Arial" w:cs="Arial"/>
                <w:b/>
                <w:bCs/>
                <w:color w:val="auto"/>
                <w:sz w:val="18"/>
                <w:szCs w:val="18"/>
              </w:rPr>
              <w:t>DOTAÇÃO</w:t>
            </w:r>
          </w:p>
        </w:tc>
        <w:tc>
          <w:tcPr>
            <w:tcW w:w="3401" w:type="dxa"/>
            <w:vAlign w:val="center"/>
          </w:tcPr>
          <w:p w14:paraId="05A9E294">
            <w:pPr>
              <w:contextualSpacing/>
              <w:jc w:val="center"/>
              <w:rPr>
                <w:rFonts w:hint="default" w:ascii="Arial" w:hAnsi="Arial" w:cs="Arial"/>
                <w:b/>
                <w:bCs/>
                <w:color w:val="auto"/>
                <w:sz w:val="18"/>
                <w:szCs w:val="18"/>
              </w:rPr>
            </w:pPr>
            <w:r>
              <w:rPr>
                <w:rFonts w:hint="default" w:ascii="Arial" w:hAnsi="Arial" w:cs="Arial"/>
                <w:b/>
                <w:bCs/>
                <w:color w:val="auto"/>
                <w:sz w:val="18"/>
                <w:szCs w:val="18"/>
              </w:rPr>
              <w:t>RECURSO</w:t>
            </w:r>
          </w:p>
        </w:tc>
      </w:tr>
      <w:tr w14:paraId="77E704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6806" w:type="dxa"/>
            <w:gridSpan w:val="2"/>
            <w:vAlign w:val="center"/>
          </w:tcPr>
          <w:p w14:paraId="2E5DB85D">
            <w:pPr>
              <w:contextualSpacing/>
              <w:jc w:val="center"/>
              <w:rPr>
                <w:rFonts w:hint="default" w:ascii="Arial" w:hAnsi="Arial" w:cs="Arial"/>
                <w:color w:val="auto"/>
                <w:sz w:val="18"/>
                <w:szCs w:val="18"/>
                <w:lang w:val="pt-BR"/>
              </w:rPr>
            </w:pPr>
            <w:r>
              <w:rPr>
                <w:rFonts w:hint="default" w:ascii="Arial" w:hAnsi="Arial" w:cs="Arial"/>
                <w:b/>
                <w:bCs/>
                <w:color w:val="auto"/>
                <w:sz w:val="18"/>
                <w:szCs w:val="18"/>
                <w:lang w:val="pt-BR"/>
              </w:rPr>
              <w:t>SECRETARIA DE ADMINISTRAÇÃO E MODERNIZAÇÃO</w:t>
            </w:r>
          </w:p>
        </w:tc>
      </w:tr>
      <w:tr w14:paraId="126CD0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405" w:type="dxa"/>
            <w:vAlign w:val="center"/>
          </w:tcPr>
          <w:p w14:paraId="5D0BDA3C">
            <w:pPr>
              <w:contextualSpacing/>
              <w:jc w:val="center"/>
              <w:rPr>
                <w:rFonts w:hint="default" w:ascii="Arial" w:hAnsi="Arial" w:cs="Arial"/>
                <w:color w:val="auto"/>
                <w:sz w:val="18"/>
                <w:szCs w:val="18"/>
              </w:rPr>
            </w:pPr>
            <w:r>
              <w:rPr>
                <w:rFonts w:hint="default" w:ascii="Arial" w:hAnsi="Arial" w:cs="Arial"/>
                <w:color w:val="auto"/>
                <w:sz w:val="18"/>
                <w:szCs w:val="18"/>
              </w:rPr>
              <w:t>20</w:t>
            </w:r>
            <w:r>
              <w:rPr>
                <w:rFonts w:hint="default" w:ascii="Arial" w:hAnsi="Arial" w:cs="Arial"/>
                <w:color w:val="auto"/>
                <w:sz w:val="18"/>
                <w:szCs w:val="18"/>
                <w:lang w:val="pt-BR"/>
              </w:rPr>
              <w:t>31.</w:t>
            </w:r>
            <w:r>
              <w:rPr>
                <w:rFonts w:hint="default" w:ascii="Arial" w:hAnsi="Arial" w:cs="Arial"/>
                <w:color w:val="auto"/>
                <w:sz w:val="18"/>
                <w:szCs w:val="18"/>
              </w:rPr>
              <w:t>3390</w:t>
            </w:r>
            <w:r>
              <w:rPr>
                <w:rFonts w:hint="default" w:ascii="Arial" w:hAnsi="Arial" w:cs="Arial"/>
                <w:color w:val="auto"/>
                <w:sz w:val="18"/>
                <w:szCs w:val="18"/>
                <w:lang w:val="pt-BR"/>
              </w:rPr>
              <w:t>4</w:t>
            </w:r>
            <w:r>
              <w:rPr>
                <w:rFonts w:hint="default" w:ascii="Arial" w:hAnsi="Arial" w:cs="Arial"/>
                <w:color w:val="auto"/>
                <w:sz w:val="18"/>
                <w:szCs w:val="18"/>
              </w:rPr>
              <w:t>0</w:t>
            </w:r>
            <w:r>
              <w:rPr>
                <w:rFonts w:hint="default" w:ascii="Arial" w:hAnsi="Arial" w:cs="Arial"/>
                <w:color w:val="auto"/>
                <w:sz w:val="18"/>
                <w:szCs w:val="18"/>
                <w:lang w:val="pt-BR"/>
              </w:rPr>
              <w:t>.</w:t>
            </w:r>
            <w:r>
              <w:rPr>
                <w:rFonts w:hint="default" w:ascii="Arial" w:hAnsi="Arial" w:cs="Arial"/>
                <w:color w:val="auto"/>
                <w:sz w:val="18"/>
                <w:szCs w:val="18"/>
              </w:rPr>
              <w:t>0000</w:t>
            </w:r>
            <w:r>
              <w:rPr>
                <w:rFonts w:hint="default" w:ascii="Arial" w:hAnsi="Arial" w:cs="Arial"/>
                <w:color w:val="auto"/>
                <w:sz w:val="18"/>
                <w:szCs w:val="18"/>
                <w:lang w:val="pt-BR"/>
              </w:rPr>
              <w:t>2</w:t>
            </w:r>
            <w:r>
              <w:rPr>
                <w:rFonts w:hint="default" w:ascii="Arial" w:hAnsi="Arial" w:cs="Arial"/>
                <w:color w:val="auto"/>
                <w:sz w:val="18"/>
                <w:szCs w:val="18"/>
              </w:rPr>
              <w:t>5000000000</w:t>
            </w:r>
          </w:p>
        </w:tc>
        <w:tc>
          <w:tcPr>
            <w:tcW w:w="3401" w:type="dxa"/>
            <w:vAlign w:val="center"/>
          </w:tcPr>
          <w:p w14:paraId="544C9386">
            <w:pPr>
              <w:contextualSpacing/>
              <w:jc w:val="center"/>
              <w:rPr>
                <w:rFonts w:hint="default" w:ascii="Arial" w:hAnsi="Arial" w:cs="Arial"/>
                <w:color w:val="auto"/>
                <w:sz w:val="18"/>
                <w:szCs w:val="18"/>
                <w:lang w:val="pt-BR"/>
              </w:rPr>
            </w:pPr>
            <w:r>
              <w:rPr>
                <w:rFonts w:hint="default" w:ascii="Arial" w:hAnsi="Arial" w:cs="Arial"/>
                <w:color w:val="auto"/>
                <w:sz w:val="18"/>
                <w:szCs w:val="18"/>
                <w:lang w:val="pt-BR"/>
              </w:rPr>
              <w:t>Recursos Próprios</w:t>
            </w:r>
          </w:p>
        </w:tc>
      </w:tr>
    </w:tbl>
    <w:p w14:paraId="4251A9D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sz w:val="22"/>
          <w:szCs w:val="22"/>
          <w:highlight w:val="none"/>
        </w:rPr>
      </w:pP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123E8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21A80AF8">
            <w:pPr>
              <w:numPr>
                <w:ilvl w:val="0"/>
                <w:numId w:val="0"/>
              </w:numPr>
              <w:jc w:val="center"/>
              <w:rPr>
                <w:rFonts w:hint="default" w:ascii="Arial" w:hAnsi="Arial" w:cs="Arial"/>
                <w:b/>
                <w:sz w:val="22"/>
                <w:szCs w:val="22"/>
                <w:highlight w:val="none"/>
                <w:vertAlign w:val="baseline"/>
                <w:lang w:val="pt-BR"/>
              </w:rPr>
            </w:pPr>
            <w:r>
              <w:rPr>
                <w:rFonts w:hint="default" w:ascii="Arial" w:hAnsi="Arial" w:cs="Arial"/>
                <w:b/>
                <w:sz w:val="22"/>
                <w:szCs w:val="22"/>
                <w:highlight w:val="none"/>
                <w:shd w:val="clear" w:fill="D7D7D7" w:themeFill="background1" w:themeFillShade="D8"/>
                <w:lang w:val="pt-BR"/>
              </w:rPr>
              <w:t>12.</w:t>
            </w:r>
            <w:r>
              <w:rPr>
                <w:rFonts w:hint="default" w:ascii="Arial" w:hAnsi="Arial" w:cs="Arial"/>
                <w:b/>
                <w:sz w:val="22"/>
                <w:szCs w:val="22"/>
                <w:highlight w:val="none"/>
                <w:shd w:val="clear" w:fill="D7D7D7" w:themeFill="background1" w:themeFillShade="D8"/>
              </w:rPr>
              <w:t>DEMAIS</w:t>
            </w:r>
            <w:r>
              <w:rPr>
                <w:rFonts w:hint="default" w:ascii="Arial" w:hAnsi="Arial" w:cs="Arial"/>
                <w:b/>
                <w:spacing w:val="-1"/>
                <w:sz w:val="22"/>
                <w:szCs w:val="22"/>
                <w:highlight w:val="none"/>
                <w:shd w:val="clear" w:fill="D7D7D7" w:themeFill="background1" w:themeFillShade="D8"/>
              </w:rPr>
              <w:t xml:space="preserve"> </w:t>
            </w:r>
            <w:r>
              <w:rPr>
                <w:rFonts w:hint="default" w:ascii="Arial" w:hAnsi="Arial" w:cs="Arial"/>
                <w:b/>
                <w:sz w:val="22"/>
                <w:szCs w:val="22"/>
                <w:highlight w:val="none"/>
                <w:shd w:val="clear" w:fill="D7D7D7" w:themeFill="background1" w:themeFillShade="D8"/>
              </w:rPr>
              <w:t>INFORMAÇÕES</w:t>
            </w:r>
            <w:r>
              <w:rPr>
                <w:rFonts w:hint="default" w:ascii="Arial" w:hAnsi="Arial" w:cs="Arial"/>
                <w:b/>
                <w:spacing w:val="-1"/>
                <w:sz w:val="22"/>
                <w:szCs w:val="22"/>
                <w:highlight w:val="none"/>
                <w:shd w:val="clear" w:fill="D7D7D7" w:themeFill="background1" w:themeFillShade="D8"/>
              </w:rPr>
              <w:t xml:space="preserve"> </w:t>
            </w:r>
            <w:r>
              <w:rPr>
                <w:rFonts w:hint="default" w:ascii="Arial" w:hAnsi="Arial" w:cs="Arial"/>
                <w:b/>
                <w:sz w:val="22"/>
                <w:szCs w:val="22"/>
                <w:highlight w:val="none"/>
                <w:shd w:val="clear" w:fill="D7D7D7" w:themeFill="background1" w:themeFillShade="D8"/>
              </w:rPr>
              <w:t>ESPECÍFICAS</w:t>
            </w:r>
            <w:r>
              <w:rPr>
                <w:rFonts w:hint="default" w:ascii="Arial" w:hAnsi="Arial" w:cs="Arial"/>
                <w:b/>
                <w:spacing w:val="-1"/>
                <w:sz w:val="22"/>
                <w:szCs w:val="22"/>
                <w:highlight w:val="none"/>
                <w:shd w:val="clear" w:fill="D7D7D7" w:themeFill="background1" w:themeFillShade="D8"/>
              </w:rPr>
              <w:t xml:space="preserve"> </w:t>
            </w:r>
            <w:r>
              <w:rPr>
                <w:rFonts w:hint="default" w:ascii="Arial" w:hAnsi="Arial" w:cs="Arial"/>
                <w:b/>
                <w:sz w:val="22"/>
                <w:szCs w:val="22"/>
                <w:highlight w:val="none"/>
                <w:shd w:val="clear" w:fill="D7D7D7" w:themeFill="background1" w:themeFillShade="D8"/>
              </w:rPr>
              <w:t>DO</w:t>
            </w:r>
            <w:r>
              <w:rPr>
                <w:rFonts w:hint="default" w:ascii="Arial" w:hAnsi="Arial" w:cs="Arial"/>
                <w:b/>
                <w:spacing w:val="-1"/>
                <w:sz w:val="22"/>
                <w:szCs w:val="22"/>
                <w:highlight w:val="none"/>
                <w:shd w:val="clear" w:fill="D7D7D7" w:themeFill="background1" w:themeFillShade="D8"/>
              </w:rPr>
              <w:t xml:space="preserve"> </w:t>
            </w:r>
            <w:r>
              <w:rPr>
                <w:rFonts w:hint="default" w:ascii="Arial" w:hAnsi="Arial" w:cs="Arial"/>
                <w:b/>
                <w:spacing w:val="-1"/>
                <w:sz w:val="22"/>
                <w:szCs w:val="22"/>
                <w:highlight w:val="none"/>
                <w:shd w:val="clear" w:fill="D7D7D7" w:themeFill="background1" w:themeFillShade="D8"/>
                <w:lang w:val="pt-BR"/>
              </w:rPr>
              <w:t>TERMO DE REFERÊNCIA</w:t>
            </w:r>
          </w:p>
        </w:tc>
      </w:tr>
    </w:tbl>
    <w:p w14:paraId="7F9643A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sz w:val="22"/>
          <w:szCs w:val="22"/>
          <w:highlight w:val="none"/>
        </w:rPr>
      </w:pPr>
    </w:p>
    <w:p w14:paraId="09A54D1D">
      <w:pPr>
        <w:numPr>
          <w:ilvl w:val="1"/>
          <w:numId w:val="17"/>
        </w:numPr>
        <w:spacing w:line="360" w:lineRule="auto"/>
        <w:contextualSpacing/>
        <w:jc w:val="both"/>
        <w:rPr>
          <w:rFonts w:hint="default" w:ascii="Arial" w:hAnsi="Arial" w:cs="Arial"/>
          <w:b/>
          <w:bCs w:val="0"/>
          <w:sz w:val="22"/>
          <w:szCs w:val="22"/>
        </w:rPr>
      </w:pPr>
      <w:r>
        <w:rPr>
          <w:rFonts w:hint="default" w:ascii="Arial" w:hAnsi="Arial" w:cs="Arial"/>
          <w:b/>
          <w:bCs w:val="0"/>
          <w:sz w:val="22"/>
          <w:szCs w:val="22"/>
        </w:rPr>
        <w:t>DAS RESPONSABILIDADES EM RELAÇÃO ÀS ESPECIFICAÇÕES TÉCNICAS DOS ITENS:</w:t>
      </w:r>
    </w:p>
    <w:p w14:paraId="123E3507">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bCs/>
          <w:color w:val="000000" w:themeColor="text1"/>
          <w:sz w:val="22"/>
          <w:szCs w:val="22"/>
          <w:lang w:val="en-US" w:eastAsia="pt-BR"/>
          <w14:textFill>
            <w14:solidFill>
              <w14:schemeClr w14:val="tx1"/>
            </w14:solidFill>
          </w14:textFill>
        </w:rPr>
      </w:pPr>
      <w:r>
        <w:rPr>
          <w:rFonts w:hint="default" w:ascii="Arial" w:hAnsi="Arial" w:cs="Arial"/>
          <w:color w:val="000000" w:themeColor="text1"/>
          <w:sz w:val="21"/>
          <w:szCs w:val="21"/>
          <w:highlight w:val="none"/>
          <w:lang w:val="pt-BR"/>
          <w14:textFill>
            <w14:solidFill>
              <w14:schemeClr w14:val="tx1"/>
            </w14:solidFill>
          </w14:textFill>
        </w:rPr>
        <w:t xml:space="preserve">Os </w:t>
      </w:r>
      <w:r>
        <w:rPr>
          <w:rFonts w:hint="default" w:ascii="Arial" w:hAnsi="Arial" w:cs="Arial"/>
          <w:color w:val="000000" w:themeColor="text1"/>
          <w:sz w:val="21"/>
          <w:szCs w:val="21"/>
          <w:highlight w:val="none"/>
          <w14:textFill>
            <w14:solidFill>
              <w14:schemeClr w14:val="tx1"/>
            </w14:solidFill>
          </w14:textFill>
        </w:rPr>
        <w:t>itens</w:t>
      </w:r>
      <w:r>
        <w:rPr>
          <w:rFonts w:hint="default" w:ascii="Arial" w:hAnsi="Arial" w:cs="Arial"/>
          <w:color w:val="000000" w:themeColor="text1"/>
          <w:sz w:val="21"/>
          <w:szCs w:val="21"/>
          <w:highlight w:val="none"/>
          <w:lang w:val="pt-BR"/>
          <w14:textFill>
            <w14:solidFill>
              <w14:schemeClr w14:val="tx1"/>
            </w14:solidFill>
          </w14:textFill>
        </w:rPr>
        <w:t xml:space="preserve"> 1 e 2 do</w:t>
      </w:r>
      <w:r>
        <w:rPr>
          <w:rFonts w:hint="default" w:ascii="Arial" w:hAnsi="Arial" w:cs="Arial"/>
          <w:color w:val="000000" w:themeColor="text1"/>
          <w:sz w:val="21"/>
          <w:szCs w:val="21"/>
          <w:highlight w:val="none"/>
          <w14:textFill>
            <w14:solidFill>
              <w14:schemeClr w14:val="tx1"/>
            </w14:solidFill>
          </w14:textFill>
        </w:rPr>
        <w:t xml:space="preserve"> </w:t>
      </w:r>
      <w:r>
        <w:rPr>
          <w:rFonts w:hint="default" w:ascii="Arial" w:hAnsi="Arial" w:cs="Arial"/>
          <w:color w:val="000000" w:themeColor="text1"/>
          <w:sz w:val="21"/>
          <w:szCs w:val="21"/>
          <w:highlight w:val="none"/>
          <w:lang w:val="pt-BR"/>
          <w14:textFill>
            <w14:solidFill>
              <w14:schemeClr w14:val="tx1"/>
            </w14:solidFill>
          </w14:textFill>
        </w:rPr>
        <w:t xml:space="preserve">grupo 1 </w:t>
      </w:r>
      <w:r>
        <w:rPr>
          <w:rFonts w:hint="default" w:ascii="Arial" w:hAnsi="Arial" w:cs="Arial"/>
          <w:color w:val="000000" w:themeColor="text1"/>
          <w:sz w:val="21"/>
          <w:szCs w:val="21"/>
          <w:highlight w:val="none"/>
          <w14:textFill>
            <w14:solidFill>
              <w14:schemeClr w14:val="tx1"/>
            </w14:solidFill>
          </w14:textFill>
        </w:rPr>
        <w:t>d</w:t>
      </w:r>
      <w:r>
        <w:rPr>
          <w:rFonts w:hint="default" w:ascii="Arial" w:hAnsi="Arial" w:cs="Arial"/>
          <w:color w:val="000000" w:themeColor="text1"/>
          <w:sz w:val="21"/>
          <w:szCs w:val="21"/>
          <w:highlight w:val="none"/>
          <w:lang w:val="pt-BR"/>
          <w14:textFill>
            <w14:solidFill>
              <w14:schemeClr w14:val="tx1"/>
            </w14:solidFill>
          </w14:textFill>
        </w:rPr>
        <w:t>esse</w:t>
      </w:r>
      <w:r>
        <w:rPr>
          <w:rFonts w:hint="default" w:ascii="Arial" w:hAnsi="Arial" w:cs="Arial"/>
          <w:color w:val="000000" w:themeColor="text1"/>
          <w:sz w:val="21"/>
          <w:szCs w:val="21"/>
          <w:highlight w:val="none"/>
          <w14:textFill>
            <w14:solidFill>
              <w14:schemeClr w14:val="tx1"/>
            </w14:solidFill>
          </w14:textFill>
        </w:rPr>
        <w:t xml:space="preserve"> processo foram compost</w:t>
      </w:r>
      <w:r>
        <w:rPr>
          <w:rFonts w:hint="default" w:ascii="Arial" w:hAnsi="Arial" w:cs="Arial"/>
          <w:color w:val="000000" w:themeColor="text1"/>
          <w:sz w:val="21"/>
          <w:szCs w:val="21"/>
          <w:highlight w:val="none"/>
          <w:lang w:val="pt-BR"/>
          <w14:textFill>
            <w14:solidFill>
              <w14:schemeClr w14:val="tx1"/>
            </w14:solidFill>
          </w14:textFill>
        </w:rPr>
        <w:t>os</w:t>
      </w:r>
      <w:r>
        <w:rPr>
          <w:rFonts w:hint="default" w:ascii="Arial" w:hAnsi="Arial" w:cs="Arial"/>
          <w:color w:val="000000" w:themeColor="text1"/>
          <w:sz w:val="21"/>
          <w:szCs w:val="21"/>
          <w:highlight w:val="none"/>
          <w14:textFill>
            <w14:solidFill>
              <w14:schemeClr w14:val="tx1"/>
            </w14:solidFill>
          </w14:textFill>
        </w:rPr>
        <w:t xml:space="preserve"> pel</w:t>
      </w:r>
      <w:r>
        <w:rPr>
          <w:rFonts w:hint="default" w:ascii="Arial" w:hAnsi="Arial" w:cs="Arial"/>
          <w:color w:val="000000" w:themeColor="text1"/>
          <w:sz w:val="21"/>
          <w:szCs w:val="21"/>
          <w:highlight w:val="none"/>
          <w:lang w:val="pt-BR"/>
          <w14:textFill>
            <w14:solidFill>
              <w14:schemeClr w14:val="tx1"/>
            </w14:solidFill>
          </w14:textFill>
        </w:rPr>
        <w:t>o Departamento de Tecnologia da Prefeitura de Sinop/MT</w:t>
      </w:r>
      <w:r>
        <w:rPr>
          <w:rFonts w:hint="default" w:ascii="Arial" w:hAnsi="Arial" w:cs="Arial"/>
          <w:bCs/>
          <w:color w:val="000000" w:themeColor="text1"/>
          <w:sz w:val="21"/>
          <w:szCs w:val="21"/>
          <w:highlight w:val="none"/>
          <w:lang w:eastAsia="pt-BR"/>
          <w14:textFill>
            <w14:solidFill>
              <w14:schemeClr w14:val="tx1"/>
            </w14:solidFill>
          </w14:textFill>
        </w:rPr>
        <w:t xml:space="preserve">, ficando a responsabilidade pela conferência de suas descrições, bem como </w:t>
      </w:r>
      <w:r>
        <w:rPr>
          <w:rFonts w:hint="default" w:ascii="Arial" w:hAnsi="Arial" w:cs="Arial"/>
          <w:bCs/>
          <w:color w:val="000000" w:themeColor="text1"/>
          <w:sz w:val="21"/>
          <w:szCs w:val="21"/>
          <w:highlight w:val="none"/>
          <w:lang w:val="en-US" w:eastAsia="pt-BR"/>
          <w14:textFill>
            <w14:solidFill>
              <w14:schemeClr w14:val="tx1"/>
            </w14:solidFill>
          </w14:textFill>
        </w:rPr>
        <w:t>os</w:t>
      </w:r>
      <w:r>
        <w:rPr>
          <w:rFonts w:hint="default" w:ascii="Arial" w:hAnsi="Arial" w:cs="Arial"/>
          <w:bCs/>
          <w:color w:val="000000" w:themeColor="text1"/>
          <w:sz w:val="21"/>
          <w:szCs w:val="21"/>
          <w:highlight w:val="none"/>
          <w:lang w:eastAsia="pt-BR"/>
          <w14:textFill>
            <w14:solidFill>
              <w14:schemeClr w14:val="tx1"/>
            </w14:solidFill>
          </w14:textFill>
        </w:rPr>
        <w:t xml:space="preserve"> quantitativos atribu</w:t>
      </w:r>
      <w:r>
        <w:rPr>
          <w:rFonts w:hint="default" w:ascii="Arial" w:hAnsi="Arial" w:cs="Arial"/>
          <w:bCs/>
          <w:color w:val="000000" w:themeColor="text1"/>
          <w:sz w:val="21"/>
          <w:szCs w:val="21"/>
          <w:highlight w:val="none"/>
          <w:lang w:val="en-US" w:eastAsia="pt-BR"/>
          <w14:textFill>
            <w14:solidFill>
              <w14:schemeClr w14:val="tx1"/>
            </w14:solidFill>
          </w14:textFill>
        </w:rPr>
        <w:t>í</w:t>
      </w:r>
      <w:r>
        <w:rPr>
          <w:rFonts w:hint="default" w:ascii="Arial" w:hAnsi="Arial" w:cs="Arial"/>
          <w:bCs/>
          <w:color w:val="000000" w:themeColor="text1"/>
          <w:sz w:val="21"/>
          <w:szCs w:val="21"/>
          <w:highlight w:val="none"/>
          <w:lang w:eastAsia="pt-BR"/>
          <w14:textFill>
            <w14:solidFill>
              <w14:schemeClr w14:val="tx1"/>
            </w14:solidFill>
          </w14:textFill>
        </w:rPr>
        <w:t>d</w:t>
      </w:r>
      <w:r>
        <w:rPr>
          <w:rFonts w:hint="default" w:ascii="Arial" w:hAnsi="Arial" w:cs="Arial"/>
          <w:bCs/>
          <w:color w:val="000000" w:themeColor="text1"/>
          <w:sz w:val="21"/>
          <w:szCs w:val="21"/>
          <w:highlight w:val="none"/>
          <w:lang w:val="en-US" w:eastAsia="pt-BR"/>
          <w14:textFill>
            <w14:solidFill>
              <w14:schemeClr w14:val="tx1"/>
            </w14:solidFill>
          </w14:textFill>
        </w:rPr>
        <w:t>o</w:t>
      </w:r>
      <w:r>
        <w:rPr>
          <w:rFonts w:hint="default" w:ascii="Arial" w:hAnsi="Arial" w:cs="Arial"/>
          <w:bCs/>
          <w:color w:val="000000" w:themeColor="text1"/>
          <w:sz w:val="21"/>
          <w:szCs w:val="21"/>
          <w:highlight w:val="none"/>
          <w:lang w:eastAsia="pt-BR"/>
          <w14:textFill>
            <w14:solidFill>
              <w14:schemeClr w14:val="tx1"/>
            </w14:solidFill>
          </w14:textFill>
        </w:rPr>
        <w:t>s aos mesmos.</w:t>
      </w:r>
    </w:p>
    <w:p w14:paraId="5BAB9422">
      <w:pPr>
        <w:numPr>
          <w:ilvl w:val="0"/>
          <w:numId w:val="0"/>
        </w:numPr>
        <w:spacing w:line="360" w:lineRule="auto"/>
        <w:ind w:leftChars="0"/>
        <w:contextualSpacing/>
        <w:jc w:val="both"/>
        <w:rPr>
          <w:rFonts w:hint="default" w:ascii="Arial" w:hAnsi="Arial" w:cs="Arial"/>
          <w:bCs/>
          <w:color w:val="000000"/>
          <w:sz w:val="22"/>
          <w:szCs w:val="22"/>
          <w:highlight w:val="none"/>
          <w:lang w:val="en-US" w:eastAsia="pt-BR"/>
        </w:rPr>
      </w:pPr>
    </w:p>
    <w:p w14:paraId="423E71ED">
      <w:pPr>
        <w:numPr>
          <w:ilvl w:val="0"/>
          <w:numId w:val="0"/>
        </w:numPr>
        <w:spacing w:line="360" w:lineRule="auto"/>
        <w:ind w:leftChars="0"/>
        <w:contextualSpacing/>
        <w:jc w:val="both"/>
        <w:rPr>
          <w:rFonts w:hint="default" w:ascii="Arial" w:hAnsi="Arial" w:cs="Arial"/>
          <w:bCs/>
          <w:color w:val="000000"/>
          <w:sz w:val="22"/>
          <w:szCs w:val="22"/>
          <w:highlight w:val="none"/>
          <w:lang w:val="en-US" w:eastAsia="pt-BR"/>
        </w:rPr>
      </w:pPr>
      <w:r>
        <w:rPr>
          <w:rFonts w:hint="default" w:ascii="Arial" w:hAnsi="Arial" w:cs="Arial"/>
          <w:bCs/>
          <w:color w:val="000000"/>
          <w:sz w:val="22"/>
          <w:szCs w:val="22"/>
          <w:highlight w:val="none"/>
          <w:lang w:val="en-US" w:eastAsia="pt-BR"/>
        </w:rPr>
        <w:t>Sinop/MT, 05 de Junho de 2024.</w:t>
      </w:r>
    </w:p>
    <w:p w14:paraId="5C45E61F">
      <w:pPr>
        <w:numPr>
          <w:ilvl w:val="0"/>
          <w:numId w:val="0"/>
        </w:numPr>
        <w:spacing w:line="360" w:lineRule="auto"/>
        <w:ind w:leftChars="0"/>
        <w:contextualSpacing/>
        <w:jc w:val="both"/>
        <w:rPr>
          <w:rFonts w:hint="default" w:ascii="Arial" w:hAnsi="Arial" w:cs="Arial"/>
          <w:bCs/>
          <w:color w:val="000000"/>
          <w:sz w:val="22"/>
          <w:szCs w:val="22"/>
          <w:highlight w:val="none"/>
          <w:lang w:val="en-US" w:eastAsia="pt-BR"/>
        </w:rPr>
      </w:pPr>
    </w:p>
    <w:p w14:paraId="6F3EC0BA">
      <w:pPr>
        <w:numPr>
          <w:ilvl w:val="0"/>
          <w:numId w:val="0"/>
        </w:numPr>
        <w:spacing w:line="360" w:lineRule="auto"/>
        <w:ind w:leftChars="0"/>
        <w:contextualSpacing/>
        <w:jc w:val="both"/>
        <w:rPr>
          <w:rFonts w:hint="default" w:ascii="Arial" w:hAnsi="Arial" w:cs="Arial"/>
          <w:bCs/>
          <w:color w:val="000000"/>
          <w:sz w:val="22"/>
          <w:szCs w:val="22"/>
          <w:highlight w:val="none"/>
          <w:lang w:val="en-US" w:eastAsia="pt-BR"/>
        </w:rPr>
      </w:pPr>
    </w:p>
    <w:p w14:paraId="76E4CE75">
      <w:pPr>
        <w:numPr>
          <w:ilvl w:val="0"/>
          <w:numId w:val="0"/>
        </w:numPr>
        <w:spacing w:line="360" w:lineRule="auto"/>
        <w:ind w:leftChars="0"/>
        <w:contextualSpacing/>
        <w:jc w:val="both"/>
        <w:rPr>
          <w:rFonts w:hint="default" w:ascii="Arial" w:hAnsi="Arial" w:cs="Arial"/>
          <w:bCs/>
          <w:color w:val="000000"/>
          <w:sz w:val="22"/>
          <w:szCs w:val="22"/>
          <w:highlight w:val="none"/>
          <w:lang w:val="en-US" w:eastAsia="pt-BR"/>
        </w:rPr>
      </w:pPr>
    </w:p>
    <w:p w14:paraId="72EEA969">
      <w:pPr>
        <w:autoSpaceDE w:val="0"/>
        <w:autoSpaceDN w:val="0"/>
        <w:adjustRightInd w:val="0"/>
        <w:spacing w:after="0" w:line="240" w:lineRule="auto"/>
        <w:contextualSpacing/>
        <w:jc w:val="center"/>
        <w:rPr>
          <w:rFonts w:hint="default" w:ascii="Arial" w:hAnsi="Arial" w:cs="Arial"/>
          <w:b/>
          <w:bCs/>
          <w:sz w:val="22"/>
          <w:szCs w:val="22"/>
          <w:lang w:val="pt-BR"/>
        </w:rPr>
      </w:pPr>
      <w:r>
        <w:rPr>
          <w:rFonts w:hint="default" w:ascii="Arial" w:hAnsi="Arial" w:cs="Arial"/>
          <w:b/>
          <w:bCs/>
          <w:sz w:val="22"/>
          <w:szCs w:val="22"/>
          <w:lang w:val="pt-BR"/>
        </w:rPr>
        <w:t>Inês de Fátima Martins Gil Braz Lumbreras</w:t>
      </w:r>
    </w:p>
    <w:p w14:paraId="05E9D4AC">
      <w:pPr>
        <w:autoSpaceDE w:val="0"/>
        <w:autoSpaceDN w:val="0"/>
        <w:adjustRightInd w:val="0"/>
        <w:spacing w:after="0" w:line="240" w:lineRule="auto"/>
        <w:contextualSpacing/>
        <w:jc w:val="center"/>
        <w:rPr>
          <w:rFonts w:hint="default" w:ascii="Arial" w:hAnsi="Arial" w:cs="Arial"/>
          <w:sz w:val="22"/>
          <w:szCs w:val="22"/>
          <w:lang w:val="pt-BR"/>
        </w:rPr>
      </w:pPr>
      <w:r>
        <w:rPr>
          <w:rFonts w:hint="default" w:ascii="Arial" w:hAnsi="Arial" w:cs="Arial"/>
          <w:sz w:val="22"/>
          <w:szCs w:val="22"/>
        </w:rPr>
        <w:t>Responsável pel</w:t>
      </w:r>
      <w:r>
        <w:rPr>
          <w:rFonts w:hint="default" w:ascii="Arial" w:hAnsi="Arial" w:cs="Arial"/>
          <w:sz w:val="22"/>
          <w:szCs w:val="22"/>
          <w:lang w:val="pt-BR"/>
        </w:rPr>
        <w:t>a elaboração do Termo de Referência</w:t>
      </w:r>
    </w:p>
    <w:p w14:paraId="7520E804">
      <w:pPr>
        <w:autoSpaceDE w:val="0"/>
        <w:autoSpaceDN w:val="0"/>
        <w:adjustRightInd w:val="0"/>
        <w:spacing w:after="0" w:line="240" w:lineRule="auto"/>
        <w:contextualSpacing/>
        <w:jc w:val="center"/>
        <w:rPr>
          <w:rFonts w:hint="default" w:ascii="Arial" w:hAnsi="Arial" w:cs="Arial"/>
          <w:spacing w:val="-2"/>
          <w:sz w:val="22"/>
          <w:szCs w:val="22"/>
          <w:highlight w:val="yellow"/>
        </w:rPr>
      </w:pPr>
      <w:r>
        <w:rPr>
          <w:rFonts w:hint="default" w:ascii="Arial" w:hAnsi="Arial" w:cs="Arial"/>
          <w:sz w:val="22"/>
          <w:szCs w:val="22"/>
          <w:lang w:val="pt-BR"/>
        </w:rPr>
        <w:t>Portaria 0463</w:t>
      </w:r>
    </w:p>
    <w:p w14:paraId="17913371">
      <w:pPr>
        <w:pStyle w:val="17"/>
        <w:ind w:left="572" w:right="563"/>
        <w:jc w:val="center"/>
        <w:rPr>
          <w:rFonts w:hint="default" w:ascii="Arial" w:hAnsi="Arial" w:cs="Arial"/>
          <w:spacing w:val="-2"/>
          <w:sz w:val="22"/>
          <w:szCs w:val="22"/>
          <w:highlight w:val="yellow"/>
        </w:rPr>
      </w:pPr>
    </w:p>
    <w:p w14:paraId="76BE54A0">
      <w:pPr>
        <w:pStyle w:val="17"/>
        <w:ind w:left="572" w:right="563"/>
        <w:jc w:val="center"/>
        <w:rPr>
          <w:rFonts w:hint="default" w:ascii="Arial" w:hAnsi="Arial" w:cs="Arial"/>
          <w:spacing w:val="-2"/>
          <w:sz w:val="22"/>
          <w:szCs w:val="22"/>
          <w:highlight w:val="yellow"/>
        </w:rPr>
      </w:pPr>
    </w:p>
    <w:p w14:paraId="370A0FAC">
      <w:pPr>
        <w:pStyle w:val="17"/>
        <w:ind w:left="572" w:right="563"/>
        <w:jc w:val="center"/>
        <w:rPr>
          <w:rFonts w:hint="default" w:ascii="Arial" w:hAnsi="Arial" w:cs="Arial"/>
          <w:spacing w:val="-2"/>
          <w:sz w:val="22"/>
          <w:szCs w:val="22"/>
          <w:highlight w:val="yellow"/>
        </w:rPr>
      </w:pPr>
    </w:p>
    <w:p w14:paraId="53373D92">
      <w:pPr>
        <w:pStyle w:val="17"/>
        <w:ind w:left="572" w:right="563"/>
        <w:jc w:val="center"/>
        <w:rPr>
          <w:rFonts w:hint="default" w:ascii="Arial" w:hAnsi="Arial" w:cs="Arial"/>
          <w:spacing w:val="-2"/>
          <w:sz w:val="22"/>
          <w:szCs w:val="22"/>
          <w:highlight w:val="yellow"/>
        </w:rPr>
      </w:pPr>
    </w:p>
    <w:p w14:paraId="5A8FD96C">
      <w:pPr>
        <w:pStyle w:val="17"/>
        <w:ind w:left="572" w:right="563"/>
        <w:jc w:val="center"/>
        <w:rPr>
          <w:rFonts w:hint="default" w:ascii="Arial" w:hAnsi="Arial" w:cs="Arial"/>
          <w:spacing w:val="-2"/>
          <w:sz w:val="22"/>
          <w:szCs w:val="22"/>
          <w:highlight w:val="yellow"/>
        </w:rPr>
      </w:pPr>
    </w:p>
    <w:p w14:paraId="57515E94">
      <w:pPr>
        <w:pStyle w:val="17"/>
        <w:ind w:left="572" w:right="563"/>
        <w:jc w:val="center"/>
        <w:rPr>
          <w:rFonts w:hint="default" w:ascii="Arial" w:hAnsi="Arial" w:cs="Arial"/>
          <w:spacing w:val="-2"/>
          <w:sz w:val="22"/>
          <w:szCs w:val="22"/>
          <w:highlight w:val="yellow"/>
        </w:rPr>
      </w:pP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CD8C2" w:themeFill="background2" w:themeFillShade="E5"/>
        <w:tblLayout w:type="autofit"/>
        <w:tblCellMar>
          <w:top w:w="0" w:type="dxa"/>
          <w:left w:w="108" w:type="dxa"/>
          <w:bottom w:w="0" w:type="dxa"/>
          <w:right w:w="108" w:type="dxa"/>
        </w:tblCellMar>
      </w:tblPr>
      <w:tblGrid>
        <w:gridCol w:w="8616"/>
      </w:tblGrid>
      <w:tr w14:paraId="08C9C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27E5D64A">
            <w:pPr>
              <w:numPr>
                <w:ilvl w:val="0"/>
                <w:numId w:val="17"/>
              </w:numPr>
              <w:ind w:left="0" w:leftChars="0" w:firstLine="0" w:firstLineChars="0"/>
              <w:jc w:val="center"/>
              <w:rPr>
                <w:rFonts w:hint="default" w:ascii="Arial" w:hAnsi="Arial" w:cs="Arial"/>
                <w:b/>
                <w:sz w:val="22"/>
                <w:szCs w:val="22"/>
                <w:highlight w:val="lightGray"/>
                <w:vertAlign w:val="baseline"/>
                <w:lang w:val="pt-BR"/>
              </w:rPr>
            </w:pPr>
            <w:r>
              <w:rPr>
                <w:rFonts w:hint="default" w:ascii="Arial" w:hAnsi="Arial" w:cs="Arial"/>
                <w:b/>
                <w:sz w:val="22"/>
                <w:szCs w:val="22"/>
                <w:highlight w:val="none"/>
                <w:shd w:val="clear" w:fill="D7D7D7" w:themeFill="background1" w:themeFillShade="D8"/>
              </w:rPr>
              <w:t>CIÊNCIA</w:t>
            </w:r>
            <w:r>
              <w:rPr>
                <w:rFonts w:hint="default" w:ascii="Arial" w:hAnsi="Arial" w:cs="Arial"/>
                <w:b/>
                <w:spacing w:val="-1"/>
                <w:sz w:val="22"/>
                <w:szCs w:val="22"/>
                <w:highlight w:val="none"/>
                <w:shd w:val="clear" w:fill="D7D7D7" w:themeFill="background1" w:themeFillShade="D8"/>
              </w:rPr>
              <w:t xml:space="preserve"> </w:t>
            </w:r>
            <w:r>
              <w:rPr>
                <w:rFonts w:hint="default" w:ascii="Arial" w:hAnsi="Arial" w:cs="Arial"/>
                <w:b/>
                <w:sz w:val="22"/>
                <w:szCs w:val="22"/>
                <w:highlight w:val="none"/>
                <w:shd w:val="clear" w:fill="D7D7D7" w:themeFill="background1" w:themeFillShade="D8"/>
              </w:rPr>
              <w:t>DA</w:t>
            </w:r>
            <w:r>
              <w:rPr>
                <w:rFonts w:hint="default" w:ascii="Arial" w:hAnsi="Arial" w:cs="Arial"/>
                <w:b/>
                <w:spacing w:val="-1"/>
                <w:sz w:val="22"/>
                <w:szCs w:val="22"/>
                <w:highlight w:val="none"/>
                <w:shd w:val="clear" w:fill="D7D7D7" w:themeFill="background1" w:themeFillShade="D8"/>
              </w:rPr>
              <w:t xml:space="preserve"> </w:t>
            </w:r>
            <w:r>
              <w:rPr>
                <w:rFonts w:hint="default" w:ascii="Arial" w:hAnsi="Arial" w:cs="Arial"/>
                <w:b/>
                <w:sz w:val="22"/>
                <w:szCs w:val="22"/>
                <w:highlight w:val="none"/>
                <w:shd w:val="clear" w:fill="D7D7D7" w:themeFill="background1" w:themeFillShade="D8"/>
              </w:rPr>
              <w:t xml:space="preserve">AUTORIDADE </w:t>
            </w:r>
            <w:r>
              <w:rPr>
                <w:rFonts w:hint="default" w:ascii="Arial" w:hAnsi="Arial" w:cs="Arial"/>
                <w:b/>
                <w:spacing w:val="-2"/>
                <w:sz w:val="22"/>
                <w:szCs w:val="22"/>
                <w:highlight w:val="none"/>
                <w:shd w:val="clear" w:fill="D7D7D7" w:themeFill="background1" w:themeFillShade="D8"/>
              </w:rPr>
              <w:t>COMPETENTE</w:t>
            </w:r>
          </w:p>
        </w:tc>
      </w:tr>
    </w:tbl>
    <w:p w14:paraId="0218E152">
      <w:pPr>
        <w:pStyle w:val="17"/>
        <w:ind w:left="572" w:right="563"/>
        <w:jc w:val="center"/>
        <w:rPr>
          <w:rFonts w:hint="default" w:ascii="Arial" w:hAnsi="Arial" w:cs="Arial"/>
          <w:spacing w:val="-2"/>
          <w:sz w:val="22"/>
          <w:szCs w:val="22"/>
          <w:highlight w:val="yellow"/>
        </w:rPr>
      </w:pPr>
    </w:p>
    <w:p w14:paraId="7969776C">
      <w:pPr>
        <w:pStyle w:val="155"/>
        <w:tabs>
          <w:tab w:val="left" w:pos="407"/>
        </w:tabs>
        <w:ind w:left="107" w:right="103"/>
        <w:rPr>
          <w:rFonts w:hint="default" w:ascii="Arial" w:hAnsi="Arial" w:cs="Arial"/>
          <w:sz w:val="22"/>
          <w:szCs w:val="22"/>
        </w:rPr>
      </w:pPr>
      <w:r>
        <w:rPr>
          <w:rFonts w:hint="default" w:ascii="Arial" w:hAnsi="Arial" w:cs="Arial"/>
          <w:spacing w:val="-10"/>
          <w:sz w:val="22"/>
          <w:szCs w:val="22"/>
        </w:rPr>
        <w:t>(</w:t>
      </w:r>
      <w:r>
        <w:rPr>
          <w:rFonts w:hint="default" w:ascii="Arial" w:hAnsi="Arial" w:cs="Arial"/>
          <w:sz w:val="22"/>
          <w:szCs w:val="22"/>
        </w:rPr>
        <w:tab/>
      </w:r>
      <w:r>
        <w:rPr>
          <w:rFonts w:hint="default" w:ascii="Arial" w:hAnsi="Arial" w:cs="Arial"/>
          <w:sz w:val="22"/>
          <w:szCs w:val="22"/>
        </w:rPr>
        <w:t>)</w:t>
      </w:r>
      <w:r>
        <w:rPr>
          <w:rFonts w:hint="default" w:ascii="Arial" w:hAnsi="Arial" w:cs="Arial"/>
          <w:spacing w:val="-10"/>
          <w:sz w:val="22"/>
          <w:szCs w:val="22"/>
        </w:rPr>
        <w:t xml:space="preserve"> </w:t>
      </w:r>
      <w:r>
        <w:rPr>
          <w:rFonts w:hint="default" w:ascii="Arial" w:hAnsi="Arial" w:cs="Arial"/>
          <w:sz w:val="22"/>
          <w:szCs w:val="22"/>
        </w:rPr>
        <w:t>Concordo</w:t>
      </w:r>
      <w:r>
        <w:rPr>
          <w:rFonts w:hint="default" w:ascii="Arial" w:hAnsi="Arial" w:cs="Arial"/>
          <w:spacing w:val="-10"/>
          <w:sz w:val="22"/>
          <w:szCs w:val="22"/>
        </w:rPr>
        <w:t xml:space="preserve"> </w:t>
      </w:r>
      <w:r>
        <w:rPr>
          <w:rFonts w:hint="default" w:ascii="Arial" w:hAnsi="Arial" w:cs="Arial"/>
          <w:sz w:val="22"/>
          <w:szCs w:val="22"/>
        </w:rPr>
        <w:t>com</w:t>
      </w:r>
      <w:r>
        <w:rPr>
          <w:rFonts w:hint="default" w:ascii="Arial" w:hAnsi="Arial" w:cs="Arial"/>
          <w:spacing w:val="-9"/>
          <w:sz w:val="22"/>
          <w:szCs w:val="22"/>
        </w:rPr>
        <w:t xml:space="preserve"> </w:t>
      </w:r>
      <w:r>
        <w:rPr>
          <w:rFonts w:hint="default" w:ascii="Arial" w:hAnsi="Arial" w:cs="Arial"/>
          <w:sz w:val="22"/>
          <w:szCs w:val="22"/>
        </w:rPr>
        <w:t>o</w:t>
      </w:r>
      <w:r>
        <w:rPr>
          <w:rFonts w:hint="default" w:ascii="Arial" w:hAnsi="Arial" w:cs="Arial"/>
          <w:spacing w:val="-9"/>
          <w:sz w:val="22"/>
          <w:szCs w:val="22"/>
        </w:rPr>
        <w:t xml:space="preserve"> </w:t>
      </w:r>
      <w:r>
        <w:rPr>
          <w:rFonts w:hint="default" w:ascii="Arial" w:hAnsi="Arial" w:cs="Arial"/>
          <w:sz w:val="22"/>
          <w:szCs w:val="22"/>
        </w:rPr>
        <w:t>Termo</w:t>
      </w:r>
      <w:r>
        <w:rPr>
          <w:rFonts w:hint="default" w:ascii="Arial" w:hAnsi="Arial" w:cs="Arial"/>
          <w:spacing w:val="-9"/>
          <w:sz w:val="22"/>
          <w:szCs w:val="22"/>
        </w:rPr>
        <w:t xml:space="preserve"> </w:t>
      </w:r>
      <w:r>
        <w:rPr>
          <w:rFonts w:hint="default" w:ascii="Arial" w:hAnsi="Arial" w:cs="Arial"/>
          <w:sz w:val="22"/>
          <w:szCs w:val="22"/>
        </w:rPr>
        <w:t>de</w:t>
      </w:r>
      <w:r>
        <w:rPr>
          <w:rFonts w:hint="default" w:ascii="Arial" w:hAnsi="Arial" w:cs="Arial"/>
          <w:spacing w:val="-10"/>
          <w:sz w:val="22"/>
          <w:szCs w:val="22"/>
        </w:rPr>
        <w:t xml:space="preserve"> </w:t>
      </w:r>
      <w:r>
        <w:rPr>
          <w:rFonts w:hint="default" w:ascii="Arial" w:hAnsi="Arial" w:cs="Arial"/>
          <w:sz w:val="22"/>
          <w:szCs w:val="22"/>
        </w:rPr>
        <w:t>Referência/Projeto</w:t>
      </w:r>
      <w:r>
        <w:rPr>
          <w:rFonts w:hint="default" w:ascii="Arial" w:hAnsi="Arial" w:cs="Arial"/>
          <w:spacing w:val="-7"/>
          <w:sz w:val="22"/>
          <w:szCs w:val="22"/>
        </w:rPr>
        <w:t xml:space="preserve"> </w:t>
      </w:r>
      <w:r>
        <w:rPr>
          <w:rFonts w:hint="default" w:ascii="Arial" w:hAnsi="Arial" w:cs="Arial"/>
          <w:sz w:val="22"/>
          <w:szCs w:val="22"/>
        </w:rPr>
        <w:t>Básico</w:t>
      </w:r>
      <w:r>
        <w:rPr>
          <w:rFonts w:hint="default" w:ascii="Arial" w:hAnsi="Arial" w:cs="Arial"/>
          <w:spacing w:val="-10"/>
          <w:sz w:val="22"/>
          <w:szCs w:val="22"/>
        </w:rPr>
        <w:t xml:space="preserve"> </w:t>
      </w:r>
      <w:r>
        <w:rPr>
          <w:rFonts w:hint="default" w:ascii="Arial" w:hAnsi="Arial" w:cs="Arial"/>
          <w:sz w:val="22"/>
          <w:szCs w:val="22"/>
        </w:rPr>
        <w:t>realizado</w:t>
      </w:r>
      <w:r>
        <w:rPr>
          <w:rFonts w:hint="default" w:ascii="Arial" w:hAnsi="Arial" w:cs="Arial"/>
          <w:spacing w:val="-7"/>
          <w:sz w:val="22"/>
          <w:szCs w:val="22"/>
        </w:rPr>
        <w:t xml:space="preserve"> </w:t>
      </w:r>
      <w:r>
        <w:rPr>
          <w:rFonts w:hint="default" w:ascii="Arial" w:hAnsi="Arial" w:cs="Arial"/>
          <w:sz w:val="22"/>
          <w:szCs w:val="22"/>
        </w:rPr>
        <w:t>e</w:t>
      </w:r>
      <w:r>
        <w:rPr>
          <w:rFonts w:hint="default" w:ascii="Arial" w:hAnsi="Arial" w:cs="Arial"/>
          <w:spacing w:val="-10"/>
          <w:sz w:val="22"/>
          <w:szCs w:val="22"/>
        </w:rPr>
        <w:t xml:space="preserve"> </w:t>
      </w:r>
      <w:r>
        <w:rPr>
          <w:rFonts w:hint="default" w:ascii="Arial" w:hAnsi="Arial" w:cs="Arial"/>
          <w:sz w:val="22"/>
          <w:szCs w:val="22"/>
        </w:rPr>
        <w:t>autorizo</w:t>
      </w:r>
      <w:r>
        <w:rPr>
          <w:rFonts w:hint="default" w:ascii="Arial" w:hAnsi="Arial" w:cs="Arial"/>
          <w:spacing w:val="-9"/>
          <w:sz w:val="22"/>
          <w:szCs w:val="22"/>
        </w:rPr>
        <w:t xml:space="preserve"> </w:t>
      </w:r>
      <w:r>
        <w:rPr>
          <w:rFonts w:hint="default" w:ascii="Arial" w:hAnsi="Arial" w:cs="Arial"/>
          <w:sz w:val="22"/>
          <w:szCs w:val="22"/>
        </w:rPr>
        <w:t>a</w:t>
      </w:r>
      <w:r>
        <w:rPr>
          <w:rFonts w:hint="default" w:ascii="Arial" w:hAnsi="Arial" w:cs="Arial"/>
          <w:spacing w:val="-10"/>
          <w:sz w:val="22"/>
          <w:szCs w:val="22"/>
        </w:rPr>
        <w:t xml:space="preserve"> </w:t>
      </w:r>
      <w:r>
        <w:rPr>
          <w:rFonts w:hint="default" w:ascii="Arial" w:hAnsi="Arial" w:cs="Arial"/>
          <w:sz w:val="22"/>
          <w:szCs w:val="22"/>
        </w:rPr>
        <w:t>contratação nos termos da Lei 14.133/2021.</w:t>
      </w:r>
    </w:p>
    <w:p w14:paraId="27288BC7">
      <w:pPr>
        <w:pStyle w:val="155"/>
        <w:tabs>
          <w:tab w:val="left" w:pos="407"/>
        </w:tabs>
        <w:ind w:left="107" w:right="103"/>
        <w:rPr>
          <w:rFonts w:hint="default" w:ascii="Arial" w:hAnsi="Arial" w:cs="Arial"/>
          <w:sz w:val="22"/>
          <w:szCs w:val="22"/>
        </w:rPr>
      </w:pPr>
    </w:p>
    <w:p w14:paraId="43B89A52">
      <w:pPr>
        <w:pStyle w:val="155"/>
        <w:tabs>
          <w:tab w:val="left" w:pos="407"/>
        </w:tabs>
        <w:ind w:left="107" w:right="103"/>
        <w:rPr>
          <w:rFonts w:hint="default" w:ascii="Arial" w:hAnsi="Arial" w:cs="Arial"/>
          <w:sz w:val="22"/>
          <w:szCs w:val="22"/>
        </w:rPr>
      </w:pPr>
    </w:p>
    <w:p w14:paraId="7066F935">
      <w:pPr>
        <w:pStyle w:val="155"/>
        <w:ind w:left="107"/>
        <w:rPr>
          <w:rFonts w:hint="default" w:ascii="Arial" w:hAnsi="Arial" w:cs="Arial"/>
          <w:spacing w:val="-2"/>
          <w:sz w:val="22"/>
          <w:szCs w:val="22"/>
          <w:lang w:val="pt-BR"/>
        </w:rPr>
      </w:pPr>
      <w:r>
        <w:rPr>
          <w:rFonts w:hint="default" w:ascii="Arial" w:hAnsi="Arial" w:cs="Arial"/>
          <w:sz w:val="22"/>
          <w:szCs w:val="22"/>
          <w:lang w:val="pt-BR"/>
        </w:rPr>
        <w:t>Sinop</w:t>
      </w:r>
      <w:r>
        <w:rPr>
          <w:rFonts w:hint="default" w:ascii="Arial" w:hAnsi="Arial" w:cs="Arial"/>
          <w:sz w:val="22"/>
          <w:szCs w:val="22"/>
        </w:rPr>
        <w:t>/MT,</w:t>
      </w:r>
      <w:r>
        <w:rPr>
          <w:rFonts w:hint="default" w:ascii="Arial" w:hAnsi="Arial" w:cs="Arial"/>
          <w:spacing w:val="-1"/>
          <w:sz w:val="22"/>
          <w:szCs w:val="22"/>
        </w:rPr>
        <w:t xml:space="preserve"> </w:t>
      </w:r>
      <w:r>
        <w:rPr>
          <w:rFonts w:hint="default" w:ascii="Arial" w:hAnsi="Arial" w:cs="Arial"/>
          <w:spacing w:val="-1"/>
          <w:sz w:val="22"/>
          <w:szCs w:val="22"/>
          <w:lang w:val="pt-BR"/>
        </w:rPr>
        <w:t xml:space="preserve">___ </w:t>
      </w:r>
      <w:r>
        <w:rPr>
          <w:rFonts w:hint="default" w:ascii="Arial" w:hAnsi="Arial" w:cs="Arial"/>
          <w:sz w:val="22"/>
          <w:szCs w:val="22"/>
        </w:rPr>
        <w:t>, de</w:t>
      </w:r>
      <w:r>
        <w:rPr>
          <w:rFonts w:hint="default" w:ascii="Arial" w:hAnsi="Arial" w:cs="Arial"/>
          <w:spacing w:val="-1"/>
          <w:sz w:val="22"/>
          <w:szCs w:val="22"/>
        </w:rPr>
        <w:t xml:space="preserve"> </w:t>
      </w:r>
      <w:r>
        <w:rPr>
          <w:rFonts w:hint="default" w:ascii="Arial" w:hAnsi="Arial" w:cs="Arial"/>
          <w:spacing w:val="-1"/>
          <w:sz w:val="22"/>
          <w:szCs w:val="22"/>
          <w:lang w:val="pt-BR"/>
        </w:rPr>
        <w:t>__________</w:t>
      </w:r>
      <w:r>
        <w:rPr>
          <w:rFonts w:hint="default" w:ascii="Arial" w:hAnsi="Arial" w:cs="Arial"/>
          <w:sz w:val="22"/>
          <w:szCs w:val="22"/>
        </w:rPr>
        <w:t xml:space="preserve"> de</w:t>
      </w:r>
      <w:r>
        <w:rPr>
          <w:rFonts w:hint="default" w:ascii="Arial" w:hAnsi="Arial" w:cs="Arial"/>
          <w:spacing w:val="-2"/>
          <w:sz w:val="22"/>
          <w:szCs w:val="22"/>
        </w:rPr>
        <w:t xml:space="preserve"> </w:t>
      </w:r>
      <w:r>
        <w:rPr>
          <w:rFonts w:hint="default" w:ascii="Arial" w:hAnsi="Arial" w:cs="Arial"/>
          <w:spacing w:val="-2"/>
          <w:sz w:val="22"/>
          <w:szCs w:val="22"/>
          <w:lang w:val="pt-BR"/>
        </w:rPr>
        <w:t>2024.</w:t>
      </w:r>
    </w:p>
    <w:p w14:paraId="3819AEB4">
      <w:pPr>
        <w:pStyle w:val="155"/>
        <w:ind w:left="107"/>
        <w:rPr>
          <w:rFonts w:hint="default" w:ascii="Arial" w:hAnsi="Arial" w:cs="Arial"/>
          <w:spacing w:val="-2"/>
          <w:sz w:val="22"/>
          <w:szCs w:val="22"/>
          <w:lang w:val="pt-BR"/>
        </w:rPr>
      </w:pPr>
    </w:p>
    <w:p w14:paraId="2ABD5064">
      <w:pPr>
        <w:pStyle w:val="155"/>
        <w:rPr>
          <w:rFonts w:hint="default" w:ascii="Arial" w:hAnsi="Arial" w:cs="Arial"/>
          <w:spacing w:val="-2"/>
          <w:sz w:val="22"/>
          <w:szCs w:val="22"/>
          <w:lang w:val="pt-BR"/>
        </w:rPr>
      </w:pPr>
    </w:p>
    <w:p w14:paraId="1B8589BA">
      <w:pPr>
        <w:pStyle w:val="155"/>
        <w:ind w:left="107"/>
        <w:rPr>
          <w:rFonts w:hint="default" w:ascii="Arial" w:hAnsi="Arial" w:cs="Arial"/>
          <w:spacing w:val="-2"/>
          <w:sz w:val="22"/>
          <w:szCs w:val="22"/>
          <w:lang w:val="pt-BR"/>
        </w:rPr>
      </w:pPr>
    </w:p>
    <w:p w14:paraId="69B9E0A8">
      <w:pPr>
        <w:pStyle w:val="155"/>
        <w:rPr>
          <w:rFonts w:hint="default" w:ascii="Arial" w:hAnsi="Arial" w:cs="Arial"/>
          <w:spacing w:val="-2"/>
          <w:sz w:val="22"/>
          <w:szCs w:val="22"/>
          <w:lang w:val="pt-BR"/>
        </w:rPr>
      </w:pPr>
    </w:p>
    <w:p w14:paraId="3C7F49A9">
      <w:pPr>
        <w:pStyle w:val="155"/>
        <w:rPr>
          <w:rFonts w:hint="default" w:ascii="Arial" w:hAnsi="Arial" w:cs="Arial"/>
          <w:spacing w:val="-2"/>
          <w:sz w:val="22"/>
          <w:szCs w:val="22"/>
          <w:lang w:val="pt-BR"/>
        </w:rPr>
      </w:pPr>
    </w:p>
    <w:p w14:paraId="7A81F251">
      <w:pPr>
        <w:pStyle w:val="155"/>
        <w:rPr>
          <w:rFonts w:hint="default" w:ascii="Arial" w:hAnsi="Arial" w:cs="Arial"/>
          <w:spacing w:val="-2"/>
          <w:sz w:val="22"/>
          <w:szCs w:val="22"/>
          <w:lang w:val="pt-BR"/>
        </w:rPr>
      </w:pPr>
    </w:p>
    <w:p w14:paraId="1A57CD67">
      <w:pPr>
        <w:pStyle w:val="155"/>
        <w:rPr>
          <w:rFonts w:hint="default" w:ascii="Arial" w:hAnsi="Arial" w:cs="Arial"/>
          <w:spacing w:val="-2"/>
          <w:sz w:val="22"/>
          <w:szCs w:val="22"/>
          <w:lang w:val="pt-BR"/>
        </w:rPr>
      </w:pPr>
    </w:p>
    <w:p w14:paraId="21BDCA2F">
      <w:pPr>
        <w:pStyle w:val="155"/>
        <w:ind w:left="107"/>
        <w:rPr>
          <w:rFonts w:hint="default" w:ascii="Arial" w:hAnsi="Arial" w:cs="Arial"/>
          <w:spacing w:val="-2"/>
          <w:sz w:val="22"/>
          <w:szCs w:val="22"/>
          <w:lang w:val="pt-BR"/>
        </w:rPr>
      </w:pPr>
    </w:p>
    <w:p w14:paraId="33CF9386">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b w:val="0"/>
          <w:bCs/>
          <w:sz w:val="22"/>
          <w:szCs w:val="22"/>
        </w:rPr>
      </w:pPr>
      <w:r>
        <w:rPr>
          <w:rFonts w:hint="default" w:ascii="Arial" w:hAnsi="Arial" w:cs="Arial"/>
          <w:b w:val="0"/>
          <w:bCs/>
          <w:sz w:val="22"/>
          <w:szCs w:val="22"/>
        </w:rPr>
        <w:t>SILVIA CRISTINA VILLAR BORGES DE OLIVEIRA</w:t>
      </w:r>
    </w:p>
    <w:p w14:paraId="38DE83F3">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val="0"/>
          <w:bCs/>
          <w:sz w:val="22"/>
          <w:szCs w:val="22"/>
          <w:lang w:val="pt-BR"/>
        </w:rPr>
      </w:pPr>
      <w:r>
        <w:rPr>
          <w:rFonts w:hint="default" w:ascii="Arial" w:hAnsi="Arial" w:cs="Arial"/>
          <w:b w:val="0"/>
          <w:bCs/>
          <w:sz w:val="22"/>
          <w:szCs w:val="22"/>
        </w:rPr>
        <w:t>Secretária Municipal de Administração</w:t>
      </w:r>
      <w:r>
        <w:rPr>
          <w:rFonts w:hint="default" w:ascii="Arial" w:hAnsi="Arial" w:cs="Arial"/>
          <w:b w:val="0"/>
          <w:bCs/>
          <w:sz w:val="22"/>
          <w:szCs w:val="22"/>
          <w:lang w:val="pt-BR"/>
        </w:rPr>
        <w:t xml:space="preserve"> e Modernização</w:t>
      </w:r>
    </w:p>
    <w:p w14:paraId="19B89F41">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sz w:val="22"/>
          <w:szCs w:val="22"/>
          <w:lang w:val="pt-BR"/>
        </w:rPr>
      </w:pPr>
      <w:r>
        <w:rPr>
          <w:rFonts w:hint="default" w:ascii="Arial" w:hAnsi="Arial" w:cs="Arial"/>
          <w:sz w:val="22"/>
          <w:szCs w:val="22"/>
          <w:lang w:val="pt-BR"/>
        </w:rPr>
        <w:t>Sinop/MT</w:t>
      </w:r>
    </w:p>
    <w:p w14:paraId="53DD59C6">
      <w:pPr>
        <w:rPr>
          <w:rFonts w:hint="default" w:ascii="Arial" w:hAnsi="Arial" w:cs="Arial"/>
          <w:sz w:val="22"/>
          <w:szCs w:val="22"/>
          <w:lang w:val="pt-BR"/>
        </w:rPr>
      </w:pPr>
      <w:r>
        <w:rPr>
          <w:rFonts w:hint="default" w:ascii="Arial" w:hAnsi="Arial" w:cs="Arial"/>
          <w:sz w:val="22"/>
          <w:szCs w:val="22"/>
          <w:lang w:val="pt-BR"/>
        </w:rPr>
        <w:br w:type="page"/>
      </w:r>
    </w:p>
    <w:p w14:paraId="616EFEEF">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sz w:val="22"/>
          <w:szCs w:val="22"/>
          <w:lang w:val="pt-BR"/>
        </w:rPr>
      </w:pPr>
      <w:r>
        <w:rPr>
          <w:rFonts w:hint="default" w:ascii="Arial" w:hAnsi="Arial" w:cs="Arial"/>
          <w:b/>
          <w:bCs/>
          <w:color w:val="000000"/>
          <w:sz w:val="22"/>
          <w:szCs w:val="22"/>
        </w:rPr>
        <w:t>ANEXO I</w:t>
      </w:r>
      <w:r>
        <w:rPr>
          <w:rFonts w:hint="default" w:ascii="Arial" w:hAnsi="Arial" w:cs="Arial"/>
          <w:b/>
          <w:bCs/>
          <w:color w:val="000000"/>
          <w:sz w:val="22"/>
          <w:szCs w:val="22"/>
          <w:lang w:val="pt-BR"/>
        </w:rPr>
        <w:t>I</w:t>
      </w:r>
    </w:p>
    <w:p w14:paraId="544516E9">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sz w:val="22"/>
          <w:szCs w:val="22"/>
          <w:lang w:val="pt-BR"/>
        </w:rPr>
      </w:pPr>
    </w:p>
    <w:p w14:paraId="24A6962B">
      <w:pPr>
        <w:pBdr>
          <w:top w:val="single" w:color="000000" w:sz="4" w:space="0"/>
          <w:left w:val="single" w:color="000000" w:sz="4" w:space="3"/>
          <w:bottom w:val="single" w:color="000000" w:sz="4" w:space="0"/>
          <w:right w:val="single" w:color="000000" w:sz="4" w:space="3"/>
        </w:pBdr>
        <w:shd w:val="clear" w:color="auto" w:fill="D9D9D9"/>
        <w:spacing w:line="360" w:lineRule="auto"/>
        <w:jc w:val="center"/>
        <w:rPr>
          <w:rFonts w:hint="default" w:ascii="Arial" w:hAnsi="Arial" w:cs="Arial"/>
          <w:b/>
          <w:bCs/>
          <w:sz w:val="22"/>
          <w:szCs w:val="22"/>
          <w:lang w:val="pt-BR"/>
        </w:rPr>
      </w:pPr>
      <w:r>
        <w:rPr>
          <w:rFonts w:hint="default" w:ascii="Arial" w:hAnsi="Arial" w:cs="Arial"/>
          <w:b/>
          <w:bCs/>
          <w:sz w:val="22"/>
          <w:szCs w:val="22"/>
        </w:rPr>
        <w:t>MODELO DE PROPOSTA DE PREÇOS</w:t>
      </w:r>
      <w:r>
        <w:rPr>
          <w:rFonts w:hint="default" w:ascii="Arial" w:hAnsi="Arial" w:cs="Arial"/>
          <w:b/>
          <w:bCs/>
          <w:sz w:val="22"/>
          <w:szCs w:val="22"/>
          <w:lang w:val="pt-BR"/>
        </w:rPr>
        <w:t xml:space="preserve"> READEQUADA</w:t>
      </w:r>
    </w:p>
    <w:p w14:paraId="3695F99B">
      <w:pPr>
        <w:jc w:val="both"/>
        <w:rPr>
          <w:rFonts w:hint="default" w:ascii="Arial" w:hAnsi="Arial" w:cs="Arial"/>
          <w:b/>
          <w:bCs/>
          <w:sz w:val="22"/>
          <w:szCs w:val="22"/>
        </w:rPr>
      </w:pPr>
    </w:p>
    <w:p w14:paraId="131FF4BE">
      <w:pPr>
        <w:jc w:val="center"/>
        <w:rPr>
          <w:rFonts w:hint="default" w:ascii="Arial" w:hAnsi="Arial" w:cs="Arial"/>
          <w:b/>
          <w:bCs/>
          <w:sz w:val="22"/>
          <w:szCs w:val="22"/>
          <w:highlight w:val="none"/>
          <w:lang w:val="pt-BR"/>
        </w:rPr>
      </w:pPr>
      <w:bookmarkStart w:id="63" w:name="_Toc392766888"/>
      <w:bookmarkStart w:id="64" w:name="_Toc370934827"/>
      <w:bookmarkStart w:id="65" w:name="_Toc370141678"/>
      <w:bookmarkStart w:id="66" w:name="_Toc370129879"/>
      <w:bookmarkStart w:id="67" w:name="_Toc370140725"/>
      <w:r>
        <w:rPr>
          <w:rFonts w:hint="default" w:ascii="Arial" w:hAnsi="Arial" w:cs="Arial"/>
          <w:b/>
          <w:bCs/>
          <w:sz w:val="22"/>
          <w:szCs w:val="22"/>
          <w:highlight w:val="none"/>
        </w:rPr>
        <w:t>PREGÃO ELETRÔNICO  N.º</w:t>
      </w:r>
      <w:r>
        <w:rPr>
          <w:rFonts w:hint="default" w:ascii="Arial" w:hAnsi="Arial" w:cs="Arial"/>
          <w:b/>
          <w:bCs/>
          <w:sz w:val="22"/>
          <w:szCs w:val="22"/>
          <w:highlight w:val="none"/>
          <w:lang w:val="pt-BR"/>
        </w:rPr>
        <w:t xml:space="preserve"> 37/2024</w:t>
      </w:r>
    </w:p>
    <w:p w14:paraId="37D7E8EA">
      <w:pPr>
        <w:pStyle w:val="168"/>
        <w:keepNext w:val="0"/>
        <w:ind w:firstLine="24"/>
        <w:jc w:val="center"/>
        <w:rPr>
          <w:rFonts w:hint="default" w:ascii="Arial" w:hAnsi="Arial" w:cs="Arial"/>
          <w:sz w:val="22"/>
          <w:szCs w:val="22"/>
        </w:rPr>
      </w:pPr>
      <w:r>
        <w:rPr>
          <w:rFonts w:hint="default" w:ascii="Arial" w:hAnsi="Arial" w:cs="Arial"/>
          <w:sz w:val="22"/>
          <w:szCs w:val="22"/>
        </w:rPr>
        <w:t>IDENTIFICAÇÃO DA PROPONENTE</w:t>
      </w:r>
    </w:p>
    <w:p w14:paraId="6FFD4D5C">
      <w:pPr>
        <w:jc w:val="both"/>
        <w:rPr>
          <w:rFonts w:hint="default" w:ascii="Arial" w:hAnsi="Arial" w:cs="Arial"/>
          <w:sz w:val="22"/>
          <w:szCs w:val="22"/>
        </w:rPr>
      </w:pPr>
    </w:p>
    <w:tbl>
      <w:tblPr>
        <w:tblStyle w:val="10"/>
        <w:tblpPr w:leftFromText="180" w:rightFromText="180" w:vertAnchor="text" w:horzAnchor="page" w:tblpX="1772" w:tblpY="245"/>
        <w:tblOverlap w:val="never"/>
        <w:tblW w:w="92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4175"/>
        <w:gridCol w:w="5097"/>
      </w:tblGrid>
      <w:tr w14:paraId="3E863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8" w:hRule="atLeast"/>
        </w:trPr>
        <w:tc>
          <w:tcPr>
            <w:tcW w:w="9272" w:type="dxa"/>
            <w:gridSpan w:val="2"/>
            <w:tcBorders>
              <w:top w:val="single" w:color="auto" w:sz="4" w:space="0"/>
              <w:left w:val="single" w:color="auto" w:sz="4" w:space="0"/>
              <w:bottom w:val="single" w:color="auto" w:sz="4" w:space="0"/>
              <w:right w:val="single" w:color="auto" w:sz="4" w:space="0"/>
            </w:tcBorders>
            <w:noWrap w:val="0"/>
            <w:vAlign w:val="top"/>
          </w:tcPr>
          <w:p w14:paraId="27D10E0F">
            <w:pPr>
              <w:keepLines/>
              <w:outlineLvl w:val="0"/>
              <w:rPr>
                <w:rFonts w:ascii="Arial" w:hAnsi="Arial" w:cs="Arial"/>
                <w:b/>
                <w:bCs/>
                <w:sz w:val="22"/>
                <w:szCs w:val="22"/>
              </w:rPr>
            </w:pPr>
            <w:r>
              <w:rPr>
                <w:rFonts w:ascii="Arial" w:hAnsi="Arial" w:cs="Arial"/>
                <w:b/>
                <w:bCs/>
                <w:sz w:val="22"/>
                <w:szCs w:val="22"/>
              </w:rPr>
              <w:t>Nome Fantasia:</w:t>
            </w:r>
          </w:p>
        </w:tc>
      </w:tr>
      <w:tr w14:paraId="50A92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9" w:hRule="atLeast"/>
        </w:trPr>
        <w:tc>
          <w:tcPr>
            <w:tcW w:w="9272" w:type="dxa"/>
            <w:gridSpan w:val="2"/>
            <w:tcBorders>
              <w:top w:val="single" w:color="auto" w:sz="4" w:space="0"/>
              <w:left w:val="single" w:color="auto" w:sz="4" w:space="0"/>
              <w:bottom w:val="single" w:color="auto" w:sz="4" w:space="0"/>
              <w:right w:val="single" w:color="auto" w:sz="4" w:space="0"/>
            </w:tcBorders>
            <w:noWrap w:val="0"/>
            <w:vAlign w:val="top"/>
          </w:tcPr>
          <w:p w14:paraId="29F83C2F">
            <w:pPr>
              <w:keepLines/>
              <w:outlineLvl w:val="0"/>
              <w:rPr>
                <w:rFonts w:ascii="Arial" w:hAnsi="Arial" w:cs="Arial"/>
                <w:b/>
                <w:bCs/>
                <w:sz w:val="22"/>
                <w:szCs w:val="22"/>
              </w:rPr>
            </w:pPr>
            <w:r>
              <w:rPr>
                <w:rFonts w:ascii="Arial" w:hAnsi="Arial" w:cs="Arial"/>
                <w:b/>
                <w:bCs/>
                <w:sz w:val="22"/>
                <w:szCs w:val="22"/>
              </w:rPr>
              <w:t>Razão Social:</w:t>
            </w:r>
          </w:p>
        </w:tc>
      </w:tr>
      <w:tr w14:paraId="17A3A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tcBorders>
              <w:top w:val="single" w:color="auto" w:sz="4" w:space="0"/>
              <w:left w:val="single" w:color="auto" w:sz="4" w:space="0"/>
              <w:bottom w:val="single" w:color="auto" w:sz="4" w:space="0"/>
              <w:right w:val="single" w:color="auto" w:sz="4" w:space="0"/>
            </w:tcBorders>
            <w:noWrap w:val="0"/>
            <w:vAlign w:val="top"/>
          </w:tcPr>
          <w:p w14:paraId="0F232991">
            <w:pPr>
              <w:keepLines/>
              <w:outlineLvl w:val="0"/>
              <w:rPr>
                <w:rFonts w:ascii="Arial" w:hAnsi="Arial" w:cs="Arial"/>
                <w:b/>
                <w:bCs/>
                <w:sz w:val="22"/>
                <w:szCs w:val="22"/>
              </w:rPr>
            </w:pPr>
            <w:r>
              <w:rPr>
                <w:rFonts w:ascii="Arial" w:hAnsi="Arial" w:cs="Arial"/>
                <w:b/>
                <w:bCs/>
                <w:sz w:val="22"/>
                <w:szCs w:val="22"/>
              </w:rPr>
              <w:t>CNPJ:</w:t>
            </w:r>
          </w:p>
        </w:tc>
        <w:tc>
          <w:tcPr>
            <w:tcW w:w="5097" w:type="dxa"/>
            <w:tcBorders>
              <w:top w:val="single" w:color="auto" w:sz="4" w:space="0"/>
              <w:left w:val="single" w:color="auto" w:sz="4" w:space="0"/>
              <w:bottom w:val="single" w:color="auto" w:sz="4" w:space="0"/>
              <w:right w:val="single" w:color="auto" w:sz="4" w:space="0"/>
            </w:tcBorders>
            <w:noWrap w:val="0"/>
            <w:vAlign w:val="top"/>
          </w:tcPr>
          <w:p w14:paraId="6DA91E4D">
            <w:pPr>
              <w:keepLines/>
              <w:ind w:right="-47"/>
              <w:outlineLvl w:val="0"/>
              <w:rPr>
                <w:rFonts w:ascii="Arial" w:hAnsi="Arial" w:cs="Arial"/>
                <w:b/>
                <w:bCs/>
                <w:sz w:val="22"/>
                <w:szCs w:val="22"/>
              </w:rPr>
            </w:pPr>
            <w:r>
              <w:rPr>
                <w:rFonts w:ascii="Arial" w:hAnsi="Arial" w:cs="Arial"/>
                <w:b/>
                <w:bCs/>
                <w:sz w:val="22"/>
                <w:szCs w:val="22"/>
              </w:rPr>
              <w:t>Optante pelo SIMPLES? (Sim/Não)</w:t>
            </w:r>
          </w:p>
        </w:tc>
      </w:tr>
      <w:tr w14:paraId="069F4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tcBorders>
              <w:top w:val="single" w:color="auto" w:sz="4" w:space="0"/>
              <w:left w:val="single" w:color="auto" w:sz="4" w:space="0"/>
              <w:bottom w:val="single" w:color="auto" w:sz="4" w:space="0"/>
              <w:right w:val="single" w:color="auto" w:sz="4" w:space="0"/>
            </w:tcBorders>
            <w:noWrap w:val="0"/>
            <w:vAlign w:val="top"/>
          </w:tcPr>
          <w:p w14:paraId="6F636912">
            <w:pPr>
              <w:keepLines/>
              <w:outlineLvl w:val="0"/>
              <w:rPr>
                <w:rFonts w:ascii="Arial" w:hAnsi="Arial" w:cs="Arial"/>
                <w:b/>
                <w:bCs/>
                <w:sz w:val="22"/>
                <w:szCs w:val="22"/>
              </w:rPr>
            </w:pPr>
            <w:r>
              <w:rPr>
                <w:rFonts w:ascii="Arial" w:hAnsi="Arial" w:cs="Arial"/>
                <w:b/>
                <w:bCs/>
                <w:sz w:val="22"/>
                <w:szCs w:val="22"/>
              </w:rPr>
              <w:t>Inscrição Estadual:</w:t>
            </w:r>
          </w:p>
        </w:tc>
        <w:tc>
          <w:tcPr>
            <w:tcW w:w="5097" w:type="dxa"/>
            <w:tcBorders>
              <w:top w:val="single" w:color="auto" w:sz="4" w:space="0"/>
              <w:left w:val="single" w:color="auto" w:sz="4" w:space="0"/>
              <w:bottom w:val="single" w:color="auto" w:sz="4" w:space="0"/>
              <w:right w:val="single" w:color="auto" w:sz="4" w:space="0"/>
            </w:tcBorders>
            <w:noWrap w:val="0"/>
            <w:vAlign w:val="top"/>
          </w:tcPr>
          <w:p w14:paraId="2CDECE74">
            <w:pPr>
              <w:keepLines/>
              <w:ind w:right="-47"/>
              <w:outlineLvl w:val="0"/>
              <w:rPr>
                <w:rFonts w:ascii="Arial" w:hAnsi="Arial" w:cs="Arial"/>
                <w:b/>
                <w:bCs/>
                <w:sz w:val="22"/>
                <w:szCs w:val="22"/>
              </w:rPr>
            </w:pPr>
            <w:r>
              <w:rPr>
                <w:rFonts w:ascii="Arial" w:hAnsi="Arial" w:cs="Arial"/>
                <w:b/>
                <w:bCs/>
                <w:sz w:val="22"/>
                <w:szCs w:val="22"/>
              </w:rPr>
              <w:t>Inscrição Municipal:</w:t>
            </w:r>
          </w:p>
        </w:tc>
      </w:tr>
      <w:tr w14:paraId="397C4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0" w:hRule="atLeast"/>
        </w:trPr>
        <w:tc>
          <w:tcPr>
            <w:tcW w:w="9272" w:type="dxa"/>
            <w:gridSpan w:val="2"/>
            <w:tcBorders>
              <w:top w:val="single" w:color="auto" w:sz="4" w:space="0"/>
              <w:left w:val="single" w:color="auto" w:sz="4" w:space="0"/>
              <w:bottom w:val="single" w:color="auto" w:sz="4" w:space="0"/>
              <w:right w:val="single" w:color="auto" w:sz="4" w:space="0"/>
            </w:tcBorders>
            <w:noWrap w:val="0"/>
            <w:vAlign w:val="top"/>
          </w:tcPr>
          <w:p w14:paraId="48D8A440">
            <w:pPr>
              <w:keepLines/>
              <w:outlineLvl w:val="0"/>
              <w:rPr>
                <w:rFonts w:ascii="Arial" w:hAnsi="Arial" w:cs="Arial"/>
                <w:b/>
                <w:bCs/>
                <w:sz w:val="22"/>
                <w:szCs w:val="22"/>
              </w:rPr>
            </w:pPr>
            <w:r>
              <w:rPr>
                <w:rFonts w:ascii="Arial" w:hAnsi="Arial" w:cs="Arial"/>
                <w:b/>
                <w:bCs/>
                <w:sz w:val="22"/>
                <w:szCs w:val="22"/>
              </w:rPr>
              <w:t>Endereço</w:t>
            </w:r>
            <w:r>
              <w:rPr>
                <w:rFonts w:hint="default" w:ascii="Arial" w:hAnsi="Arial" w:cs="Arial"/>
                <w:b/>
                <w:bCs/>
                <w:sz w:val="22"/>
                <w:szCs w:val="22"/>
                <w:lang w:val="pt-BR"/>
              </w:rPr>
              <w:t xml:space="preserve"> completo</w:t>
            </w:r>
            <w:r>
              <w:rPr>
                <w:rFonts w:ascii="Arial" w:hAnsi="Arial" w:cs="Arial"/>
                <w:b/>
                <w:bCs/>
                <w:sz w:val="22"/>
                <w:szCs w:val="22"/>
              </w:rPr>
              <w:t>:</w:t>
            </w:r>
          </w:p>
        </w:tc>
      </w:tr>
      <w:tr w14:paraId="4C0E7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7" w:hRule="atLeast"/>
        </w:trPr>
        <w:tc>
          <w:tcPr>
            <w:tcW w:w="4175" w:type="dxa"/>
            <w:tcBorders>
              <w:top w:val="single" w:color="auto" w:sz="4" w:space="0"/>
              <w:left w:val="single" w:color="auto" w:sz="4" w:space="0"/>
              <w:bottom w:val="single" w:color="auto" w:sz="4" w:space="0"/>
              <w:right w:val="single" w:color="auto" w:sz="4" w:space="0"/>
            </w:tcBorders>
            <w:noWrap w:val="0"/>
            <w:vAlign w:val="top"/>
          </w:tcPr>
          <w:p w14:paraId="6F349BBB">
            <w:pPr>
              <w:keepLines/>
              <w:outlineLvl w:val="0"/>
              <w:rPr>
                <w:rFonts w:ascii="Arial" w:hAnsi="Arial" w:cs="Arial"/>
                <w:b/>
                <w:bCs/>
                <w:sz w:val="22"/>
                <w:szCs w:val="22"/>
              </w:rPr>
            </w:pPr>
            <w:r>
              <w:rPr>
                <w:rFonts w:ascii="Arial" w:hAnsi="Arial" w:cs="Arial"/>
                <w:b/>
                <w:bCs/>
                <w:sz w:val="22"/>
                <w:szCs w:val="22"/>
              </w:rPr>
              <w:t>Cidade</w:t>
            </w:r>
            <w:r>
              <w:rPr>
                <w:rFonts w:hint="default" w:ascii="Arial" w:hAnsi="Arial" w:cs="Arial"/>
                <w:b/>
                <w:bCs/>
                <w:sz w:val="22"/>
                <w:szCs w:val="22"/>
                <w:lang w:val="pt-BR"/>
              </w:rPr>
              <w:t>/UF</w:t>
            </w:r>
            <w:r>
              <w:rPr>
                <w:rFonts w:ascii="Arial" w:hAnsi="Arial" w:cs="Arial"/>
                <w:b/>
                <w:bCs/>
                <w:sz w:val="22"/>
                <w:szCs w:val="22"/>
              </w:rPr>
              <w:t>:</w:t>
            </w:r>
            <w:r>
              <w:rPr>
                <w:rFonts w:hint="default" w:ascii="Arial" w:hAnsi="Arial" w:cs="Arial"/>
                <w:b/>
                <w:bCs/>
                <w:sz w:val="22"/>
                <w:szCs w:val="22"/>
                <w:lang w:val="pt-BR"/>
              </w:rPr>
              <w:t xml:space="preserve">                  </w:t>
            </w:r>
          </w:p>
        </w:tc>
        <w:tc>
          <w:tcPr>
            <w:tcW w:w="5097" w:type="dxa"/>
            <w:tcBorders>
              <w:top w:val="single" w:color="auto" w:sz="4" w:space="0"/>
              <w:left w:val="single" w:color="auto" w:sz="4" w:space="0"/>
              <w:bottom w:val="single" w:color="auto" w:sz="4" w:space="0"/>
              <w:right w:val="single" w:color="auto" w:sz="4" w:space="0"/>
            </w:tcBorders>
            <w:noWrap w:val="0"/>
            <w:vAlign w:val="top"/>
          </w:tcPr>
          <w:p w14:paraId="55086C23">
            <w:pPr>
              <w:keepLines/>
              <w:outlineLvl w:val="0"/>
              <w:rPr>
                <w:rFonts w:hint="default" w:ascii="Arial" w:hAnsi="Arial" w:cs="Arial"/>
                <w:b/>
                <w:bCs/>
                <w:sz w:val="22"/>
                <w:szCs w:val="22"/>
                <w:lang w:val="pt-BR"/>
              </w:rPr>
            </w:pPr>
            <w:r>
              <w:rPr>
                <w:rFonts w:hint="default" w:ascii="Arial" w:hAnsi="Arial" w:cs="Arial"/>
                <w:b/>
                <w:bCs/>
                <w:sz w:val="22"/>
                <w:szCs w:val="22"/>
                <w:lang w:val="pt-BR"/>
              </w:rPr>
              <w:t>Telefone:</w:t>
            </w:r>
          </w:p>
        </w:tc>
      </w:tr>
      <w:tr w14:paraId="6A57D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0" w:hRule="atLeast"/>
        </w:trPr>
        <w:tc>
          <w:tcPr>
            <w:tcW w:w="4175" w:type="dxa"/>
            <w:tcBorders>
              <w:top w:val="single" w:color="auto" w:sz="4" w:space="0"/>
              <w:left w:val="single" w:color="auto" w:sz="4" w:space="0"/>
              <w:bottom w:val="single" w:color="auto" w:sz="4" w:space="0"/>
              <w:right w:val="single" w:color="auto" w:sz="4" w:space="0"/>
            </w:tcBorders>
            <w:noWrap w:val="0"/>
            <w:vAlign w:val="top"/>
          </w:tcPr>
          <w:p w14:paraId="0A575608">
            <w:pPr>
              <w:keepLines/>
              <w:outlineLvl w:val="0"/>
              <w:rPr>
                <w:rFonts w:ascii="Arial" w:hAnsi="Arial" w:cs="Arial"/>
                <w:b/>
                <w:bCs/>
                <w:sz w:val="22"/>
                <w:szCs w:val="22"/>
              </w:rPr>
            </w:pPr>
            <w:r>
              <w:rPr>
                <w:rFonts w:ascii="Arial" w:hAnsi="Arial" w:cs="Arial"/>
                <w:b/>
                <w:bCs/>
                <w:sz w:val="22"/>
                <w:szCs w:val="22"/>
              </w:rPr>
              <w:t xml:space="preserve">E-mail </w:t>
            </w:r>
            <w:r>
              <w:rPr>
                <w:rFonts w:hint="default" w:ascii="Arial" w:hAnsi="Arial" w:cs="Arial"/>
                <w:b/>
                <w:bCs/>
                <w:sz w:val="22"/>
                <w:szCs w:val="22"/>
                <w:lang w:val="pt-BR"/>
              </w:rPr>
              <w:t>da empresa</w:t>
            </w:r>
            <w:r>
              <w:rPr>
                <w:rFonts w:ascii="Arial" w:hAnsi="Arial" w:cs="Arial"/>
                <w:b/>
                <w:bCs/>
                <w:sz w:val="22"/>
                <w:szCs w:val="22"/>
              </w:rPr>
              <w:t>:</w:t>
            </w:r>
          </w:p>
        </w:tc>
        <w:tc>
          <w:tcPr>
            <w:tcW w:w="5097" w:type="dxa"/>
            <w:tcBorders>
              <w:top w:val="single" w:color="auto" w:sz="4" w:space="0"/>
              <w:left w:val="single" w:color="auto" w:sz="4" w:space="0"/>
              <w:bottom w:val="single" w:color="auto" w:sz="4" w:space="0"/>
              <w:right w:val="single" w:color="auto" w:sz="4" w:space="0"/>
            </w:tcBorders>
            <w:noWrap w:val="0"/>
            <w:vAlign w:val="top"/>
          </w:tcPr>
          <w:p w14:paraId="72D4459F">
            <w:pPr>
              <w:keepLines/>
              <w:outlineLvl w:val="0"/>
              <w:rPr>
                <w:rFonts w:hint="default" w:ascii="Arial" w:hAnsi="Arial" w:cs="Arial"/>
                <w:b/>
                <w:bCs/>
                <w:sz w:val="22"/>
                <w:szCs w:val="22"/>
                <w:lang w:val="pt-BR"/>
              </w:rPr>
            </w:pPr>
            <w:r>
              <w:rPr>
                <w:rFonts w:hint="default" w:ascii="Arial" w:hAnsi="Arial" w:cs="Arial"/>
                <w:b/>
                <w:bCs/>
                <w:sz w:val="22"/>
                <w:szCs w:val="22"/>
                <w:lang w:val="pt-BR"/>
              </w:rPr>
              <w:t>E-mail do responsável pela assinatura digital:</w:t>
            </w:r>
          </w:p>
        </w:tc>
      </w:tr>
      <w:tr w14:paraId="061E3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29" w:hRule="atLeast"/>
        </w:trPr>
        <w:tc>
          <w:tcPr>
            <w:tcW w:w="4175" w:type="dxa"/>
            <w:tcBorders>
              <w:top w:val="single" w:color="auto" w:sz="4" w:space="0"/>
              <w:left w:val="single" w:color="auto" w:sz="4" w:space="0"/>
              <w:bottom w:val="single" w:color="auto" w:sz="4" w:space="0"/>
              <w:right w:val="single" w:color="auto" w:sz="4" w:space="0"/>
            </w:tcBorders>
            <w:noWrap w:val="0"/>
            <w:vAlign w:val="top"/>
          </w:tcPr>
          <w:p w14:paraId="315742E8">
            <w:pPr>
              <w:keepLines/>
              <w:outlineLvl w:val="0"/>
              <w:rPr>
                <w:rFonts w:ascii="Arial" w:hAnsi="Arial" w:cs="Arial"/>
                <w:b/>
                <w:bCs/>
                <w:sz w:val="22"/>
                <w:szCs w:val="22"/>
              </w:rPr>
            </w:pPr>
            <w:r>
              <w:rPr>
                <w:rFonts w:hint="default" w:ascii="Arial" w:hAnsi="Arial" w:cs="Arial"/>
                <w:b/>
                <w:bCs/>
                <w:sz w:val="22"/>
                <w:szCs w:val="22"/>
                <w:lang w:val="pt-BR"/>
              </w:rPr>
              <w:t>Nome do responsável pela assinatura do Contrato:</w:t>
            </w:r>
          </w:p>
        </w:tc>
        <w:tc>
          <w:tcPr>
            <w:tcW w:w="5097" w:type="dxa"/>
            <w:tcBorders>
              <w:top w:val="single" w:color="auto" w:sz="4" w:space="0"/>
              <w:left w:val="single" w:color="auto" w:sz="4" w:space="0"/>
              <w:bottom w:val="single" w:color="auto" w:sz="4" w:space="0"/>
              <w:right w:val="single" w:color="auto" w:sz="4" w:space="0"/>
            </w:tcBorders>
            <w:noWrap w:val="0"/>
            <w:vAlign w:val="top"/>
          </w:tcPr>
          <w:p w14:paraId="23292B63">
            <w:pPr>
              <w:keepLines/>
              <w:jc w:val="both"/>
              <w:outlineLvl w:val="0"/>
              <w:rPr>
                <w:rFonts w:hint="default" w:ascii="Arial" w:hAnsi="Arial" w:cs="Arial"/>
                <w:b/>
                <w:bCs/>
                <w:sz w:val="22"/>
                <w:szCs w:val="22"/>
                <w:lang w:val="pt-BR"/>
              </w:rPr>
            </w:pPr>
            <w:r>
              <w:rPr>
                <w:rFonts w:hint="default" w:ascii="Arial" w:hAnsi="Arial" w:cs="Arial"/>
                <w:b/>
                <w:bCs/>
                <w:sz w:val="22"/>
                <w:szCs w:val="22"/>
                <w:lang w:val="pt-BR"/>
              </w:rPr>
              <w:t xml:space="preserve">Dados do responsável pela assinatura do Contrato: </w:t>
            </w:r>
            <w:r>
              <w:rPr>
                <w:rFonts w:hint="default" w:ascii="Arial" w:hAnsi="Arial" w:cs="Arial"/>
                <w:b w:val="0"/>
                <w:bCs w:val="0"/>
                <w:sz w:val="22"/>
                <w:szCs w:val="22"/>
                <w:lang w:val="pt-BR"/>
              </w:rPr>
              <w:t>data de nascimento, nacionalidade, estado civil, CPF, RG (órgão expedidor e data de emissão), endereço completo, número de telefone</w:t>
            </w:r>
          </w:p>
        </w:tc>
      </w:tr>
    </w:tbl>
    <w:p w14:paraId="78CC1B6C">
      <w:pPr>
        <w:jc w:val="both"/>
        <w:rPr>
          <w:rFonts w:hint="default" w:ascii="Arial" w:hAnsi="Arial" w:cs="Arial"/>
          <w:sz w:val="22"/>
          <w:szCs w:val="22"/>
        </w:rPr>
      </w:pPr>
    </w:p>
    <w:tbl>
      <w:tblPr>
        <w:tblStyle w:val="10"/>
        <w:tblpPr w:leftFromText="180" w:rightFromText="180" w:vertAnchor="text" w:horzAnchor="page" w:tblpX="1780" w:tblpY="253"/>
        <w:tblW w:w="95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23"/>
        <w:gridCol w:w="861"/>
        <w:gridCol w:w="1057"/>
        <w:gridCol w:w="2126"/>
        <w:gridCol w:w="1000"/>
        <w:gridCol w:w="1068"/>
        <w:gridCol w:w="1281"/>
        <w:gridCol w:w="1433"/>
      </w:tblGrid>
      <w:tr w14:paraId="44724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9549" w:type="dxa"/>
            <w:gridSpan w:val="8"/>
            <w:shd w:val="clear" w:color="auto" w:fill="auto"/>
            <w:noWrap w:val="0"/>
            <w:vAlign w:val="center"/>
          </w:tcPr>
          <w:p w14:paraId="7BEA70D5">
            <w:pPr>
              <w:pStyle w:val="169"/>
              <w:jc w:val="center"/>
              <w:rPr>
                <w:rFonts w:hint="default" w:ascii="Arial" w:hAnsi="Arial" w:cs="Arial"/>
                <w:sz w:val="18"/>
                <w:szCs w:val="18"/>
                <w:lang w:eastAsia="zh-CN" w:bidi="ar"/>
              </w:rPr>
            </w:pPr>
            <w:r>
              <w:rPr>
                <w:rFonts w:hint="default" w:ascii="Arial" w:hAnsi="Arial" w:cs="Arial"/>
                <w:b/>
                <w:bCs/>
                <w:sz w:val="22"/>
                <w:szCs w:val="22"/>
                <w:shd w:val="clear"/>
              </w:rPr>
              <w:t>LOTE UNICO   -   AMPLA CONCORR</w:t>
            </w:r>
            <w:r>
              <w:rPr>
                <w:rFonts w:hint="default" w:ascii="Arial" w:hAnsi="Arial" w:cs="Arial"/>
                <w:b/>
                <w:bCs/>
                <w:sz w:val="22"/>
                <w:szCs w:val="22"/>
                <w:shd w:val="clear"/>
                <w:lang w:val="pt-BR"/>
              </w:rPr>
              <w:t>Ê</w:t>
            </w:r>
            <w:r>
              <w:rPr>
                <w:rFonts w:hint="default" w:ascii="Arial" w:hAnsi="Arial" w:cs="Arial"/>
                <w:b/>
                <w:bCs/>
                <w:sz w:val="22"/>
                <w:szCs w:val="22"/>
                <w:shd w:val="clear"/>
              </w:rPr>
              <w:t>NCIA</w:t>
            </w:r>
          </w:p>
        </w:tc>
      </w:tr>
      <w:tr w14:paraId="21B56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49" w:type="dxa"/>
            <w:gridSpan w:val="8"/>
            <w:shd w:val="clear" w:color="auto" w:fill="auto"/>
            <w:noWrap w:val="0"/>
            <w:vAlign w:val="center"/>
          </w:tcPr>
          <w:p w14:paraId="448A7EE8">
            <w:pPr>
              <w:pStyle w:val="169"/>
              <w:jc w:val="center"/>
              <w:rPr>
                <w:rFonts w:hint="default" w:ascii="Arial" w:hAnsi="Arial" w:cs="Arial"/>
                <w:b/>
                <w:bCs/>
                <w:sz w:val="22"/>
                <w:szCs w:val="22"/>
              </w:rPr>
            </w:pPr>
            <w:r>
              <w:rPr>
                <w:rStyle w:val="170"/>
                <w:rFonts w:hint="default" w:ascii="Arial" w:hAnsi="Arial" w:eastAsia="SimSun" w:cs="Arial"/>
                <w:b/>
                <w:bCs/>
                <w:sz w:val="22"/>
                <w:szCs w:val="22"/>
                <w:lang w:eastAsia="zh-CN" w:bidi="ar"/>
              </w:rPr>
              <w:t>LOCAÇÃO E INSTALAÇÃO DE SOLUÇÃO DE ENERGIA CONTENDO:</w:t>
            </w:r>
          </w:p>
        </w:tc>
      </w:tr>
      <w:tr w14:paraId="0A0D2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shd w:val="clear" w:color="auto" w:fill="auto"/>
            <w:noWrap w:val="0"/>
            <w:vAlign w:val="center"/>
          </w:tcPr>
          <w:p w14:paraId="4311B7AE">
            <w:pPr>
              <w:pStyle w:val="169"/>
              <w:jc w:val="center"/>
              <w:rPr>
                <w:rFonts w:hint="default" w:ascii="Arial" w:hAnsi="Arial" w:cs="Arial"/>
                <w:sz w:val="18"/>
                <w:szCs w:val="18"/>
                <w:lang w:eastAsia="en-US"/>
              </w:rPr>
            </w:pPr>
            <w:r>
              <w:rPr>
                <w:rFonts w:hint="default" w:ascii="Arial" w:hAnsi="Arial" w:cs="Arial"/>
                <w:sz w:val="18"/>
                <w:szCs w:val="18"/>
                <w:lang w:val="en-US" w:eastAsia="zh-CN" w:bidi="ar"/>
              </w:rPr>
              <w:t>ITEM</w:t>
            </w:r>
          </w:p>
        </w:tc>
        <w:tc>
          <w:tcPr>
            <w:tcW w:w="861" w:type="dxa"/>
            <w:shd w:val="clear" w:color="auto" w:fill="auto"/>
            <w:noWrap w:val="0"/>
            <w:vAlign w:val="center"/>
          </w:tcPr>
          <w:p w14:paraId="08BD55B1">
            <w:pPr>
              <w:pStyle w:val="169"/>
              <w:jc w:val="center"/>
              <w:rPr>
                <w:rFonts w:hint="default" w:ascii="Arial" w:hAnsi="Arial" w:cs="Arial"/>
                <w:sz w:val="18"/>
                <w:szCs w:val="18"/>
                <w:lang w:eastAsia="en-US"/>
              </w:rPr>
            </w:pPr>
            <w:r>
              <w:rPr>
                <w:rFonts w:hint="default" w:ascii="Arial" w:hAnsi="Arial" w:cs="Arial"/>
                <w:sz w:val="18"/>
                <w:szCs w:val="18"/>
                <w:shd w:val="clear"/>
                <w:lang w:val="en-US" w:eastAsia="zh-CN" w:bidi="ar"/>
              </w:rPr>
              <w:t>CÓD PMS</w:t>
            </w:r>
          </w:p>
        </w:tc>
        <w:tc>
          <w:tcPr>
            <w:tcW w:w="1057" w:type="dxa"/>
            <w:shd w:val="clear" w:color="auto" w:fill="auto"/>
            <w:noWrap w:val="0"/>
            <w:vAlign w:val="center"/>
          </w:tcPr>
          <w:p w14:paraId="004BFA97">
            <w:pPr>
              <w:pStyle w:val="169"/>
              <w:jc w:val="center"/>
              <w:rPr>
                <w:rFonts w:hint="default" w:ascii="Arial" w:hAnsi="Arial" w:cs="Arial"/>
                <w:sz w:val="18"/>
                <w:szCs w:val="18"/>
                <w:lang w:eastAsia="en-US"/>
              </w:rPr>
            </w:pPr>
            <w:r>
              <w:rPr>
                <w:rFonts w:hint="default" w:ascii="Arial" w:hAnsi="Arial" w:cs="Arial"/>
                <w:sz w:val="18"/>
                <w:szCs w:val="18"/>
                <w:lang w:val="en-US" w:eastAsia="zh-CN" w:bidi="ar"/>
              </w:rPr>
              <w:t>CÓD  TCE</w:t>
            </w:r>
          </w:p>
        </w:tc>
        <w:tc>
          <w:tcPr>
            <w:tcW w:w="2126" w:type="dxa"/>
            <w:shd w:val="clear" w:color="auto" w:fill="auto"/>
            <w:noWrap w:val="0"/>
            <w:vAlign w:val="center"/>
          </w:tcPr>
          <w:p w14:paraId="7B9CEBFF">
            <w:pPr>
              <w:pStyle w:val="169"/>
              <w:jc w:val="center"/>
              <w:rPr>
                <w:rFonts w:hint="default" w:ascii="Arial" w:hAnsi="Arial" w:cs="Arial"/>
                <w:sz w:val="18"/>
                <w:szCs w:val="18"/>
                <w:lang w:eastAsia="en-US"/>
              </w:rPr>
            </w:pPr>
            <w:r>
              <w:rPr>
                <w:rFonts w:hint="default" w:ascii="Arial" w:hAnsi="Arial" w:cs="Arial"/>
                <w:sz w:val="18"/>
                <w:szCs w:val="18"/>
                <w:lang w:val="en-US" w:eastAsia="zh-CN" w:bidi="ar"/>
              </w:rPr>
              <w:t>DESCRIÇÃO</w:t>
            </w:r>
          </w:p>
        </w:tc>
        <w:tc>
          <w:tcPr>
            <w:tcW w:w="1000" w:type="dxa"/>
            <w:shd w:val="clear" w:color="auto" w:fill="auto"/>
            <w:noWrap w:val="0"/>
            <w:vAlign w:val="center"/>
          </w:tcPr>
          <w:p w14:paraId="01421F94">
            <w:pPr>
              <w:pStyle w:val="169"/>
              <w:jc w:val="center"/>
              <w:rPr>
                <w:rFonts w:hint="default" w:ascii="Arial" w:hAnsi="Arial" w:cs="Arial"/>
                <w:sz w:val="18"/>
                <w:szCs w:val="18"/>
                <w:lang w:eastAsia="zh-CN"/>
              </w:rPr>
            </w:pPr>
            <w:r>
              <w:rPr>
                <w:rFonts w:hint="default" w:ascii="Arial" w:hAnsi="Arial" w:cs="Arial"/>
                <w:sz w:val="18"/>
                <w:szCs w:val="18"/>
                <w:lang w:val="en-US" w:eastAsia="zh-CN" w:bidi="ar"/>
              </w:rPr>
              <w:t>QUANT</w:t>
            </w:r>
          </w:p>
        </w:tc>
        <w:tc>
          <w:tcPr>
            <w:tcW w:w="1068" w:type="dxa"/>
            <w:shd w:val="clear" w:color="auto" w:fill="auto"/>
            <w:noWrap w:val="0"/>
            <w:vAlign w:val="center"/>
          </w:tcPr>
          <w:p w14:paraId="0FDA3E98">
            <w:pPr>
              <w:pStyle w:val="169"/>
              <w:jc w:val="center"/>
              <w:rPr>
                <w:rFonts w:hint="default" w:ascii="Arial" w:hAnsi="Arial" w:cs="Arial"/>
                <w:sz w:val="18"/>
                <w:szCs w:val="18"/>
                <w:lang w:val="pt-BR" w:eastAsia="zh-CN" w:bidi="ar"/>
              </w:rPr>
            </w:pPr>
            <w:r>
              <w:rPr>
                <w:rFonts w:hint="default" w:ascii="Arial" w:hAnsi="Arial" w:cs="Arial"/>
                <w:sz w:val="18"/>
                <w:szCs w:val="18"/>
                <w:lang w:eastAsia="zh-CN" w:bidi="ar"/>
              </w:rPr>
              <w:t>UND FORNEC</w:t>
            </w:r>
            <w:r>
              <w:rPr>
                <w:rFonts w:hint="default" w:ascii="Arial" w:hAnsi="Arial" w:cs="Arial"/>
                <w:sz w:val="18"/>
                <w:szCs w:val="18"/>
                <w:lang w:val="pt-BR" w:eastAsia="zh-CN" w:bidi="ar"/>
              </w:rPr>
              <w:t>IMENTO</w:t>
            </w:r>
          </w:p>
        </w:tc>
        <w:tc>
          <w:tcPr>
            <w:tcW w:w="1281" w:type="dxa"/>
            <w:shd w:val="clear" w:color="auto" w:fill="auto"/>
            <w:noWrap w:val="0"/>
            <w:vAlign w:val="center"/>
          </w:tcPr>
          <w:p w14:paraId="7325AEE8">
            <w:pPr>
              <w:pStyle w:val="169"/>
              <w:jc w:val="center"/>
              <w:rPr>
                <w:rFonts w:hint="default" w:ascii="Arial" w:hAnsi="Arial" w:cs="Arial"/>
                <w:sz w:val="18"/>
                <w:szCs w:val="18"/>
                <w:lang w:eastAsia="zh-CN" w:bidi="ar"/>
              </w:rPr>
            </w:pPr>
            <w:r>
              <w:rPr>
                <w:rFonts w:hint="default" w:ascii="Arial" w:hAnsi="Arial" w:cs="Arial"/>
                <w:sz w:val="18"/>
                <w:szCs w:val="18"/>
                <w:lang w:eastAsia="zh-CN" w:bidi="ar"/>
              </w:rPr>
              <w:t>VALOR UNITARIO</w:t>
            </w:r>
          </w:p>
        </w:tc>
        <w:tc>
          <w:tcPr>
            <w:tcW w:w="1433" w:type="dxa"/>
            <w:shd w:val="clear" w:color="auto" w:fill="auto"/>
            <w:noWrap w:val="0"/>
            <w:vAlign w:val="center"/>
          </w:tcPr>
          <w:p w14:paraId="28D6B3F9">
            <w:pPr>
              <w:pStyle w:val="169"/>
              <w:jc w:val="center"/>
              <w:rPr>
                <w:rFonts w:hint="default" w:ascii="Arial" w:hAnsi="Arial" w:cs="Arial"/>
                <w:sz w:val="18"/>
                <w:szCs w:val="18"/>
                <w:lang w:eastAsia="zh-CN" w:bidi="ar"/>
              </w:rPr>
            </w:pPr>
            <w:r>
              <w:rPr>
                <w:rFonts w:hint="default" w:ascii="Arial" w:hAnsi="Arial" w:cs="Arial"/>
                <w:sz w:val="18"/>
                <w:szCs w:val="18"/>
                <w:lang w:eastAsia="zh-CN" w:bidi="ar"/>
              </w:rPr>
              <w:t>VALOR TOTAL</w:t>
            </w:r>
          </w:p>
        </w:tc>
      </w:tr>
      <w:tr w14:paraId="236C7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723" w:type="dxa"/>
            <w:shd w:val="clear" w:color="auto" w:fill="auto"/>
            <w:noWrap w:val="0"/>
            <w:vAlign w:val="center"/>
          </w:tcPr>
          <w:p w14:paraId="38A5666C">
            <w:pPr>
              <w:pStyle w:val="129"/>
              <w:tabs>
                <w:tab w:val="left" w:pos="1701"/>
              </w:tabs>
              <w:ind w:left="214" w:leftChars="89" w:firstLine="622" w:firstLineChars="344"/>
              <w:rPr>
                <w:rFonts w:hint="default" w:ascii="Arial" w:hAnsi="Arial" w:cs="Arial"/>
                <w:b/>
                <w:bCs/>
                <w:sz w:val="18"/>
                <w:szCs w:val="18"/>
                <w:lang w:eastAsia="en-US"/>
              </w:rPr>
            </w:pPr>
            <w:r>
              <w:rPr>
                <w:rFonts w:hint="default" w:ascii="Arial" w:hAnsi="Arial" w:cs="Arial"/>
                <w:b/>
                <w:bCs/>
                <w:sz w:val="18"/>
                <w:szCs w:val="18"/>
              </w:rPr>
              <w:t>11</w:t>
            </w:r>
          </w:p>
        </w:tc>
        <w:tc>
          <w:tcPr>
            <w:tcW w:w="861" w:type="dxa"/>
            <w:shd w:val="clear" w:color="auto" w:fill="auto"/>
            <w:noWrap w:val="0"/>
            <w:vAlign w:val="center"/>
          </w:tcPr>
          <w:p w14:paraId="587D5AA4">
            <w:pPr>
              <w:jc w:val="both"/>
              <w:rPr>
                <w:rFonts w:hint="default" w:ascii="Arial" w:hAnsi="Arial" w:cs="Arial"/>
                <w:sz w:val="18"/>
                <w:szCs w:val="18"/>
                <w:lang w:val="pt-BR"/>
              </w:rPr>
            </w:pPr>
            <w:r>
              <w:rPr>
                <w:rFonts w:hint="default" w:ascii="Arial" w:hAnsi="Arial" w:cs="Arial"/>
                <w:sz w:val="18"/>
                <w:szCs w:val="18"/>
                <w:lang w:val="pt-BR"/>
              </w:rPr>
              <w:t>404920</w:t>
            </w:r>
          </w:p>
        </w:tc>
        <w:tc>
          <w:tcPr>
            <w:tcW w:w="1057" w:type="dxa"/>
            <w:shd w:val="clear" w:color="auto" w:fill="auto"/>
            <w:noWrap w:val="0"/>
            <w:vAlign w:val="center"/>
          </w:tcPr>
          <w:p w14:paraId="60366DF1">
            <w:pPr>
              <w:jc w:val="both"/>
              <w:rPr>
                <w:rFonts w:hint="default" w:ascii="Arial" w:hAnsi="Arial" w:cs="Arial"/>
                <w:sz w:val="18"/>
                <w:szCs w:val="18"/>
                <w:lang w:val="pt-BR"/>
              </w:rPr>
            </w:pPr>
            <w:r>
              <w:rPr>
                <w:rFonts w:hint="default" w:ascii="Arial" w:hAnsi="Arial" w:cs="Arial"/>
                <w:sz w:val="18"/>
                <w:szCs w:val="18"/>
                <w:lang w:val="pt-BR"/>
              </w:rPr>
              <w:t>00086082</w:t>
            </w:r>
          </w:p>
        </w:tc>
        <w:tc>
          <w:tcPr>
            <w:tcW w:w="2126" w:type="dxa"/>
            <w:shd w:val="clear" w:color="auto" w:fill="auto"/>
            <w:noWrap w:val="0"/>
            <w:vAlign w:val="center"/>
          </w:tcPr>
          <w:p w14:paraId="443B40E7">
            <w:pPr>
              <w:keepNext w:val="0"/>
              <w:keepLines w:val="0"/>
              <w:widowControl/>
              <w:suppressLineNumbers w:val="0"/>
              <w:jc w:val="both"/>
              <w:textAlignment w:val="center"/>
              <w:rPr>
                <w:rFonts w:hint="default" w:ascii="Arial" w:hAnsi="Arial" w:cs="Arial" w:eastAsiaTheme="minorEastAsia"/>
                <w:i w:val="0"/>
                <w:iCs w:val="0"/>
                <w:color w:val="000000"/>
                <w:sz w:val="16"/>
                <w:szCs w:val="16"/>
                <w:u w:val="none"/>
                <w:lang w:val="en-US" w:eastAsia="zh-CN" w:bidi="ar-SA"/>
              </w:rPr>
            </w:pPr>
            <w:r>
              <w:rPr>
                <w:rFonts w:hint="default" w:ascii="Arial" w:hAnsi="Arial" w:eastAsia="SimSun" w:cs="Arial"/>
                <w:i w:val="0"/>
                <w:iCs w:val="0"/>
                <w:color w:val="000000"/>
                <w:kern w:val="0"/>
                <w:sz w:val="16"/>
                <w:szCs w:val="16"/>
                <w:u w:val="none"/>
                <w:lang w:val="en-US" w:eastAsia="zh-CN" w:bidi="ar"/>
              </w:rPr>
              <w:t>CONTRATAÇÃO DE EMPRESA ESPECIALIZADA PARA LOCAÇÃO DE SISTEMA DE DATA CENTER PARA SISTEMAS CRÍTICOS COMPUTACIONAIS E DE TELECOMUNICAÇÕES, CONTEMPLANDO SERVIÇOS DE MANUTENÇÃO PREDITIVA, PREVENTIVA E CORRETIVA, COMPREENDENDO A LOCAÇÃO DE CONTAINER, COM FORNECIMENTO DE AMBIENTES DE ALTA DISPONIBILIDADE PARA SISTEMAS CRÍTICOS COMPUTACIONAIS E DE TELECOMUNICAÇÕES, CONFORME CONDIÇÕES ESTABELECIDAS NESTE TERMO DE REFERÊNCIA. A SOLUÇÃO DEVERÁ INCLUIR O FORNECIMENTO, INSTALAÇÃO E TESTES DE DISPOSITIVOS ELÉTRICO-ELETRÔNICOS, MECÂNICOS E LÓGICOS, COM PASSIVOS: ORGANIZADOS, IDENTIFICADOS E CERTIFICADOS.</w:t>
            </w:r>
          </w:p>
        </w:tc>
        <w:tc>
          <w:tcPr>
            <w:tcW w:w="1000" w:type="dxa"/>
            <w:shd w:val="clear" w:color="auto" w:fill="auto"/>
            <w:noWrap w:val="0"/>
            <w:vAlign w:val="center"/>
          </w:tcPr>
          <w:p w14:paraId="793F820A">
            <w:pPr>
              <w:pStyle w:val="129"/>
              <w:tabs>
                <w:tab w:val="left" w:pos="1701"/>
              </w:tabs>
              <w:ind w:firstLine="0"/>
              <w:jc w:val="center"/>
              <w:rPr>
                <w:rFonts w:hint="default" w:ascii="Arial" w:hAnsi="Arial" w:cs="Arial"/>
                <w:b/>
                <w:bCs/>
                <w:sz w:val="18"/>
                <w:szCs w:val="18"/>
                <w:lang w:val="pt-BR" w:eastAsia="en-US"/>
              </w:rPr>
            </w:pPr>
            <w:r>
              <w:rPr>
                <w:rFonts w:hint="default" w:ascii="Arial" w:hAnsi="Arial" w:cs="Arial"/>
                <w:b/>
                <w:bCs/>
                <w:sz w:val="18"/>
                <w:szCs w:val="18"/>
                <w:lang w:val="pt-BR" w:eastAsia="en-US"/>
              </w:rPr>
              <w:t>12</w:t>
            </w:r>
          </w:p>
        </w:tc>
        <w:tc>
          <w:tcPr>
            <w:tcW w:w="1068" w:type="dxa"/>
            <w:shd w:val="clear" w:color="auto" w:fill="auto"/>
            <w:noWrap w:val="0"/>
            <w:vAlign w:val="center"/>
          </w:tcPr>
          <w:p w14:paraId="0FC977EF">
            <w:pPr>
              <w:pStyle w:val="129"/>
              <w:tabs>
                <w:tab w:val="left" w:pos="1701"/>
              </w:tabs>
              <w:ind w:left="0" w:leftChars="0" w:firstLine="181" w:firstLineChars="100"/>
              <w:jc w:val="left"/>
              <w:rPr>
                <w:rFonts w:hint="default" w:ascii="Arial" w:hAnsi="Arial" w:cs="Arial"/>
                <w:b/>
                <w:bCs/>
                <w:sz w:val="18"/>
                <w:szCs w:val="18"/>
                <w:lang w:val="pt-BR" w:eastAsia="en-US"/>
              </w:rPr>
            </w:pPr>
            <w:r>
              <w:rPr>
                <w:rFonts w:hint="default" w:ascii="Arial" w:hAnsi="Arial" w:cs="Arial"/>
                <w:b/>
                <w:bCs/>
                <w:sz w:val="18"/>
                <w:szCs w:val="18"/>
                <w:lang w:val="pt-BR" w:eastAsia="en-US"/>
              </w:rPr>
              <w:t>MÊS</w:t>
            </w:r>
          </w:p>
        </w:tc>
        <w:tc>
          <w:tcPr>
            <w:tcW w:w="1281" w:type="dxa"/>
            <w:shd w:val="clear" w:color="auto" w:fill="auto"/>
            <w:noWrap w:val="0"/>
            <w:vAlign w:val="center"/>
          </w:tcPr>
          <w:p w14:paraId="4D513902">
            <w:pPr>
              <w:pStyle w:val="129"/>
              <w:tabs>
                <w:tab w:val="left" w:pos="1701"/>
              </w:tabs>
              <w:ind w:left="0" w:leftChars="0" w:firstLine="0" w:firstLineChars="0"/>
              <w:jc w:val="both"/>
              <w:rPr>
                <w:rFonts w:hint="default" w:ascii="Arial" w:hAnsi="Arial" w:cs="Arial"/>
                <w:sz w:val="18"/>
                <w:szCs w:val="18"/>
                <w:lang w:eastAsia="en-US"/>
              </w:rPr>
            </w:pPr>
            <w:r>
              <w:rPr>
                <w:rFonts w:hint="default" w:ascii="Arial" w:hAnsi="Arial" w:cs="Arial"/>
                <w:sz w:val="18"/>
                <w:szCs w:val="18"/>
              </w:rPr>
              <w:t>R$</w:t>
            </w:r>
          </w:p>
        </w:tc>
        <w:tc>
          <w:tcPr>
            <w:tcW w:w="1433" w:type="dxa"/>
            <w:shd w:val="clear" w:color="auto" w:fill="auto"/>
            <w:noWrap w:val="0"/>
            <w:vAlign w:val="center"/>
          </w:tcPr>
          <w:p w14:paraId="3F93157B">
            <w:pPr>
              <w:pStyle w:val="129"/>
              <w:tabs>
                <w:tab w:val="left" w:pos="1701"/>
              </w:tabs>
              <w:ind w:left="0" w:leftChars="0" w:firstLine="0" w:firstLineChars="0"/>
              <w:jc w:val="both"/>
              <w:rPr>
                <w:rFonts w:hint="default" w:ascii="Arial" w:hAnsi="Arial" w:cs="Arial"/>
                <w:sz w:val="18"/>
                <w:szCs w:val="18"/>
                <w:lang w:eastAsia="en-US"/>
              </w:rPr>
            </w:pPr>
            <w:r>
              <w:rPr>
                <w:rFonts w:hint="default" w:ascii="Arial" w:hAnsi="Arial" w:cs="Arial"/>
                <w:sz w:val="18"/>
                <w:szCs w:val="18"/>
              </w:rPr>
              <w:t>R$</w:t>
            </w:r>
          </w:p>
        </w:tc>
      </w:tr>
      <w:tr w14:paraId="7AD3A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shd w:val="clear" w:color="auto" w:fill="auto"/>
            <w:noWrap w:val="0"/>
            <w:vAlign w:val="center"/>
          </w:tcPr>
          <w:p w14:paraId="055B7397">
            <w:pPr>
              <w:pStyle w:val="129"/>
              <w:tabs>
                <w:tab w:val="left" w:pos="1701"/>
              </w:tabs>
              <w:ind w:left="214" w:leftChars="89" w:firstLine="622" w:firstLineChars="344"/>
              <w:rPr>
                <w:rFonts w:hint="default" w:ascii="Arial" w:hAnsi="Arial" w:cs="Arial"/>
                <w:b/>
                <w:bCs/>
                <w:sz w:val="18"/>
                <w:szCs w:val="18"/>
                <w:lang w:eastAsia="en-US"/>
              </w:rPr>
            </w:pPr>
            <w:r>
              <w:rPr>
                <w:rFonts w:hint="default" w:ascii="Arial" w:hAnsi="Arial" w:cs="Arial"/>
                <w:b/>
                <w:bCs/>
                <w:sz w:val="18"/>
                <w:szCs w:val="18"/>
              </w:rPr>
              <w:t>22</w:t>
            </w:r>
          </w:p>
        </w:tc>
        <w:tc>
          <w:tcPr>
            <w:tcW w:w="861" w:type="dxa"/>
            <w:shd w:val="clear" w:color="auto" w:fill="auto"/>
            <w:noWrap w:val="0"/>
            <w:vAlign w:val="center"/>
          </w:tcPr>
          <w:p w14:paraId="6D83B524">
            <w:pPr>
              <w:jc w:val="both"/>
              <w:rPr>
                <w:rFonts w:hint="default" w:ascii="Arial" w:hAnsi="Arial" w:cs="Arial"/>
                <w:sz w:val="18"/>
                <w:szCs w:val="18"/>
                <w:lang w:val="pt-BR"/>
              </w:rPr>
            </w:pPr>
            <w:r>
              <w:rPr>
                <w:rFonts w:hint="default" w:ascii="Arial" w:hAnsi="Arial" w:cs="Arial"/>
                <w:sz w:val="18"/>
                <w:szCs w:val="18"/>
                <w:lang w:val="pt-BR"/>
              </w:rPr>
              <w:t>404921</w:t>
            </w:r>
          </w:p>
        </w:tc>
        <w:tc>
          <w:tcPr>
            <w:tcW w:w="1057" w:type="dxa"/>
            <w:shd w:val="clear" w:color="auto" w:fill="auto"/>
            <w:noWrap w:val="0"/>
            <w:vAlign w:val="center"/>
          </w:tcPr>
          <w:p w14:paraId="1506F550">
            <w:pPr>
              <w:jc w:val="both"/>
              <w:rPr>
                <w:rFonts w:hint="default" w:ascii="Arial" w:hAnsi="Arial" w:cs="Arial"/>
                <w:sz w:val="18"/>
                <w:szCs w:val="18"/>
                <w:lang w:val="pt-BR"/>
              </w:rPr>
            </w:pPr>
            <w:r>
              <w:rPr>
                <w:rFonts w:hint="default" w:ascii="Arial" w:hAnsi="Arial" w:cs="Arial"/>
                <w:sz w:val="18"/>
                <w:szCs w:val="18"/>
                <w:lang w:val="pt-BR"/>
              </w:rPr>
              <w:t>424487-7</w:t>
            </w:r>
          </w:p>
        </w:tc>
        <w:tc>
          <w:tcPr>
            <w:tcW w:w="2126" w:type="dxa"/>
            <w:shd w:val="clear" w:color="auto" w:fill="auto"/>
            <w:noWrap w:val="0"/>
            <w:vAlign w:val="center"/>
          </w:tcPr>
          <w:p w14:paraId="13CA3062">
            <w:pPr>
              <w:keepNext w:val="0"/>
              <w:keepLines w:val="0"/>
              <w:widowControl/>
              <w:suppressLineNumbers w:val="0"/>
              <w:jc w:val="both"/>
              <w:textAlignment w:val="center"/>
              <w:rPr>
                <w:rFonts w:hint="default" w:ascii="Arial" w:hAnsi="Arial" w:cs="Arial" w:eastAsiaTheme="minorEastAsia"/>
                <w:i w:val="0"/>
                <w:iCs w:val="0"/>
                <w:color w:val="000000"/>
                <w:sz w:val="16"/>
                <w:szCs w:val="16"/>
                <w:u w:val="none"/>
                <w:lang w:val="en-US" w:eastAsia="zh-CN" w:bidi="ar-SA"/>
              </w:rPr>
            </w:pPr>
            <w:r>
              <w:rPr>
                <w:rFonts w:hint="default" w:ascii="Arial" w:hAnsi="Arial" w:eastAsia="SimSun" w:cs="Arial"/>
                <w:i w:val="0"/>
                <w:iCs w:val="0"/>
                <w:color w:val="000000"/>
                <w:kern w:val="0"/>
                <w:sz w:val="16"/>
                <w:szCs w:val="16"/>
                <w:u w:val="none"/>
                <w:lang w:val="en-US" w:eastAsia="zh-CN" w:bidi="ar"/>
              </w:rPr>
              <w:t>SERVIÇO DE MOVIMENTAÇÃO DE EQUIPAMENTOS (MOVING)</w:t>
            </w:r>
          </w:p>
        </w:tc>
        <w:tc>
          <w:tcPr>
            <w:tcW w:w="1000" w:type="dxa"/>
            <w:shd w:val="clear" w:color="auto" w:fill="auto"/>
            <w:noWrap w:val="0"/>
            <w:vAlign w:val="center"/>
          </w:tcPr>
          <w:p w14:paraId="733A1A66">
            <w:pPr>
              <w:pStyle w:val="129"/>
              <w:tabs>
                <w:tab w:val="left" w:pos="1701"/>
              </w:tabs>
              <w:ind w:firstLine="0"/>
              <w:jc w:val="center"/>
              <w:rPr>
                <w:rFonts w:hint="default" w:ascii="Arial" w:hAnsi="Arial" w:cs="Arial"/>
                <w:b/>
                <w:bCs/>
                <w:sz w:val="18"/>
                <w:szCs w:val="18"/>
                <w:lang w:eastAsia="en-US"/>
              </w:rPr>
            </w:pPr>
            <w:r>
              <w:rPr>
                <w:rFonts w:hint="default" w:ascii="Arial" w:hAnsi="Arial" w:cs="Arial"/>
                <w:b/>
                <w:bCs/>
                <w:sz w:val="18"/>
                <w:szCs w:val="18"/>
              </w:rPr>
              <w:t>1</w:t>
            </w:r>
          </w:p>
        </w:tc>
        <w:tc>
          <w:tcPr>
            <w:tcW w:w="1068" w:type="dxa"/>
            <w:shd w:val="clear" w:color="auto" w:fill="auto"/>
            <w:noWrap w:val="0"/>
            <w:vAlign w:val="center"/>
          </w:tcPr>
          <w:p w14:paraId="53911D3E">
            <w:pPr>
              <w:pStyle w:val="129"/>
              <w:tabs>
                <w:tab w:val="left" w:pos="1701"/>
              </w:tabs>
              <w:ind w:left="0" w:leftChars="0" w:firstLine="90" w:firstLineChars="50"/>
              <w:jc w:val="both"/>
              <w:rPr>
                <w:rFonts w:hint="default" w:ascii="Arial" w:hAnsi="Arial" w:cs="Arial"/>
                <w:b/>
                <w:bCs/>
                <w:sz w:val="18"/>
                <w:szCs w:val="18"/>
                <w:lang w:val="pt-BR" w:eastAsia="en-US"/>
              </w:rPr>
            </w:pPr>
            <w:r>
              <w:rPr>
                <w:rFonts w:hint="default" w:ascii="Arial" w:hAnsi="Arial" w:cs="Arial"/>
                <w:b/>
                <w:bCs/>
                <w:sz w:val="18"/>
                <w:szCs w:val="18"/>
              </w:rPr>
              <w:t>UN</w:t>
            </w:r>
            <w:r>
              <w:rPr>
                <w:rFonts w:hint="default" w:ascii="Arial" w:hAnsi="Arial" w:cs="Arial"/>
                <w:b/>
                <w:bCs/>
                <w:sz w:val="18"/>
                <w:szCs w:val="18"/>
                <w:lang w:val="pt-BR"/>
              </w:rPr>
              <w:t>D</w:t>
            </w:r>
          </w:p>
        </w:tc>
        <w:tc>
          <w:tcPr>
            <w:tcW w:w="1281" w:type="dxa"/>
            <w:shd w:val="clear" w:color="auto" w:fill="auto"/>
            <w:noWrap w:val="0"/>
            <w:vAlign w:val="center"/>
          </w:tcPr>
          <w:p w14:paraId="560DF841">
            <w:pPr>
              <w:pStyle w:val="129"/>
              <w:tabs>
                <w:tab w:val="left" w:pos="1701"/>
              </w:tabs>
              <w:rPr>
                <w:rFonts w:hint="default" w:ascii="Arial" w:hAnsi="Arial" w:cs="Arial"/>
                <w:sz w:val="18"/>
                <w:szCs w:val="18"/>
                <w:lang w:eastAsia="en-US"/>
              </w:rPr>
            </w:pPr>
            <w:r>
              <w:rPr>
                <w:rFonts w:hint="default" w:ascii="Arial" w:hAnsi="Arial" w:cs="Arial"/>
                <w:sz w:val="18"/>
                <w:szCs w:val="18"/>
              </w:rPr>
              <w:t>R$</w:t>
            </w:r>
          </w:p>
        </w:tc>
        <w:tc>
          <w:tcPr>
            <w:tcW w:w="1433" w:type="dxa"/>
            <w:shd w:val="clear" w:color="auto" w:fill="auto"/>
            <w:noWrap w:val="0"/>
            <w:vAlign w:val="center"/>
          </w:tcPr>
          <w:p w14:paraId="35CC1311">
            <w:pPr>
              <w:pStyle w:val="129"/>
              <w:tabs>
                <w:tab w:val="left" w:pos="1701"/>
              </w:tabs>
              <w:rPr>
                <w:rFonts w:hint="default" w:ascii="Arial" w:hAnsi="Arial" w:cs="Arial"/>
                <w:sz w:val="18"/>
                <w:szCs w:val="18"/>
                <w:lang w:eastAsia="en-US"/>
              </w:rPr>
            </w:pPr>
            <w:r>
              <w:rPr>
                <w:rFonts w:hint="default" w:ascii="Arial" w:hAnsi="Arial" w:cs="Arial"/>
                <w:sz w:val="18"/>
                <w:szCs w:val="18"/>
              </w:rPr>
              <w:t xml:space="preserve">R$ </w:t>
            </w:r>
          </w:p>
        </w:tc>
      </w:tr>
      <w:tr w14:paraId="13913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5767" w:type="dxa"/>
            <w:gridSpan w:val="5"/>
            <w:shd w:val="clear" w:color="auto" w:fill="auto"/>
            <w:noWrap w:val="0"/>
            <w:vAlign w:val="center"/>
          </w:tcPr>
          <w:p w14:paraId="3B4C55E1">
            <w:pPr>
              <w:pStyle w:val="129"/>
              <w:tabs>
                <w:tab w:val="left" w:pos="1701"/>
              </w:tabs>
              <w:rPr>
                <w:rFonts w:hint="default" w:ascii="Arial" w:hAnsi="Arial" w:cs="Arial"/>
                <w:b/>
                <w:bCs/>
                <w:sz w:val="22"/>
                <w:szCs w:val="22"/>
              </w:rPr>
            </w:pPr>
            <w:r>
              <w:rPr>
                <w:rFonts w:hint="default" w:ascii="Arial" w:hAnsi="Arial" w:cs="Arial"/>
                <w:b/>
                <w:bCs/>
                <w:sz w:val="22"/>
                <w:szCs w:val="22"/>
              </w:rPr>
              <w:t>VALOR ANUAL DA LOCAÇÃO</w:t>
            </w:r>
          </w:p>
        </w:tc>
        <w:tc>
          <w:tcPr>
            <w:tcW w:w="3782" w:type="dxa"/>
            <w:gridSpan w:val="3"/>
            <w:shd w:val="clear" w:color="auto" w:fill="auto"/>
            <w:noWrap w:val="0"/>
            <w:vAlign w:val="center"/>
          </w:tcPr>
          <w:p w14:paraId="36D56D5A">
            <w:pPr>
              <w:pStyle w:val="129"/>
              <w:tabs>
                <w:tab w:val="left" w:pos="1701"/>
              </w:tabs>
              <w:rPr>
                <w:rFonts w:hint="default" w:ascii="Arial" w:hAnsi="Arial" w:cs="Arial"/>
                <w:b/>
                <w:bCs/>
                <w:sz w:val="22"/>
                <w:szCs w:val="22"/>
              </w:rPr>
            </w:pPr>
            <w:r>
              <w:rPr>
                <w:rFonts w:hint="default" w:ascii="Arial" w:hAnsi="Arial" w:cs="Arial"/>
                <w:b/>
                <w:bCs/>
                <w:sz w:val="22"/>
                <w:szCs w:val="22"/>
              </w:rPr>
              <w:t xml:space="preserve">R$   </w:t>
            </w:r>
          </w:p>
        </w:tc>
      </w:tr>
      <w:tr w14:paraId="268A9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767" w:type="dxa"/>
            <w:gridSpan w:val="5"/>
            <w:shd w:val="clear" w:color="auto" w:fill="auto"/>
            <w:noWrap w:val="0"/>
            <w:vAlign w:val="center"/>
          </w:tcPr>
          <w:p w14:paraId="1B79FB62">
            <w:pPr>
              <w:pStyle w:val="129"/>
              <w:tabs>
                <w:tab w:val="left" w:pos="1701"/>
              </w:tabs>
              <w:rPr>
                <w:rFonts w:hint="default" w:ascii="Arial" w:hAnsi="Arial" w:cs="Arial"/>
                <w:b/>
                <w:bCs/>
                <w:sz w:val="22"/>
                <w:szCs w:val="22"/>
              </w:rPr>
            </w:pPr>
            <w:r>
              <w:rPr>
                <w:rFonts w:hint="default" w:ascii="Arial" w:hAnsi="Arial" w:cs="Arial"/>
                <w:b/>
                <w:bCs/>
                <w:sz w:val="22"/>
                <w:szCs w:val="22"/>
              </w:rPr>
              <w:t>VALOR TOTAL DO LOTE</w:t>
            </w:r>
          </w:p>
        </w:tc>
        <w:tc>
          <w:tcPr>
            <w:tcW w:w="3782" w:type="dxa"/>
            <w:gridSpan w:val="3"/>
            <w:shd w:val="clear" w:color="auto" w:fill="auto"/>
            <w:noWrap w:val="0"/>
            <w:vAlign w:val="center"/>
          </w:tcPr>
          <w:p w14:paraId="09F812A9">
            <w:pPr>
              <w:pStyle w:val="129"/>
              <w:tabs>
                <w:tab w:val="left" w:pos="1701"/>
              </w:tabs>
              <w:rPr>
                <w:rFonts w:hint="default" w:ascii="Arial" w:hAnsi="Arial" w:cs="Arial"/>
                <w:b/>
                <w:bCs/>
                <w:sz w:val="22"/>
                <w:szCs w:val="22"/>
              </w:rPr>
            </w:pPr>
            <w:r>
              <w:rPr>
                <w:rFonts w:hint="default" w:ascii="Arial" w:hAnsi="Arial" w:cs="Arial"/>
                <w:b/>
                <w:bCs/>
                <w:sz w:val="22"/>
                <w:szCs w:val="22"/>
              </w:rPr>
              <w:t xml:space="preserve">R$     </w:t>
            </w:r>
          </w:p>
        </w:tc>
      </w:tr>
    </w:tbl>
    <w:p w14:paraId="762BF6C3">
      <w:pPr>
        <w:jc w:val="both"/>
        <w:rPr>
          <w:rFonts w:hint="default" w:ascii="Arial" w:hAnsi="Arial" w:cs="Arial"/>
          <w:sz w:val="22"/>
          <w:szCs w:val="22"/>
        </w:rPr>
      </w:pPr>
    </w:p>
    <w:p w14:paraId="7B380578">
      <w:pPr>
        <w:pStyle w:val="129"/>
        <w:tabs>
          <w:tab w:val="left" w:pos="1701"/>
        </w:tabs>
        <w:rPr>
          <w:rFonts w:hint="default" w:ascii="Arial" w:hAnsi="Arial" w:cs="Arial"/>
          <w:b/>
          <w:sz w:val="22"/>
          <w:szCs w:val="22"/>
        </w:rPr>
      </w:pPr>
      <w:r>
        <w:rPr>
          <w:rFonts w:hint="default" w:ascii="Arial" w:hAnsi="Arial" w:cs="Arial"/>
          <w:b/>
          <w:sz w:val="22"/>
          <w:szCs w:val="22"/>
        </w:rPr>
        <w:t>Valor total por extenso: (....................)</w:t>
      </w:r>
    </w:p>
    <w:p w14:paraId="1632472E">
      <w:pPr>
        <w:pStyle w:val="129"/>
        <w:tabs>
          <w:tab w:val="left" w:pos="1701"/>
        </w:tabs>
        <w:rPr>
          <w:rFonts w:hint="default" w:ascii="Arial" w:hAnsi="Arial" w:cs="Arial"/>
          <w:sz w:val="22"/>
          <w:szCs w:val="22"/>
        </w:rPr>
      </w:pPr>
    </w:p>
    <w:p w14:paraId="5477CFF6">
      <w:pPr>
        <w:widowControl w:val="0"/>
        <w:numPr>
          <w:ilvl w:val="0"/>
          <w:numId w:val="18"/>
        </w:numPr>
        <w:spacing w:before="100" w:beforeAutospacing="1" w:after="100" w:afterAutospacing="1" w:line="360" w:lineRule="auto"/>
        <w:ind w:left="0"/>
        <w:jc w:val="both"/>
        <w:rPr>
          <w:rFonts w:hint="default" w:ascii="Arial" w:hAnsi="Arial" w:cs="Arial"/>
          <w:sz w:val="22"/>
          <w:szCs w:val="22"/>
        </w:rPr>
      </w:pPr>
      <w:r>
        <w:rPr>
          <w:rFonts w:hint="default" w:ascii="Arial" w:hAnsi="Arial" w:cs="Arial"/>
          <w:sz w:val="22"/>
          <w:szCs w:val="22"/>
        </w:rPr>
        <w:t>Declaramos que examinamos, conhecemos e nos submetemos a todas as condições contidas no edital deste pregão,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14:paraId="1867796E">
      <w:pPr>
        <w:widowControl w:val="0"/>
        <w:numPr>
          <w:ilvl w:val="0"/>
          <w:numId w:val="18"/>
        </w:numPr>
        <w:spacing w:before="100" w:beforeAutospacing="1" w:after="100" w:afterAutospacing="1" w:line="360" w:lineRule="auto"/>
        <w:ind w:left="0"/>
        <w:jc w:val="both"/>
        <w:rPr>
          <w:rFonts w:hint="default" w:ascii="Arial" w:hAnsi="Arial" w:cs="Arial"/>
          <w:sz w:val="22"/>
          <w:szCs w:val="22"/>
        </w:rPr>
      </w:pPr>
      <w:r>
        <w:rPr>
          <w:rFonts w:hint="default" w:ascii="Arial" w:hAnsi="Arial" w:cs="Arial"/>
          <w:sz w:val="22"/>
          <w:szCs w:val="22"/>
        </w:rPr>
        <w:t>Declaramos, ainda, que estão incluídos nos preços propostos todas as despesas relacionadas com o objeto da licitação, como impostos, fretes, seguros, taxas, encargos trabalhistas</w:t>
      </w:r>
      <w:r>
        <w:rPr>
          <w:rFonts w:hint="default" w:ascii="Arial" w:hAnsi="Arial" w:cs="Arial"/>
          <w:sz w:val="22"/>
          <w:szCs w:val="22"/>
          <w:lang w:val="pt-BR"/>
        </w:rPr>
        <w:t xml:space="preserve"> (conforme art. 63, § 1º da Lei Federal nº 14.133/2021)</w:t>
      </w:r>
      <w:r>
        <w:rPr>
          <w:rFonts w:hint="default" w:ascii="Arial" w:hAnsi="Arial" w:cs="Arial"/>
          <w:sz w:val="22"/>
          <w:szCs w:val="22"/>
        </w:rPr>
        <w:t>, previdenciários, sociais, fiscais e comerciais, gastos com transportes, prêmios de seguros e outras despesas decorrentes de exigência legal.</w:t>
      </w:r>
    </w:p>
    <w:p w14:paraId="1E29E9D7">
      <w:pPr>
        <w:widowControl w:val="0"/>
        <w:numPr>
          <w:ilvl w:val="0"/>
          <w:numId w:val="18"/>
        </w:numPr>
        <w:spacing w:before="100" w:beforeAutospacing="1" w:after="100" w:afterAutospacing="1" w:line="360" w:lineRule="auto"/>
        <w:ind w:left="0"/>
        <w:jc w:val="both"/>
        <w:rPr>
          <w:rFonts w:hint="default" w:ascii="Arial" w:hAnsi="Arial" w:cs="Arial"/>
          <w:sz w:val="22"/>
          <w:szCs w:val="22"/>
        </w:rPr>
      </w:pPr>
      <w:r>
        <w:rPr>
          <w:rFonts w:hint="default" w:ascii="Arial" w:hAnsi="Arial" w:cs="Arial"/>
          <w:sz w:val="22"/>
          <w:szCs w:val="22"/>
        </w:rPr>
        <w:t>Declaramos, por fim, que a proposta apresentada para participar da presente Licitação foi elaborada de maneira independente e o conteúdo da proposta não foi, no todo ou em parte, direta ou indiretamente, informado, discutido ou recebido de qualquer outro participante potencial ou de fato da presente Licitação, por qualquer meio ou por qualquer pessoa.</w:t>
      </w:r>
    </w:p>
    <w:p w14:paraId="1B9CEAD1">
      <w:pPr>
        <w:widowControl w:val="0"/>
        <w:numPr>
          <w:ilvl w:val="0"/>
          <w:numId w:val="18"/>
        </w:numPr>
        <w:spacing w:before="100" w:beforeAutospacing="1" w:after="100" w:afterAutospacing="1" w:line="360" w:lineRule="auto"/>
        <w:ind w:left="0"/>
        <w:jc w:val="both"/>
        <w:rPr>
          <w:rFonts w:hint="default" w:ascii="Arial" w:hAnsi="Arial" w:cs="Arial"/>
          <w:sz w:val="22"/>
          <w:szCs w:val="22"/>
        </w:rPr>
      </w:pPr>
      <w:r>
        <w:rPr>
          <w:rFonts w:hint="default" w:ascii="Arial" w:hAnsi="Arial" w:cs="Arial"/>
          <w:sz w:val="22"/>
          <w:szCs w:val="22"/>
        </w:rPr>
        <w:t>Validade da Proposta: 60 (sessenta) dias.</w:t>
      </w:r>
    </w:p>
    <w:p w14:paraId="58FCF3E5">
      <w:pPr>
        <w:spacing w:before="100" w:beforeAutospacing="1" w:after="100" w:afterAutospacing="1" w:line="360" w:lineRule="auto"/>
        <w:jc w:val="both"/>
        <w:rPr>
          <w:rFonts w:hint="default" w:ascii="Arial" w:hAnsi="Arial" w:cs="Arial"/>
          <w:sz w:val="22"/>
          <w:szCs w:val="22"/>
        </w:rPr>
      </w:pPr>
      <w:r>
        <w:rPr>
          <w:rFonts w:hint="default" w:ascii="Arial" w:hAnsi="Arial" w:cs="Arial"/>
          <w:sz w:val="22"/>
          <w:szCs w:val="22"/>
        </w:rPr>
        <w:t>Local e data____________________________________________________</w:t>
      </w:r>
    </w:p>
    <w:p w14:paraId="3532A664">
      <w:pPr>
        <w:spacing w:line="360" w:lineRule="auto"/>
        <w:jc w:val="center"/>
        <w:rPr>
          <w:rFonts w:hint="default" w:ascii="Arial" w:hAnsi="Arial" w:cs="Arial"/>
          <w:sz w:val="22"/>
          <w:szCs w:val="22"/>
        </w:rPr>
      </w:pPr>
    </w:p>
    <w:p w14:paraId="508319CB">
      <w:pPr>
        <w:spacing w:line="360" w:lineRule="auto"/>
        <w:jc w:val="center"/>
        <w:rPr>
          <w:rFonts w:hint="default" w:ascii="Arial" w:hAnsi="Arial" w:cs="Arial"/>
          <w:sz w:val="22"/>
          <w:szCs w:val="22"/>
        </w:rPr>
      </w:pPr>
      <w:r>
        <w:rPr>
          <w:rFonts w:hint="default" w:ascii="Arial" w:hAnsi="Arial" w:cs="Arial"/>
          <w:sz w:val="22"/>
          <w:szCs w:val="22"/>
        </w:rPr>
        <w:t>(Assinatura do Representante Legal pela Empresa)</w:t>
      </w:r>
    </w:p>
    <w:p w14:paraId="21478208">
      <w:pPr>
        <w:spacing w:line="360" w:lineRule="auto"/>
        <w:jc w:val="center"/>
        <w:rPr>
          <w:rFonts w:hint="default" w:ascii="Arial" w:hAnsi="Arial" w:cs="Arial"/>
          <w:sz w:val="22"/>
          <w:szCs w:val="22"/>
        </w:rPr>
      </w:pPr>
      <w:r>
        <w:rPr>
          <w:rFonts w:hint="default" w:ascii="Arial" w:hAnsi="Arial" w:cs="Arial"/>
          <w:sz w:val="22"/>
          <w:szCs w:val="22"/>
        </w:rPr>
        <w:t>Nome/Cargo e Carimbo CNPJ</w:t>
      </w:r>
    </w:p>
    <w:p w14:paraId="093F20E0">
      <w:pPr>
        <w:rPr>
          <w:rFonts w:hint="default" w:ascii="Arial" w:hAnsi="Arial" w:cs="Arial"/>
          <w:b/>
          <w:sz w:val="22"/>
          <w:szCs w:val="22"/>
        </w:rPr>
      </w:pPr>
      <w:r>
        <w:rPr>
          <w:rFonts w:hint="default" w:ascii="Arial" w:hAnsi="Arial" w:cs="Arial"/>
          <w:b/>
          <w:sz w:val="22"/>
          <w:szCs w:val="22"/>
        </w:rPr>
        <w:br w:type="page"/>
      </w:r>
    </w:p>
    <w:p w14:paraId="218CE2BC">
      <w:pPr>
        <w:pStyle w:val="166"/>
        <w:jc w:val="center"/>
        <w:rPr>
          <w:rFonts w:hint="default" w:ascii="Arial" w:hAnsi="Arial" w:cs="Arial"/>
          <w:b/>
          <w:bCs/>
          <w:sz w:val="22"/>
          <w:szCs w:val="22"/>
        </w:rPr>
      </w:pPr>
      <w:r>
        <w:rPr>
          <w:rFonts w:hint="default" w:ascii="Arial" w:hAnsi="Arial" w:cs="Arial"/>
          <w:b/>
          <w:bCs/>
          <w:sz w:val="22"/>
          <w:szCs w:val="22"/>
        </w:rPr>
        <w:t>ANEXO I</w:t>
      </w:r>
      <w:r>
        <w:rPr>
          <w:rFonts w:hint="default" w:cs="Arial"/>
          <w:b/>
          <w:bCs/>
          <w:sz w:val="22"/>
          <w:szCs w:val="22"/>
          <w:lang w:val="pt-BR"/>
        </w:rPr>
        <w:t>I</w:t>
      </w:r>
      <w:r>
        <w:rPr>
          <w:rFonts w:hint="default" w:ascii="Arial" w:hAnsi="Arial" w:cs="Arial"/>
          <w:b/>
          <w:bCs/>
          <w:sz w:val="22"/>
          <w:szCs w:val="22"/>
        </w:rPr>
        <w:t>I</w:t>
      </w:r>
    </w:p>
    <w:p w14:paraId="7DB76816">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sz w:val="22"/>
          <w:szCs w:val="22"/>
          <w:lang w:val="pt-BR"/>
        </w:rPr>
      </w:pPr>
    </w:p>
    <w:p w14:paraId="7043B696">
      <w:pPr>
        <w:pBdr>
          <w:top w:val="single" w:color="000000" w:sz="4" w:space="0"/>
          <w:left w:val="single" w:color="000000" w:sz="4" w:space="3"/>
          <w:bottom w:val="single" w:color="000000" w:sz="4" w:space="0"/>
          <w:right w:val="single" w:color="000000" w:sz="4" w:space="3"/>
        </w:pBdr>
        <w:shd w:val="clear" w:color="auto" w:fill="D9D9D9"/>
        <w:spacing w:line="360" w:lineRule="auto"/>
        <w:jc w:val="center"/>
        <w:rPr>
          <w:rFonts w:hint="default" w:ascii="Arial" w:hAnsi="Arial" w:cs="Arial"/>
          <w:b/>
          <w:bCs/>
          <w:sz w:val="22"/>
          <w:szCs w:val="22"/>
          <w:lang w:val="pt-BR"/>
        </w:rPr>
      </w:pPr>
      <w:r>
        <w:rPr>
          <w:rFonts w:hint="default" w:ascii="Arial" w:hAnsi="Arial" w:cs="Arial"/>
          <w:b/>
          <w:bCs/>
          <w:sz w:val="22"/>
          <w:szCs w:val="22"/>
          <w:lang w:val="pt-BR"/>
        </w:rPr>
        <w:t>ESTIMATIVA DE CUSTOS</w:t>
      </w:r>
    </w:p>
    <w:p w14:paraId="1D85FBAD">
      <w:pPr>
        <w:jc w:val="both"/>
        <w:rPr>
          <w:rFonts w:hint="default" w:ascii="Arial" w:hAnsi="Arial" w:cs="Arial"/>
          <w:b/>
          <w:bCs/>
          <w:sz w:val="22"/>
          <w:szCs w:val="22"/>
        </w:rPr>
      </w:pPr>
    </w:p>
    <w:bookmarkEnd w:id="63"/>
    <w:tbl>
      <w:tblPr>
        <w:tblStyle w:val="10"/>
        <w:tblpPr w:leftFromText="141" w:rightFromText="141" w:vertAnchor="text" w:horzAnchor="page" w:tblpX="1010" w:tblpY="108"/>
        <w:tblW w:w="963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5"/>
        <w:gridCol w:w="1207"/>
        <w:gridCol w:w="1984"/>
        <w:gridCol w:w="992"/>
        <w:gridCol w:w="709"/>
        <w:gridCol w:w="2411"/>
        <w:gridCol w:w="12"/>
        <w:gridCol w:w="1404"/>
      </w:tblGrid>
      <w:tr w14:paraId="74233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9634" w:type="dxa"/>
            <w:gridSpan w:val="8"/>
            <w:shd w:val="solid" w:color="BFBFBF" w:fill="FFFFFF"/>
            <w:noWrap w:val="0"/>
            <w:vAlign w:val="center"/>
          </w:tcPr>
          <w:p w14:paraId="27ED78C4">
            <w:pPr>
              <w:jc w:val="both"/>
              <w:rPr>
                <w:rFonts w:hint="default" w:ascii="Arial" w:hAnsi="Arial" w:cs="Arial"/>
                <w:b/>
                <w:sz w:val="22"/>
                <w:szCs w:val="22"/>
              </w:rPr>
            </w:pPr>
            <w:r>
              <w:rPr>
                <w:rFonts w:hint="default" w:ascii="Arial" w:hAnsi="Arial" w:cs="Arial"/>
                <w:b/>
                <w:sz w:val="22"/>
                <w:szCs w:val="22"/>
              </w:rPr>
              <w:t>SOLUÇÃO DE DATA CENTER</w:t>
            </w:r>
          </w:p>
        </w:tc>
      </w:tr>
      <w:tr w14:paraId="72FB7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915" w:type="dxa"/>
            <w:shd w:val="solid" w:color="BFBFBF" w:fill="FFFFFF"/>
            <w:noWrap w:val="0"/>
            <w:vAlign w:val="center"/>
          </w:tcPr>
          <w:p w14:paraId="135268D0">
            <w:pPr>
              <w:jc w:val="both"/>
              <w:rPr>
                <w:rFonts w:hint="default" w:ascii="Arial" w:hAnsi="Arial" w:cs="Arial"/>
                <w:b/>
                <w:sz w:val="22"/>
                <w:szCs w:val="22"/>
              </w:rPr>
            </w:pPr>
            <w:r>
              <w:rPr>
                <w:rFonts w:hint="default" w:ascii="Arial" w:hAnsi="Arial" w:cs="Arial"/>
                <w:b/>
                <w:sz w:val="22"/>
                <w:szCs w:val="22"/>
              </w:rPr>
              <w:t>ITEM</w:t>
            </w:r>
          </w:p>
        </w:tc>
        <w:tc>
          <w:tcPr>
            <w:tcW w:w="1207" w:type="dxa"/>
            <w:shd w:val="solid" w:color="BFBFBF" w:fill="FFFFFF"/>
            <w:noWrap w:val="0"/>
            <w:vAlign w:val="center"/>
          </w:tcPr>
          <w:p w14:paraId="110FDEB5">
            <w:pPr>
              <w:jc w:val="both"/>
              <w:rPr>
                <w:rFonts w:hint="default" w:ascii="Arial" w:hAnsi="Arial" w:cs="Arial"/>
                <w:b/>
                <w:sz w:val="22"/>
                <w:szCs w:val="22"/>
              </w:rPr>
            </w:pPr>
            <w:r>
              <w:rPr>
                <w:rFonts w:hint="default" w:ascii="Arial" w:hAnsi="Arial" w:cs="Arial"/>
                <w:b/>
                <w:sz w:val="22"/>
                <w:szCs w:val="22"/>
              </w:rPr>
              <w:t>SUBITEM</w:t>
            </w:r>
          </w:p>
        </w:tc>
        <w:tc>
          <w:tcPr>
            <w:tcW w:w="1984" w:type="dxa"/>
            <w:shd w:val="solid" w:color="BFBFBF" w:fill="FFFFFF"/>
            <w:noWrap w:val="0"/>
            <w:vAlign w:val="center"/>
          </w:tcPr>
          <w:p w14:paraId="4B81720D">
            <w:pPr>
              <w:jc w:val="both"/>
              <w:rPr>
                <w:rFonts w:hint="default" w:ascii="Arial" w:hAnsi="Arial" w:cs="Arial"/>
                <w:b/>
                <w:sz w:val="22"/>
                <w:szCs w:val="22"/>
              </w:rPr>
            </w:pPr>
            <w:r>
              <w:rPr>
                <w:rFonts w:hint="default" w:ascii="Arial" w:hAnsi="Arial" w:cs="Arial"/>
                <w:b/>
                <w:sz w:val="22"/>
                <w:szCs w:val="22"/>
              </w:rPr>
              <w:t>BEM / SERVIÇO</w:t>
            </w:r>
          </w:p>
        </w:tc>
        <w:tc>
          <w:tcPr>
            <w:tcW w:w="992" w:type="dxa"/>
            <w:shd w:val="solid" w:color="BFBFBF" w:fill="FFFFFF"/>
            <w:noWrap w:val="0"/>
            <w:vAlign w:val="center"/>
          </w:tcPr>
          <w:p w14:paraId="45781D54">
            <w:pPr>
              <w:jc w:val="both"/>
              <w:rPr>
                <w:rFonts w:hint="default" w:ascii="Arial" w:hAnsi="Arial" w:cs="Arial"/>
                <w:b/>
                <w:sz w:val="22"/>
                <w:szCs w:val="22"/>
              </w:rPr>
            </w:pPr>
            <w:r>
              <w:rPr>
                <w:rFonts w:hint="default" w:ascii="Arial" w:hAnsi="Arial" w:cs="Arial"/>
                <w:b/>
                <w:sz w:val="22"/>
                <w:szCs w:val="22"/>
              </w:rPr>
              <w:t>QTDE</w:t>
            </w:r>
          </w:p>
        </w:tc>
        <w:tc>
          <w:tcPr>
            <w:tcW w:w="709" w:type="dxa"/>
            <w:shd w:val="solid" w:color="BFBFBF" w:fill="FFFFFF"/>
            <w:noWrap w:val="0"/>
            <w:vAlign w:val="center"/>
          </w:tcPr>
          <w:p w14:paraId="3D53A780">
            <w:pPr>
              <w:jc w:val="both"/>
              <w:rPr>
                <w:rFonts w:hint="default" w:ascii="Arial" w:hAnsi="Arial" w:cs="Arial"/>
                <w:b/>
                <w:sz w:val="22"/>
                <w:szCs w:val="22"/>
              </w:rPr>
            </w:pPr>
            <w:r>
              <w:rPr>
                <w:rFonts w:hint="default" w:ascii="Arial" w:hAnsi="Arial" w:cs="Arial"/>
                <w:b/>
                <w:sz w:val="22"/>
                <w:szCs w:val="22"/>
              </w:rPr>
              <w:t>Un.</w:t>
            </w:r>
          </w:p>
        </w:tc>
        <w:tc>
          <w:tcPr>
            <w:tcW w:w="2411" w:type="dxa"/>
            <w:shd w:val="solid" w:color="BFBFBF" w:fill="FFFFFF"/>
            <w:noWrap w:val="0"/>
            <w:vAlign w:val="top"/>
          </w:tcPr>
          <w:p w14:paraId="33A41FB2">
            <w:pPr>
              <w:jc w:val="center"/>
              <w:rPr>
                <w:rFonts w:hint="default" w:ascii="Arial" w:hAnsi="Arial" w:cs="Arial"/>
                <w:b/>
                <w:sz w:val="22"/>
                <w:szCs w:val="22"/>
              </w:rPr>
            </w:pPr>
          </w:p>
          <w:p w14:paraId="1956AC4E">
            <w:pPr>
              <w:jc w:val="center"/>
              <w:rPr>
                <w:rFonts w:hint="default" w:ascii="Arial" w:hAnsi="Arial" w:cs="Arial"/>
                <w:b/>
                <w:sz w:val="22"/>
                <w:szCs w:val="22"/>
              </w:rPr>
            </w:pPr>
            <w:r>
              <w:rPr>
                <w:rFonts w:hint="default" w:ascii="Arial" w:hAnsi="Arial" w:cs="Arial"/>
                <w:b/>
                <w:sz w:val="22"/>
                <w:szCs w:val="22"/>
              </w:rPr>
              <w:t xml:space="preserve">VALOR UNITÁRIO - </w:t>
            </w:r>
            <w:r>
              <w:rPr>
                <w:rFonts w:hint="default" w:ascii="Arial" w:hAnsi="Arial" w:cs="Arial"/>
                <w:b/>
                <w:bCs/>
                <w:sz w:val="22"/>
                <w:szCs w:val="22"/>
              </w:rPr>
              <w:t>R$</w:t>
            </w:r>
          </w:p>
        </w:tc>
        <w:tc>
          <w:tcPr>
            <w:tcW w:w="1416" w:type="dxa"/>
            <w:gridSpan w:val="2"/>
            <w:shd w:val="solid" w:color="BFBFBF" w:fill="FFFFFF"/>
            <w:noWrap w:val="0"/>
            <w:vAlign w:val="center"/>
          </w:tcPr>
          <w:p w14:paraId="0C2EC731">
            <w:pPr>
              <w:jc w:val="center"/>
              <w:rPr>
                <w:rFonts w:hint="default" w:ascii="Arial" w:hAnsi="Arial" w:cs="Arial"/>
                <w:b/>
                <w:sz w:val="22"/>
                <w:szCs w:val="22"/>
              </w:rPr>
            </w:pPr>
            <w:r>
              <w:rPr>
                <w:rFonts w:hint="default" w:ascii="Arial" w:hAnsi="Arial" w:cs="Arial"/>
                <w:b/>
                <w:sz w:val="22"/>
                <w:szCs w:val="22"/>
              </w:rPr>
              <w:t xml:space="preserve">VALOR TOTAL - </w:t>
            </w:r>
            <w:r>
              <w:rPr>
                <w:rFonts w:hint="default" w:ascii="Arial" w:hAnsi="Arial" w:cs="Arial"/>
                <w:b/>
                <w:bCs/>
                <w:sz w:val="22"/>
                <w:szCs w:val="22"/>
              </w:rPr>
              <w:t>R$</w:t>
            </w:r>
          </w:p>
        </w:tc>
      </w:tr>
      <w:tr w14:paraId="0A90A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915" w:type="dxa"/>
            <w:vMerge w:val="restart"/>
            <w:shd w:val="solid" w:color="BFBFBF" w:fill="FFFFFF"/>
            <w:noWrap w:val="0"/>
            <w:vAlign w:val="center"/>
          </w:tcPr>
          <w:p w14:paraId="641D0499">
            <w:pPr>
              <w:jc w:val="both"/>
              <w:rPr>
                <w:rFonts w:hint="default" w:ascii="Arial" w:hAnsi="Arial" w:cs="Arial"/>
                <w:b/>
                <w:sz w:val="22"/>
                <w:szCs w:val="22"/>
              </w:rPr>
            </w:pPr>
            <w:r>
              <w:rPr>
                <w:rFonts w:hint="default" w:ascii="Arial" w:hAnsi="Arial" w:cs="Arial"/>
                <w:b/>
                <w:sz w:val="22"/>
                <w:szCs w:val="22"/>
              </w:rPr>
              <w:t>1</w:t>
            </w:r>
          </w:p>
        </w:tc>
        <w:tc>
          <w:tcPr>
            <w:tcW w:w="1207" w:type="dxa"/>
            <w:shd w:val="solid" w:color="D0CECE" w:fill="FFFFFF"/>
            <w:noWrap w:val="0"/>
            <w:vAlign w:val="center"/>
          </w:tcPr>
          <w:p w14:paraId="76AE009C">
            <w:pPr>
              <w:jc w:val="both"/>
              <w:rPr>
                <w:rFonts w:hint="default" w:ascii="Arial" w:hAnsi="Arial" w:cs="Arial"/>
                <w:b/>
                <w:sz w:val="22"/>
                <w:szCs w:val="22"/>
              </w:rPr>
            </w:pPr>
          </w:p>
        </w:tc>
        <w:tc>
          <w:tcPr>
            <w:tcW w:w="1984" w:type="dxa"/>
            <w:shd w:val="solid" w:color="D0CECE" w:fill="FFFFFF"/>
            <w:noWrap w:val="0"/>
            <w:vAlign w:val="center"/>
          </w:tcPr>
          <w:p w14:paraId="00402B5D">
            <w:pPr>
              <w:jc w:val="both"/>
              <w:rPr>
                <w:rFonts w:hint="default" w:ascii="Arial" w:hAnsi="Arial" w:cs="Arial"/>
                <w:sz w:val="22"/>
                <w:szCs w:val="22"/>
              </w:rPr>
            </w:pPr>
          </w:p>
        </w:tc>
        <w:tc>
          <w:tcPr>
            <w:tcW w:w="992" w:type="dxa"/>
            <w:shd w:val="solid" w:color="D0CECE" w:fill="FFFFFF"/>
            <w:noWrap w:val="0"/>
            <w:vAlign w:val="center"/>
          </w:tcPr>
          <w:p w14:paraId="5E6D5096">
            <w:pPr>
              <w:jc w:val="both"/>
              <w:rPr>
                <w:rFonts w:hint="default" w:ascii="Arial" w:hAnsi="Arial" w:cs="Arial"/>
                <w:b/>
                <w:sz w:val="22"/>
                <w:szCs w:val="22"/>
              </w:rPr>
            </w:pPr>
          </w:p>
        </w:tc>
        <w:tc>
          <w:tcPr>
            <w:tcW w:w="709" w:type="dxa"/>
            <w:shd w:val="solid" w:color="D0CECE" w:fill="FFFFFF"/>
            <w:noWrap w:val="0"/>
            <w:vAlign w:val="center"/>
          </w:tcPr>
          <w:p w14:paraId="656A8A43">
            <w:pPr>
              <w:jc w:val="both"/>
              <w:rPr>
                <w:rFonts w:hint="default" w:ascii="Arial" w:hAnsi="Arial" w:cs="Arial"/>
                <w:b/>
                <w:sz w:val="22"/>
                <w:szCs w:val="22"/>
              </w:rPr>
            </w:pPr>
          </w:p>
        </w:tc>
        <w:tc>
          <w:tcPr>
            <w:tcW w:w="2411" w:type="dxa"/>
            <w:shd w:val="solid" w:color="D0CECE" w:fill="FFFFFF"/>
            <w:noWrap w:val="0"/>
            <w:vAlign w:val="top"/>
          </w:tcPr>
          <w:p w14:paraId="177B5DA4">
            <w:pPr>
              <w:jc w:val="both"/>
              <w:rPr>
                <w:rFonts w:hint="default" w:ascii="Arial" w:hAnsi="Arial" w:cs="Arial"/>
                <w:b/>
                <w:sz w:val="22"/>
                <w:szCs w:val="22"/>
              </w:rPr>
            </w:pPr>
          </w:p>
        </w:tc>
        <w:tc>
          <w:tcPr>
            <w:tcW w:w="1416" w:type="dxa"/>
            <w:gridSpan w:val="2"/>
            <w:shd w:val="solid" w:color="D0CECE" w:fill="FFFFFF"/>
            <w:noWrap w:val="0"/>
            <w:vAlign w:val="top"/>
          </w:tcPr>
          <w:p w14:paraId="03CF7857">
            <w:pPr>
              <w:jc w:val="both"/>
              <w:rPr>
                <w:rFonts w:hint="default" w:ascii="Arial" w:hAnsi="Arial" w:cs="Arial"/>
                <w:b/>
                <w:sz w:val="22"/>
                <w:szCs w:val="22"/>
              </w:rPr>
            </w:pPr>
          </w:p>
        </w:tc>
      </w:tr>
      <w:tr w14:paraId="6F317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915" w:type="dxa"/>
            <w:vMerge w:val="continue"/>
            <w:noWrap w:val="0"/>
            <w:vAlign w:val="center"/>
          </w:tcPr>
          <w:p w14:paraId="35403F7D">
            <w:pPr>
              <w:jc w:val="both"/>
              <w:rPr>
                <w:rFonts w:hint="default" w:ascii="Arial" w:hAnsi="Arial" w:eastAsia="Times New Roman" w:cs="Arial"/>
                <w:b/>
                <w:sz w:val="22"/>
                <w:szCs w:val="22"/>
              </w:rPr>
            </w:pPr>
          </w:p>
        </w:tc>
        <w:tc>
          <w:tcPr>
            <w:tcW w:w="1207" w:type="dxa"/>
            <w:shd w:val="solid" w:color="D0CECE" w:fill="FFFFFF"/>
            <w:noWrap w:val="0"/>
            <w:vAlign w:val="center"/>
          </w:tcPr>
          <w:p w14:paraId="76CDB6BB">
            <w:pPr>
              <w:jc w:val="both"/>
              <w:rPr>
                <w:rFonts w:hint="default" w:ascii="Arial" w:hAnsi="Arial" w:cs="Arial"/>
                <w:b/>
                <w:sz w:val="22"/>
                <w:szCs w:val="22"/>
              </w:rPr>
            </w:pPr>
          </w:p>
        </w:tc>
        <w:tc>
          <w:tcPr>
            <w:tcW w:w="1984" w:type="dxa"/>
            <w:shd w:val="solid" w:color="D0CECE" w:fill="FFFFFF"/>
            <w:noWrap w:val="0"/>
            <w:vAlign w:val="center"/>
          </w:tcPr>
          <w:p w14:paraId="2A16EB7C">
            <w:pPr>
              <w:jc w:val="both"/>
              <w:rPr>
                <w:rFonts w:hint="default" w:ascii="Arial" w:hAnsi="Arial" w:cs="Arial"/>
                <w:sz w:val="22"/>
                <w:szCs w:val="22"/>
              </w:rPr>
            </w:pPr>
          </w:p>
        </w:tc>
        <w:tc>
          <w:tcPr>
            <w:tcW w:w="992" w:type="dxa"/>
            <w:shd w:val="solid" w:color="D0CECE" w:fill="FFFFFF"/>
            <w:noWrap w:val="0"/>
            <w:vAlign w:val="center"/>
          </w:tcPr>
          <w:p w14:paraId="365D74E2">
            <w:pPr>
              <w:jc w:val="both"/>
              <w:rPr>
                <w:rFonts w:hint="default" w:ascii="Arial" w:hAnsi="Arial" w:cs="Arial"/>
                <w:b/>
                <w:sz w:val="22"/>
                <w:szCs w:val="22"/>
              </w:rPr>
            </w:pPr>
          </w:p>
        </w:tc>
        <w:tc>
          <w:tcPr>
            <w:tcW w:w="709" w:type="dxa"/>
            <w:shd w:val="solid" w:color="D0CECE" w:fill="FFFFFF"/>
            <w:noWrap w:val="0"/>
            <w:vAlign w:val="center"/>
          </w:tcPr>
          <w:p w14:paraId="0FFF7402">
            <w:pPr>
              <w:jc w:val="both"/>
              <w:rPr>
                <w:rFonts w:hint="default" w:ascii="Arial" w:hAnsi="Arial" w:cs="Arial"/>
                <w:b/>
                <w:sz w:val="22"/>
                <w:szCs w:val="22"/>
              </w:rPr>
            </w:pPr>
          </w:p>
        </w:tc>
        <w:tc>
          <w:tcPr>
            <w:tcW w:w="2411" w:type="dxa"/>
            <w:shd w:val="solid" w:color="D0CECE" w:fill="FFFFFF"/>
            <w:noWrap w:val="0"/>
            <w:vAlign w:val="top"/>
          </w:tcPr>
          <w:p w14:paraId="7E2E37D5">
            <w:pPr>
              <w:jc w:val="both"/>
              <w:rPr>
                <w:rFonts w:hint="default" w:ascii="Arial" w:hAnsi="Arial" w:cs="Arial"/>
                <w:b/>
                <w:sz w:val="22"/>
                <w:szCs w:val="22"/>
              </w:rPr>
            </w:pPr>
          </w:p>
        </w:tc>
        <w:tc>
          <w:tcPr>
            <w:tcW w:w="1416" w:type="dxa"/>
            <w:gridSpan w:val="2"/>
            <w:shd w:val="solid" w:color="D0CECE" w:fill="FFFFFF"/>
            <w:noWrap w:val="0"/>
            <w:vAlign w:val="top"/>
          </w:tcPr>
          <w:p w14:paraId="3FFFFBE9">
            <w:pPr>
              <w:jc w:val="both"/>
              <w:rPr>
                <w:rFonts w:hint="default" w:ascii="Arial" w:hAnsi="Arial" w:cs="Arial"/>
                <w:b/>
                <w:sz w:val="22"/>
                <w:szCs w:val="22"/>
              </w:rPr>
            </w:pPr>
          </w:p>
        </w:tc>
      </w:tr>
      <w:tr w14:paraId="1B580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915" w:type="dxa"/>
            <w:vMerge w:val="continue"/>
            <w:noWrap w:val="0"/>
            <w:vAlign w:val="center"/>
          </w:tcPr>
          <w:p w14:paraId="24ED7B6D">
            <w:pPr>
              <w:jc w:val="both"/>
              <w:rPr>
                <w:rFonts w:hint="default" w:ascii="Arial" w:hAnsi="Arial" w:eastAsia="Times New Roman" w:cs="Arial"/>
                <w:b/>
                <w:sz w:val="22"/>
                <w:szCs w:val="22"/>
              </w:rPr>
            </w:pPr>
          </w:p>
        </w:tc>
        <w:tc>
          <w:tcPr>
            <w:tcW w:w="1207" w:type="dxa"/>
            <w:shd w:val="solid" w:color="D0CECE" w:fill="FFFFFF"/>
            <w:noWrap w:val="0"/>
            <w:vAlign w:val="center"/>
          </w:tcPr>
          <w:p w14:paraId="1183BAB0">
            <w:pPr>
              <w:jc w:val="both"/>
              <w:rPr>
                <w:rFonts w:hint="default" w:ascii="Arial" w:hAnsi="Arial" w:cs="Arial"/>
                <w:b/>
                <w:sz w:val="22"/>
                <w:szCs w:val="22"/>
              </w:rPr>
            </w:pPr>
          </w:p>
        </w:tc>
        <w:tc>
          <w:tcPr>
            <w:tcW w:w="1984" w:type="dxa"/>
            <w:shd w:val="solid" w:color="D0CECE" w:fill="FFFFFF"/>
            <w:noWrap w:val="0"/>
            <w:vAlign w:val="center"/>
          </w:tcPr>
          <w:p w14:paraId="098786AD">
            <w:pPr>
              <w:jc w:val="both"/>
              <w:rPr>
                <w:rFonts w:hint="default" w:ascii="Arial" w:hAnsi="Arial" w:cs="Arial"/>
                <w:sz w:val="22"/>
                <w:szCs w:val="22"/>
              </w:rPr>
            </w:pPr>
          </w:p>
        </w:tc>
        <w:tc>
          <w:tcPr>
            <w:tcW w:w="992" w:type="dxa"/>
            <w:shd w:val="solid" w:color="D0CECE" w:fill="FFFFFF"/>
            <w:noWrap w:val="0"/>
            <w:vAlign w:val="center"/>
          </w:tcPr>
          <w:p w14:paraId="092B99C6">
            <w:pPr>
              <w:jc w:val="both"/>
              <w:rPr>
                <w:rFonts w:hint="default" w:ascii="Arial" w:hAnsi="Arial" w:cs="Arial"/>
                <w:b/>
                <w:sz w:val="22"/>
                <w:szCs w:val="22"/>
              </w:rPr>
            </w:pPr>
          </w:p>
        </w:tc>
        <w:tc>
          <w:tcPr>
            <w:tcW w:w="709" w:type="dxa"/>
            <w:shd w:val="solid" w:color="D0CECE" w:fill="FFFFFF"/>
            <w:noWrap w:val="0"/>
            <w:vAlign w:val="center"/>
          </w:tcPr>
          <w:p w14:paraId="2C4FBE79">
            <w:pPr>
              <w:jc w:val="both"/>
              <w:rPr>
                <w:rFonts w:hint="default" w:ascii="Arial" w:hAnsi="Arial" w:cs="Arial"/>
                <w:b/>
                <w:sz w:val="22"/>
                <w:szCs w:val="22"/>
              </w:rPr>
            </w:pPr>
          </w:p>
        </w:tc>
        <w:tc>
          <w:tcPr>
            <w:tcW w:w="2411" w:type="dxa"/>
            <w:shd w:val="solid" w:color="D0CECE" w:fill="FFFFFF"/>
            <w:noWrap w:val="0"/>
            <w:vAlign w:val="top"/>
          </w:tcPr>
          <w:p w14:paraId="67B8C5CA">
            <w:pPr>
              <w:jc w:val="both"/>
              <w:rPr>
                <w:rFonts w:hint="default" w:ascii="Arial" w:hAnsi="Arial" w:cs="Arial"/>
                <w:b/>
                <w:sz w:val="22"/>
                <w:szCs w:val="22"/>
              </w:rPr>
            </w:pPr>
          </w:p>
        </w:tc>
        <w:tc>
          <w:tcPr>
            <w:tcW w:w="1416" w:type="dxa"/>
            <w:gridSpan w:val="2"/>
            <w:shd w:val="solid" w:color="D0CECE" w:fill="FFFFFF"/>
            <w:noWrap w:val="0"/>
            <w:vAlign w:val="top"/>
          </w:tcPr>
          <w:p w14:paraId="0DEF3E21">
            <w:pPr>
              <w:jc w:val="both"/>
              <w:rPr>
                <w:rFonts w:hint="default" w:ascii="Arial" w:hAnsi="Arial" w:cs="Arial"/>
                <w:b/>
                <w:sz w:val="22"/>
                <w:szCs w:val="22"/>
              </w:rPr>
            </w:pPr>
          </w:p>
        </w:tc>
      </w:tr>
      <w:tr w14:paraId="0EB58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915" w:type="dxa"/>
            <w:vMerge w:val="continue"/>
            <w:noWrap w:val="0"/>
            <w:vAlign w:val="center"/>
          </w:tcPr>
          <w:p w14:paraId="0541F46E">
            <w:pPr>
              <w:jc w:val="both"/>
              <w:rPr>
                <w:rFonts w:hint="default" w:ascii="Arial" w:hAnsi="Arial" w:eastAsia="Times New Roman" w:cs="Arial"/>
                <w:b/>
                <w:sz w:val="22"/>
                <w:szCs w:val="22"/>
              </w:rPr>
            </w:pPr>
          </w:p>
        </w:tc>
        <w:tc>
          <w:tcPr>
            <w:tcW w:w="1207" w:type="dxa"/>
            <w:shd w:val="solid" w:color="D0CECE" w:fill="FFFFFF"/>
            <w:noWrap w:val="0"/>
            <w:vAlign w:val="center"/>
          </w:tcPr>
          <w:p w14:paraId="70CCAAD7">
            <w:pPr>
              <w:jc w:val="both"/>
              <w:rPr>
                <w:rFonts w:hint="default" w:ascii="Arial" w:hAnsi="Arial" w:cs="Arial"/>
                <w:b/>
                <w:sz w:val="22"/>
                <w:szCs w:val="22"/>
              </w:rPr>
            </w:pPr>
          </w:p>
        </w:tc>
        <w:tc>
          <w:tcPr>
            <w:tcW w:w="1984" w:type="dxa"/>
            <w:shd w:val="solid" w:color="D0CECE" w:fill="FFFFFF"/>
            <w:noWrap w:val="0"/>
            <w:vAlign w:val="center"/>
          </w:tcPr>
          <w:p w14:paraId="0A32341E">
            <w:pPr>
              <w:jc w:val="both"/>
              <w:rPr>
                <w:rFonts w:hint="default" w:ascii="Arial" w:hAnsi="Arial" w:cs="Arial"/>
                <w:sz w:val="22"/>
                <w:szCs w:val="22"/>
              </w:rPr>
            </w:pPr>
          </w:p>
        </w:tc>
        <w:tc>
          <w:tcPr>
            <w:tcW w:w="992" w:type="dxa"/>
            <w:shd w:val="solid" w:color="D0CECE" w:fill="FFFFFF"/>
            <w:noWrap w:val="0"/>
            <w:vAlign w:val="center"/>
          </w:tcPr>
          <w:p w14:paraId="7881C042">
            <w:pPr>
              <w:jc w:val="both"/>
              <w:rPr>
                <w:rFonts w:hint="default" w:ascii="Arial" w:hAnsi="Arial" w:cs="Arial"/>
                <w:b/>
                <w:sz w:val="22"/>
                <w:szCs w:val="22"/>
              </w:rPr>
            </w:pPr>
          </w:p>
        </w:tc>
        <w:tc>
          <w:tcPr>
            <w:tcW w:w="709" w:type="dxa"/>
            <w:shd w:val="solid" w:color="D0CECE" w:fill="FFFFFF"/>
            <w:noWrap w:val="0"/>
            <w:vAlign w:val="center"/>
          </w:tcPr>
          <w:p w14:paraId="5D5948AD">
            <w:pPr>
              <w:jc w:val="both"/>
              <w:rPr>
                <w:rFonts w:hint="default" w:ascii="Arial" w:hAnsi="Arial" w:cs="Arial"/>
                <w:b/>
                <w:sz w:val="22"/>
                <w:szCs w:val="22"/>
              </w:rPr>
            </w:pPr>
          </w:p>
        </w:tc>
        <w:tc>
          <w:tcPr>
            <w:tcW w:w="2411" w:type="dxa"/>
            <w:shd w:val="solid" w:color="D0CECE" w:fill="FFFFFF"/>
            <w:noWrap w:val="0"/>
            <w:vAlign w:val="top"/>
          </w:tcPr>
          <w:p w14:paraId="68B7CDBF">
            <w:pPr>
              <w:jc w:val="both"/>
              <w:rPr>
                <w:rFonts w:hint="default" w:ascii="Arial" w:hAnsi="Arial" w:cs="Arial"/>
                <w:b/>
                <w:sz w:val="22"/>
                <w:szCs w:val="22"/>
              </w:rPr>
            </w:pPr>
          </w:p>
        </w:tc>
        <w:tc>
          <w:tcPr>
            <w:tcW w:w="1416" w:type="dxa"/>
            <w:gridSpan w:val="2"/>
            <w:shd w:val="solid" w:color="D0CECE" w:fill="FFFFFF"/>
            <w:noWrap w:val="0"/>
            <w:vAlign w:val="top"/>
          </w:tcPr>
          <w:p w14:paraId="1232E133">
            <w:pPr>
              <w:jc w:val="both"/>
              <w:rPr>
                <w:rFonts w:hint="default" w:ascii="Arial" w:hAnsi="Arial" w:cs="Arial"/>
                <w:b/>
                <w:sz w:val="22"/>
                <w:szCs w:val="22"/>
              </w:rPr>
            </w:pPr>
          </w:p>
        </w:tc>
      </w:tr>
      <w:tr w14:paraId="358C5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915" w:type="dxa"/>
            <w:vMerge w:val="continue"/>
            <w:noWrap w:val="0"/>
            <w:vAlign w:val="center"/>
          </w:tcPr>
          <w:p w14:paraId="23A43BCA">
            <w:pPr>
              <w:jc w:val="both"/>
              <w:rPr>
                <w:rFonts w:hint="default" w:ascii="Arial" w:hAnsi="Arial" w:eastAsia="Times New Roman" w:cs="Arial"/>
                <w:b/>
                <w:sz w:val="22"/>
                <w:szCs w:val="22"/>
              </w:rPr>
            </w:pPr>
          </w:p>
        </w:tc>
        <w:tc>
          <w:tcPr>
            <w:tcW w:w="1207" w:type="dxa"/>
            <w:shd w:val="solid" w:color="D0CECE" w:fill="FFFFFF"/>
            <w:noWrap w:val="0"/>
            <w:vAlign w:val="center"/>
          </w:tcPr>
          <w:p w14:paraId="277FAEBA">
            <w:pPr>
              <w:jc w:val="both"/>
              <w:rPr>
                <w:rFonts w:hint="default" w:ascii="Arial" w:hAnsi="Arial" w:cs="Arial"/>
                <w:b/>
                <w:sz w:val="22"/>
                <w:szCs w:val="22"/>
              </w:rPr>
            </w:pPr>
          </w:p>
        </w:tc>
        <w:tc>
          <w:tcPr>
            <w:tcW w:w="1984" w:type="dxa"/>
            <w:shd w:val="solid" w:color="D0CECE" w:fill="FFFFFF"/>
            <w:noWrap w:val="0"/>
            <w:vAlign w:val="center"/>
          </w:tcPr>
          <w:p w14:paraId="1D991424">
            <w:pPr>
              <w:jc w:val="both"/>
              <w:rPr>
                <w:rFonts w:hint="default" w:ascii="Arial" w:hAnsi="Arial" w:cs="Arial"/>
                <w:sz w:val="22"/>
                <w:szCs w:val="22"/>
              </w:rPr>
            </w:pPr>
          </w:p>
        </w:tc>
        <w:tc>
          <w:tcPr>
            <w:tcW w:w="992" w:type="dxa"/>
            <w:shd w:val="solid" w:color="D0CECE" w:fill="FFFFFF"/>
            <w:noWrap w:val="0"/>
            <w:vAlign w:val="center"/>
          </w:tcPr>
          <w:p w14:paraId="40FB06F7">
            <w:pPr>
              <w:jc w:val="both"/>
              <w:rPr>
                <w:rFonts w:hint="default" w:ascii="Arial" w:hAnsi="Arial" w:cs="Arial"/>
                <w:b/>
                <w:sz w:val="22"/>
                <w:szCs w:val="22"/>
              </w:rPr>
            </w:pPr>
          </w:p>
        </w:tc>
        <w:tc>
          <w:tcPr>
            <w:tcW w:w="709" w:type="dxa"/>
            <w:shd w:val="solid" w:color="D0CECE" w:fill="FFFFFF"/>
            <w:noWrap w:val="0"/>
            <w:vAlign w:val="center"/>
          </w:tcPr>
          <w:p w14:paraId="569642DB">
            <w:pPr>
              <w:jc w:val="both"/>
              <w:rPr>
                <w:rFonts w:hint="default" w:ascii="Arial" w:hAnsi="Arial" w:cs="Arial"/>
                <w:b/>
                <w:sz w:val="22"/>
                <w:szCs w:val="22"/>
              </w:rPr>
            </w:pPr>
          </w:p>
        </w:tc>
        <w:tc>
          <w:tcPr>
            <w:tcW w:w="2411" w:type="dxa"/>
            <w:shd w:val="solid" w:color="D0CECE" w:fill="FFFFFF"/>
            <w:noWrap w:val="0"/>
            <w:vAlign w:val="top"/>
          </w:tcPr>
          <w:p w14:paraId="5DA29D09">
            <w:pPr>
              <w:jc w:val="both"/>
              <w:rPr>
                <w:rFonts w:hint="default" w:ascii="Arial" w:hAnsi="Arial" w:cs="Arial"/>
                <w:b/>
                <w:sz w:val="22"/>
                <w:szCs w:val="22"/>
              </w:rPr>
            </w:pPr>
          </w:p>
        </w:tc>
        <w:tc>
          <w:tcPr>
            <w:tcW w:w="1416" w:type="dxa"/>
            <w:gridSpan w:val="2"/>
            <w:shd w:val="solid" w:color="D0CECE" w:fill="FFFFFF"/>
            <w:noWrap w:val="0"/>
            <w:vAlign w:val="top"/>
          </w:tcPr>
          <w:p w14:paraId="5DFE401C">
            <w:pPr>
              <w:jc w:val="both"/>
              <w:rPr>
                <w:rFonts w:hint="default" w:ascii="Arial" w:hAnsi="Arial" w:cs="Arial"/>
                <w:b/>
                <w:sz w:val="22"/>
                <w:szCs w:val="22"/>
              </w:rPr>
            </w:pPr>
          </w:p>
        </w:tc>
      </w:tr>
      <w:tr w14:paraId="56B59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915" w:type="dxa"/>
            <w:vMerge w:val="continue"/>
            <w:noWrap w:val="0"/>
            <w:vAlign w:val="center"/>
          </w:tcPr>
          <w:p w14:paraId="5FCBF4BE">
            <w:pPr>
              <w:jc w:val="both"/>
              <w:rPr>
                <w:rFonts w:hint="default" w:ascii="Arial" w:hAnsi="Arial" w:eastAsia="Times New Roman" w:cs="Arial"/>
                <w:b/>
                <w:sz w:val="22"/>
                <w:szCs w:val="22"/>
              </w:rPr>
            </w:pPr>
          </w:p>
        </w:tc>
        <w:tc>
          <w:tcPr>
            <w:tcW w:w="1207" w:type="dxa"/>
            <w:shd w:val="solid" w:color="D0CECE" w:fill="FFFFFF"/>
            <w:noWrap w:val="0"/>
            <w:vAlign w:val="center"/>
          </w:tcPr>
          <w:p w14:paraId="1EF2978E">
            <w:pPr>
              <w:jc w:val="both"/>
              <w:rPr>
                <w:rFonts w:hint="default" w:ascii="Arial" w:hAnsi="Arial" w:cs="Arial"/>
                <w:b/>
                <w:sz w:val="22"/>
                <w:szCs w:val="22"/>
              </w:rPr>
            </w:pPr>
          </w:p>
        </w:tc>
        <w:tc>
          <w:tcPr>
            <w:tcW w:w="1984" w:type="dxa"/>
            <w:shd w:val="solid" w:color="D0CECE" w:fill="FFFFFF"/>
            <w:noWrap w:val="0"/>
            <w:vAlign w:val="center"/>
          </w:tcPr>
          <w:p w14:paraId="5346FB93">
            <w:pPr>
              <w:jc w:val="both"/>
              <w:rPr>
                <w:rFonts w:hint="default" w:ascii="Arial" w:hAnsi="Arial" w:cs="Arial"/>
                <w:sz w:val="22"/>
                <w:szCs w:val="22"/>
              </w:rPr>
            </w:pPr>
          </w:p>
        </w:tc>
        <w:tc>
          <w:tcPr>
            <w:tcW w:w="992" w:type="dxa"/>
            <w:shd w:val="solid" w:color="D0CECE" w:fill="FFFFFF"/>
            <w:noWrap w:val="0"/>
            <w:vAlign w:val="center"/>
          </w:tcPr>
          <w:p w14:paraId="1FA47FDF">
            <w:pPr>
              <w:jc w:val="both"/>
              <w:rPr>
                <w:rFonts w:hint="default" w:ascii="Arial" w:hAnsi="Arial" w:cs="Arial"/>
                <w:b/>
                <w:sz w:val="22"/>
                <w:szCs w:val="22"/>
              </w:rPr>
            </w:pPr>
          </w:p>
        </w:tc>
        <w:tc>
          <w:tcPr>
            <w:tcW w:w="709" w:type="dxa"/>
            <w:shd w:val="solid" w:color="D0CECE" w:fill="FFFFFF"/>
            <w:noWrap w:val="0"/>
            <w:vAlign w:val="center"/>
          </w:tcPr>
          <w:p w14:paraId="3398959E">
            <w:pPr>
              <w:jc w:val="both"/>
              <w:rPr>
                <w:rFonts w:hint="default" w:ascii="Arial" w:hAnsi="Arial" w:cs="Arial"/>
                <w:b/>
                <w:sz w:val="22"/>
                <w:szCs w:val="22"/>
              </w:rPr>
            </w:pPr>
          </w:p>
        </w:tc>
        <w:tc>
          <w:tcPr>
            <w:tcW w:w="2411" w:type="dxa"/>
            <w:shd w:val="solid" w:color="D0CECE" w:fill="FFFFFF"/>
            <w:noWrap w:val="0"/>
            <w:vAlign w:val="top"/>
          </w:tcPr>
          <w:p w14:paraId="51F2DDF9">
            <w:pPr>
              <w:jc w:val="both"/>
              <w:rPr>
                <w:rFonts w:hint="default" w:ascii="Arial" w:hAnsi="Arial" w:cs="Arial"/>
                <w:b/>
                <w:sz w:val="22"/>
                <w:szCs w:val="22"/>
              </w:rPr>
            </w:pPr>
          </w:p>
        </w:tc>
        <w:tc>
          <w:tcPr>
            <w:tcW w:w="1416" w:type="dxa"/>
            <w:gridSpan w:val="2"/>
            <w:shd w:val="solid" w:color="D0CECE" w:fill="FFFFFF"/>
            <w:noWrap w:val="0"/>
            <w:vAlign w:val="top"/>
          </w:tcPr>
          <w:p w14:paraId="24705157">
            <w:pPr>
              <w:jc w:val="both"/>
              <w:rPr>
                <w:rFonts w:hint="default" w:ascii="Arial" w:hAnsi="Arial" w:cs="Arial"/>
                <w:b/>
                <w:sz w:val="22"/>
                <w:szCs w:val="22"/>
              </w:rPr>
            </w:pPr>
          </w:p>
        </w:tc>
      </w:tr>
      <w:tr w14:paraId="28A54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915" w:type="dxa"/>
            <w:vMerge w:val="continue"/>
            <w:noWrap w:val="0"/>
            <w:vAlign w:val="center"/>
          </w:tcPr>
          <w:p w14:paraId="30EA3086">
            <w:pPr>
              <w:jc w:val="both"/>
              <w:rPr>
                <w:rFonts w:hint="default" w:ascii="Arial" w:hAnsi="Arial" w:eastAsia="Times New Roman" w:cs="Arial"/>
                <w:b/>
                <w:sz w:val="22"/>
                <w:szCs w:val="22"/>
              </w:rPr>
            </w:pPr>
          </w:p>
        </w:tc>
        <w:tc>
          <w:tcPr>
            <w:tcW w:w="1207" w:type="dxa"/>
            <w:shd w:val="solid" w:color="D0CECE" w:fill="FFFFFF"/>
            <w:noWrap w:val="0"/>
            <w:vAlign w:val="center"/>
          </w:tcPr>
          <w:p w14:paraId="394BF8BA">
            <w:pPr>
              <w:jc w:val="both"/>
              <w:rPr>
                <w:rFonts w:hint="default" w:ascii="Arial" w:hAnsi="Arial" w:cs="Arial"/>
                <w:b/>
                <w:sz w:val="22"/>
                <w:szCs w:val="22"/>
              </w:rPr>
            </w:pPr>
          </w:p>
        </w:tc>
        <w:tc>
          <w:tcPr>
            <w:tcW w:w="1984" w:type="dxa"/>
            <w:shd w:val="solid" w:color="D0CECE" w:fill="FFFFFF"/>
            <w:noWrap w:val="0"/>
            <w:vAlign w:val="center"/>
          </w:tcPr>
          <w:p w14:paraId="038DE21A">
            <w:pPr>
              <w:jc w:val="both"/>
              <w:rPr>
                <w:rFonts w:hint="default" w:ascii="Arial" w:hAnsi="Arial" w:cs="Arial"/>
                <w:sz w:val="22"/>
                <w:szCs w:val="22"/>
              </w:rPr>
            </w:pPr>
          </w:p>
        </w:tc>
        <w:tc>
          <w:tcPr>
            <w:tcW w:w="992" w:type="dxa"/>
            <w:shd w:val="solid" w:color="D0CECE" w:fill="FFFFFF"/>
            <w:noWrap w:val="0"/>
            <w:vAlign w:val="center"/>
          </w:tcPr>
          <w:p w14:paraId="30301F2D">
            <w:pPr>
              <w:jc w:val="both"/>
              <w:rPr>
                <w:rFonts w:hint="default" w:ascii="Arial" w:hAnsi="Arial" w:cs="Arial"/>
                <w:b/>
                <w:sz w:val="22"/>
                <w:szCs w:val="22"/>
              </w:rPr>
            </w:pPr>
          </w:p>
        </w:tc>
        <w:tc>
          <w:tcPr>
            <w:tcW w:w="709" w:type="dxa"/>
            <w:shd w:val="solid" w:color="D0CECE" w:fill="FFFFFF"/>
            <w:noWrap w:val="0"/>
            <w:vAlign w:val="center"/>
          </w:tcPr>
          <w:p w14:paraId="08FFBE3A">
            <w:pPr>
              <w:jc w:val="both"/>
              <w:rPr>
                <w:rFonts w:hint="default" w:ascii="Arial" w:hAnsi="Arial" w:cs="Arial"/>
                <w:b/>
                <w:sz w:val="22"/>
                <w:szCs w:val="22"/>
              </w:rPr>
            </w:pPr>
          </w:p>
        </w:tc>
        <w:tc>
          <w:tcPr>
            <w:tcW w:w="2411" w:type="dxa"/>
            <w:shd w:val="solid" w:color="D0CECE" w:fill="FFFFFF"/>
            <w:noWrap w:val="0"/>
            <w:vAlign w:val="top"/>
          </w:tcPr>
          <w:p w14:paraId="06DCF943">
            <w:pPr>
              <w:jc w:val="both"/>
              <w:rPr>
                <w:rFonts w:hint="default" w:ascii="Arial" w:hAnsi="Arial" w:cs="Arial"/>
                <w:b/>
                <w:sz w:val="22"/>
                <w:szCs w:val="22"/>
              </w:rPr>
            </w:pPr>
          </w:p>
        </w:tc>
        <w:tc>
          <w:tcPr>
            <w:tcW w:w="1416" w:type="dxa"/>
            <w:gridSpan w:val="2"/>
            <w:shd w:val="solid" w:color="D0CECE" w:fill="FFFFFF"/>
            <w:noWrap w:val="0"/>
            <w:vAlign w:val="top"/>
          </w:tcPr>
          <w:p w14:paraId="6730BB2F">
            <w:pPr>
              <w:jc w:val="both"/>
              <w:rPr>
                <w:rFonts w:hint="default" w:ascii="Arial" w:hAnsi="Arial" w:cs="Arial"/>
                <w:b/>
                <w:sz w:val="22"/>
                <w:szCs w:val="22"/>
              </w:rPr>
            </w:pPr>
          </w:p>
        </w:tc>
      </w:tr>
      <w:tr w14:paraId="78260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8230" w:type="dxa"/>
            <w:gridSpan w:val="7"/>
            <w:shd w:val="solid" w:color="BFBFBF" w:fill="FFFFFF"/>
            <w:noWrap w:val="0"/>
            <w:vAlign w:val="center"/>
          </w:tcPr>
          <w:p w14:paraId="0177E4F9">
            <w:pPr>
              <w:jc w:val="both"/>
              <w:rPr>
                <w:rFonts w:hint="default" w:ascii="Arial" w:hAnsi="Arial" w:cs="Arial"/>
                <w:b/>
                <w:sz w:val="22"/>
                <w:szCs w:val="22"/>
              </w:rPr>
            </w:pPr>
            <w:r>
              <w:rPr>
                <w:rFonts w:hint="default" w:ascii="Arial" w:hAnsi="Arial" w:cs="Arial"/>
                <w:b/>
                <w:sz w:val="22"/>
                <w:szCs w:val="22"/>
              </w:rPr>
              <w:t>TOTAL=</w:t>
            </w:r>
          </w:p>
        </w:tc>
        <w:tc>
          <w:tcPr>
            <w:tcW w:w="1404" w:type="dxa"/>
            <w:shd w:val="solid" w:color="D0CECE" w:fill="FFFFFF"/>
            <w:noWrap w:val="0"/>
            <w:vAlign w:val="center"/>
          </w:tcPr>
          <w:p w14:paraId="1A56A681">
            <w:pPr>
              <w:jc w:val="both"/>
              <w:rPr>
                <w:rFonts w:hint="default" w:ascii="Arial" w:hAnsi="Arial" w:cs="Arial"/>
                <w:b/>
                <w:sz w:val="22"/>
                <w:szCs w:val="22"/>
              </w:rPr>
            </w:pPr>
          </w:p>
        </w:tc>
      </w:tr>
    </w:tbl>
    <w:p w14:paraId="7E979311">
      <w:pPr>
        <w:jc w:val="both"/>
        <w:rPr>
          <w:rFonts w:hint="default" w:ascii="Arial" w:hAnsi="Arial" w:eastAsia="Times New Roman" w:cs="Arial"/>
          <w:b/>
          <w:bCs/>
          <w:color w:val="365F91"/>
          <w:sz w:val="22"/>
          <w:szCs w:val="22"/>
        </w:rPr>
      </w:pPr>
    </w:p>
    <w:p w14:paraId="7A7C9547">
      <w:pPr>
        <w:jc w:val="both"/>
        <w:rPr>
          <w:rFonts w:hint="default" w:ascii="Arial" w:hAnsi="Arial" w:cs="Arial"/>
          <w:color w:val="365F91"/>
          <w:sz w:val="22"/>
          <w:szCs w:val="22"/>
        </w:rPr>
      </w:pPr>
      <w:r>
        <w:rPr>
          <w:rFonts w:hint="default" w:ascii="Arial" w:hAnsi="Arial" w:cs="Arial"/>
          <w:color w:val="365F91"/>
          <w:sz w:val="22"/>
          <w:szCs w:val="22"/>
        </w:rPr>
        <w:br w:type="page" w:clear="all"/>
      </w:r>
      <w:bookmarkEnd w:id="64"/>
      <w:bookmarkEnd w:id="65"/>
      <w:bookmarkEnd w:id="66"/>
      <w:bookmarkEnd w:id="67"/>
    </w:p>
    <w:p w14:paraId="0522C797">
      <w:pPr>
        <w:pStyle w:val="166"/>
        <w:jc w:val="center"/>
        <w:rPr>
          <w:rFonts w:hint="default" w:cs="Arial"/>
          <w:b/>
          <w:bCs/>
          <w:sz w:val="22"/>
          <w:szCs w:val="22"/>
          <w:lang w:val="pt-BR"/>
        </w:rPr>
      </w:pPr>
      <w:bookmarkStart w:id="68" w:name="_Toc370141679"/>
      <w:bookmarkStart w:id="69" w:name="_Toc370129880"/>
      <w:bookmarkStart w:id="70" w:name="_Toc392766890"/>
      <w:bookmarkStart w:id="71" w:name="_Toc370140726"/>
      <w:bookmarkStart w:id="72" w:name="_Toc370934828"/>
      <w:r>
        <w:rPr>
          <w:rFonts w:hint="default" w:ascii="Arial" w:hAnsi="Arial" w:cs="Arial"/>
          <w:b/>
          <w:bCs/>
          <w:sz w:val="22"/>
          <w:szCs w:val="22"/>
        </w:rPr>
        <w:t>ANEXO I</w:t>
      </w:r>
      <w:r>
        <w:rPr>
          <w:rFonts w:hint="default" w:cs="Arial"/>
          <w:b/>
          <w:bCs/>
          <w:sz w:val="22"/>
          <w:szCs w:val="22"/>
          <w:lang w:val="pt-BR"/>
        </w:rPr>
        <w:t>V</w:t>
      </w:r>
    </w:p>
    <w:p w14:paraId="66D970F5">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sz w:val="22"/>
          <w:szCs w:val="22"/>
          <w:lang w:val="pt-BR"/>
        </w:rPr>
      </w:pPr>
    </w:p>
    <w:p w14:paraId="0303381C">
      <w:pPr>
        <w:pBdr>
          <w:top w:val="single" w:color="000000" w:sz="4" w:space="0"/>
          <w:left w:val="single" w:color="000000" w:sz="4" w:space="3"/>
          <w:bottom w:val="single" w:color="000000" w:sz="4" w:space="0"/>
          <w:right w:val="single" w:color="000000" w:sz="4" w:space="3"/>
        </w:pBdr>
        <w:shd w:val="clear" w:color="auto" w:fill="D9D9D9"/>
        <w:spacing w:line="360" w:lineRule="auto"/>
        <w:jc w:val="center"/>
        <w:rPr>
          <w:rFonts w:hint="default" w:ascii="Arial" w:hAnsi="Arial" w:cs="Arial"/>
          <w:sz w:val="22"/>
          <w:szCs w:val="22"/>
        </w:rPr>
      </w:pPr>
      <w:r>
        <w:rPr>
          <w:rFonts w:hint="default" w:ascii="Arial" w:hAnsi="Arial" w:cs="Arial"/>
          <w:b/>
          <w:bCs/>
          <w:sz w:val="22"/>
          <w:szCs w:val="22"/>
        </w:rPr>
        <w:t>MODELO DE TERMO DE RECEBIMENTO DEFINITIVO</w:t>
      </w:r>
      <w:bookmarkEnd w:id="68"/>
      <w:bookmarkEnd w:id="69"/>
      <w:bookmarkEnd w:id="70"/>
      <w:bookmarkEnd w:id="71"/>
      <w:bookmarkEnd w:id="72"/>
    </w:p>
    <w:p w14:paraId="071412AE">
      <w:pPr>
        <w:pStyle w:val="163"/>
        <w:spacing w:line="276" w:lineRule="auto"/>
        <w:jc w:val="both"/>
        <w:rPr>
          <w:rFonts w:hint="default" w:ascii="Arial" w:hAnsi="Arial" w:cs="Arial"/>
          <w:sz w:val="22"/>
          <w:szCs w:val="22"/>
        </w:rPr>
      </w:pPr>
    </w:p>
    <w:tbl>
      <w:tblPr>
        <w:tblStyle w:val="1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78"/>
        <w:gridCol w:w="5350"/>
      </w:tblGrid>
      <w:tr w14:paraId="18332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13291" w:type="dxa"/>
            <w:gridSpan w:val="2"/>
            <w:shd w:val="solid" w:color="A6A6A6" w:fill="FFFFFF"/>
            <w:noWrap w:val="0"/>
            <w:vAlign w:val="center"/>
          </w:tcPr>
          <w:p w14:paraId="196D771C">
            <w:pPr>
              <w:jc w:val="both"/>
              <w:rPr>
                <w:rFonts w:hint="default" w:ascii="Arial" w:hAnsi="Arial" w:cs="Arial"/>
                <w:b/>
                <w:bCs/>
                <w:sz w:val="22"/>
                <w:szCs w:val="22"/>
              </w:rPr>
            </w:pPr>
            <w:r>
              <w:rPr>
                <w:rFonts w:hint="default" w:ascii="Arial" w:hAnsi="Arial" w:cs="Arial"/>
                <w:b/>
                <w:sz w:val="22"/>
                <w:szCs w:val="22"/>
              </w:rPr>
              <w:t>MODELO DE TERMO DE RECEBIMENTO DEFINITIVO</w:t>
            </w:r>
          </w:p>
        </w:tc>
      </w:tr>
      <w:tr w14:paraId="2FD31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91" w:type="dxa"/>
            <w:gridSpan w:val="2"/>
            <w:shd w:val="solid" w:color="A6A6A6" w:fill="FFFFFF"/>
            <w:noWrap w:val="0"/>
            <w:vAlign w:val="top"/>
          </w:tcPr>
          <w:p w14:paraId="0599E2F1">
            <w:pPr>
              <w:jc w:val="both"/>
              <w:rPr>
                <w:rFonts w:hint="default" w:ascii="Arial" w:hAnsi="Arial" w:cs="Arial"/>
                <w:b/>
                <w:bCs/>
                <w:sz w:val="22"/>
                <w:szCs w:val="22"/>
              </w:rPr>
            </w:pPr>
            <w:r>
              <w:rPr>
                <w:rFonts w:hint="default" w:ascii="Arial" w:hAnsi="Arial" w:cs="Arial"/>
                <w:b/>
                <w:bCs/>
                <w:sz w:val="22"/>
                <w:szCs w:val="22"/>
              </w:rPr>
              <w:t>IDENTIFICAÇÃO</w:t>
            </w:r>
          </w:p>
        </w:tc>
      </w:tr>
      <w:tr w14:paraId="21540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22" w:type="dxa"/>
            <w:shd w:val="solid" w:color="D9D9D9" w:fill="FFFFFF"/>
            <w:noWrap w:val="0"/>
            <w:vAlign w:val="top"/>
          </w:tcPr>
          <w:p w14:paraId="08603F29">
            <w:pPr>
              <w:jc w:val="both"/>
              <w:rPr>
                <w:rFonts w:hint="default" w:ascii="Arial" w:hAnsi="Arial" w:cs="Arial"/>
                <w:b/>
                <w:bCs/>
                <w:sz w:val="22"/>
                <w:szCs w:val="22"/>
              </w:rPr>
            </w:pPr>
            <w:r>
              <w:rPr>
                <w:rFonts w:hint="default" w:ascii="Arial" w:hAnsi="Arial" w:cs="Arial"/>
                <w:b/>
                <w:bCs/>
                <w:sz w:val="22"/>
                <w:szCs w:val="22"/>
              </w:rPr>
              <w:t>Processo:</w:t>
            </w:r>
          </w:p>
          <w:p w14:paraId="3D220230">
            <w:pPr>
              <w:jc w:val="both"/>
              <w:rPr>
                <w:rFonts w:hint="default" w:ascii="Arial" w:hAnsi="Arial" w:cs="Arial"/>
                <w:b/>
                <w:bCs/>
                <w:sz w:val="22"/>
                <w:szCs w:val="22"/>
              </w:rPr>
            </w:pPr>
            <w:r>
              <w:rPr>
                <w:rFonts w:hint="default" w:ascii="Arial" w:hAnsi="Arial" w:cs="Arial"/>
                <w:b/>
                <w:bCs/>
                <w:sz w:val="22"/>
                <w:szCs w:val="22"/>
              </w:rPr>
              <w:t>Objeto:</w:t>
            </w:r>
          </w:p>
          <w:p w14:paraId="6A64985E">
            <w:pPr>
              <w:jc w:val="both"/>
              <w:rPr>
                <w:rFonts w:hint="default" w:ascii="Arial" w:hAnsi="Arial" w:cs="Arial"/>
                <w:b/>
                <w:bCs/>
                <w:sz w:val="22"/>
                <w:szCs w:val="22"/>
              </w:rPr>
            </w:pPr>
            <w:r>
              <w:rPr>
                <w:rFonts w:hint="default" w:ascii="Arial" w:hAnsi="Arial" w:cs="Arial"/>
                <w:b/>
                <w:bCs/>
                <w:sz w:val="22"/>
                <w:szCs w:val="22"/>
              </w:rPr>
              <w:t>Contrato:</w:t>
            </w:r>
          </w:p>
          <w:p w14:paraId="2474920D">
            <w:pPr>
              <w:jc w:val="both"/>
              <w:rPr>
                <w:rFonts w:hint="default" w:ascii="Arial" w:hAnsi="Arial" w:cs="Arial"/>
                <w:b/>
                <w:bCs/>
                <w:sz w:val="22"/>
                <w:szCs w:val="22"/>
              </w:rPr>
            </w:pPr>
            <w:r>
              <w:rPr>
                <w:rFonts w:hint="default" w:ascii="Arial" w:hAnsi="Arial" w:cs="Arial"/>
                <w:b/>
                <w:bCs/>
                <w:sz w:val="22"/>
                <w:szCs w:val="22"/>
              </w:rPr>
              <w:t>Empenho:</w:t>
            </w:r>
          </w:p>
          <w:p w14:paraId="0CA1781B">
            <w:pPr>
              <w:jc w:val="both"/>
              <w:rPr>
                <w:rFonts w:hint="default" w:ascii="Arial" w:hAnsi="Arial" w:cs="Arial"/>
                <w:b/>
                <w:bCs/>
                <w:sz w:val="22"/>
                <w:szCs w:val="22"/>
              </w:rPr>
            </w:pPr>
            <w:r>
              <w:rPr>
                <w:rFonts w:hint="default" w:ascii="Arial" w:hAnsi="Arial" w:cs="Arial"/>
                <w:b/>
                <w:bCs/>
                <w:sz w:val="22"/>
                <w:szCs w:val="22"/>
              </w:rPr>
              <w:t>OS:</w:t>
            </w:r>
          </w:p>
          <w:p w14:paraId="373A60B2">
            <w:pPr>
              <w:jc w:val="both"/>
              <w:rPr>
                <w:rFonts w:hint="default" w:ascii="Arial" w:hAnsi="Arial" w:cs="Arial"/>
                <w:b/>
                <w:bCs/>
                <w:sz w:val="22"/>
                <w:szCs w:val="22"/>
              </w:rPr>
            </w:pPr>
            <w:r>
              <w:rPr>
                <w:rFonts w:hint="default" w:ascii="Arial" w:hAnsi="Arial" w:cs="Arial"/>
                <w:b/>
                <w:bCs/>
                <w:sz w:val="22"/>
                <w:szCs w:val="22"/>
              </w:rPr>
              <w:t>PREFEITURA:</w:t>
            </w:r>
          </w:p>
          <w:p w14:paraId="54DED889">
            <w:pPr>
              <w:jc w:val="both"/>
              <w:rPr>
                <w:rFonts w:hint="default" w:ascii="Arial" w:hAnsi="Arial" w:cs="Arial"/>
                <w:b/>
                <w:bCs/>
                <w:sz w:val="22"/>
                <w:szCs w:val="22"/>
              </w:rPr>
            </w:pPr>
            <w:r>
              <w:rPr>
                <w:rFonts w:hint="default" w:ascii="Arial" w:hAnsi="Arial" w:cs="Arial"/>
                <w:b/>
                <w:bCs/>
                <w:sz w:val="22"/>
                <w:szCs w:val="22"/>
              </w:rPr>
              <w:t>EMPRESA:</w:t>
            </w:r>
          </w:p>
        </w:tc>
        <w:tc>
          <w:tcPr>
            <w:tcW w:w="8969" w:type="dxa"/>
            <w:shd w:val="solid" w:color="D9D9D9" w:fill="FFFFFF"/>
            <w:noWrap w:val="0"/>
            <w:vAlign w:val="top"/>
          </w:tcPr>
          <w:p w14:paraId="159D405B">
            <w:pPr>
              <w:jc w:val="both"/>
              <w:rPr>
                <w:rFonts w:hint="default" w:ascii="Arial" w:hAnsi="Arial" w:cs="Arial"/>
                <w:b/>
                <w:bCs/>
                <w:sz w:val="22"/>
                <w:szCs w:val="22"/>
              </w:rPr>
            </w:pPr>
            <w:r>
              <w:rPr>
                <w:rFonts w:hint="default" w:ascii="Arial" w:hAnsi="Arial" w:cs="Arial"/>
                <w:b/>
                <w:bCs/>
                <w:sz w:val="22"/>
                <w:szCs w:val="22"/>
              </w:rPr>
              <w:t>Nº do Ofício / Memorando / Documento:</w:t>
            </w:r>
          </w:p>
        </w:tc>
      </w:tr>
      <w:tr w14:paraId="44998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91" w:type="dxa"/>
            <w:gridSpan w:val="2"/>
            <w:noWrap w:val="0"/>
            <w:vAlign w:val="top"/>
          </w:tcPr>
          <w:p w14:paraId="0074752B">
            <w:pPr>
              <w:jc w:val="both"/>
              <w:rPr>
                <w:rFonts w:hint="default" w:ascii="Arial" w:hAnsi="Arial" w:eastAsia="Times New Roman" w:cs="Arial"/>
                <w:sz w:val="22"/>
                <w:szCs w:val="22"/>
                <w:lang w:eastAsia="pt-BR"/>
              </w:rPr>
            </w:pPr>
            <w:r>
              <w:rPr>
                <w:rFonts w:hint="default" w:ascii="Arial" w:hAnsi="Arial" w:cs="Arial"/>
                <w:sz w:val="22"/>
                <w:szCs w:val="22"/>
                <w:highlight w:val="none"/>
              </w:rPr>
              <w:t xml:space="preserve">Por este instrumento, atestamos para fins de cumprimento do </w:t>
            </w:r>
            <w:r>
              <w:rPr>
                <w:rFonts w:hint="default" w:ascii="Arial" w:hAnsi="Arial" w:cs="Arial"/>
                <w:sz w:val="22"/>
                <w:szCs w:val="22"/>
                <w:highlight w:val="none"/>
                <w:shd w:val="clear" w:color="auto" w:fill="FFFFFF"/>
              </w:rPr>
              <w:t>disposto</w:t>
            </w:r>
            <w:r>
              <w:rPr>
                <w:rFonts w:hint="default" w:ascii="Arial" w:hAnsi="Arial" w:cs="Arial"/>
                <w:sz w:val="22"/>
                <w:szCs w:val="22"/>
                <w:highlight w:val="none"/>
              </w:rPr>
              <w:t>, que os serviços e/ou bens integrantes da ordem de serviço (OS) acima identificada, ou conforme definido no Modelo de Execução do contrato supracitado, atendem às exigências especificadas no Termo de Referência / Projeto Básico do Contrato acima referenciado.</w:t>
            </w:r>
          </w:p>
        </w:tc>
      </w:tr>
      <w:tr w14:paraId="25533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22" w:type="dxa"/>
            <w:shd w:val="solid" w:color="D9D9D9" w:fill="FFFFFF"/>
            <w:noWrap w:val="0"/>
            <w:vAlign w:val="top"/>
          </w:tcPr>
          <w:p w14:paraId="69756F60">
            <w:pPr>
              <w:jc w:val="both"/>
              <w:rPr>
                <w:rFonts w:hint="default" w:ascii="Arial" w:hAnsi="Arial" w:cs="Arial"/>
                <w:b/>
                <w:bCs/>
                <w:sz w:val="22"/>
                <w:szCs w:val="22"/>
              </w:rPr>
            </w:pPr>
            <w:r>
              <w:rPr>
                <w:rFonts w:hint="default" w:ascii="Arial" w:hAnsi="Arial" w:cs="Arial"/>
                <w:b/>
                <w:bCs/>
                <w:sz w:val="22"/>
                <w:szCs w:val="22"/>
              </w:rPr>
              <w:t>DE ACORDO</w:t>
            </w:r>
          </w:p>
        </w:tc>
        <w:tc>
          <w:tcPr>
            <w:tcW w:w="8969" w:type="dxa"/>
            <w:shd w:val="solid" w:color="D9D9D9" w:fill="FFFFFF"/>
            <w:noWrap w:val="0"/>
            <w:vAlign w:val="top"/>
          </w:tcPr>
          <w:p w14:paraId="1F82DCB4">
            <w:pPr>
              <w:jc w:val="both"/>
              <w:rPr>
                <w:rFonts w:hint="default" w:ascii="Arial" w:hAnsi="Arial" w:cs="Arial"/>
                <w:b/>
                <w:bCs/>
                <w:sz w:val="22"/>
                <w:szCs w:val="22"/>
              </w:rPr>
            </w:pPr>
          </w:p>
        </w:tc>
      </w:tr>
      <w:tr w14:paraId="2B72B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22" w:type="dxa"/>
            <w:noWrap w:val="0"/>
            <w:vAlign w:val="top"/>
          </w:tcPr>
          <w:p w14:paraId="2510AF34">
            <w:pPr>
              <w:jc w:val="both"/>
              <w:rPr>
                <w:rFonts w:hint="default" w:ascii="Arial" w:hAnsi="Arial" w:cs="Arial"/>
                <w:b/>
                <w:bCs/>
                <w:sz w:val="22"/>
                <w:szCs w:val="22"/>
              </w:rPr>
            </w:pPr>
            <w:r>
              <w:rPr>
                <w:rFonts w:hint="default" w:ascii="Arial" w:hAnsi="Arial" w:cs="Arial"/>
                <w:b/>
                <w:bCs/>
                <w:sz w:val="22"/>
                <w:szCs w:val="22"/>
              </w:rPr>
              <w:t>PREFEITURA</w:t>
            </w:r>
          </w:p>
          <w:p w14:paraId="23D21025">
            <w:pPr>
              <w:jc w:val="both"/>
              <w:rPr>
                <w:rFonts w:hint="default" w:ascii="Arial" w:hAnsi="Arial" w:cs="Arial"/>
                <w:b/>
                <w:bCs/>
                <w:sz w:val="22"/>
                <w:szCs w:val="22"/>
              </w:rPr>
            </w:pPr>
            <w:r>
              <w:rPr>
                <w:rFonts w:hint="default" w:ascii="Arial" w:hAnsi="Arial" w:cs="Arial"/>
                <w:b/>
                <w:bCs/>
                <w:sz w:val="22"/>
                <w:szCs w:val="22"/>
              </w:rPr>
              <w:t>Fiscal(is) Requisitante(s) do Contrato</w:t>
            </w:r>
          </w:p>
          <w:p w14:paraId="574448E2">
            <w:pPr>
              <w:jc w:val="both"/>
              <w:rPr>
                <w:rFonts w:hint="default" w:ascii="Arial" w:hAnsi="Arial" w:cs="Arial"/>
                <w:b/>
                <w:bCs/>
                <w:sz w:val="22"/>
                <w:szCs w:val="22"/>
              </w:rPr>
            </w:pPr>
            <w:r>
              <w:rPr>
                <w:rFonts w:hint="default" w:ascii="Arial" w:hAnsi="Arial" w:cs="Arial"/>
                <w:b/>
                <w:bCs/>
                <w:sz w:val="22"/>
                <w:szCs w:val="22"/>
              </w:rPr>
              <w:t>______________________</w:t>
            </w:r>
            <w:r>
              <w:rPr>
                <w:rFonts w:hint="default" w:ascii="Arial" w:hAnsi="Arial" w:cs="Arial"/>
                <w:b/>
                <w:bCs/>
                <w:sz w:val="22"/>
                <w:szCs w:val="22"/>
              </w:rPr>
              <w:tab/>
            </w:r>
          </w:p>
          <w:p w14:paraId="461E9B39">
            <w:pPr>
              <w:jc w:val="both"/>
              <w:rPr>
                <w:rFonts w:hint="default" w:ascii="Arial" w:hAnsi="Arial" w:cs="Arial"/>
                <w:b/>
                <w:bCs/>
                <w:sz w:val="22"/>
                <w:szCs w:val="22"/>
              </w:rPr>
            </w:pPr>
            <w:r>
              <w:rPr>
                <w:rFonts w:hint="default" w:ascii="Arial" w:hAnsi="Arial" w:cs="Arial"/>
                <w:b/>
                <w:bCs/>
                <w:i/>
                <w:iCs/>
                <w:sz w:val="22"/>
                <w:szCs w:val="22"/>
              </w:rPr>
              <w:t>&lt;Nome&gt;</w:t>
            </w:r>
            <w:r>
              <w:rPr>
                <w:rFonts w:hint="default" w:ascii="Arial" w:hAnsi="Arial" w:cs="Arial"/>
                <w:b/>
                <w:bCs/>
                <w:i/>
                <w:iCs/>
                <w:sz w:val="22"/>
                <w:szCs w:val="22"/>
              </w:rPr>
              <w:tab/>
            </w:r>
            <w:r>
              <w:rPr>
                <w:rFonts w:hint="default" w:ascii="Arial" w:hAnsi="Arial" w:cs="Arial"/>
                <w:b/>
                <w:bCs/>
                <w:sz w:val="22"/>
                <w:szCs w:val="22"/>
              </w:rPr>
              <w:t>Mat.:</w:t>
            </w:r>
            <w:r>
              <w:rPr>
                <w:rFonts w:hint="default" w:ascii="Arial" w:hAnsi="Arial" w:cs="Arial"/>
                <w:b/>
                <w:bCs/>
                <w:sz w:val="22"/>
                <w:szCs w:val="22"/>
              </w:rPr>
              <w:tab/>
            </w:r>
          </w:p>
          <w:p w14:paraId="76E59BF9">
            <w:pPr>
              <w:jc w:val="both"/>
              <w:rPr>
                <w:rFonts w:hint="default" w:ascii="Arial" w:hAnsi="Arial" w:cs="Arial"/>
                <w:b/>
                <w:bCs/>
                <w:sz w:val="22"/>
                <w:szCs w:val="22"/>
              </w:rPr>
            </w:pPr>
            <w:r>
              <w:rPr>
                <w:rFonts w:hint="default" w:ascii="Arial" w:hAnsi="Arial" w:cs="Arial"/>
                <w:b/>
                <w:bCs/>
                <w:sz w:val="22"/>
                <w:szCs w:val="22"/>
              </w:rPr>
              <w:t>Fiscal(is) Técnico(s) do Contrato</w:t>
            </w:r>
          </w:p>
          <w:p w14:paraId="0F7D55B8">
            <w:pPr>
              <w:jc w:val="both"/>
              <w:rPr>
                <w:rFonts w:hint="default" w:ascii="Arial" w:hAnsi="Arial" w:cs="Arial"/>
                <w:b/>
                <w:bCs/>
                <w:sz w:val="22"/>
                <w:szCs w:val="22"/>
              </w:rPr>
            </w:pPr>
            <w:r>
              <w:rPr>
                <w:rFonts w:hint="default" w:ascii="Arial" w:hAnsi="Arial" w:cs="Arial"/>
                <w:b/>
                <w:bCs/>
                <w:sz w:val="22"/>
                <w:szCs w:val="22"/>
              </w:rPr>
              <w:t>______________________</w:t>
            </w:r>
            <w:r>
              <w:rPr>
                <w:rFonts w:hint="default" w:ascii="Arial" w:hAnsi="Arial" w:cs="Arial"/>
                <w:b/>
                <w:bCs/>
                <w:sz w:val="22"/>
                <w:szCs w:val="22"/>
              </w:rPr>
              <w:tab/>
            </w:r>
          </w:p>
          <w:p w14:paraId="64BA9F1F">
            <w:pPr>
              <w:jc w:val="both"/>
              <w:rPr>
                <w:rFonts w:hint="default" w:ascii="Arial" w:hAnsi="Arial" w:cs="Arial"/>
                <w:b/>
                <w:bCs/>
                <w:sz w:val="22"/>
                <w:szCs w:val="22"/>
              </w:rPr>
            </w:pPr>
            <w:r>
              <w:rPr>
                <w:rFonts w:hint="default" w:ascii="Arial" w:hAnsi="Arial" w:cs="Arial"/>
                <w:b/>
                <w:bCs/>
                <w:i/>
                <w:iCs/>
                <w:sz w:val="22"/>
                <w:szCs w:val="22"/>
              </w:rPr>
              <w:t>&lt;Nome&gt;</w:t>
            </w:r>
            <w:r>
              <w:rPr>
                <w:rFonts w:hint="default" w:ascii="Arial" w:hAnsi="Arial" w:cs="Arial"/>
                <w:b/>
                <w:bCs/>
                <w:i/>
                <w:iCs/>
                <w:sz w:val="22"/>
                <w:szCs w:val="22"/>
              </w:rPr>
              <w:tab/>
            </w:r>
            <w:r>
              <w:rPr>
                <w:rFonts w:hint="default" w:ascii="Arial" w:hAnsi="Arial" w:cs="Arial"/>
                <w:b/>
                <w:bCs/>
                <w:sz w:val="22"/>
                <w:szCs w:val="22"/>
              </w:rPr>
              <w:t>Mat.:</w:t>
            </w:r>
            <w:r>
              <w:rPr>
                <w:rFonts w:hint="default" w:ascii="Arial" w:hAnsi="Arial" w:cs="Arial"/>
                <w:b/>
                <w:bCs/>
                <w:sz w:val="22"/>
                <w:szCs w:val="22"/>
              </w:rPr>
              <w:tab/>
            </w:r>
          </w:p>
          <w:p w14:paraId="3D1E2667">
            <w:pPr>
              <w:jc w:val="both"/>
              <w:rPr>
                <w:rFonts w:hint="default" w:ascii="Arial" w:hAnsi="Arial" w:cs="Arial"/>
                <w:b/>
                <w:bCs/>
                <w:sz w:val="22"/>
                <w:szCs w:val="22"/>
              </w:rPr>
            </w:pPr>
            <w:r>
              <w:rPr>
                <w:rFonts w:hint="default" w:ascii="Arial" w:hAnsi="Arial" w:cs="Arial"/>
                <w:b/>
                <w:bCs/>
                <w:sz w:val="22"/>
                <w:szCs w:val="22"/>
              </w:rPr>
              <w:t>Gestor do Contrato</w:t>
            </w:r>
          </w:p>
          <w:p w14:paraId="072901DF">
            <w:pPr>
              <w:jc w:val="both"/>
              <w:rPr>
                <w:rFonts w:hint="default" w:ascii="Arial" w:hAnsi="Arial" w:cs="Arial"/>
                <w:b/>
                <w:bCs/>
                <w:sz w:val="22"/>
                <w:szCs w:val="22"/>
              </w:rPr>
            </w:pPr>
            <w:r>
              <w:rPr>
                <w:rFonts w:hint="default" w:ascii="Arial" w:hAnsi="Arial" w:cs="Arial"/>
                <w:b/>
                <w:bCs/>
                <w:sz w:val="22"/>
                <w:szCs w:val="22"/>
              </w:rPr>
              <w:t>______________________</w:t>
            </w:r>
            <w:r>
              <w:rPr>
                <w:rFonts w:hint="default" w:ascii="Arial" w:hAnsi="Arial" w:cs="Arial"/>
                <w:b/>
                <w:bCs/>
                <w:sz w:val="22"/>
                <w:szCs w:val="22"/>
              </w:rPr>
              <w:tab/>
            </w:r>
          </w:p>
          <w:p w14:paraId="156A6D8C">
            <w:pPr>
              <w:jc w:val="both"/>
              <w:rPr>
                <w:rFonts w:hint="default" w:ascii="Arial" w:hAnsi="Arial" w:cs="Arial"/>
                <w:b/>
                <w:bCs/>
                <w:sz w:val="22"/>
                <w:szCs w:val="22"/>
              </w:rPr>
            </w:pPr>
            <w:r>
              <w:rPr>
                <w:rFonts w:hint="default" w:ascii="Arial" w:hAnsi="Arial" w:cs="Arial"/>
                <w:b/>
                <w:bCs/>
                <w:i/>
                <w:iCs/>
                <w:sz w:val="22"/>
                <w:szCs w:val="22"/>
              </w:rPr>
              <w:t>&lt;Nome&gt;</w:t>
            </w:r>
            <w:r>
              <w:rPr>
                <w:rFonts w:hint="default" w:ascii="Arial" w:hAnsi="Arial" w:cs="Arial"/>
                <w:b/>
                <w:bCs/>
                <w:i/>
                <w:iCs/>
                <w:sz w:val="22"/>
                <w:szCs w:val="22"/>
              </w:rPr>
              <w:tab/>
            </w:r>
            <w:r>
              <w:rPr>
                <w:rFonts w:hint="default" w:ascii="Arial" w:hAnsi="Arial" w:cs="Arial"/>
                <w:b/>
                <w:bCs/>
                <w:sz w:val="22"/>
                <w:szCs w:val="22"/>
              </w:rPr>
              <w:t>Mat.</w:t>
            </w:r>
          </w:p>
        </w:tc>
        <w:tc>
          <w:tcPr>
            <w:tcW w:w="8969" w:type="dxa"/>
            <w:noWrap w:val="0"/>
            <w:vAlign w:val="top"/>
          </w:tcPr>
          <w:p w14:paraId="30077C08">
            <w:pPr>
              <w:jc w:val="both"/>
              <w:rPr>
                <w:rFonts w:hint="default" w:ascii="Arial" w:hAnsi="Arial" w:cs="Arial"/>
                <w:b/>
                <w:bCs/>
                <w:sz w:val="22"/>
                <w:szCs w:val="22"/>
              </w:rPr>
            </w:pPr>
            <w:r>
              <w:rPr>
                <w:rFonts w:hint="default" w:ascii="Arial" w:hAnsi="Arial" w:cs="Arial"/>
                <w:b/>
                <w:bCs/>
                <w:sz w:val="22"/>
                <w:szCs w:val="22"/>
              </w:rPr>
              <w:t>EMPRESA</w:t>
            </w:r>
          </w:p>
          <w:p w14:paraId="467D78BF">
            <w:pPr>
              <w:jc w:val="both"/>
              <w:rPr>
                <w:rFonts w:hint="default" w:ascii="Arial" w:hAnsi="Arial" w:cs="Arial"/>
                <w:b/>
                <w:bCs/>
                <w:sz w:val="22"/>
                <w:szCs w:val="22"/>
              </w:rPr>
            </w:pPr>
            <w:r>
              <w:rPr>
                <w:rFonts w:hint="default" w:ascii="Arial" w:hAnsi="Arial" w:cs="Arial"/>
                <w:b/>
                <w:bCs/>
                <w:sz w:val="22"/>
                <w:szCs w:val="22"/>
              </w:rPr>
              <w:t>Preposto</w:t>
            </w:r>
          </w:p>
          <w:p w14:paraId="138EE125">
            <w:pPr>
              <w:jc w:val="both"/>
              <w:rPr>
                <w:rFonts w:hint="default" w:ascii="Arial" w:hAnsi="Arial" w:cs="Arial"/>
                <w:b/>
                <w:bCs/>
                <w:sz w:val="22"/>
                <w:szCs w:val="22"/>
              </w:rPr>
            </w:pPr>
            <w:r>
              <w:rPr>
                <w:rFonts w:hint="default" w:ascii="Arial" w:hAnsi="Arial" w:cs="Arial"/>
                <w:b/>
                <w:bCs/>
                <w:sz w:val="22"/>
                <w:szCs w:val="22"/>
              </w:rPr>
              <w:t>______________________</w:t>
            </w:r>
            <w:r>
              <w:rPr>
                <w:rFonts w:hint="default" w:ascii="Arial" w:hAnsi="Arial" w:cs="Arial"/>
                <w:b/>
                <w:bCs/>
                <w:sz w:val="22"/>
                <w:szCs w:val="22"/>
              </w:rPr>
              <w:tab/>
            </w:r>
          </w:p>
          <w:p w14:paraId="58B1463B">
            <w:pPr>
              <w:jc w:val="both"/>
              <w:rPr>
                <w:rFonts w:hint="default" w:ascii="Arial" w:hAnsi="Arial" w:cs="Arial"/>
                <w:b/>
                <w:bCs/>
                <w:i/>
                <w:iCs/>
                <w:sz w:val="22"/>
                <w:szCs w:val="22"/>
              </w:rPr>
            </w:pPr>
            <w:r>
              <w:rPr>
                <w:rFonts w:hint="default" w:ascii="Arial" w:hAnsi="Arial" w:cs="Arial"/>
                <w:b/>
                <w:bCs/>
                <w:i/>
                <w:iCs/>
                <w:sz w:val="22"/>
                <w:szCs w:val="22"/>
              </w:rPr>
              <w:t>&lt;Nome&gt;</w:t>
            </w:r>
            <w:r>
              <w:rPr>
                <w:rFonts w:hint="default" w:ascii="Arial" w:hAnsi="Arial" w:cs="Arial"/>
                <w:b/>
                <w:bCs/>
                <w:i/>
                <w:iCs/>
                <w:sz w:val="22"/>
                <w:szCs w:val="22"/>
              </w:rPr>
              <w:tab/>
            </w:r>
            <w:r>
              <w:rPr>
                <w:rFonts w:hint="default" w:ascii="Arial" w:hAnsi="Arial" w:cs="Arial"/>
                <w:b/>
                <w:bCs/>
                <w:i/>
                <w:iCs/>
                <w:sz w:val="22"/>
                <w:szCs w:val="22"/>
              </w:rPr>
              <w:tab/>
            </w:r>
            <w:r>
              <w:rPr>
                <w:rFonts w:hint="default" w:ascii="Arial" w:hAnsi="Arial" w:cs="Arial"/>
                <w:b/>
                <w:bCs/>
                <w:i/>
                <w:iCs/>
                <w:sz w:val="22"/>
                <w:szCs w:val="22"/>
              </w:rPr>
              <w:tab/>
            </w:r>
            <w:r>
              <w:rPr>
                <w:rFonts w:hint="default" w:ascii="Arial" w:hAnsi="Arial" w:cs="Arial"/>
                <w:b/>
                <w:bCs/>
                <w:i/>
                <w:iCs/>
                <w:sz w:val="22"/>
                <w:szCs w:val="22"/>
              </w:rPr>
              <w:tab/>
            </w:r>
          </w:p>
          <w:p w14:paraId="514E1A45">
            <w:pPr>
              <w:jc w:val="both"/>
              <w:rPr>
                <w:rFonts w:hint="default" w:ascii="Arial" w:hAnsi="Arial" w:cs="Arial"/>
                <w:b/>
                <w:bCs/>
                <w:sz w:val="22"/>
                <w:szCs w:val="22"/>
              </w:rPr>
            </w:pPr>
            <w:r>
              <w:rPr>
                <w:rFonts w:hint="default" w:ascii="Arial" w:hAnsi="Arial" w:cs="Arial"/>
                <w:b/>
                <w:bCs/>
                <w:sz w:val="22"/>
                <w:szCs w:val="22"/>
              </w:rPr>
              <w:t>Mat.:</w:t>
            </w:r>
            <w:r>
              <w:rPr>
                <w:rFonts w:hint="default" w:ascii="Arial" w:hAnsi="Arial" w:cs="Arial"/>
                <w:b/>
                <w:bCs/>
                <w:sz w:val="22"/>
                <w:szCs w:val="22"/>
              </w:rPr>
              <w:tab/>
            </w:r>
            <w:r>
              <w:rPr>
                <w:rFonts w:hint="default" w:ascii="Arial" w:hAnsi="Arial" w:cs="Arial"/>
                <w:b/>
                <w:bCs/>
                <w:sz w:val="22"/>
                <w:szCs w:val="22"/>
              </w:rPr>
              <w:tab/>
            </w:r>
            <w:r>
              <w:rPr>
                <w:rFonts w:hint="default" w:ascii="Arial" w:hAnsi="Arial" w:cs="Arial"/>
                <w:b/>
                <w:bCs/>
                <w:sz w:val="22"/>
                <w:szCs w:val="22"/>
              </w:rPr>
              <w:tab/>
            </w:r>
            <w:r>
              <w:rPr>
                <w:rFonts w:hint="default" w:ascii="Arial" w:hAnsi="Arial" w:cs="Arial"/>
                <w:b/>
                <w:bCs/>
                <w:sz w:val="22"/>
                <w:szCs w:val="22"/>
              </w:rPr>
              <w:tab/>
            </w:r>
            <w:r>
              <w:rPr>
                <w:rFonts w:hint="default" w:ascii="Arial" w:hAnsi="Arial" w:cs="Arial"/>
                <w:b/>
                <w:bCs/>
                <w:sz w:val="22"/>
                <w:szCs w:val="22"/>
              </w:rPr>
              <w:tab/>
            </w:r>
          </w:p>
        </w:tc>
      </w:tr>
    </w:tbl>
    <w:p w14:paraId="06EF3B3A">
      <w:pPr>
        <w:jc w:val="both"/>
        <w:rPr>
          <w:rFonts w:hint="default" w:ascii="Arial" w:hAnsi="Arial" w:cs="Arial"/>
          <w:b/>
          <w:bCs/>
          <w:sz w:val="22"/>
          <w:szCs w:val="22"/>
        </w:rPr>
      </w:pPr>
    </w:p>
    <w:p w14:paraId="21655A8D">
      <w:pPr>
        <w:jc w:val="both"/>
        <w:rPr>
          <w:rFonts w:hint="default" w:ascii="Arial" w:hAnsi="Arial" w:cs="Arial"/>
          <w:b/>
          <w:bCs/>
          <w:sz w:val="22"/>
          <w:szCs w:val="22"/>
        </w:rPr>
      </w:pPr>
    </w:p>
    <w:p w14:paraId="43B14316">
      <w:pPr>
        <w:jc w:val="both"/>
        <w:rPr>
          <w:rFonts w:hint="default" w:ascii="Arial" w:hAnsi="Arial" w:cs="Arial"/>
          <w:b/>
          <w:bCs/>
          <w:sz w:val="22"/>
          <w:szCs w:val="22"/>
        </w:rPr>
      </w:pPr>
    </w:p>
    <w:p w14:paraId="6C283454">
      <w:pPr>
        <w:jc w:val="both"/>
        <w:rPr>
          <w:rFonts w:hint="default" w:ascii="Arial" w:hAnsi="Arial" w:cs="Arial"/>
          <w:b/>
          <w:bCs/>
          <w:sz w:val="22"/>
          <w:szCs w:val="22"/>
        </w:rPr>
      </w:pPr>
    </w:p>
    <w:p w14:paraId="2C570517">
      <w:pPr>
        <w:jc w:val="both"/>
        <w:rPr>
          <w:rFonts w:hint="default" w:ascii="Arial" w:hAnsi="Arial" w:cs="Arial"/>
          <w:sz w:val="22"/>
          <w:szCs w:val="22"/>
          <w:lang w:val="pt-BR"/>
        </w:rPr>
      </w:pPr>
      <w:r>
        <w:rPr>
          <w:rFonts w:hint="default" w:ascii="Arial" w:hAnsi="Arial" w:cs="Arial"/>
          <w:sz w:val="22"/>
          <w:szCs w:val="22"/>
        </w:rPr>
        <w:t>Sinop - MT, ___________ de ________________________ de 20</w:t>
      </w:r>
      <w:r>
        <w:rPr>
          <w:rFonts w:hint="default" w:ascii="Arial" w:hAnsi="Arial" w:cs="Arial"/>
          <w:sz w:val="22"/>
          <w:szCs w:val="22"/>
          <w:lang w:val="pt-BR"/>
        </w:rPr>
        <w:t>24</w:t>
      </w:r>
    </w:p>
    <w:p w14:paraId="677C5E1A">
      <w:pPr>
        <w:pStyle w:val="171"/>
        <w:rPr>
          <w:rFonts w:hint="default" w:ascii="Arial" w:hAnsi="Arial" w:cs="Arial"/>
          <w:sz w:val="22"/>
          <w:szCs w:val="22"/>
        </w:rPr>
        <w:sectPr>
          <w:headerReference r:id="rId3" w:type="default"/>
          <w:footerReference r:id="rId4" w:type="default"/>
          <w:pgSz w:w="11906" w:h="16838"/>
          <w:pgMar w:top="1418" w:right="1701" w:bottom="1418" w:left="1701" w:header="709" w:footer="709" w:gutter="0"/>
          <w:cols w:space="1701" w:num="1"/>
        </w:sectPr>
      </w:pPr>
    </w:p>
    <w:p w14:paraId="6D8C13E6">
      <w:pPr>
        <w:pStyle w:val="166"/>
        <w:jc w:val="center"/>
        <w:rPr>
          <w:rFonts w:hint="default" w:ascii="Arial" w:hAnsi="Arial" w:cs="Arial"/>
          <w:b/>
          <w:bCs/>
          <w:sz w:val="22"/>
          <w:szCs w:val="22"/>
          <w:highlight w:val="none"/>
        </w:rPr>
      </w:pPr>
      <w:bookmarkStart w:id="73" w:name="_Toc392766891"/>
      <w:r>
        <w:rPr>
          <w:rFonts w:hint="default" w:ascii="Arial" w:hAnsi="Arial" w:cs="Arial"/>
          <w:b/>
          <w:bCs/>
          <w:sz w:val="22"/>
          <w:szCs w:val="22"/>
          <w:highlight w:val="none"/>
        </w:rPr>
        <w:t>ANEXO V</w:t>
      </w:r>
    </w:p>
    <w:p w14:paraId="04E81F62">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sz w:val="22"/>
          <w:szCs w:val="22"/>
          <w:lang w:val="pt-BR"/>
        </w:rPr>
      </w:pPr>
    </w:p>
    <w:p w14:paraId="43ECABC3">
      <w:pPr>
        <w:pBdr>
          <w:top w:val="single" w:color="000000" w:sz="4" w:space="0"/>
          <w:left w:val="single" w:color="000000" w:sz="4" w:space="3"/>
          <w:bottom w:val="single" w:color="000000" w:sz="4" w:space="0"/>
          <w:right w:val="single" w:color="000000" w:sz="4" w:space="3"/>
        </w:pBdr>
        <w:shd w:val="clear" w:color="auto" w:fill="D9D9D9"/>
        <w:spacing w:line="360" w:lineRule="auto"/>
        <w:jc w:val="center"/>
        <w:rPr>
          <w:rFonts w:hint="default" w:ascii="Arial" w:hAnsi="Arial" w:cs="Arial"/>
          <w:sz w:val="22"/>
          <w:szCs w:val="22"/>
        </w:rPr>
      </w:pPr>
      <w:r>
        <w:rPr>
          <w:rFonts w:hint="default" w:ascii="Arial" w:hAnsi="Arial" w:cs="Arial"/>
          <w:b/>
          <w:bCs/>
          <w:sz w:val="22"/>
          <w:szCs w:val="22"/>
        </w:rPr>
        <w:t>MODELO DE MODELO DE DECLARA</w:t>
      </w:r>
      <w:r>
        <w:rPr>
          <w:rFonts w:hint="default" w:ascii="Arial" w:hAnsi="Arial" w:cs="Arial"/>
          <w:b/>
          <w:bCs/>
          <w:sz w:val="22"/>
          <w:szCs w:val="22"/>
          <w:lang w:val="pt-BR"/>
        </w:rPr>
        <w:t>ÇÃ</w:t>
      </w:r>
      <w:r>
        <w:rPr>
          <w:rFonts w:hint="default" w:ascii="Arial" w:hAnsi="Arial" w:cs="Arial"/>
          <w:b/>
          <w:bCs/>
          <w:sz w:val="22"/>
          <w:szCs w:val="22"/>
        </w:rPr>
        <w:t>O DE VISTORIA TÉCNICA</w:t>
      </w:r>
      <w:bookmarkEnd w:id="73"/>
    </w:p>
    <w:p w14:paraId="3B44F61D">
      <w:pPr>
        <w:jc w:val="center"/>
        <w:rPr>
          <w:rFonts w:hint="default" w:ascii="Arial" w:hAnsi="Arial" w:cs="Arial"/>
          <w:b/>
          <w:bCs/>
          <w:sz w:val="22"/>
          <w:szCs w:val="22"/>
        </w:rPr>
      </w:pPr>
    </w:p>
    <w:p w14:paraId="37F1684D">
      <w:pPr>
        <w:jc w:val="center"/>
        <w:rPr>
          <w:rFonts w:hint="default" w:ascii="Arial" w:hAnsi="Arial" w:cs="Arial"/>
          <w:b/>
          <w:bCs/>
          <w:sz w:val="22"/>
          <w:szCs w:val="22"/>
        </w:rPr>
      </w:pPr>
      <w:r>
        <w:rPr>
          <w:rFonts w:hint="default" w:ascii="Arial" w:hAnsi="Arial" w:cs="Arial"/>
          <w:b/>
          <w:bCs/>
          <w:sz w:val="22"/>
          <w:szCs w:val="22"/>
        </w:rPr>
        <w:t>DECLARA</w:t>
      </w:r>
      <w:r>
        <w:rPr>
          <w:rFonts w:hint="default" w:ascii="Arial" w:hAnsi="Arial" w:cs="Arial"/>
          <w:b/>
          <w:bCs/>
          <w:sz w:val="22"/>
          <w:szCs w:val="22"/>
          <w:lang w:val="pt-BR"/>
        </w:rPr>
        <w:t>ÇÃ</w:t>
      </w:r>
      <w:r>
        <w:rPr>
          <w:rFonts w:hint="default" w:ascii="Arial" w:hAnsi="Arial" w:cs="Arial"/>
          <w:b/>
          <w:bCs/>
          <w:sz w:val="22"/>
          <w:szCs w:val="22"/>
        </w:rPr>
        <w:t>O DE VISTORIA TÉCNICA</w:t>
      </w:r>
    </w:p>
    <w:p w14:paraId="3D532E44">
      <w:pPr>
        <w:jc w:val="both"/>
        <w:rPr>
          <w:rFonts w:hint="default" w:ascii="Arial" w:hAnsi="Arial" w:cs="Arial"/>
          <w:b/>
          <w:bCs/>
          <w:sz w:val="22"/>
          <w:szCs w:val="22"/>
        </w:rPr>
      </w:pPr>
    </w:p>
    <w:p w14:paraId="2D453A8A">
      <w:pPr>
        <w:jc w:val="both"/>
        <w:rPr>
          <w:rFonts w:hint="default" w:ascii="Arial" w:hAnsi="Arial" w:cs="Arial"/>
          <w:bCs/>
          <w:sz w:val="22"/>
          <w:szCs w:val="22"/>
        </w:rPr>
      </w:pPr>
      <w:r>
        <w:rPr>
          <w:rFonts w:hint="default" w:ascii="Arial" w:hAnsi="Arial" w:cs="Arial"/>
          <w:bCs/>
          <w:sz w:val="22"/>
          <w:szCs w:val="22"/>
        </w:rPr>
        <w:t xml:space="preserve">Pelo presente, declaramos para fins de participação do processo licitatório para </w:t>
      </w:r>
      <w:r>
        <w:rPr>
          <w:rFonts w:hint="default" w:ascii="Arial" w:hAnsi="Arial" w:eastAsia="SimSun" w:cs="Arial"/>
          <w:i w:val="0"/>
          <w:iCs w:val="0"/>
          <w:color w:val="000000"/>
          <w:kern w:val="0"/>
          <w:sz w:val="22"/>
          <w:szCs w:val="22"/>
          <w:u w:val="none"/>
          <w:lang w:val="en-US" w:eastAsia="zh-CN" w:bidi="ar"/>
        </w:rPr>
        <w:t>CONTRATAÇÃO DE EMPRESA ESPECIALIZADA PARA LOCAÇÃO DE SISTEMA DE DATA CENTER PARA SISTEMAS CRÍTICOS COMPUTACIONAIS E DE TELECOMUNICAÇÕES, CONTEMPLANDO SERVIÇOS DE MANUTENÇÃO PREDITIVA, PREVENTIVA E CORRETIVA, COMPREENDENDO A LOCAÇÃO DE CONTAINER, COM FORNECIMENTO DE AMBIENTES DE ALTA DISPONIBILIDADE PARA SISTEMAS CRÍTICOS COMPUTACIONAIS E DE TELECOMUNICAÇÕES, CONFORME CONDIÇÕES ESTABELECIDAS NESTE TERMO DE REFERÊNCIA. A SOLUÇÃO DEVERÁ INCLUIR O FORNECIMENTO, INSTALAÇÃO E TESTES DE DISPOSITIVOS ELÉTRICO-ELETRÔNICOS, MECÂNICOS E LÓGICOS, COM PASSIVOS: ORGANIZADOS, IDENTIFICADOS E CERTIFICADOS</w:t>
      </w:r>
      <w:r>
        <w:rPr>
          <w:rFonts w:hint="default" w:ascii="Arial" w:hAnsi="Arial" w:eastAsia="SimSun" w:cs="Arial"/>
          <w:i w:val="0"/>
          <w:iCs w:val="0"/>
          <w:color w:val="000000"/>
          <w:kern w:val="0"/>
          <w:sz w:val="22"/>
          <w:szCs w:val="22"/>
          <w:u w:val="none"/>
          <w:lang w:val="pt-BR" w:eastAsia="zh-CN" w:bidi="ar"/>
        </w:rPr>
        <w:t xml:space="preserve"> E SERVIÇO DE MOVIMENTAÇÃO DE EQUIPAMENTOS (MOVING)</w:t>
      </w:r>
      <w:r>
        <w:rPr>
          <w:rFonts w:hint="default" w:ascii="Arial" w:hAnsi="Arial" w:cs="Arial"/>
          <w:bCs/>
          <w:sz w:val="22"/>
          <w:szCs w:val="22"/>
        </w:rPr>
        <w:t xml:space="preserve"> (conforme Termo de Referência e seus anexos), que o(a) Sr.(a) ________________________________________________________, representante da empresa __________________________________________________, CNPJ nº ___________________, situada no endereço___________________ compareceu a </w:t>
      </w:r>
      <w:r>
        <w:rPr>
          <w:rFonts w:hint="default" w:ascii="Arial" w:hAnsi="Arial" w:cs="Arial"/>
          <w:bCs/>
          <w:sz w:val="22"/>
          <w:szCs w:val="22"/>
          <w:lang w:val="pt-BR"/>
        </w:rPr>
        <w:t>Prefeitura de Sinop/MT,</w:t>
      </w:r>
      <w:r>
        <w:rPr>
          <w:rFonts w:hint="default" w:ascii="Arial" w:hAnsi="Arial" w:cs="Arial"/>
          <w:bCs/>
          <w:sz w:val="22"/>
          <w:szCs w:val="22"/>
        </w:rPr>
        <w:t xml:space="preserve"> </w:t>
      </w:r>
      <w:r>
        <w:rPr>
          <w:rFonts w:hint="default" w:ascii="Arial" w:hAnsi="Arial" w:cs="Arial"/>
          <w:b/>
          <w:bCs/>
          <w:sz w:val="22"/>
          <w:szCs w:val="22"/>
        </w:rPr>
        <w:t>para se cientificar das peculiaridades</w:t>
      </w:r>
      <w:r>
        <w:rPr>
          <w:rFonts w:hint="default" w:ascii="Arial" w:hAnsi="Arial" w:cs="Arial"/>
          <w:bCs/>
          <w:sz w:val="22"/>
          <w:szCs w:val="22"/>
        </w:rPr>
        <w:t xml:space="preserve">, dos atuais equipamentos de rede e segurança, das condições no local, do ambiente, das possíveis dificuldades, do padrão das instalações, configurações de rede da PREFEITURA e peculiaridade dos serviços a serem executadas, assumindo total responsabilidade pelo cumprimento das atividades e garantia do perfeito funcionamento do </w:t>
      </w:r>
      <w:r>
        <w:rPr>
          <w:rFonts w:hint="default" w:ascii="Arial" w:hAnsi="Arial" w:cs="Arial"/>
          <w:bCs/>
          <w:i/>
          <w:sz w:val="22"/>
          <w:szCs w:val="22"/>
        </w:rPr>
        <w:t>CENTRO DE PROCESSAMENTO DE DADOS</w:t>
      </w:r>
      <w:r>
        <w:rPr>
          <w:rFonts w:hint="default" w:ascii="Arial" w:hAnsi="Arial" w:cs="Arial"/>
          <w:bCs/>
          <w:sz w:val="22"/>
          <w:szCs w:val="22"/>
        </w:rPr>
        <w:t xml:space="preserve"> a ser instalado na PREFEITURA.</w:t>
      </w:r>
    </w:p>
    <w:p w14:paraId="1675668D">
      <w:pPr>
        <w:jc w:val="both"/>
        <w:rPr>
          <w:rFonts w:hint="default" w:ascii="Arial" w:hAnsi="Arial" w:cs="Arial"/>
          <w:bCs/>
          <w:sz w:val="22"/>
          <w:szCs w:val="22"/>
        </w:rPr>
      </w:pPr>
      <w:r>
        <w:rPr>
          <w:rFonts w:hint="default" w:ascii="Arial" w:hAnsi="Arial" w:cs="Arial"/>
          <w:bCs/>
          <w:sz w:val="22"/>
          <w:szCs w:val="22"/>
        </w:rPr>
        <w:t>_______________________, _____, de __________________ de 202</w:t>
      </w:r>
      <w:r>
        <w:rPr>
          <w:rFonts w:hint="default" w:ascii="Arial" w:hAnsi="Arial" w:cs="Arial"/>
          <w:bCs/>
          <w:sz w:val="22"/>
          <w:szCs w:val="22"/>
          <w:lang w:val="pt-BR"/>
        </w:rPr>
        <w:t>4</w:t>
      </w:r>
      <w:r>
        <w:rPr>
          <w:rFonts w:hint="default" w:ascii="Arial" w:hAnsi="Arial" w:cs="Arial"/>
          <w:bCs/>
          <w:sz w:val="22"/>
          <w:szCs w:val="22"/>
        </w:rPr>
        <w:t>.</w:t>
      </w:r>
    </w:p>
    <w:p w14:paraId="709378F3">
      <w:pPr>
        <w:jc w:val="both"/>
        <w:rPr>
          <w:rFonts w:hint="default" w:ascii="Arial" w:hAnsi="Arial" w:cs="Arial"/>
          <w:bCs/>
          <w:sz w:val="22"/>
          <w:szCs w:val="22"/>
        </w:rPr>
      </w:pPr>
      <w:r>
        <w:rPr>
          <w:rFonts w:hint="default" w:ascii="Arial" w:hAnsi="Arial" w:cs="Arial"/>
          <w:bCs/>
          <w:sz w:val="22"/>
          <w:szCs w:val="22"/>
        </w:rPr>
        <w:t>__________________________________________________________</w:t>
      </w:r>
    </w:p>
    <w:p w14:paraId="0AC1489B">
      <w:pPr>
        <w:jc w:val="both"/>
        <w:rPr>
          <w:rFonts w:hint="default" w:ascii="Arial" w:hAnsi="Arial" w:cs="Arial"/>
          <w:bCs/>
          <w:sz w:val="22"/>
          <w:szCs w:val="22"/>
        </w:rPr>
      </w:pPr>
      <w:r>
        <w:rPr>
          <w:rFonts w:hint="default" w:ascii="Arial" w:hAnsi="Arial" w:cs="Arial"/>
          <w:bCs/>
          <w:sz w:val="22"/>
          <w:szCs w:val="22"/>
        </w:rPr>
        <w:t>Carimbo e assinatura do representante legal da empresa</w:t>
      </w:r>
    </w:p>
    <w:p w14:paraId="3135CBF5">
      <w:pPr>
        <w:jc w:val="both"/>
        <w:rPr>
          <w:rFonts w:hint="default" w:ascii="Arial" w:hAnsi="Arial" w:cs="Arial"/>
          <w:bCs/>
          <w:sz w:val="22"/>
          <w:szCs w:val="22"/>
        </w:rPr>
      </w:pPr>
      <w:r>
        <w:rPr>
          <w:rFonts w:hint="default" w:ascii="Arial" w:hAnsi="Arial" w:cs="Arial"/>
          <w:bCs/>
          <w:sz w:val="22"/>
          <w:szCs w:val="22"/>
        </w:rPr>
        <w:t>Nome:_______________________________</w:t>
      </w:r>
    </w:p>
    <w:p w14:paraId="1A63B3E7">
      <w:pPr>
        <w:jc w:val="both"/>
        <w:rPr>
          <w:rFonts w:hint="default" w:ascii="Arial" w:hAnsi="Arial" w:cs="Arial"/>
          <w:bCs/>
          <w:sz w:val="22"/>
          <w:szCs w:val="22"/>
        </w:rPr>
      </w:pPr>
      <w:r>
        <w:rPr>
          <w:rFonts w:hint="default" w:ascii="Arial" w:hAnsi="Arial" w:cs="Arial"/>
          <w:bCs/>
          <w:sz w:val="22"/>
          <w:szCs w:val="22"/>
        </w:rPr>
        <w:t>Cargo:_______________________________</w:t>
      </w:r>
    </w:p>
    <w:p w14:paraId="704D898A">
      <w:pPr>
        <w:jc w:val="both"/>
        <w:rPr>
          <w:rFonts w:hint="default" w:ascii="Arial" w:hAnsi="Arial" w:cs="Arial"/>
          <w:bCs/>
          <w:sz w:val="22"/>
          <w:szCs w:val="22"/>
        </w:rPr>
      </w:pPr>
      <w:r>
        <w:rPr>
          <w:rFonts w:hint="default" w:ascii="Arial" w:hAnsi="Arial" w:cs="Arial"/>
          <w:bCs/>
          <w:sz w:val="22"/>
          <w:szCs w:val="22"/>
        </w:rPr>
        <w:t>RG:_________________________________</w:t>
      </w:r>
    </w:p>
    <w:p w14:paraId="45824DC8">
      <w:pPr>
        <w:jc w:val="both"/>
        <w:rPr>
          <w:rFonts w:hint="default" w:ascii="Arial" w:hAnsi="Arial" w:cs="Arial"/>
          <w:bCs/>
          <w:sz w:val="22"/>
          <w:szCs w:val="22"/>
        </w:rPr>
      </w:pPr>
      <w:r>
        <w:rPr>
          <w:rFonts w:hint="default" w:ascii="Arial" w:hAnsi="Arial" w:cs="Arial"/>
          <w:bCs/>
          <w:sz w:val="22"/>
          <w:szCs w:val="22"/>
        </w:rPr>
        <w:t>OBS: Esta declaração deverá ser entregue junto com a documentação de HABILITAÇÃO</w:t>
      </w:r>
    </w:p>
    <w:p w14:paraId="073AA036">
      <w:pPr>
        <w:rPr>
          <w:rFonts w:hint="default" w:ascii="Arial" w:hAnsi="Arial" w:cs="Arial"/>
          <w:bCs/>
          <w:sz w:val="22"/>
          <w:szCs w:val="22"/>
        </w:rPr>
      </w:pPr>
      <w:r>
        <w:rPr>
          <w:rFonts w:hint="default" w:ascii="Arial" w:hAnsi="Arial" w:cs="Arial"/>
          <w:bCs/>
          <w:sz w:val="22"/>
          <w:szCs w:val="22"/>
        </w:rPr>
        <w:br w:type="page"/>
      </w:r>
    </w:p>
    <w:p w14:paraId="6D835A51">
      <w:pPr>
        <w:jc w:val="both"/>
        <w:rPr>
          <w:rFonts w:hint="default" w:ascii="Arial" w:hAnsi="Arial" w:cs="Arial"/>
          <w:bCs/>
          <w:sz w:val="22"/>
          <w:szCs w:val="22"/>
        </w:rPr>
      </w:pPr>
    </w:p>
    <w:p w14:paraId="70821BB2">
      <w:pPr>
        <w:pStyle w:val="166"/>
        <w:jc w:val="center"/>
        <w:rPr>
          <w:rFonts w:hint="default" w:cs="Arial"/>
          <w:b/>
          <w:bCs/>
          <w:sz w:val="22"/>
          <w:szCs w:val="22"/>
          <w:highlight w:val="none"/>
          <w:lang w:val="pt-BR"/>
        </w:rPr>
      </w:pPr>
      <w:r>
        <w:rPr>
          <w:rFonts w:hint="default" w:ascii="Arial" w:hAnsi="Arial" w:cs="Arial"/>
          <w:b/>
          <w:bCs/>
          <w:sz w:val="22"/>
          <w:szCs w:val="22"/>
          <w:highlight w:val="none"/>
        </w:rPr>
        <w:t>ANEXO V</w:t>
      </w:r>
      <w:r>
        <w:rPr>
          <w:rFonts w:hint="default" w:cs="Arial"/>
          <w:b/>
          <w:bCs/>
          <w:sz w:val="22"/>
          <w:szCs w:val="22"/>
          <w:highlight w:val="none"/>
          <w:lang w:val="pt-BR"/>
        </w:rPr>
        <w:t>I</w:t>
      </w:r>
    </w:p>
    <w:p w14:paraId="0E211369">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sz w:val="22"/>
          <w:szCs w:val="22"/>
          <w:lang w:val="pt-BR"/>
        </w:rPr>
      </w:pPr>
    </w:p>
    <w:p w14:paraId="78B02E61">
      <w:pPr>
        <w:pBdr>
          <w:top w:val="single" w:color="000000" w:sz="4" w:space="0"/>
          <w:left w:val="single" w:color="000000" w:sz="4" w:space="3"/>
          <w:bottom w:val="single" w:color="000000" w:sz="4" w:space="0"/>
          <w:right w:val="single" w:color="000000" w:sz="4" w:space="3"/>
        </w:pBdr>
        <w:shd w:val="clear" w:color="auto" w:fill="D9D9D9"/>
        <w:spacing w:line="360" w:lineRule="auto"/>
        <w:jc w:val="center"/>
        <w:rPr>
          <w:rFonts w:hint="default" w:ascii="Arial" w:hAnsi="Arial" w:cs="Arial"/>
          <w:sz w:val="22"/>
          <w:szCs w:val="22"/>
        </w:rPr>
      </w:pPr>
      <w:r>
        <w:rPr>
          <w:rFonts w:hint="default" w:ascii="Arial" w:hAnsi="Arial" w:cs="Arial"/>
          <w:b/>
          <w:bCs/>
          <w:sz w:val="22"/>
          <w:szCs w:val="22"/>
        </w:rPr>
        <w:t>MODELO DE DECLARA</w:t>
      </w:r>
      <w:r>
        <w:rPr>
          <w:rFonts w:hint="default" w:ascii="Arial" w:hAnsi="Arial" w:cs="Arial"/>
          <w:b/>
          <w:bCs/>
          <w:sz w:val="22"/>
          <w:szCs w:val="22"/>
          <w:lang w:val="pt-BR"/>
        </w:rPr>
        <w:t>ÇÃ</w:t>
      </w:r>
      <w:r>
        <w:rPr>
          <w:rFonts w:hint="default" w:ascii="Arial" w:hAnsi="Arial" w:cs="Arial"/>
          <w:b/>
          <w:bCs/>
          <w:sz w:val="22"/>
          <w:szCs w:val="22"/>
        </w:rPr>
        <w:t>O DE DESISTÊNCIA DE VISTORIA TÉCNICA</w:t>
      </w:r>
    </w:p>
    <w:p w14:paraId="3A75EE84">
      <w:pPr>
        <w:jc w:val="center"/>
        <w:rPr>
          <w:rFonts w:hint="default" w:ascii="Arial" w:hAnsi="Arial" w:cs="Arial"/>
          <w:b/>
          <w:bCs/>
          <w:sz w:val="22"/>
          <w:szCs w:val="22"/>
        </w:rPr>
      </w:pPr>
    </w:p>
    <w:p w14:paraId="52B54838">
      <w:pPr>
        <w:jc w:val="center"/>
        <w:rPr>
          <w:rFonts w:hint="default" w:ascii="Arial" w:hAnsi="Arial" w:cs="Arial"/>
          <w:b/>
          <w:bCs/>
          <w:sz w:val="22"/>
          <w:szCs w:val="22"/>
        </w:rPr>
      </w:pPr>
      <w:r>
        <w:rPr>
          <w:rFonts w:hint="default" w:ascii="Arial" w:hAnsi="Arial" w:cs="Arial"/>
          <w:b/>
          <w:bCs/>
          <w:sz w:val="22"/>
          <w:szCs w:val="22"/>
        </w:rPr>
        <w:t>DECLARA</w:t>
      </w:r>
      <w:r>
        <w:rPr>
          <w:rFonts w:hint="default" w:ascii="Arial" w:hAnsi="Arial" w:cs="Arial"/>
          <w:b/>
          <w:bCs/>
          <w:sz w:val="22"/>
          <w:szCs w:val="22"/>
          <w:lang w:val="pt-BR"/>
        </w:rPr>
        <w:t>ÇÃ</w:t>
      </w:r>
      <w:r>
        <w:rPr>
          <w:rFonts w:hint="default" w:ascii="Arial" w:hAnsi="Arial" w:cs="Arial"/>
          <w:b/>
          <w:bCs/>
          <w:sz w:val="22"/>
          <w:szCs w:val="22"/>
        </w:rPr>
        <w:t>O DE DESISTÊNCIA DE VISTORIA TÉCNICA</w:t>
      </w:r>
    </w:p>
    <w:p w14:paraId="054F91FB">
      <w:pPr>
        <w:jc w:val="both"/>
        <w:rPr>
          <w:rFonts w:hint="default" w:ascii="Arial" w:hAnsi="Arial" w:cs="Arial"/>
          <w:b/>
          <w:bCs/>
          <w:sz w:val="22"/>
          <w:szCs w:val="22"/>
        </w:rPr>
      </w:pPr>
    </w:p>
    <w:p w14:paraId="6D0F1AAD">
      <w:pPr>
        <w:jc w:val="both"/>
        <w:rPr>
          <w:rFonts w:hint="default" w:ascii="Arial" w:hAnsi="Arial" w:cs="Arial"/>
          <w:bCs/>
          <w:sz w:val="22"/>
          <w:szCs w:val="22"/>
        </w:rPr>
      </w:pPr>
      <w:r>
        <w:rPr>
          <w:rFonts w:hint="default" w:ascii="Arial" w:hAnsi="Arial" w:cs="Arial"/>
          <w:bCs/>
          <w:sz w:val="22"/>
          <w:szCs w:val="22"/>
        </w:rPr>
        <w:t>Pelo presente, a empresa</w:t>
      </w:r>
    </w:p>
    <w:p w14:paraId="32B42A06">
      <w:pPr>
        <w:jc w:val="both"/>
        <w:rPr>
          <w:rFonts w:hint="default" w:ascii="Arial" w:hAnsi="Arial" w:cs="Arial"/>
          <w:bCs/>
          <w:sz w:val="22"/>
          <w:szCs w:val="22"/>
        </w:rPr>
      </w:pPr>
      <w:r>
        <w:rPr>
          <w:rFonts w:hint="default" w:ascii="Arial" w:hAnsi="Arial" w:cs="Arial"/>
          <w:bCs/>
          <w:sz w:val="22"/>
          <w:szCs w:val="22"/>
        </w:rPr>
        <w:t xml:space="preserve"> _____________________________________________________,</w:t>
      </w:r>
    </w:p>
    <w:p w14:paraId="64EA8293">
      <w:pPr>
        <w:jc w:val="both"/>
        <w:rPr>
          <w:rFonts w:hint="default" w:ascii="Arial" w:hAnsi="Arial" w:cs="Arial"/>
          <w:bCs/>
          <w:sz w:val="22"/>
          <w:szCs w:val="22"/>
        </w:rPr>
      </w:pPr>
      <w:r>
        <w:rPr>
          <w:rFonts w:hint="default" w:ascii="Arial" w:hAnsi="Arial" w:cs="Arial"/>
          <w:bCs/>
          <w:sz w:val="22"/>
          <w:szCs w:val="22"/>
        </w:rPr>
        <w:t>CNPJ nº ________________, situada no endereço:</w:t>
      </w:r>
    </w:p>
    <w:p w14:paraId="418B3755">
      <w:pPr>
        <w:jc w:val="both"/>
        <w:rPr>
          <w:rFonts w:hint="default" w:ascii="Arial" w:hAnsi="Arial" w:cs="Arial"/>
          <w:bCs/>
          <w:sz w:val="22"/>
          <w:szCs w:val="22"/>
        </w:rPr>
      </w:pPr>
      <w:r>
        <w:rPr>
          <w:rFonts w:hint="default" w:ascii="Arial" w:hAnsi="Arial" w:cs="Arial"/>
          <w:bCs/>
          <w:sz w:val="22"/>
          <w:szCs w:val="22"/>
        </w:rPr>
        <w:t xml:space="preserve"> __________________________________________, por intermédio de seu Representante Legal, o(a) Sr. (a)</w:t>
      </w:r>
    </w:p>
    <w:p w14:paraId="7EE8392E">
      <w:pPr>
        <w:jc w:val="both"/>
        <w:rPr>
          <w:rFonts w:hint="default" w:ascii="Arial" w:hAnsi="Arial" w:cs="Arial"/>
          <w:bCs/>
          <w:sz w:val="22"/>
          <w:szCs w:val="22"/>
        </w:rPr>
      </w:pPr>
      <w:r>
        <w:rPr>
          <w:rFonts w:hint="default" w:ascii="Arial" w:hAnsi="Arial" w:cs="Arial"/>
          <w:bCs/>
          <w:sz w:val="22"/>
          <w:szCs w:val="22"/>
        </w:rPr>
        <w:t xml:space="preserve"> _______________________________________________, apresenta </w:t>
      </w:r>
      <w:r>
        <w:rPr>
          <w:rFonts w:hint="default" w:ascii="Arial" w:hAnsi="Arial" w:cs="Arial"/>
          <w:b/>
          <w:bCs/>
          <w:sz w:val="22"/>
          <w:szCs w:val="22"/>
        </w:rPr>
        <w:t>DESISTÊNCIA FORMAL DE VISITA TÉCNICA</w:t>
      </w:r>
      <w:r>
        <w:rPr>
          <w:rFonts w:hint="default" w:ascii="Arial" w:hAnsi="Arial" w:cs="Arial"/>
          <w:bCs/>
          <w:sz w:val="22"/>
          <w:szCs w:val="22"/>
        </w:rPr>
        <w:t xml:space="preserve">, para fins de participação do processo licitatório para </w:t>
      </w:r>
      <w:r>
        <w:rPr>
          <w:rFonts w:hint="default" w:ascii="Arial" w:hAnsi="Arial" w:eastAsia="SimSun" w:cs="Arial"/>
          <w:i w:val="0"/>
          <w:iCs w:val="0"/>
          <w:color w:val="000000"/>
          <w:kern w:val="0"/>
          <w:sz w:val="22"/>
          <w:szCs w:val="22"/>
          <w:u w:val="none"/>
          <w:lang w:val="en-US" w:eastAsia="zh-CN" w:bidi="ar"/>
        </w:rPr>
        <w:t>CONTRATAÇÃO DE EMPRESA ESPECIALIZADA PARA LOCAÇÃO DE SISTEMA DE DATA CENTER PARA SISTEMAS CRÍTICOS COMPUTACIONAIS E DE TELECOMUNICAÇÕES, CONTEMPLANDO SERVIÇOS DE MANUTENÇÃO PREDITIVA, PREVENTIVA E CORRETIVA, COMPREENDENDO A LOCAÇÃO DE CONTAINER, COM FORNECIMENTO DE AMBIENTES DE ALTA DISPONIBILIDADE PARA SISTEMAS CRÍTICOS COMPUTACIONAIS E DE TELECOMUNICAÇÕES, CONFORME CONDIÇÕES ESTABELECIDAS NESTE TERMO DE REFERÊNCIA. A SOLUÇÃO DEVERÁ INCLUIR O FORNECIMENTO, INSTALAÇÃO E TESTES DE DISPOSITIVOS ELÉTRICO-ELETRÔNICOS, MECÂNICOS E LÓGICOS, COM PASSIVOS: ORGANIZADOS, IDENTIFICADOS E CERTIFICADOS</w:t>
      </w:r>
      <w:r>
        <w:rPr>
          <w:rFonts w:hint="default" w:ascii="Arial" w:hAnsi="Arial" w:eastAsia="SimSun" w:cs="Arial"/>
          <w:i w:val="0"/>
          <w:iCs w:val="0"/>
          <w:color w:val="000000"/>
          <w:kern w:val="0"/>
          <w:sz w:val="22"/>
          <w:szCs w:val="22"/>
          <w:u w:val="none"/>
          <w:lang w:val="pt-BR" w:eastAsia="zh-CN" w:bidi="ar"/>
        </w:rPr>
        <w:t xml:space="preserve"> E SERVIÇO DE MOVIMENTAÇÃO DE EQUIPAMENTOS (MOVING),</w:t>
      </w:r>
      <w:r>
        <w:rPr>
          <w:rFonts w:hint="default" w:ascii="Arial" w:hAnsi="Arial" w:cs="Arial"/>
          <w:bCs/>
          <w:sz w:val="22"/>
          <w:szCs w:val="22"/>
        </w:rPr>
        <w:t xml:space="preserve"> (conforme Termo de Referência e seus anexos), </w:t>
      </w:r>
      <w:r>
        <w:rPr>
          <w:rFonts w:hint="default" w:ascii="Arial" w:hAnsi="Arial" w:cs="Arial"/>
          <w:b/>
          <w:bCs/>
          <w:sz w:val="22"/>
          <w:szCs w:val="22"/>
        </w:rPr>
        <w:t>abdicando do direito de se cientificar das peculiaridades,</w:t>
      </w:r>
      <w:r>
        <w:rPr>
          <w:rFonts w:hint="default" w:ascii="Arial" w:hAnsi="Arial" w:cs="Arial"/>
          <w:bCs/>
          <w:sz w:val="22"/>
          <w:szCs w:val="22"/>
        </w:rPr>
        <w:t xml:space="preserve"> dos atuais equipamentos de rede e segurança, das condições no local, do ambiente, das possíveis dificuldades, do padrão das instalações, configurações da rede da PREFEITURA </w:t>
      </w:r>
      <w:r>
        <w:rPr>
          <w:rFonts w:hint="default" w:ascii="Arial" w:hAnsi="Arial" w:cs="Arial"/>
          <w:bCs/>
          <w:sz w:val="22"/>
          <w:szCs w:val="22"/>
          <w:lang w:val="pt-BR"/>
        </w:rPr>
        <w:t xml:space="preserve">DE SINOP/MT </w:t>
      </w:r>
      <w:r>
        <w:rPr>
          <w:rFonts w:hint="default" w:ascii="Arial" w:hAnsi="Arial" w:cs="Arial"/>
          <w:bCs/>
          <w:sz w:val="22"/>
          <w:szCs w:val="22"/>
        </w:rPr>
        <w:t xml:space="preserve">a serem executadas, assumindo total responsabilidade pelo cumprimento das atividades e garantia do perfeito funcionamento do </w:t>
      </w:r>
      <w:r>
        <w:rPr>
          <w:rFonts w:hint="default" w:ascii="Arial" w:hAnsi="Arial" w:cs="Arial"/>
          <w:bCs/>
          <w:i/>
          <w:sz w:val="22"/>
          <w:szCs w:val="22"/>
        </w:rPr>
        <w:t>CENTRO DE PROCESSAMENTO DE DADOS</w:t>
      </w:r>
      <w:r>
        <w:rPr>
          <w:rFonts w:hint="default" w:ascii="Arial" w:hAnsi="Arial" w:cs="Arial"/>
          <w:bCs/>
          <w:sz w:val="22"/>
          <w:szCs w:val="22"/>
        </w:rPr>
        <w:t xml:space="preserve"> na PREFEITURA, pelo valor global da proposta.</w:t>
      </w:r>
    </w:p>
    <w:p w14:paraId="6D0C910F">
      <w:pPr>
        <w:jc w:val="both"/>
        <w:rPr>
          <w:rFonts w:hint="default" w:ascii="Arial" w:hAnsi="Arial" w:cs="Arial"/>
          <w:bCs/>
          <w:sz w:val="22"/>
          <w:szCs w:val="22"/>
        </w:rPr>
      </w:pPr>
      <w:r>
        <w:rPr>
          <w:rFonts w:hint="default" w:ascii="Arial" w:hAnsi="Arial" w:cs="Arial"/>
          <w:bCs/>
          <w:sz w:val="22"/>
          <w:szCs w:val="22"/>
        </w:rPr>
        <w:t>_______________________, _____, de __________________ de 202</w:t>
      </w:r>
      <w:r>
        <w:rPr>
          <w:rFonts w:hint="default" w:ascii="Arial" w:hAnsi="Arial" w:cs="Arial"/>
          <w:bCs/>
          <w:sz w:val="22"/>
          <w:szCs w:val="22"/>
          <w:lang w:val="pt-BR"/>
        </w:rPr>
        <w:t>4</w:t>
      </w:r>
      <w:r>
        <w:rPr>
          <w:rFonts w:hint="default" w:ascii="Arial" w:hAnsi="Arial" w:cs="Arial"/>
          <w:bCs/>
          <w:sz w:val="22"/>
          <w:szCs w:val="22"/>
        </w:rPr>
        <w:t>.</w:t>
      </w:r>
    </w:p>
    <w:p w14:paraId="3E9A120A">
      <w:pPr>
        <w:jc w:val="both"/>
        <w:rPr>
          <w:rFonts w:hint="default" w:ascii="Arial" w:hAnsi="Arial" w:cs="Arial"/>
          <w:bCs/>
          <w:sz w:val="22"/>
          <w:szCs w:val="22"/>
        </w:rPr>
      </w:pPr>
      <w:r>
        <w:rPr>
          <w:rFonts w:hint="default" w:ascii="Arial" w:hAnsi="Arial" w:cs="Arial"/>
          <w:bCs/>
          <w:sz w:val="22"/>
          <w:szCs w:val="22"/>
        </w:rPr>
        <w:t>___________________________________________________________</w:t>
      </w:r>
    </w:p>
    <w:p w14:paraId="3CCE2829">
      <w:pPr>
        <w:jc w:val="both"/>
        <w:rPr>
          <w:rFonts w:hint="default" w:ascii="Arial" w:hAnsi="Arial" w:cs="Arial"/>
          <w:bCs/>
          <w:sz w:val="22"/>
          <w:szCs w:val="22"/>
        </w:rPr>
      </w:pPr>
      <w:r>
        <w:rPr>
          <w:rFonts w:hint="default" w:ascii="Arial" w:hAnsi="Arial" w:cs="Arial"/>
          <w:bCs/>
          <w:sz w:val="22"/>
          <w:szCs w:val="22"/>
        </w:rPr>
        <w:t>Carimbo e assinatura do representante legal da empresa</w:t>
      </w:r>
    </w:p>
    <w:p w14:paraId="5F2CEBED">
      <w:pPr>
        <w:jc w:val="both"/>
        <w:rPr>
          <w:rFonts w:hint="default" w:ascii="Arial" w:hAnsi="Arial" w:cs="Arial"/>
          <w:bCs/>
          <w:sz w:val="22"/>
          <w:szCs w:val="22"/>
        </w:rPr>
      </w:pPr>
      <w:r>
        <w:rPr>
          <w:rFonts w:hint="default" w:ascii="Arial" w:hAnsi="Arial" w:cs="Arial"/>
          <w:bCs/>
          <w:sz w:val="22"/>
          <w:szCs w:val="22"/>
        </w:rPr>
        <w:t>Nome:_______________________________</w:t>
      </w:r>
    </w:p>
    <w:p w14:paraId="226618FA">
      <w:pPr>
        <w:jc w:val="both"/>
        <w:rPr>
          <w:rFonts w:hint="default" w:ascii="Arial" w:hAnsi="Arial" w:cs="Arial"/>
          <w:bCs/>
          <w:sz w:val="22"/>
          <w:szCs w:val="22"/>
        </w:rPr>
      </w:pPr>
      <w:r>
        <w:rPr>
          <w:rFonts w:hint="default" w:ascii="Arial" w:hAnsi="Arial" w:cs="Arial"/>
          <w:bCs/>
          <w:sz w:val="22"/>
          <w:szCs w:val="22"/>
        </w:rPr>
        <w:t>Cargo:_______________________________</w:t>
      </w:r>
    </w:p>
    <w:p w14:paraId="51F3F57E">
      <w:pPr>
        <w:jc w:val="both"/>
        <w:rPr>
          <w:rFonts w:hint="default" w:ascii="Arial" w:hAnsi="Arial" w:cs="Arial"/>
          <w:bCs/>
          <w:sz w:val="22"/>
          <w:szCs w:val="22"/>
        </w:rPr>
      </w:pPr>
      <w:r>
        <w:rPr>
          <w:rFonts w:hint="default" w:ascii="Arial" w:hAnsi="Arial" w:cs="Arial"/>
          <w:bCs/>
          <w:sz w:val="22"/>
          <w:szCs w:val="22"/>
        </w:rPr>
        <w:t>RG:_________________________________</w:t>
      </w:r>
    </w:p>
    <w:p w14:paraId="35BA7D4C">
      <w:pPr>
        <w:jc w:val="both"/>
        <w:rPr>
          <w:rFonts w:hint="default" w:ascii="Arial" w:hAnsi="Arial" w:cs="Arial"/>
          <w:bCs/>
          <w:sz w:val="22"/>
          <w:szCs w:val="22"/>
        </w:rPr>
      </w:pPr>
      <w:r>
        <w:rPr>
          <w:rFonts w:hint="default" w:ascii="Arial" w:hAnsi="Arial" w:cs="Arial"/>
          <w:bCs/>
          <w:sz w:val="22"/>
          <w:szCs w:val="22"/>
        </w:rPr>
        <w:t>OBS: Esta declaração deverá ser entregue junto com a documentação de HABILITAÇÃO.</w:t>
      </w:r>
    </w:p>
    <w:p w14:paraId="0D08F424">
      <w:pPr>
        <w:rPr>
          <w:rFonts w:hint="default" w:ascii="Arial" w:hAnsi="Arial" w:cs="Arial"/>
          <w:bCs/>
          <w:sz w:val="22"/>
          <w:szCs w:val="22"/>
        </w:rPr>
      </w:pPr>
      <w:r>
        <w:rPr>
          <w:rFonts w:hint="default" w:ascii="Arial" w:hAnsi="Arial" w:cs="Arial"/>
          <w:bCs/>
          <w:sz w:val="22"/>
          <w:szCs w:val="22"/>
        </w:rPr>
        <w:br w:type="page"/>
      </w:r>
    </w:p>
    <w:p w14:paraId="20BD8155">
      <w:pPr>
        <w:jc w:val="both"/>
        <w:rPr>
          <w:rFonts w:hint="default" w:ascii="Arial" w:hAnsi="Arial" w:cs="Arial"/>
          <w:bCs/>
          <w:sz w:val="22"/>
          <w:szCs w:val="22"/>
        </w:rPr>
      </w:pPr>
    </w:p>
    <w:p w14:paraId="28AD0595">
      <w:pPr>
        <w:pStyle w:val="166"/>
        <w:jc w:val="center"/>
        <w:rPr>
          <w:rFonts w:hint="default" w:cs="Arial"/>
          <w:b/>
          <w:bCs/>
          <w:sz w:val="22"/>
          <w:szCs w:val="22"/>
          <w:lang w:val="pt-BR"/>
        </w:rPr>
      </w:pPr>
      <w:r>
        <w:rPr>
          <w:rFonts w:hint="default" w:ascii="Arial" w:hAnsi="Arial" w:cs="Arial"/>
          <w:b/>
          <w:bCs/>
          <w:sz w:val="22"/>
          <w:szCs w:val="22"/>
        </w:rPr>
        <w:t>ANEXO VI</w:t>
      </w:r>
      <w:r>
        <w:rPr>
          <w:rFonts w:hint="default" w:cs="Arial"/>
          <w:b/>
          <w:bCs/>
          <w:sz w:val="22"/>
          <w:szCs w:val="22"/>
          <w:lang w:val="pt-BR"/>
        </w:rPr>
        <w:t>I</w:t>
      </w:r>
    </w:p>
    <w:p w14:paraId="17A80ADF">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sz w:val="22"/>
          <w:szCs w:val="22"/>
          <w:lang w:val="pt-BR"/>
        </w:rPr>
      </w:pPr>
    </w:p>
    <w:p w14:paraId="62EAA8E9">
      <w:pPr>
        <w:pBdr>
          <w:top w:val="single" w:color="000000" w:sz="4" w:space="0"/>
          <w:left w:val="single" w:color="000000" w:sz="4" w:space="3"/>
          <w:bottom w:val="single" w:color="000000" w:sz="4" w:space="0"/>
          <w:right w:val="single" w:color="000000" w:sz="4" w:space="3"/>
        </w:pBdr>
        <w:shd w:val="clear" w:color="auto" w:fill="D9D9D9"/>
        <w:spacing w:line="360" w:lineRule="auto"/>
        <w:jc w:val="center"/>
        <w:rPr>
          <w:rFonts w:hint="default" w:ascii="Arial" w:hAnsi="Arial" w:cs="Arial"/>
          <w:sz w:val="22"/>
          <w:szCs w:val="22"/>
        </w:rPr>
      </w:pPr>
      <w:r>
        <w:rPr>
          <w:rFonts w:hint="default" w:ascii="Arial" w:hAnsi="Arial" w:cs="Arial"/>
          <w:b/>
          <w:bCs/>
          <w:sz w:val="22"/>
          <w:szCs w:val="22"/>
        </w:rPr>
        <w:t>MODELO DE TERMO DE CONFIDENCIALIDADE</w:t>
      </w:r>
    </w:p>
    <w:p w14:paraId="7C699CBD">
      <w:pPr>
        <w:rPr>
          <w:rFonts w:hint="default"/>
        </w:rPr>
      </w:pPr>
    </w:p>
    <w:p w14:paraId="13A11F39">
      <w:pPr>
        <w:pStyle w:val="165"/>
        <w:numPr>
          <w:ilvl w:val="0"/>
          <w:numId w:val="19"/>
        </w:numPr>
        <w:jc w:val="both"/>
        <w:rPr>
          <w:rFonts w:hint="default" w:ascii="Arial" w:hAnsi="Arial" w:cs="Arial"/>
          <w:b/>
          <w:bCs/>
          <w:sz w:val="22"/>
          <w:szCs w:val="22"/>
        </w:rPr>
      </w:pPr>
      <w:r>
        <w:rPr>
          <w:rFonts w:hint="default" w:ascii="Arial" w:hAnsi="Arial" w:cs="Arial"/>
          <w:b/>
          <w:bCs/>
          <w:sz w:val="22"/>
          <w:szCs w:val="22"/>
        </w:rPr>
        <w:t>INTRODUÇÃO:</w:t>
      </w:r>
    </w:p>
    <w:p w14:paraId="48DBEA69">
      <w:pPr>
        <w:spacing w:before="100" w:after="240"/>
        <w:jc w:val="both"/>
        <w:rPr>
          <w:rFonts w:hint="default" w:ascii="Arial" w:hAnsi="Arial" w:cs="Arial"/>
          <w:sz w:val="22"/>
          <w:szCs w:val="22"/>
        </w:rPr>
      </w:pPr>
      <w:r>
        <w:rPr>
          <w:rFonts w:hint="default" w:ascii="Arial" w:hAnsi="Arial" w:cs="Arial"/>
          <w:sz w:val="22"/>
          <w:szCs w:val="22"/>
        </w:rPr>
        <w:t xml:space="preserve">A </w:t>
      </w:r>
      <w:r>
        <w:rPr>
          <w:rFonts w:hint="default" w:ascii="Arial" w:hAnsi="Arial" w:cs="Arial"/>
          <w:b/>
          <w:sz w:val="22"/>
          <w:szCs w:val="22"/>
        </w:rPr>
        <w:t>&lt;PESSOA JURÍDICA OU FÍSICA CONTRATADA&gt;</w:t>
      </w:r>
      <w:r>
        <w:rPr>
          <w:rFonts w:hint="default" w:ascii="Arial" w:hAnsi="Arial" w:cs="Arial"/>
          <w:sz w:val="22"/>
          <w:szCs w:val="22"/>
        </w:rPr>
        <w:t xml:space="preserve">, doravante referida simplesmente como CONTRATADA, inscrita no CNPJ/MF sob o número &lt;NÚMERO DO CNPJ&gt;, com endereço &lt;ENDEREÇO&gt;, neste ato representado pelo &lt;VÍNCULO DO SIGNATÁRIO COM A CONTRATADA&gt;, </w:t>
      </w:r>
      <w:r>
        <w:rPr>
          <w:rFonts w:hint="default" w:ascii="Arial" w:hAnsi="Arial" w:cs="Arial"/>
          <w:b/>
          <w:sz w:val="22"/>
          <w:szCs w:val="22"/>
        </w:rPr>
        <w:t>&lt;NOME DO SIGNATÁRIO&gt;</w:t>
      </w:r>
      <w:r>
        <w:rPr>
          <w:rFonts w:hint="default" w:ascii="Arial" w:hAnsi="Arial" w:cs="Arial"/>
          <w:sz w:val="22"/>
          <w:szCs w:val="22"/>
        </w:rPr>
        <w:t xml:space="preserve">, nos termos do &lt;CONTRATO OU TERMO ADITIVO EM QUE FOI PACTUADO O SIGILO&gt;, compromete-se a observar o presente TERMO DE CONFIDENCIALIDADE, firmado perante </w:t>
      </w:r>
      <w:r>
        <w:rPr>
          <w:rFonts w:hint="default" w:ascii="Arial" w:hAnsi="Arial" w:cs="Arial"/>
          <w:sz w:val="22"/>
          <w:szCs w:val="22"/>
          <w:lang w:val="pt-BR"/>
        </w:rPr>
        <w:t>a Prefeitura de Sinop/MT</w:t>
      </w:r>
      <w:r>
        <w:rPr>
          <w:rFonts w:hint="default" w:ascii="Arial" w:hAnsi="Arial" w:cs="Arial"/>
          <w:sz w:val="22"/>
          <w:szCs w:val="22"/>
        </w:rPr>
        <w:t xml:space="preserve">, por meio da </w:t>
      </w:r>
      <w:r>
        <w:rPr>
          <w:rFonts w:hint="default" w:ascii="Arial" w:hAnsi="Arial" w:cs="Arial"/>
          <w:sz w:val="22"/>
          <w:szCs w:val="22"/>
          <w:lang w:val="pt-BR"/>
        </w:rPr>
        <w:t>Secretaria de Administração e Modernização</w:t>
      </w:r>
      <w:r>
        <w:rPr>
          <w:rFonts w:hint="default" w:ascii="Arial" w:hAnsi="Arial" w:cs="Arial"/>
          <w:sz w:val="22"/>
          <w:szCs w:val="22"/>
        </w:rPr>
        <w:t xml:space="preserve">, doravante referida simplesmente como </w:t>
      </w:r>
      <w:r>
        <w:rPr>
          <w:rFonts w:hint="default" w:ascii="Arial" w:hAnsi="Arial" w:cs="Arial"/>
          <w:b/>
          <w:sz w:val="22"/>
          <w:szCs w:val="22"/>
        </w:rPr>
        <w:t>PREFEITURA</w:t>
      </w:r>
      <w:r>
        <w:rPr>
          <w:rFonts w:hint="default" w:ascii="Arial" w:hAnsi="Arial" w:cs="Arial"/>
          <w:sz w:val="22"/>
          <w:szCs w:val="22"/>
        </w:rPr>
        <w:t>, em conformidade com as cláusulas que seguem:</w:t>
      </w:r>
    </w:p>
    <w:p w14:paraId="476F6130">
      <w:pPr>
        <w:pStyle w:val="165"/>
        <w:numPr>
          <w:ilvl w:val="0"/>
          <w:numId w:val="19"/>
        </w:numPr>
        <w:jc w:val="both"/>
        <w:rPr>
          <w:rFonts w:hint="default" w:ascii="Arial" w:hAnsi="Arial" w:cs="Arial"/>
          <w:b/>
          <w:bCs/>
          <w:sz w:val="22"/>
          <w:szCs w:val="22"/>
        </w:rPr>
      </w:pPr>
      <w:r>
        <w:rPr>
          <w:rFonts w:hint="default" w:ascii="Arial" w:hAnsi="Arial" w:cs="Arial"/>
          <w:b/>
          <w:bCs/>
          <w:sz w:val="22"/>
          <w:szCs w:val="22"/>
        </w:rPr>
        <w:t>CLÁUSULA PRIMEIRA – DO OBJETO:</w:t>
      </w:r>
    </w:p>
    <w:p w14:paraId="2E56BB83">
      <w:pPr>
        <w:pStyle w:val="173"/>
        <w:spacing w:line="276" w:lineRule="auto"/>
        <w:ind w:left="0"/>
        <w:rPr>
          <w:rFonts w:hint="default" w:ascii="Arial" w:hAnsi="Arial" w:cs="Arial"/>
          <w:sz w:val="22"/>
          <w:szCs w:val="22"/>
        </w:rPr>
      </w:pPr>
      <w:r>
        <w:rPr>
          <w:rFonts w:hint="default" w:ascii="Arial" w:hAnsi="Arial" w:cs="Arial"/>
          <w:sz w:val="22"/>
          <w:szCs w:val="22"/>
        </w:rPr>
        <w:t>O objeto deste TERMO DE CONFIDENCIALIDADE é a necessária e adequada proteção às informações confidenciais fornecidas à CONTRATADA para que possa desenvolver as atividades contempladas especificamente no Contrato nº ____/_________.</w:t>
      </w:r>
    </w:p>
    <w:p w14:paraId="03710EDC">
      <w:pPr>
        <w:pStyle w:val="173"/>
        <w:spacing w:line="276" w:lineRule="auto"/>
        <w:ind w:left="0"/>
        <w:rPr>
          <w:rFonts w:hint="default" w:ascii="Arial" w:hAnsi="Arial" w:cs="Arial"/>
          <w:sz w:val="22"/>
          <w:szCs w:val="22"/>
        </w:rPr>
      </w:pPr>
      <w:r>
        <w:rPr>
          <w:rFonts w:hint="default" w:ascii="Arial" w:hAnsi="Arial" w:cs="Arial"/>
          <w:b/>
          <w:sz w:val="22"/>
          <w:szCs w:val="22"/>
        </w:rPr>
        <w:t>Subcláusula Primeira -</w:t>
      </w:r>
      <w:r>
        <w:rPr>
          <w:rFonts w:hint="default" w:ascii="Arial" w:hAnsi="Arial" w:cs="Arial"/>
          <w:sz w:val="22"/>
          <w:szCs w:val="22"/>
        </w:rPr>
        <w:t xml:space="preserve"> As estipulações constantes neste TERMO DE CONFIDENCIALIDADE se aplicam a toda e qualquer informação revelada à CONTRATADA.</w:t>
      </w:r>
    </w:p>
    <w:p w14:paraId="5425544A">
      <w:pPr>
        <w:pStyle w:val="173"/>
        <w:spacing w:line="276" w:lineRule="auto"/>
        <w:ind w:left="0"/>
        <w:rPr>
          <w:rFonts w:hint="default" w:ascii="Arial" w:hAnsi="Arial" w:cs="Arial"/>
          <w:sz w:val="22"/>
          <w:szCs w:val="22"/>
        </w:rPr>
      </w:pPr>
      <w:r>
        <w:rPr>
          <w:rFonts w:hint="default" w:ascii="Arial" w:hAnsi="Arial" w:cs="Arial"/>
          <w:b/>
          <w:sz w:val="22"/>
          <w:szCs w:val="22"/>
        </w:rPr>
        <w:t>Subcláusula Segunda -</w:t>
      </w:r>
      <w:r>
        <w:rPr>
          <w:rFonts w:hint="default" w:ascii="Arial" w:hAnsi="Arial" w:cs="Arial"/>
          <w:sz w:val="22"/>
          <w:szCs w:val="22"/>
        </w:rPr>
        <w:t xml:space="preserve"> A CONTRATADA reconhece que, em razão da prestação de serviços à PREFEITURA</w:t>
      </w:r>
      <w:r>
        <w:rPr>
          <w:rFonts w:hint="default" w:cs="Arial"/>
          <w:sz w:val="22"/>
          <w:szCs w:val="22"/>
          <w:lang w:val="pt-BR"/>
        </w:rPr>
        <w:t xml:space="preserve"> DE SINOP/MT</w:t>
      </w:r>
      <w:r>
        <w:rPr>
          <w:rFonts w:hint="default" w:ascii="Arial" w:hAnsi="Arial" w:cs="Arial"/>
          <w:sz w:val="22"/>
          <w:szCs w:val="22"/>
        </w:rPr>
        <w:t>, tem acesso a informações que pertencem à PREFEITURA, que devem ser tratadas como sigilosas.</w:t>
      </w:r>
    </w:p>
    <w:p w14:paraId="687E1AA1">
      <w:pPr>
        <w:pStyle w:val="165"/>
        <w:numPr>
          <w:ilvl w:val="0"/>
          <w:numId w:val="19"/>
        </w:numPr>
        <w:jc w:val="both"/>
        <w:rPr>
          <w:rFonts w:hint="default" w:ascii="Arial" w:hAnsi="Arial" w:cs="Arial"/>
          <w:b/>
          <w:bCs/>
          <w:sz w:val="22"/>
          <w:szCs w:val="22"/>
        </w:rPr>
      </w:pPr>
      <w:r>
        <w:rPr>
          <w:rFonts w:hint="default" w:ascii="Arial" w:hAnsi="Arial" w:cs="Arial"/>
          <w:b/>
          <w:bCs/>
          <w:sz w:val="22"/>
          <w:szCs w:val="22"/>
        </w:rPr>
        <w:t>CLÁUSULA SEGUNDA - DAS INFORMAÇÕES CONFIDENCIAIS</w:t>
      </w:r>
    </w:p>
    <w:p w14:paraId="6D8B0D7D">
      <w:pPr>
        <w:jc w:val="both"/>
        <w:rPr>
          <w:rFonts w:hint="default" w:ascii="Arial" w:hAnsi="Arial" w:cs="Arial"/>
          <w:sz w:val="22"/>
          <w:szCs w:val="22"/>
        </w:rPr>
      </w:pPr>
      <w:r>
        <w:rPr>
          <w:rFonts w:hint="default" w:ascii="Arial" w:hAnsi="Arial" w:cs="Arial"/>
          <w:sz w:val="22"/>
          <w:szCs w:val="22"/>
        </w:rPr>
        <w:t>Deve ser considerada confidencial toda e qualquer informação observada ou revelada, por qualquer meio, em decorrência da execução do contrato, contendo ela ou não a expressão “CONFIDENCIAL”.</w:t>
      </w:r>
    </w:p>
    <w:p w14:paraId="4D7CAF78">
      <w:pPr>
        <w:pStyle w:val="173"/>
        <w:spacing w:line="276" w:lineRule="auto"/>
        <w:ind w:left="0"/>
        <w:rPr>
          <w:rFonts w:hint="default" w:ascii="Arial" w:hAnsi="Arial" w:cs="Arial"/>
          <w:sz w:val="22"/>
          <w:szCs w:val="22"/>
        </w:rPr>
      </w:pPr>
      <w:r>
        <w:rPr>
          <w:rFonts w:hint="default" w:ascii="Arial" w:hAnsi="Arial" w:cs="Arial"/>
          <w:b/>
          <w:sz w:val="22"/>
          <w:szCs w:val="22"/>
        </w:rPr>
        <w:t>Subcláusula Primeira -</w:t>
      </w:r>
      <w:r>
        <w:rPr>
          <w:rFonts w:hint="default" w:ascii="Arial" w:hAnsi="Arial" w:cs="Arial"/>
          <w:sz w:val="22"/>
          <w:szCs w:val="22"/>
        </w:rPr>
        <w:t xml:space="preserve"> O termo “Informação” abrange toda informação, por qualquer modo apresentada ou observada, tangível ou intangível, podendo incluir, mas não se limitando a: diagramas de redes, fluxogramas, processos, projetos, ambiente físico e lógico, topologia de redes, configurações de equipamentos, entre outras a que, diretamente ou através de seus empregados, prepostos ou prestadores de serviço, venha a CONTRATADA ter acesso durante ou em razão da execução do contrato celebrado.</w:t>
      </w:r>
    </w:p>
    <w:p w14:paraId="7E92C1A5">
      <w:pPr>
        <w:pStyle w:val="173"/>
        <w:spacing w:line="276" w:lineRule="auto"/>
        <w:ind w:left="0"/>
        <w:rPr>
          <w:rFonts w:hint="default" w:ascii="Arial" w:hAnsi="Arial" w:cs="Arial"/>
          <w:sz w:val="22"/>
          <w:szCs w:val="22"/>
        </w:rPr>
      </w:pPr>
      <w:r>
        <w:rPr>
          <w:rFonts w:hint="default" w:ascii="Arial" w:hAnsi="Arial" w:cs="Arial"/>
          <w:b/>
          <w:sz w:val="22"/>
          <w:szCs w:val="22"/>
        </w:rPr>
        <w:t>Subcláusula Segunda -</w:t>
      </w:r>
      <w:r>
        <w:rPr>
          <w:rFonts w:hint="default" w:ascii="Arial" w:hAnsi="Arial" w:cs="Arial"/>
          <w:sz w:val="22"/>
          <w:szCs w:val="22"/>
        </w:rPr>
        <w:t xml:space="preserve"> Em caso de dúvida acerca da natureza confidencial de determinada informação, a CONTRATADA deverá mantê-la sob sigilo até que seja autorizada expressamente pelo representante legal da PREFEITURA, referido no Contrato, a tratá-la diferentemente. Em hipótese alguma, a ausência de manifestação expressa da PREFEITURA poderá ser interpretada como liberação de qualquer dos compromissos ora assumidos.</w:t>
      </w:r>
    </w:p>
    <w:p w14:paraId="7F3987F1">
      <w:pPr>
        <w:pStyle w:val="165"/>
        <w:numPr>
          <w:ilvl w:val="0"/>
          <w:numId w:val="19"/>
        </w:numPr>
        <w:jc w:val="both"/>
        <w:rPr>
          <w:rFonts w:hint="default" w:ascii="Arial" w:hAnsi="Arial" w:cs="Arial"/>
          <w:b/>
          <w:bCs/>
          <w:sz w:val="22"/>
          <w:szCs w:val="22"/>
        </w:rPr>
      </w:pPr>
      <w:r>
        <w:rPr>
          <w:rFonts w:hint="default" w:ascii="Arial" w:hAnsi="Arial" w:cs="Arial"/>
          <w:b/>
          <w:bCs/>
          <w:sz w:val="22"/>
          <w:szCs w:val="22"/>
        </w:rPr>
        <w:t>CLÁUSULA TERCEIRA - DOS LIMITES DA CONFIDENCIALIDADE</w:t>
      </w:r>
    </w:p>
    <w:p w14:paraId="590A7675">
      <w:pPr>
        <w:jc w:val="both"/>
        <w:rPr>
          <w:rFonts w:hint="default" w:ascii="Arial" w:hAnsi="Arial" w:cs="Arial"/>
          <w:sz w:val="22"/>
          <w:szCs w:val="22"/>
        </w:rPr>
      </w:pPr>
      <w:r>
        <w:rPr>
          <w:rFonts w:hint="default" w:ascii="Arial" w:hAnsi="Arial" w:cs="Arial"/>
          <w:sz w:val="22"/>
          <w:szCs w:val="22"/>
        </w:rPr>
        <w:t>As estipulações e obrigações constantes do presente instrumento não serão aplicadas a nenhuma informação que:</w:t>
      </w:r>
    </w:p>
    <w:p w14:paraId="78DB5952">
      <w:pPr>
        <w:jc w:val="both"/>
        <w:rPr>
          <w:rFonts w:hint="default" w:ascii="Arial" w:hAnsi="Arial" w:cs="Arial"/>
          <w:sz w:val="22"/>
          <w:szCs w:val="22"/>
        </w:rPr>
      </w:pPr>
      <w:r>
        <w:rPr>
          <w:rFonts w:hint="default" w:ascii="Arial" w:hAnsi="Arial" w:cs="Arial"/>
          <w:b/>
          <w:sz w:val="22"/>
          <w:szCs w:val="22"/>
        </w:rPr>
        <w:t xml:space="preserve">I - </w:t>
      </w:r>
      <w:r>
        <w:rPr>
          <w:rFonts w:hint="default" w:ascii="Arial" w:hAnsi="Arial" w:cs="Arial"/>
          <w:sz w:val="22"/>
          <w:szCs w:val="22"/>
        </w:rPr>
        <w:t>seja comprovadamente de conhecimento público no momento da revelação, exceto se isso tal fato decorrer de ato ou omissão da CONTRATADA;</w:t>
      </w:r>
    </w:p>
    <w:p w14:paraId="0C934749">
      <w:pPr>
        <w:jc w:val="both"/>
        <w:rPr>
          <w:rFonts w:hint="default" w:ascii="Arial" w:hAnsi="Arial" w:cs="Arial"/>
          <w:sz w:val="22"/>
          <w:szCs w:val="22"/>
        </w:rPr>
      </w:pPr>
      <w:r>
        <w:rPr>
          <w:rFonts w:hint="default" w:ascii="Arial" w:hAnsi="Arial" w:cs="Arial"/>
          <w:b/>
          <w:sz w:val="22"/>
          <w:szCs w:val="22"/>
        </w:rPr>
        <w:t xml:space="preserve">II - </w:t>
      </w:r>
      <w:r>
        <w:rPr>
          <w:rFonts w:hint="default" w:ascii="Arial" w:hAnsi="Arial" w:cs="Arial"/>
          <w:sz w:val="22"/>
          <w:szCs w:val="22"/>
        </w:rPr>
        <w:t>já esteja em poder da CONTRATADA, como resultado de sua própria pesquisa, contanto que a CONTRATADA possa comprovar referido fato; ou</w:t>
      </w:r>
    </w:p>
    <w:p w14:paraId="10C6EA17">
      <w:pPr>
        <w:jc w:val="both"/>
        <w:rPr>
          <w:rFonts w:hint="default" w:ascii="Arial" w:hAnsi="Arial" w:cs="Arial"/>
          <w:sz w:val="22"/>
          <w:szCs w:val="22"/>
        </w:rPr>
      </w:pPr>
      <w:r>
        <w:rPr>
          <w:rFonts w:hint="default" w:ascii="Arial" w:hAnsi="Arial" w:cs="Arial"/>
          <w:b/>
          <w:sz w:val="22"/>
          <w:szCs w:val="22"/>
        </w:rPr>
        <w:t xml:space="preserve">III - </w:t>
      </w:r>
      <w:r>
        <w:rPr>
          <w:rFonts w:hint="default" w:ascii="Arial" w:hAnsi="Arial" w:cs="Arial"/>
          <w:sz w:val="22"/>
          <w:szCs w:val="22"/>
        </w:rPr>
        <w:t>tenha sido comprovada e legitimamente recebida de terceiros, estranhos à relação contratual, contanto que a CONTRATADA possa comprovar referido fato.</w:t>
      </w:r>
    </w:p>
    <w:p w14:paraId="2DAE8E36">
      <w:pPr>
        <w:jc w:val="both"/>
        <w:rPr>
          <w:rFonts w:hint="default" w:ascii="Arial" w:hAnsi="Arial" w:cs="Arial"/>
          <w:sz w:val="22"/>
          <w:szCs w:val="22"/>
        </w:rPr>
      </w:pPr>
    </w:p>
    <w:p w14:paraId="1270A4E9">
      <w:pPr>
        <w:pStyle w:val="165"/>
        <w:numPr>
          <w:ilvl w:val="0"/>
          <w:numId w:val="19"/>
        </w:numPr>
        <w:jc w:val="both"/>
        <w:rPr>
          <w:rFonts w:hint="default" w:ascii="Arial" w:hAnsi="Arial" w:cs="Arial"/>
          <w:b/>
          <w:bCs/>
          <w:sz w:val="22"/>
          <w:szCs w:val="22"/>
        </w:rPr>
      </w:pPr>
      <w:r>
        <w:rPr>
          <w:rFonts w:hint="default" w:ascii="Arial" w:hAnsi="Arial" w:cs="Arial"/>
          <w:b/>
          <w:bCs/>
          <w:sz w:val="22"/>
          <w:szCs w:val="22"/>
        </w:rPr>
        <w:t>CLÁUSULA QUARTA - DAS OBRIGAÇÕES</w:t>
      </w:r>
    </w:p>
    <w:p w14:paraId="092D5E43">
      <w:pPr>
        <w:pStyle w:val="173"/>
        <w:spacing w:line="276" w:lineRule="auto"/>
        <w:ind w:left="0"/>
        <w:rPr>
          <w:rFonts w:hint="default" w:ascii="Arial" w:hAnsi="Arial" w:cs="Arial"/>
          <w:sz w:val="22"/>
          <w:szCs w:val="22"/>
        </w:rPr>
      </w:pPr>
      <w:r>
        <w:rPr>
          <w:rFonts w:hint="default" w:ascii="Arial" w:hAnsi="Arial" w:cs="Arial"/>
          <w:sz w:val="22"/>
          <w:szCs w:val="22"/>
        </w:rPr>
        <w:t>A CONTRATADA se obriga a manter sigilo de toda e qualquer informação definida neste TERMO DE CONFIDENCIALIDADE como confidencial, utilizando-as exclusivamente para os propósitos do contrato.</w:t>
      </w:r>
    </w:p>
    <w:p w14:paraId="0FDEA6C4">
      <w:pPr>
        <w:pStyle w:val="173"/>
        <w:spacing w:line="276" w:lineRule="auto"/>
        <w:ind w:left="0"/>
        <w:rPr>
          <w:rFonts w:hint="default" w:ascii="Arial" w:hAnsi="Arial" w:cs="Arial"/>
          <w:sz w:val="22"/>
          <w:szCs w:val="22"/>
        </w:rPr>
      </w:pPr>
      <w:r>
        <w:rPr>
          <w:rFonts w:hint="default" w:ascii="Arial" w:hAnsi="Arial" w:cs="Arial"/>
          <w:b/>
          <w:sz w:val="22"/>
          <w:szCs w:val="22"/>
        </w:rPr>
        <w:t>Subcláusula Primeira -</w:t>
      </w:r>
      <w:r>
        <w:rPr>
          <w:rFonts w:hint="default" w:ascii="Arial" w:hAnsi="Arial" w:cs="Arial"/>
          <w:sz w:val="22"/>
          <w:szCs w:val="22"/>
        </w:rPr>
        <w:t xml:space="preserve"> A CONTRATADA determinará a observância deste TERMO DE CONFIDENCIALIDADE a todos os seus empregados, prepostos e prestadores de serviço que estejam direta ou indiretamente envolvidos com a execução do contrato.</w:t>
      </w:r>
    </w:p>
    <w:p w14:paraId="6A893584">
      <w:pPr>
        <w:pStyle w:val="173"/>
        <w:spacing w:line="276" w:lineRule="auto"/>
        <w:ind w:left="0"/>
        <w:rPr>
          <w:rFonts w:hint="default" w:ascii="Arial" w:hAnsi="Arial" w:cs="Arial"/>
          <w:sz w:val="22"/>
          <w:szCs w:val="22"/>
        </w:rPr>
      </w:pPr>
      <w:r>
        <w:rPr>
          <w:rFonts w:hint="default" w:ascii="Arial" w:hAnsi="Arial" w:cs="Arial"/>
          <w:b/>
          <w:sz w:val="22"/>
          <w:szCs w:val="22"/>
        </w:rPr>
        <w:t>Subcláusula Segunda -</w:t>
      </w:r>
      <w:r>
        <w:rPr>
          <w:rFonts w:hint="default" w:ascii="Arial" w:hAnsi="Arial" w:cs="Arial"/>
          <w:sz w:val="22"/>
          <w:szCs w:val="22"/>
        </w:rPr>
        <w:t xml:space="preserve"> A CONTRATADA obriga-se a informar imediatamente à PREFEITURA qualquer violação das regras de sigilo ora estabelecidas que tenha ocorrido por sua ação ou omissão, independentemente da existência de dolo, bem como de seus empregados, prepostos e prestadores de serviço.</w:t>
      </w:r>
    </w:p>
    <w:p w14:paraId="604978CA">
      <w:pPr>
        <w:pStyle w:val="173"/>
        <w:spacing w:line="276" w:lineRule="auto"/>
        <w:ind w:left="0"/>
        <w:rPr>
          <w:rFonts w:hint="default" w:ascii="Arial" w:hAnsi="Arial" w:cs="Arial"/>
          <w:sz w:val="22"/>
          <w:szCs w:val="22"/>
        </w:rPr>
      </w:pPr>
      <w:r>
        <w:rPr>
          <w:rFonts w:hint="default" w:ascii="Arial" w:hAnsi="Arial" w:cs="Arial"/>
          <w:b/>
          <w:sz w:val="22"/>
          <w:szCs w:val="22"/>
        </w:rPr>
        <w:t>Subcláusula Terceira -</w:t>
      </w:r>
      <w:r>
        <w:rPr>
          <w:rFonts w:hint="default" w:ascii="Arial" w:hAnsi="Arial" w:cs="Arial"/>
          <w:sz w:val="22"/>
          <w:szCs w:val="22"/>
        </w:rPr>
        <w:t xml:space="preserve"> Compromete-se, ainda, a CONTRATADA a não revelar, reproduzir ou utilizar, bem como não permitir que seus empregados, prepostos ou prestadores de serviço revelem, reproduzam ou utilizem, em hipótese alguma, as informações referidas no presente TERMO DE CONFIDENCIALIDADE como confidenciais, ressalvadas situações previstas no contrato e neste TERMO DE CONFIDENCIALIDADE.</w:t>
      </w:r>
    </w:p>
    <w:p w14:paraId="1EDA2806">
      <w:pPr>
        <w:pStyle w:val="173"/>
        <w:spacing w:line="276" w:lineRule="auto"/>
        <w:ind w:left="0"/>
        <w:rPr>
          <w:rFonts w:hint="default" w:ascii="Arial" w:hAnsi="Arial" w:cs="Arial"/>
          <w:sz w:val="22"/>
          <w:szCs w:val="22"/>
        </w:rPr>
      </w:pPr>
      <w:r>
        <w:rPr>
          <w:rFonts w:hint="default" w:ascii="Arial" w:hAnsi="Arial" w:cs="Arial"/>
          <w:b/>
          <w:sz w:val="22"/>
          <w:szCs w:val="22"/>
        </w:rPr>
        <w:t>Subcláusula Quarta -</w:t>
      </w:r>
      <w:r>
        <w:rPr>
          <w:rFonts w:hint="default" w:ascii="Arial" w:hAnsi="Arial" w:cs="Arial"/>
          <w:sz w:val="22"/>
          <w:szCs w:val="22"/>
        </w:rPr>
        <w:t xml:space="preserve"> A CONTRATADA deve cuidar para que as informações consideradas confidenciais nos termos do presente TERMO DE CONFIDENCIALIDADE fiquem restritas ao conhecimento dos empregados, prepostos ou prestadores de serviço que estejam diretamente envolvidos nas discussões, análises, reuniões e negócios, devendo cientificá-los da existência deste TERMO DE CONFIDENCIALIDADE e da natureza confidencial das informações.</w:t>
      </w:r>
    </w:p>
    <w:p w14:paraId="48BFAD45">
      <w:pPr>
        <w:pStyle w:val="165"/>
        <w:numPr>
          <w:ilvl w:val="0"/>
          <w:numId w:val="19"/>
        </w:numPr>
        <w:jc w:val="both"/>
        <w:rPr>
          <w:rFonts w:hint="default" w:ascii="Arial" w:hAnsi="Arial" w:cs="Arial"/>
          <w:b/>
          <w:bCs/>
          <w:sz w:val="22"/>
          <w:szCs w:val="22"/>
        </w:rPr>
      </w:pPr>
      <w:r>
        <w:rPr>
          <w:rFonts w:hint="default" w:ascii="Arial" w:hAnsi="Arial" w:cs="Arial"/>
          <w:b/>
          <w:bCs/>
          <w:sz w:val="22"/>
          <w:szCs w:val="22"/>
        </w:rPr>
        <w:t>CLÁUSULA QUINTA - DO RETORNO DAS INFORMAÇÕES</w:t>
      </w:r>
    </w:p>
    <w:p w14:paraId="71329BA5">
      <w:pPr>
        <w:jc w:val="both"/>
        <w:rPr>
          <w:rFonts w:hint="default" w:ascii="Arial" w:hAnsi="Arial" w:cs="Arial"/>
          <w:sz w:val="22"/>
          <w:szCs w:val="22"/>
        </w:rPr>
      </w:pPr>
      <w:r>
        <w:rPr>
          <w:rFonts w:hint="default" w:ascii="Arial" w:hAnsi="Arial" w:cs="Arial"/>
          <w:sz w:val="22"/>
          <w:szCs w:val="22"/>
        </w:rPr>
        <w:t xml:space="preserve">A CONTRATADA devolverá imediatamente à PREFEITURA, ao término do Contrato, todo e qualquer material de propriedade desta, inclusive registro de documentos de qualquer natureza que tenham sido criados, usados ou mantidos sob seu controle ou posse, bem como de seus empregados, prepostos ou prestadores de serviço, assumindo o compromisso de não utilizar qualquer informação considerada confidencial, nos termos do presente TERMO DE </w:t>
      </w:r>
      <w:r>
        <w:rPr>
          <w:rFonts w:hint="default" w:ascii="Arial" w:hAnsi="Arial" w:cs="Arial"/>
          <w:sz w:val="22"/>
          <w:szCs w:val="22"/>
          <w:lang w:val="pt-BR"/>
        </w:rPr>
        <w:t>C</w:t>
      </w:r>
      <w:r>
        <w:rPr>
          <w:rFonts w:hint="default" w:ascii="Arial" w:hAnsi="Arial" w:cs="Arial"/>
          <w:sz w:val="22"/>
          <w:szCs w:val="22"/>
        </w:rPr>
        <w:t>ONFIDENCIALIDADE, a que teve acesso em decorrência do vínculo contratual com a PREFEITURA.</w:t>
      </w:r>
    </w:p>
    <w:p w14:paraId="08A4641F">
      <w:pPr>
        <w:jc w:val="both"/>
        <w:rPr>
          <w:rFonts w:hint="default" w:ascii="Arial" w:hAnsi="Arial" w:cs="Arial"/>
          <w:sz w:val="22"/>
          <w:szCs w:val="22"/>
        </w:rPr>
      </w:pPr>
    </w:p>
    <w:p w14:paraId="548B87C3">
      <w:pPr>
        <w:pStyle w:val="165"/>
        <w:numPr>
          <w:ilvl w:val="0"/>
          <w:numId w:val="19"/>
        </w:numPr>
        <w:jc w:val="both"/>
        <w:rPr>
          <w:rFonts w:hint="default" w:ascii="Arial" w:hAnsi="Arial" w:cs="Arial"/>
          <w:b/>
          <w:bCs/>
          <w:sz w:val="22"/>
          <w:szCs w:val="22"/>
        </w:rPr>
      </w:pPr>
      <w:r>
        <w:rPr>
          <w:rFonts w:hint="default" w:ascii="Arial" w:hAnsi="Arial" w:cs="Arial"/>
          <w:b/>
          <w:bCs/>
          <w:sz w:val="22"/>
          <w:szCs w:val="22"/>
        </w:rPr>
        <w:t>CLÁUSULA SEXTA - DO DESCUMPRIMENTO</w:t>
      </w:r>
    </w:p>
    <w:p w14:paraId="6D9768C4">
      <w:pPr>
        <w:jc w:val="both"/>
        <w:rPr>
          <w:rFonts w:hint="default" w:ascii="Arial" w:hAnsi="Arial" w:cs="Arial"/>
          <w:sz w:val="22"/>
          <w:szCs w:val="22"/>
        </w:rPr>
      </w:pPr>
      <w:r>
        <w:rPr>
          <w:rFonts w:hint="default" w:ascii="Arial" w:hAnsi="Arial" w:cs="Arial"/>
          <w:sz w:val="22"/>
          <w:szCs w:val="22"/>
        </w:rPr>
        <w:t>O descumprimento de qualquer cláusula deste TERMO DE CONFIDENCIALIDADE acarretará as responsabilidades civil, criminal e administrativa, conforme previsto na legislação.</w:t>
      </w:r>
    </w:p>
    <w:p w14:paraId="13928D67">
      <w:pPr>
        <w:jc w:val="both"/>
        <w:rPr>
          <w:rFonts w:hint="default" w:ascii="Arial" w:hAnsi="Arial" w:cs="Arial"/>
          <w:sz w:val="22"/>
          <w:szCs w:val="22"/>
        </w:rPr>
      </w:pPr>
    </w:p>
    <w:p w14:paraId="0CEFCA10">
      <w:pPr>
        <w:pStyle w:val="165"/>
        <w:numPr>
          <w:ilvl w:val="0"/>
          <w:numId w:val="19"/>
        </w:numPr>
        <w:jc w:val="both"/>
        <w:rPr>
          <w:rFonts w:hint="default" w:ascii="Arial" w:hAnsi="Arial" w:cs="Arial"/>
          <w:b/>
          <w:bCs/>
          <w:sz w:val="22"/>
          <w:szCs w:val="22"/>
        </w:rPr>
      </w:pPr>
      <w:r>
        <w:rPr>
          <w:rFonts w:hint="default" w:ascii="Arial" w:hAnsi="Arial" w:cs="Arial"/>
          <w:b/>
          <w:bCs/>
          <w:sz w:val="22"/>
          <w:szCs w:val="22"/>
        </w:rPr>
        <w:t>CLÁUSULA SÉTIMA - DA VIGÊNCIA</w:t>
      </w:r>
    </w:p>
    <w:p w14:paraId="6B025E43">
      <w:pPr>
        <w:jc w:val="both"/>
        <w:rPr>
          <w:rFonts w:hint="default" w:ascii="Arial" w:hAnsi="Arial" w:cs="Arial"/>
          <w:sz w:val="22"/>
          <w:szCs w:val="22"/>
        </w:rPr>
      </w:pPr>
      <w:r>
        <w:rPr>
          <w:rFonts w:hint="default" w:ascii="Arial" w:hAnsi="Arial" w:cs="Arial"/>
          <w:sz w:val="22"/>
          <w:szCs w:val="22"/>
        </w:rPr>
        <w:t>Tendo em vista o princípio da boa-fé objetiva, permanece em vigor o dever de sigilo, tratado no presente TERMO DE CONFIDENCIALIDADE, após o término do Contrato.</w:t>
      </w:r>
    </w:p>
    <w:p w14:paraId="5F20F40C">
      <w:pPr>
        <w:jc w:val="both"/>
        <w:rPr>
          <w:rFonts w:hint="default" w:ascii="Arial" w:hAnsi="Arial" w:cs="Arial"/>
          <w:sz w:val="22"/>
          <w:szCs w:val="22"/>
        </w:rPr>
      </w:pPr>
    </w:p>
    <w:p w14:paraId="636FD9C7">
      <w:pPr>
        <w:pStyle w:val="165"/>
        <w:numPr>
          <w:ilvl w:val="0"/>
          <w:numId w:val="19"/>
        </w:numPr>
        <w:jc w:val="both"/>
        <w:rPr>
          <w:rFonts w:hint="default" w:ascii="Arial" w:hAnsi="Arial" w:cs="Arial"/>
          <w:b/>
          <w:bCs/>
          <w:sz w:val="22"/>
          <w:szCs w:val="22"/>
        </w:rPr>
      </w:pPr>
      <w:r>
        <w:rPr>
          <w:rFonts w:hint="default" w:ascii="Arial" w:hAnsi="Arial" w:cs="Arial"/>
          <w:b/>
          <w:bCs/>
          <w:sz w:val="22"/>
          <w:szCs w:val="22"/>
        </w:rPr>
        <w:t>CLÁUSULA OITAVA - DAS DISPOSIÇÕES FINAIS</w:t>
      </w:r>
    </w:p>
    <w:p w14:paraId="1E7EF263">
      <w:pPr>
        <w:jc w:val="both"/>
        <w:rPr>
          <w:rFonts w:hint="default" w:ascii="Arial" w:hAnsi="Arial" w:cs="Arial"/>
          <w:sz w:val="22"/>
          <w:szCs w:val="22"/>
        </w:rPr>
      </w:pPr>
      <w:r>
        <w:rPr>
          <w:rFonts w:hint="default" w:ascii="Arial" w:hAnsi="Arial" w:cs="Arial"/>
          <w:sz w:val="22"/>
          <w:szCs w:val="22"/>
        </w:rPr>
        <w:t xml:space="preserve">Os casos omissos neste TERMO DE CONFIDENCIALIDADE, assim como as dúvidas surgidas em decorrência da sua execução, serão resolvidos pela PREFEITURA. </w:t>
      </w:r>
    </w:p>
    <w:p w14:paraId="6EB54F62">
      <w:pPr>
        <w:jc w:val="both"/>
        <w:rPr>
          <w:rFonts w:hint="default" w:ascii="Arial" w:hAnsi="Arial" w:cs="Arial"/>
          <w:sz w:val="22"/>
          <w:szCs w:val="22"/>
        </w:rPr>
      </w:pPr>
      <w:r>
        <w:rPr>
          <w:rFonts w:hint="default" w:ascii="Arial" w:hAnsi="Arial" w:cs="Arial"/>
          <w:sz w:val="22"/>
          <w:szCs w:val="22"/>
        </w:rPr>
        <w:t>Por estar de acordo, a CONTRATADA, por meio de seu representante, firma o presente TERMO DE CONFIDENCIALIDADE, lavrando em duas vias de igual teor e forma.</w:t>
      </w:r>
    </w:p>
    <w:p w14:paraId="35D5F3CE">
      <w:pPr>
        <w:ind w:firstLine="708"/>
        <w:jc w:val="both"/>
        <w:rPr>
          <w:rFonts w:hint="default" w:ascii="Arial" w:hAnsi="Arial" w:cs="Arial"/>
          <w:sz w:val="22"/>
          <w:szCs w:val="22"/>
        </w:rPr>
      </w:pPr>
    </w:p>
    <w:p w14:paraId="77FC66B0">
      <w:pPr>
        <w:jc w:val="both"/>
        <w:rPr>
          <w:rFonts w:hint="default" w:ascii="Arial" w:hAnsi="Arial" w:cs="Arial"/>
          <w:sz w:val="22"/>
          <w:szCs w:val="22"/>
        </w:rPr>
      </w:pPr>
      <w:r>
        <w:rPr>
          <w:rFonts w:hint="default" w:ascii="Arial" w:hAnsi="Arial" w:cs="Arial"/>
          <w:sz w:val="22"/>
          <w:szCs w:val="22"/>
        </w:rPr>
        <w:t>Sinop, MT,             de                        de 2024.</w:t>
      </w:r>
    </w:p>
    <w:p w14:paraId="5AA6C223">
      <w:pPr>
        <w:ind w:left="1416" w:firstLine="708"/>
        <w:jc w:val="both"/>
        <w:rPr>
          <w:rFonts w:hint="default" w:ascii="Arial" w:hAnsi="Arial" w:cs="Arial"/>
          <w:sz w:val="22"/>
          <w:szCs w:val="22"/>
        </w:rPr>
      </w:pPr>
    </w:p>
    <w:p w14:paraId="7D88D205">
      <w:pPr>
        <w:ind w:left="1416" w:firstLine="708"/>
        <w:jc w:val="both"/>
        <w:rPr>
          <w:rFonts w:hint="default" w:ascii="Arial" w:hAnsi="Arial" w:cs="Arial"/>
          <w:sz w:val="22"/>
          <w:szCs w:val="22"/>
        </w:rPr>
      </w:pPr>
    </w:p>
    <w:p w14:paraId="47D88BD9">
      <w:pPr>
        <w:ind w:left="1416" w:firstLine="708"/>
        <w:jc w:val="both"/>
        <w:rPr>
          <w:rFonts w:hint="default" w:ascii="Arial" w:hAnsi="Arial" w:cs="Arial"/>
          <w:sz w:val="22"/>
          <w:szCs w:val="22"/>
        </w:rPr>
      </w:pPr>
    </w:p>
    <w:tbl>
      <w:tblPr>
        <w:tblStyle w:val="1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22"/>
        <w:gridCol w:w="4322"/>
      </w:tblGrid>
      <w:tr w14:paraId="481BB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44" w:type="dxa"/>
            <w:gridSpan w:val="2"/>
            <w:noWrap w:val="0"/>
            <w:vAlign w:val="top"/>
          </w:tcPr>
          <w:p w14:paraId="24A55BEC">
            <w:pPr>
              <w:spacing w:before="100" w:after="240"/>
              <w:jc w:val="both"/>
              <w:rPr>
                <w:rFonts w:hint="default" w:ascii="Arial" w:hAnsi="Arial" w:cs="Arial"/>
                <w:sz w:val="22"/>
                <w:szCs w:val="22"/>
              </w:rPr>
            </w:pPr>
          </w:p>
          <w:p w14:paraId="1D26068F">
            <w:pPr>
              <w:spacing w:before="100" w:after="240"/>
              <w:jc w:val="both"/>
              <w:rPr>
                <w:rFonts w:hint="default" w:ascii="Arial" w:hAnsi="Arial" w:cs="Arial"/>
                <w:b/>
                <w:sz w:val="22"/>
                <w:szCs w:val="22"/>
              </w:rPr>
            </w:pPr>
            <w:r>
              <w:rPr>
                <w:rFonts w:hint="default" w:ascii="Arial" w:hAnsi="Arial" w:cs="Arial"/>
                <w:b/>
                <w:sz w:val="22"/>
                <w:szCs w:val="22"/>
              </w:rPr>
              <w:t>&lt;REPRESENTANTE DA CONTRATADA&gt;</w:t>
            </w:r>
          </w:p>
          <w:p w14:paraId="19B21DBC">
            <w:pPr>
              <w:spacing w:before="100" w:after="240"/>
              <w:jc w:val="both"/>
              <w:rPr>
                <w:rFonts w:hint="default" w:ascii="Arial" w:hAnsi="Arial" w:cs="Arial"/>
                <w:sz w:val="22"/>
                <w:szCs w:val="22"/>
              </w:rPr>
            </w:pPr>
            <w:r>
              <w:rPr>
                <w:rFonts w:hint="default" w:ascii="Arial" w:hAnsi="Arial" w:cs="Arial"/>
                <w:sz w:val="22"/>
                <w:szCs w:val="22"/>
              </w:rPr>
              <w:t>&lt;VÍNCULO DO REPRESENTANTE COM A CONTRATADA&gt;</w:t>
            </w:r>
          </w:p>
          <w:p w14:paraId="2B02BB96">
            <w:pPr>
              <w:spacing w:before="100" w:after="240"/>
              <w:jc w:val="both"/>
              <w:rPr>
                <w:rFonts w:hint="default" w:ascii="Arial" w:hAnsi="Arial" w:cs="Arial"/>
                <w:sz w:val="22"/>
                <w:szCs w:val="22"/>
              </w:rPr>
            </w:pPr>
            <w:r>
              <w:rPr>
                <w:rFonts w:hint="default" w:ascii="Arial" w:hAnsi="Arial" w:cs="Arial"/>
                <w:sz w:val="22"/>
                <w:szCs w:val="22"/>
              </w:rPr>
              <w:t>RG:</w:t>
            </w:r>
          </w:p>
          <w:p w14:paraId="155372EE">
            <w:pPr>
              <w:spacing w:before="100" w:after="240"/>
              <w:jc w:val="both"/>
              <w:rPr>
                <w:rFonts w:hint="default" w:ascii="Arial" w:hAnsi="Arial" w:cs="Arial"/>
                <w:b/>
                <w:bCs/>
                <w:sz w:val="22"/>
                <w:szCs w:val="22"/>
              </w:rPr>
            </w:pPr>
            <w:r>
              <w:rPr>
                <w:rFonts w:hint="default" w:ascii="Arial" w:hAnsi="Arial" w:cs="Arial"/>
                <w:sz w:val="22"/>
                <w:szCs w:val="22"/>
              </w:rPr>
              <w:t>CPF:</w:t>
            </w:r>
          </w:p>
        </w:tc>
      </w:tr>
      <w:tr w14:paraId="2E94B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22" w:type="dxa"/>
            <w:noWrap w:val="0"/>
            <w:vAlign w:val="top"/>
          </w:tcPr>
          <w:p w14:paraId="72089005">
            <w:pPr>
              <w:jc w:val="both"/>
              <w:rPr>
                <w:rFonts w:hint="default" w:ascii="Arial" w:hAnsi="Arial" w:cs="Arial"/>
                <w:b/>
                <w:bCs/>
                <w:sz w:val="22"/>
                <w:szCs w:val="22"/>
              </w:rPr>
            </w:pPr>
          </w:p>
          <w:p w14:paraId="66585BCB">
            <w:pPr>
              <w:jc w:val="both"/>
              <w:rPr>
                <w:rFonts w:hint="default" w:ascii="Arial" w:hAnsi="Arial" w:cs="Arial"/>
                <w:bCs/>
                <w:sz w:val="22"/>
                <w:szCs w:val="22"/>
              </w:rPr>
            </w:pPr>
            <w:r>
              <w:rPr>
                <w:rFonts w:hint="default" w:ascii="Arial" w:hAnsi="Arial" w:cs="Arial"/>
                <w:bCs/>
                <w:sz w:val="22"/>
                <w:szCs w:val="22"/>
              </w:rPr>
              <w:t>DE ACORDO:</w:t>
            </w:r>
          </w:p>
          <w:p w14:paraId="4061062D">
            <w:pPr>
              <w:jc w:val="both"/>
              <w:rPr>
                <w:rFonts w:hint="default" w:ascii="Arial" w:hAnsi="Arial" w:cs="Arial"/>
                <w:bCs/>
                <w:sz w:val="22"/>
                <w:szCs w:val="22"/>
              </w:rPr>
            </w:pPr>
            <w:r>
              <w:rPr>
                <w:rFonts w:hint="default" w:ascii="Arial" w:hAnsi="Arial" w:cs="Arial"/>
                <w:bCs/>
                <w:sz w:val="22"/>
                <w:szCs w:val="22"/>
              </w:rPr>
              <w:t>(Integrante da equipe técnica da CONTRATADA)</w:t>
            </w:r>
          </w:p>
          <w:p w14:paraId="61792CB4">
            <w:pPr>
              <w:jc w:val="both"/>
              <w:rPr>
                <w:rFonts w:hint="default" w:ascii="Arial" w:hAnsi="Arial" w:cs="Arial"/>
                <w:b/>
                <w:bCs/>
                <w:sz w:val="22"/>
                <w:szCs w:val="22"/>
              </w:rPr>
            </w:pPr>
            <w:r>
              <w:rPr>
                <w:rFonts w:hint="default" w:ascii="Arial" w:hAnsi="Arial" w:cs="Arial"/>
                <w:b/>
                <w:bCs/>
                <w:sz w:val="22"/>
                <w:szCs w:val="22"/>
              </w:rPr>
              <w:t>______________________</w:t>
            </w:r>
            <w:r>
              <w:rPr>
                <w:rFonts w:hint="default" w:ascii="Arial" w:hAnsi="Arial" w:cs="Arial"/>
                <w:b/>
                <w:bCs/>
                <w:sz w:val="22"/>
                <w:szCs w:val="22"/>
              </w:rPr>
              <w:tab/>
            </w:r>
          </w:p>
          <w:p w14:paraId="1987D5D2">
            <w:pPr>
              <w:jc w:val="both"/>
              <w:rPr>
                <w:rFonts w:hint="default" w:ascii="Arial" w:hAnsi="Arial" w:cs="Arial"/>
                <w:b/>
                <w:bCs/>
                <w:iCs/>
                <w:sz w:val="22"/>
                <w:szCs w:val="22"/>
              </w:rPr>
            </w:pPr>
            <w:r>
              <w:rPr>
                <w:rFonts w:hint="default" w:ascii="Arial" w:hAnsi="Arial" w:cs="Arial"/>
                <w:b/>
                <w:bCs/>
                <w:iCs/>
                <w:sz w:val="22"/>
                <w:szCs w:val="22"/>
              </w:rPr>
              <w:t>Nome:</w:t>
            </w:r>
          </w:p>
          <w:p w14:paraId="297995E9">
            <w:pPr>
              <w:jc w:val="both"/>
              <w:rPr>
                <w:rFonts w:hint="default" w:ascii="Arial" w:hAnsi="Arial" w:cs="Arial"/>
                <w:b/>
                <w:bCs/>
                <w:sz w:val="22"/>
                <w:szCs w:val="22"/>
              </w:rPr>
            </w:pPr>
            <w:r>
              <w:rPr>
                <w:rFonts w:hint="default" w:ascii="Arial" w:hAnsi="Arial" w:cs="Arial"/>
                <w:b/>
                <w:bCs/>
                <w:sz w:val="22"/>
                <w:szCs w:val="22"/>
              </w:rPr>
              <w:t>RG:</w:t>
            </w:r>
            <w:r>
              <w:rPr>
                <w:rFonts w:hint="default" w:ascii="Arial" w:hAnsi="Arial" w:cs="Arial"/>
                <w:b/>
                <w:bCs/>
                <w:sz w:val="22"/>
                <w:szCs w:val="22"/>
              </w:rPr>
              <w:tab/>
            </w:r>
            <w:r>
              <w:rPr>
                <w:rFonts w:hint="default" w:ascii="Arial" w:hAnsi="Arial" w:cs="Arial"/>
                <w:b/>
                <w:bCs/>
                <w:sz w:val="22"/>
                <w:szCs w:val="22"/>
              </w:rPr>
              <w:tab/>
            </w:r>
            <w:r>
              <w:rPr>
                <w:rFonts w:hint="default" w:ascii="Arial" w:hAnsi="Arial" w:cs="Arial"/>
                <w:b/>
                <w:bCs/>
                <w:sz w:val="22"/>
                <w:szCs w:val="22"/>
              </w:rPr>
              <w:tab/>
            </w:r>
          </w:p>
        </w:tc>
        <w:tc>
          <w:tcPr>
            <w:tcW w:w="4322" w:type="dxa"/>
            <w:noWrap w:val="0"/>
            <w:vAlign w:val="top"/>
          </w:tcPr>
          <w:p w14:paraId="5AAA715D">
            <w:pPr>
              <w:jc w:val="both"/>
              <w:rPr>
                <w:rFonts w:hint="default" w:ascii="Arial" w:hAnsi="Arial" w:cs="Arial"/>
                <w:b/>
                <w:bCs/>
                <w:sz w:val="22"/>
                <w:szCs w:val="22"/>
              </w:rPr>
            </w:pPr>
          </w:p>
          <w:p w14:paraId="5008E466">
            <w:pPr>
              <w:jc w:val="both"/>
              <w:rPr>
                <w:rFonts w:hint="default" w:ascii="Arial" w:hAnsi="Arial" w:cs="Arial"/>
                <w:bCs/>
                <w:sz w:val="22"/>
                <w:szCs w:val="22"/>
              </w:rPr>
            </w:pPr>
            <w:r>
              <w:rPr>
                <w:rFonts w:hint="default" w:ascii="Arial" w:hAnsi="Arial" w:cs="Arial"/>
                <w:bCs/>
                <w:sz w:val="22"/>
                <w:szCs w:val="22"/>
              </w:rPr>
              <w:t>DE ACORDO:</w:t>
            </w:r>
          </w:p>
          <w:p w14:paraId="4A1D9D45">
            <w:pPr>
              <w:jc w:val="both"/>
              <w:rPr>
                <w:rFonts w:hint="default" w:ascii="Arial" w:hAnsi="Arial" w:cs="Arial"/>
                <w:bCs/>
                <w:sz w:val="22"/>
                <w:szCs w:val="22"/>
              </w:rPr>
            </w:pPr>
            <w:r>
              <w:rPr>
                <w:rFonts w:hint="default" w:ascii="Arial" w:hAnsi="Arial" w:cs="Arial"/>
                <w:bCs/>
                <w:sz w:val="22"/>
                <w:szCs w:val="22"/>
              </w:rPr>
              <w:t>(Integrante da equipe técnica da CONTRATADA)</w:t>
            </w:r>
          </w:p>
          <w:p w14:paraId="02EA7B8F">
            <w:pPr>
              <w:jc w:val="both"/>
              <w:rPr>
                <w:rFonts w:hint="default" w:ascii="Arial" w:hAnsi="Arial" w:cs="Arial"/>
                <w:b/>
                <w:bCs/>
                <w:sz w:val="22"/>
                <w:szCs w:val="22"/>
              </w:rPr>
            </w:pPr>
          </w:p>
          <w:p w14:paraId="0665C017">
            <w:pPr>
              <w:jc w:val="both"/>
              <w:rPr>
                <w:rFonts w:hint="default" w:ascii="Arial" w:hAnsi="Arial" w:cs="Arial"/>
                <w:b/>
                <w:bCs/>
                <w:sz w:val="22"/>
                <w:szCs w:val="22"/>
              </w:rPr>
            </w:pPr>
            <w:r>
              <w:rPr>
                <w:rFonts w:hint="default" w:ascii="Arial" w:hAnsi="Arial" w:cs="Arial"/>
                <w:b/>
                <w:bCs/>
                <w:sz w:val="22"/>
                <w:szCs w:val="22"/>
              </w:rPr>
              <w:t>______________________</w:t>
            </w:r>
            <w:r>
              <w:rPr>
                <w:rFonts w:hint="default" w:ascii="Arial" w:hAnsi="Arial" w:cs="Arial"/>
                <w:b/>
                <w:bCs/>
                <w:sz w:val="22"/>
                <w:szCs w:val="22"/>
              </w:rPr>
              <w:tab/>
            </w:r>
          </w:p>
          <w:p w14:paraId="1D2EBCA2">
            <w:pPr>
              <w:jc w:val="both"/>
              <w:rPr>
                <w:rFonts w:hint="default" w:ascii="Arial" w:hAnsi="Arial" w:cs="Arial"/>
                <w:b/>
                <w:bCs/>
                <w:iCs/>
                <w:sz w:val="22"/>
                <w:szCs w:val="22"/>
              </w:rPr>
            </w:pPr>
            <w:r>
              <w:rPr>
                <w:rFonts w:hint="default" w:ascii="Arial" w:hAnsi="Arial" w:cs="Arial"/>
                <w:b/>
                <w:bCs/>
                <w:iCs/>
                <w:sz w:val="22"/>
                <w:szCs w:val="22"/>
              </w:rPr>
              <w:t>Nome:</w:t>
            </w:r>
          </w:p>
          <w:p w14:paraId="77333E5A">
            <w:pPr>
              <w:jc w:val="both"/>
              <w:rPr>
                <w:rFonts w:hint="default" w:ascii="Arial" w:hAnsi="Arial" w:cs="Arial"/>
                <w:b/>
                <w:bCs/>
                <w:sz w:val="22"/>
                <w:szCs w:val="22"/>
              </w:rPr>
            </w:pPr>
            <w:r>
              <w:rPr>
                <w:rFonts w:hint="default" w:ascii="Arial" w:hAnsi="Arial" w:cs="Arial"/>
                <w:b/>
                <w:bCs/>
                <w:sz w:val="22"/>
                <w:szCs w:val="22"/>
              </w:rPr>
              <w:t>RG:</w:t>
            </w:r>
            <w:r>
              <w:rPr>
                <w:rFonts w:hint="default" w:ascii="Arial" w:hAnsi="Arial" w:cs="Arial"/>
                <w:b/>
                <w:bCs/>
                <w:sz w:val="22"/>
                <w:szCs w:val="22"/>
              </w:rPr>
              <w:tab/>
            </w:r>
            <w:r>
              <w:rPr>
                <w:rFonts w:hint="default" w:ascii="Arial" w:hAnsi="Arial" w:cs="Arial"/>
                <w:b/>
                <w:bCs/>
                <w:sz w:val="22"/>
                <w:szCs w:val="22"/>
              </w:rPr>
              <w:tab/>
            </w:r>
            <w:r>
              <w:rPr>
                <w:rFonts w:hint="default" w:ascii="Arial" w:hAnsi="Arial" w:cs="Arial"/>
                <w:b/>
                <w:bCs/>
                <w:sz w:val="22"/>
                <w:szCs w:val="22"/>
              </w:rPr>
              <w:tab/>
            </w:r>
          </w:p>
        </w:tc>
      </w:tr>
    </w:tbl>
    <w:p w14:paraId="7FECE03F">
      <w:pPr>
        <w:pStyle w:val="171"/>
        <w:numPr>
          <w:ilvl w:val="0"/>
          <w:numId w:val="0"/>
        </w:numPr>
        <w:ind w:left="360"/>
        <w:rPr>
          <w:rFonts w:hint="default" w:ascii="Arial" w:hAnsi="Arial" w:cs="Arial"/>
          <w:sz w:val="22"/>
          <w:szCs w:val="22"/>
        </w:rPr>
      </w:pPr>
    </w:p>
    <w:p w14:paraId="14990BC8">
      <w:pPr>
        <w:jc w:val="both"/>
        <w:rPr>
          <w:rFonts w:hint="default" w:ascii="Arial" w:hAnsi="Arial" w:cs="Arial"/>
          <w:b/>
          <w:sz w:val="22"/>
          <w:szCs w:val="22"/>
        </w:rPr>
      </w:pPr>
      <w:r>
        <w:rPr>
          <w:rFonts w:hint="default" w:ascii="Arial" w:hAnsi="Arial" w:cs="Arial"/>
          <w:sz w:val="22"/>
          <w:szCs w:val="22"/>
        </w:rPr>
        <w:br w:type="page" w:clear="all"/>
      </w:r>
    </w:p>
    <w:p w14:paraId="6D99CD5F">
      <w:pPr>
        <w:pStyle w:val="166"/>
        <w:jc w:val="center"/>
        <w:rPr>
          <w:rFonts w:hint="default" w:ascii="Arial" w:hAnsi="Arial" w:cs="Arial"/>
          <w:sz w:val="22"/>
          <w:szCs w:val="22"/>
        </w:rPr>
      </w:pPr>
      <w:r>
        <w:rPr>
          <w:rFonts w:hint="default" w:ascii="Arial" w:hAnsi="Arial" w:cs="Arial"/>
          <w:b/>
          <w:bCs/>
          <w:sz w:val="22"/>
          <w:szCs w:val="22"/>
        </w:rPr>
        <w:t>ANEXO VI</w:t>
      </w:r>
      <w:r>
        <w:rPr>
          <w:rFonts w:hint="default" w:cs="Arial"/>
          <w:b/>
          <w:bCs/>
          <w:sz w:val="22"/>
          <w:szCs w:val="22"/>
          <w:lang w:val="pt-BR"/>
        </w:rPr>
        <w:t>I</w:t>
      </w:r>
      <w:r>
        <w:rPr>
          <w:rFonts w:hint="default" w:ascii="Arial" w:hAnsi="Arial" w:cs="Arial"/>
          <w:b/>
          <w:bCs/>
          <w:sz w:val="22"/>
          <w:szCs w:val="22"/>
        </w:rPr>
        <w:t>I</w:t>
      </w:r>
    </w:p>
    <w:p w14:paraId="42C636A8">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sz w:val="22"/>
          <w:szCs w:val="22"/>
          <w:lang w:val="pt-BR"/>
        </w:rPr>
      </w:pPr>
    </w:p>
    <w:p w14:paraId="0C7CCDB8">
      <w:pPr>
        <w:pBdr>
          <w:top w:val="single" w:color="000000" w:sz="4" w:space="0"/>
          <w:left w:val="single" w:color="000000" w:sz="4" w:space="3"/>
          <w:bottom w:val="single" w:color="000000" w:sz="4" w:space="0"/>
          <w:right w:val="single" w:color="000000" w:sz="4" w:space="3"/>
        </w:pBdr>
        <w:shd w:val="clear" w:color="auto" w:fill="D9D9D9"/>
        <w:spacing w:line="360" w:lineRule="auto"/>
        <w:jc w:val="center"/>
        <w:rPr>
          <w:rFonts w:hint="default" w:ascii="Arial" w:hAnsi="Arial" w:cs="Arial"/>
          <w:sz w:val="22"/>
          <w:szCs w:val="22"/>
        </w:rPr>
      </w:pPr>
      <w:r>
        <w:rPr>
          <w:rFonts w:hint="default" w:ascii="Arial" w:hAnsi="Arial" w:cs="Arial"/>
          <w:b/>
          <w:bCs/>
          <w:sz w:val="22"/>
          <w:szCs w:val="22"/>
        </w:rPr>
        <w:t>M</w:t>
      </w:r>
      <w:r>
        <w:rPr>
          <w:rFonts w:hint="default" w:ascii="Arial" w:hAnsi="Arial" w:cs="Arial"/>
          <w:b/>
          <w:bCs/>
          <w:sz w:val="22"/>
          <w:szCs w:val="22"/>
          <w:lang w:val="pt-BR"/>
        </w:rPr>
        <w:t>INUTA</w:t>
      </w:r>
      <w:r>
        <w:rPr>
          <w:rFonts w:hint="default" w:ascii="Arial" w:hAnsi="Arial" w:cs="Arial"/>
          <w:b/>
          <w:bCs/>
          <w:sz w:val="22"/>
          <w:szCs w:val="22"/>
        </w:rPr>
        <w:t xml:space="preserve"> DE CESSÃO DE PROPRIEDADE INTELECTUAL</w:t>
      </w:r>
    </w:p>
    <w:p w14:paraId="44467DA9">
      <w:pPr>
        <w:pStyle w:val="171"/>
        <w:numPr>
          <w:ilvl w:val="0"/>
          <w:numId w:val="0"/>
        </w:numPr>
        <w:ind w:left="360"/>
        <w:rPr>
          <w:rFonts w:hint="default" w:ascii="Arial" w:hAnsi="Arial" w:cs="Arial"/>
          <w:sz w:val="22"/>
          <w:szCs w:val="22"/>
        </w:rPr>
      </w:pPr>
    </w:p>
    <w:p w14:paraId="3CDDAEA1">
      <w:pPr>
        <w:widowControl w:val="0"/>
        <w:tabs>
          <w:tab w:val="left" w:pos="1728"/>
          <w:tab w:val="left" w:pos="2268"/>
          <w:tab w:val="left" w:pos="2538"/>
          <w:tab w:val="left" w:pos="4338"/>
          <w:tab w:val="left" w:pos="4968"/>
          <w:tab w:val="left" w:pos="5688"/>
          <w:tab w:val="left" w:pos="6408"/>
          <w:tab w:val="left" w:pos="7128"/>
          <w:tab w:val="left" w:pos="7848"/>
          <w:tab w:val="left" w:pos="8568"/>
          <w:tab w:val="left" w:pos="9288"/>
        </w:tabs>
        <w:ind w:left="851"/>
        <w:jc w:val="both"/>
        <w:rPr>
          <w:rFonts w:hint="default" w:ascii="Arial" w:hAnsi="Arial" w:eastAsia="Times New Roman" w:cs="Arial"/>
          <w:sz w:val="22"/>
          <w:szCs w:val="22"/>
          <w:lang w:eastAsia="pt-BR"/>
        </w:rPr>
      </w:pPr>
      <w:r>
        <w:rPr>
          <w:rFonts w:hint="default" w:ascii="Arial" w:hAnsi="Arial" w:cs="Arial"/>
          <w:b/>
          <w:sz w:val="22"/>
          <w:szCs w:val="22"/>
          <w:u w:val="single"/>
        </w:rPr>
        <w:t>DOCUMENTO DE CESSÃO E TRANSFERÊNCIA DE PROPRIEDADE INTELECTUAL</w:t>
      </w:r>
    </w:p>
    <w:p w14:paraId="39A15983">
      <w:pPr>
        <w:widowControl w:val="0"/>
        <w:tabs>
          <w:tab w:val="left" w:pos="1728"/>
          <w:tab w:val="left" w:pos="2268"/>
          <w:tab w:val="left" w:pos="2538"/>
          <w:tab w:val="left" w:pos="4338"/>
          <w:tab w:val="left" w:pos="4968"/>
          <w:tab w:val="left" w:pos="5688"/>
          <w:tab w:val="left" w:pos="6408"/>
          <w:tab w:val="left" w:pos="7128"/>
          <w:tab w:val="left" w:pos="7848"/>
          <w:tab w:val="left" w:pos="8568"/>
          <w:tab w:val="left" w:pos="9288"/>
        </w:tabs>
        <w:jc w:val="both"/>
        <w:rPr>
          <w:rFonts w:hint="default" w:ascii="Arial" w:hAnsi="Arial" w:cs="Arial"/>
          <w:sz w:val="22"/>
          <w:szCs w:val="22"/>
        </w:rPr>
      </w:pPr>
    </w:p>
    <w:p w14:paraId="7E45E383">
      <w:pPr>
        <w:widowControl w:val="0"/>
        <w:tabs>
          <w:tab w:val="left" w:pos="2178"/>
          <w:tab w:val="left" w:pos="2538"/>
          <w:tab w:val="left" w:pos="4338"/>
          <w:tab w:val="left" w:pos="4968"/>
          <w:tab w:val="left" w:pos="5688"/>
          <w:tab w:val="left" w:pos="6408"/>
          <w:tab w:val="left" w:pos="7128"/>
          <w:tab w:val="left" w:pos="7848"/>
          <w:tab w:val="left" w:pos="8568"/>
          <w:tab w:val="left" w:pos="9288"/>
        </w:tabs>
        <w:jc w:val="both"/>
        <w:rPr>
          <w:rFonts w:hint="default" w:ascii="Arial" w:hAnsi="Arial" w:cs="Arial"/>
          <w:sz w:val="22"/>
          <w:szCs w:val="22"/>
        </w:rPr>
      </w:pPr>
      <w:r>
        <w:rPr>
          <w:rFonts w:hint="default" w:ascii="Arial" w:hAnsi="Arial" w:cs="Arial"/>
          <w:sz w:val="22"/>
          <w:szCs w:val="22"/>
        </w:rPr>
        <w:t xml:space="preserve">CEDENTE: </w:t>
      </w:r>
    </w:p>
    <w:p w14:paraId="45A82119">
      <w:pPr>
        <w:widowControl w:val="0"/>
        <w:tabs>
          <w:tab w:val="left" w:pos="2178"/>
          <w:tab w:val="left" w:pos="2538"/>
          <w:tab w:val="left" w:pos="4338"/>
          <w:tab w:val="left" w:pos="4968"/>
          <w:tab w:val="left" w:pos="5688"/>
          <w:tab w:val="left" w:pos="6408"/>
          <w:tab w:val="left" w:pos="7128"/>
          <w:tab w:val="left" w:pos="7848"/>
          <w:tab w:val="left" w:pos="8568"/>
          <w:tab w:val="left" w:pos="9288"/>
        </w:tabs>
        <w:jc w:val="both"/>
        <w:rPr>
          <w:rFonts w:hint="default" w:ascii="Arial" w:hAnsi="Arial" w:cs="Arial"/>
          <w:sz w:val="22"/>
          <w:szCs w:val="22"/>
        </w:rPr>
      </w:pPr>
    </w:p>
    <w:p w14:paraId="0DF2116B">
      <w:pPr>
        <w:jc w:val="both"/>
        <w:rPr>
          <w:rFonts w:hint="default" w:ascii="Arial" w:hAnsi="Arial" w:cs="Arial"/>
          <w:sz w:val="22"/>
          <w:szCs w:val="22"/>
        </w:rPr>
      </w:pPr>
      <w:r>
        <w:rPr>
          <w:rFonts w:hint="default" w:ascii="Arial" w:hAnsi="Arial" w:cs="Arial"/>
          <w:sz w:val="22"/>
          <w:szCs w:val="22"/>
        </w:rPr>
        <w:t xml:space="preserve">CESSIONÁRIO: </w:t>
      </w:r>
    </w:p>
    <w:p w14:paraId="5AC448F5">
      <w:pPr>
        <w:jc w:val="both"/>
        <w:rPr>
          <w:rFonts w:hint="default" w:ascii="Arial" w:hAnsi="Arial" w:cs="Arial"/>
          <w:sz w:val="22"/>
          <w:szCs w:val="22"/>
        </w:rPr>
      </w:pPr>
    </w:p>
    <w:p w14:paraId="09872CD0">
      <w:pPr>
        <w:widowControl w:val="0"/>
        <w:tabs>
          <w:tab w:val="left" w:pos="2178"/>
          <w:tab w:val="left" w:pos="2538"/>
          <w:tab w:val="left" w:pos="2718"/>
          <w:tab w:val="left" w:pos="4968"/>
          <w:tab w:val="left" w:pos="5688"/>
          <w:tab w:val="left" w:pos="6408"/>
          <w:tab w:val="left" w:pos="7128"/>
          <w:tab w:val="left" w:pos="7848"/>
          <w:tab w:val="left" w:pos="8568"/>
          <w:tab w:val="left" w:pos="9288"/>
        </w:tabs>
        <w:jc w:val="both"/>
        <w:rPr>
          <w:rFonts w:hint="default" w:ascii="Arial" w:hAnsi="Arial" w:cs="Arial"/>
          <w:b/>
          <w:sz w:val="22"/>
          <w:szCs w:val="22"/>
          <w:highlight w:val="none"/>
        </w:rPr>
      </w:pPr>
      <w:r>
        <w:rPr>
          <w:rFonts w:hint="default" w:ascii="Arial" w:hAnsi="Arial" w:cs="Arial"/>
          <w:sz w:val="22"/>
          <w:szCs w:val="22"/>
        </w:rPr>
        <w:t xml:space="preserve">Pelo presente instrumento particular de cessão e transferência, o </w:t>
      </w:r>
      <w:r>
        <w:rPr>
          <w:rFonts w:hint="default" w:ascii="Arial" w:hAnsi="Arial" w:cs="Arial"/>
          <w:b/>
          <w:sz w:val="22"/>
          <w:szCs w:val="22"/>
        </w:rPr>
        <w:t>CEDENTE</w:t>
      </w:r>
      <w:r>
        <w:rPr>
          <w:rFonts w:hint="default" w:ascii="Arial" w:hAnsi="Arial" w:cs="Arial"/>
          <w:sz w:val="22"/>
          <w:szCs w:val="22"/>
        </w:rPr>
        <w:t xml:space="preserve"> acima nomeado e qualificado, abaixo assinado, CEDE E TRANSFERE, como de fato cedido e transferido tem, ao </w:t>
      </w:r>
      <w:r>
        <w:rPr>
          <w:rFonts w:hint="default" w:ascii="Arial" w:hAnsi="Arial" w:cs="Arial"/>
          <w:b/>
          <w:sz w:val="22"/>
          <w:szCs w:val="22"/>
        </w:rPr>
        <w:t>CESSIONÁRIO</w:t>
      </w:r>
      <w:r>
        <w:rPr>
          <w:rFonts w:hint="default" w:ascii="Arial" w:hAnsi="Arial" w:cs="Arial"/>
          <w:sz w:val="22"/>
          <w:szCs w:val="22"/>
        </w:rPr>
        <w:t xml:space="preserve">, também acima indicado e devidamente qualificado, todos os direitos, posse, uso, gozo e propriedade intelectual referente ao serviço prestado no contrato </w:t>
      </w:r>
      <w:r>
        <w:rPr>
          <w:rFonts w:hint="default" w:ascii="Arial" w:hAnsi="Arial" w:cs="Arial"/>
          <w:sz w:val="22"/>
          <w:szCs w:val="22"/>
          <w:highlight w:val="none"/>
        </w:rPr>
        <w:t>PREFEITURA</w:t>
      </w:r>
      <w:r>
        <w:rPr>
          <w:rFonts w:hint="default" w:ascii="Arial" w:hAnsi="Arial" w:cs="Arial"/>
          <w:sz w:val="22"/>
          <w:szCs w:val="22"/>
          <w:highlight w:val="none"/>
          <w:lang w:val="pt-BR"/>
        </w:rPr>
        <w:t xml:space="preserve"> DE SINOP</w:t>
      </w:r>
      <w:r>
        <w:rPr>
          <w:rFonts w:hint="default" w:ascii="Arial" w:hAnsi="Arial" w:cs="Arial"/>
          <w:sz w:val="22"/>
          <w:szCs w:val="22"/>
          <w:highlight w:val="none"/>
        </w:rPr>
        <w:t>/2024:</w:t>
      </w:r>
    </w:p>
    <w:p w14:paraId="25C2A032">
      <w:pPr>
        <w:widowControl w:val="0"/>
        <w:tabs>
          <w:tab w:val="left" w:pos="2178"/>
          <w:tab w:val="left" w:pos="2538"/>
          <w:tab w:val="left" w:pos="4338"/>
          <w:tab w:val="left" w:pos="4968"/>
          <w:tab w:val="left" w:pos="5688"/>
          <w:tab w:val="left" w:pos="6408"/>
          <w:tab w:val="left" w:pos="7128"/>
          <w:tab w:val="left" w:pos="7848"/>
          <w:tab w:val="left" w:pos="8568"/>
          <w:tab w:val="left" w:pos="9288"/>
        </w:tabs>
        <w:jc w:val="both"/>
        <w:rPr>
          <w:rFonts w:hint="default" w:ascii="Arial" w:hAnsi="Arial" w:cs="Arial"/>
          <w:sz w:val="22"/>
          <w:szCs w:val="22"/>
          <w:highlight w:val="none"/>
        </w:rPr>
      </w:pPr>
    </w:p>
    <w:p w14:paraId="096941CE">
      <w:pPr>
        <w:widowControl w:val="0"/>
        <w:tabs>
          <w:tab w:val="left" w:pos="468"/>
          <w:tab w:val="left" w:pos="2538"/>
          <w:tab w:val="left" w:pos="2718"/>
          <w:tab w:val="left" w:pos="4968"/>
          <w:tab w:val="left" w:pos="5688"/>
          <w:tab w:val="left" w:pos="6408"/>
          <w:tab w:val="left" w:pos="7128"/>
          <w:tab w:val="left" w:pos="7848"/>
          <w:tab w:val="left" w:pos="8568"/>
          <w:tab w:val="left" w:pos="9288"/>
        </w:tabs>
        <w:jc w:val="both"/>
        <w:rPr>
          <w:rFonts w:hint="default" w:ascii="Arial" w:hAnsi="Arial" w:cs="Arial"/>
          <w:sz w:val="22"/>
          <w:szCs w:val="22"/>
        </w:rPr>
      </w:pPr>
      <w:r>
        <w:rPr>
          <w:rFonts w:hint="default" w:ascii="Arial" w:hAnsi="Arial" w:cs="Arial"/>
          <w:sz w:val="22"/>
          <w:szCs w:val="22"/>
        </w:rPr>
        <w:t xml:space="preserve">A presente cessão é feita em caráter irrevogável e irretratável, obrigando herdeiros e sucessores, diante das testemunhas abaixo indicadas e qualificadas, ficando o </w:t>
      </w:r>
      <w:r>
        <w:rPr>
          <w:rFonts w:hint="default" w:ascii="Arial" w:hAnsi="Arial" w:cs="Arial"/>
          <w:b/>
          <w:sz w:val="22"/>
          <w:szCs w:val="22"/>
        </w:rPr>
        <w:t>CESSIONÁRIO</w:t>
      </w:r>
      <w:r>
        <w:rPr>
          <w:rFonts w:hint="default" w:ascii="Arial" w:hAnsi="Arial" w:cs="Arial"/>
          <w:sz w:val="22"/>
          <w:szCs w:val="22"/>
        </w:rPr>
        <w:t xml:space="preserve"> investido de poderes para requerer, a qualquer tempo, a registro ou transferência de propriedade para o seu nome perante o Instituto Nacional da Propriedade Industrial – INPI, caso necessário.</w:t>
      </w:r>
    </w:p>
    <w:p w14:paraId="343890C7">
      <w:pPr>
        <w:widowControl w:val="0"/>
        <w:tabs>
          <w:tab w:val="left" w:pos="468"/>
          <w:tab w:val="left" w:pos="2538"/>
          <w:tab w:val="left" w:pos="2718"/>
          <w:tab w:val="left" w:pos="4968"/>
          <w:tab w:val="left" w:pos="5688"/>
          <w:tab w:val="left" w:pos="6408"/>
          <w:tab w:val="left" w:pos="7128"/>
          <w:tab w:val="left" w:pos="7848"/>
          <w:tab w:val="left" w:pos="8568"/>
          <w:tab w:val="left" w:pos="9288"/>
        </w:tabs>
        <w:jc w:val="both"/>
        <w:rPr>
          <w:rFonts w:hint="default" w:ascii="Arial" w:hAnsi="Arial" w:cs="Arial"/>
          <w:sz w:val="22"/>
          <w:szCs w:val="22"/>
        </w:rPr>
      </w:pPr>
    </w:p>
    <w:p w14:paraId="56E0E1E8">
      <w:pPr>
        <w:widowControl w:val="0"/>
        <w:tabs>
          <w:tab w:val="left" w:pos="468"/>
          <w:tab w:val="left" w:pos="2538"/>
          <w:tab w:val="left" w:pos="2718"/>
          <w:tab w:val="left" w:pos="4968"/>
          <w:tab w:val="left" w:pos="5688"/>
          <w:tab w:val="left" w:pos="6408"/>
          <w:tab w:val="left" w:pos="7128"/>
          <w:tab w:val="left" w:pos="7848"/>
          <w:tab w:val="left" w:pos="8568"/>
          <w:tab w:val="left" w:pos="9288"/>
        </w:tabs>
        <w:jc w:val="both"/>
        <w:rPr>
          <w:rFonts w:hint="default" w:ascii="Arial" w:hAnsi="Arial" w:cs="Arial"/>
          <w:sz w:val="22"/>
          <w:szCs w:val="22"/>
        </w:rPr>
      </w:pPr>
      <w:r>
        <w:rPr>
          <w:rFonts w:hint="default" w:ascii="Arial" w:hAnsi="Arial" w:cs="Arial"/>
          <w:sz w:val="22"/>
          <w:szCs w:val="22"/>
        </w:rPr>
        <w:t>Local/Data:</w:t>
      </w:r>
    </w:p>
    <w:p w14:paraId="6C4A7F2F">
      <w:pPr>
        <w:widowControl w:val="0"/>
        <w:tabs>
          <w:tab w:val="left" w:pos="468"/>
          <w:tab w:val="left" w:pos="2538"/>
          <w:tab w:val="left" w:pos="2718"/>
          <w:tab w:val="left" w:pos="4968"/>
          <w:tab w:val="left" w:pos="5688"/>
          <w:tab w:val="left" w:pos="6408"/>
          <w:tab w:val="left" w:pos="7128"/>
          <w:tab w:val="left" w:pos="7848"/>
          <w:tab w:val="left" w:pos="8568"/>
          <w:tab w:val="left" w:pos="9288"/>
        </w:tabs>
        <w:jc w:val="both"/>
        <w:rPr>
          <w:rFonts w:hint="default" w:ascii="Arial" w:hAnsi="Arial" w:cs="Arial"/>
          <w:sz w:val="22"/>
          <w:szCs w:val="22"/>
        </w:rPr>
      </w:pPr>
    </w:p>
    <w:p w14:paraId="1825C7D5">
      <w:pPr>
        <w:widowControl w:val="0"/>
        <w:tabs>
          <w:tab w:val="left" w:pos="468"/>
          <w:tab w:val="left" w:pos="2538"/>
          <w:tab w:val="left" w:pos="2718"/>
          <w:tab w:val="left" w:pos="4968"/>
          <w:tab w:val="left" w:pos="5688"/>
          <w:tab w:val="left" w:pos="6408"/>
          <w:tab w:val="left" w:pos="7128"/>
          <w:tab w:val="left" w:pos="7848"/>
          <w:tab w:val="left" w:pos="8568"/>
          <w:tab w:val="left" w:pos="9288"/>
        </w:tabs>
        <w:jc w:val="both"/>
        <w:rPr>
          <w:rFonts w:hint="default" w:ascii="Arial" w:hAnsi="Arial" w:cs="Arial"/>
          <w:sz w:val="22"/>
          <w:szCs w:val="22"/>
        </w:rPr>
      </w:pPr>
    </w:p>
    <w:p w14:paraId="28D4B6CC">
      <w:pPr>
        <w:widowControl w:val="0"/>
        <w:tabs>
          <w:tab w:val="left" w:pos="468"/>
          <w:tab w:val="left" w:pos="2538"/>
          <w:tab w:val="left" w:pos="2718"/>
          <w:tab w:val="left" w:pos="4968"/>
          <w:tab w:val="left" w:pos="5688"/>
          <w:tab w:val="left" w:pos="6408"/>
          <w:tab w:val="left" w:pos="7128"/>
          <w:tab w:val="left" w:pos="7848"/>
          <w:tab w:val="left" w:pos="8568"/>
          <w:tab w:val="left" w:pos="9288"/>
        </w:tabs>
        <w:jc w:val="both"/>
        <w:rPr>
          <w:rFonts w:hint="default" w:ascii="Arial" w:hAnsi="Arial" w:cs="Arial"/>
          <w:sz w:val="22"/>
          <w:szCs w:val="22"/>
        </w:rPr>
      </w:pPr>
    </w:p>
    <w:p w14:paraId="56BDC857">
      <w:pPr>
        <w:widowControl w:val="0"/>
        <w:tabs>
          <w:tab w:val="left" w:pos="468"/>
          <w:tab w:val="left" w:pos="2538"/>
          <w:tab w:val="left" w:pos="2718"/>
          <w:tab w:val="left" w:pos="4968"/>
          <w:tab w:val="left" w:pos="5688"/>
          <w:tab w:val="left" w:pos="6408"/>
          <w:tab w:val="left" w:pos="7128"/>
          <w:tab w:val="left" w:pos="7848"/>
          <w:tab w:val="left" w:pos="8568"/>
          <w:tab w:val="left" w:pos="9288"/>
        </w:tabs>
        <w:jc w:val="both"/>
        <w:rPr>
          <w:rFonts w:hint="default" w:ascii="Arial" w:hAnsi="Arial" w:cs="Arial"/>
          <w:sz w:val="22"/>
          <w:szCs w:val="22"/>
        </w:rPr>
      </w:pPr>
      <w:r>
        <w:rPr>
          <w:rFonts w:hint="default" w:ascii="Arial" w:hAnsi="Arial" w:cs="Arial"/>
          <w:sz w:val="22"/>
          <w:szCs w:val="22"/>
        </w:rPr>
        <w:t>____________________________</w:t>
      </w:r>
    </w:p>
    <w:p w14:paraId="15ECF2FF">
      <w:pPr>
        <w:widowControl w:val="0"/>
        <w:tabs>
          <w:tab w:val="left" w:pos="468"/>
          <w:tab w:val="left" w:pos="2538"/>
          <w:tab w:val="left" w:pos="2718"/>
          <w:tab w:val="left" w:pos="4968"/>
          <w:tab w:val="left" w:pos="5688"/>
          <w:tab w:val="left" w:pos="6408"/>
          <w:tab w:val="left" w:pos="7128"/>
          <w:tab w:val="left" w:pos="7848"/>
          <w:tab w:val="left" w:pos="8568"/>
          <w:tab w:val="left" w:pos="9288"/>
        </w:tabs>
        <w:jc w:val="both"/>
        <w:rPr>
          <w:rFonts w:hint="default" w:ascii="Arial" w:hAnsi="Arial" w:cs="Arial"/>
          <w:sz w:val="22"/>
          <w:szCs w:val="22"/>
        </w:rPr>
      </w:pPr>
      <w:r>
        <w:rPr>
          <w:rFonts w:hint="default" w:ascii="Arial" w:hAnsi="Arial" w:cs="Arial"/>
          <w:sz w:val="22"/>
          <w:szCs w:val="22"/>
        </w:rPr>
        <w:t>Cedente</w:t>
      </w:r>
    </w:p>
    <w:p w14:paraId="717985FB">
      <w:pPr>
        <w:widowControl w:val="0"/>
        <w:tabs>
          <w:tab w:val="left" w:pos="468"/>
          <w:tab w:val="left" w:pos="2538"/>
          <w:tab w:val="left" w:pos="2718"/>
          <w:tab w:val="left" w:pos="4968"/>
          <w:tab w:val="left" w:pos="5688"/>
          <w:tab w:val="left" w:pos="6408"/>
          <w:tab w:val="left" w:pos="7128"/>
          <w:tab w:val="left" w:pos="7848"/>
          <w:tab w:val="left" w:pos="8568"/>
          <w:tab w:val="left" w:pos="9288"/>
        </w:tabs>
        <w:jc w:val="both"/>
        <w:rPr>
          <w:rFonts w:hint="default" w:ascii="Arial" w:hAnsi="Arial" w:cs="Arial"/>
          <w:sz w:val="22"/>
          <w:szCs w:val="22"/>
        </w:rPr>
      </w:pPr>
    </w:p>
    <w:p w14:paraId="715779AC">
      <w:pPr>
        <w:widowControl w:val="0"/>
        <w:tabs>
          <w:tab w:val="left" w:pos="468"/>
          <w:tab w:val="left" w:pos="2538"/>
          <w:tab w:val="left" w:pos="2718"/>
          <w:tab w:val="left" w:pos="4968"/>
          <w:tab w:val="left" w:pos="5688"/>
          <w:tab w:val="left" w:pos="6408"/>
          <w:tab w:val="left" w:pos="7128"/>
          <w:tab w:val="left" w:pos="7848"/>
          <w:tab w:val="left" w:pos="8568"/>
          <w:tab w:val="left" w:pos="9288"/>
        </w:tabs>
        <w:jc w:val="both"/>
        <w:rPr>
          <w:rFonts w:hint="default" w:ascii="Arial" w:hAnsi="Arial" w:cs="Arial"/>
          <w:sz w:val="22"/>
          <w:szCs w:val="22"/>
        </w:rPr>
      </w:pPr>
    </w:p>
    <w:p w14:paraId="3EB432A2">
      <w:pPr>
        <w:widowControl w:val="0"/>
        <w:tabs>
          <w:tab w:val="left" w:pos="468"/>
          <w:tab w:val="left" w:pos="2538"/>
          <w:tab w:val="left" w:pos="2718"/>
          <w:tab w:val="left" w:pos="4968"/>
          <w:tab w:val="left" w:pos="5688"/>
          <w:tab w:val="left" w:pos="6408"/>
          <w:tab w:val="left" w:pos="7128"/>
          <w:tab w:val="left" w:pos="7848"/>
          <w:tab w:val="left" w:pos="8568"/>
          <w:tab w:val="left" w:pos="9288"/>
        </w:tabs>
        <w:jc w:val="both"/>
        <w:rPr>
          <w:rFonts w:hint="default" w:ascii="Arial" w:hAnsi="Arial" w:cs="Arial"/>
          <w:sz w:val="22"/>
          <w:szCs w:val="22"/>
        </w:rPr>
      </w:pPr>
    </w:p>
    <w:p w14:paraId="29069A86">
      <w:pPr>
        <w:widowControl w:val="0"/>
        <w:tabs>
          <w:tab w:val="left" w:pos="468"/>
          <w:tab w:val="left" w:pos="2538"/>
          <w:tab w:val="left" w:pos="2718"/>
          <w:tab w:val="left" w:pos="4968"/>
          <w:tab w:val="left" w:pos="5688"/>
          <w:tab w:val="left" w:pos="6408"/>
          <w:tab w:val="left" w:pos="7128"/>
          <w:tab w:val="left" w:pos="7848"/>
          <w:tab w:val="left" w:pos="8568"/>
          <w:tab w:val="left" w:pos="9288"/>
        </w:tabs>
        <w:jc w:val="both"/>
        <w:rPr>
          <w:rFonts w:hint="default" w:ascii="Arial" w:hAnsi="Arial" w:cs="Arial"/>
          <w:sz w:val="22"/>
          <w:szCs w:val="22"/>
        </w:rPr>
      </w:pPr>
      <w:r>
        <w:rPr>
          <w:rFonts w:hint="default" w:ascii="Arial" w:hAnsi="Arial" w:cs="Arial"/>
          <w:sz w:val="22"/>
          <w:szCs w:val="22"/>
        </w:rPr>
        <w:t>____________________________</w:t>
      </w:r>
    </w:p>
    <w:p w14:paraId="60F8D6A9">
      <w:pPr>
        <w:widowControl w:val="0"/>
        <w:tabs>
          <w:tab w:val="left" w:pos="468"/>
          <w:tab w:val="left" w:pos="2538"/>
          <w:tab w:val="left" w:pos="2718"/>
          <w:tab w:val="left" w:pos="4968"/>
          <w:tab w:val="left" w:pos="5688"/>
          <w:tab w:val="left" w:pos="6408"/>
          <w:tab w:val="left" w:pos="7128"/>
          <w:tab w:val="left" w:pos="7848"/>
          <w:tab w:val="left" w:pos="8568"/>
          <w:tab w:val="left" w:pos="9288"/>
        </w:tabs>
        <w:jc w:val="both"/>
        <w:rPr>
          <w:rFonts w:hint="default" w:ascii="Arial" w:hAnsi="Arial" w:cs="Arial"/>
          <w:sz w:val="22"/>
          <w:szCs w:val="22"/>
        </w:rPr>
      </w:pPr>
      <w:r>
        <w:rPr>
          <w:rFonts w:hint="default" w:ascii="Arial" w:hAnsi="Arial" w:cs="Arial"/>
          <w:sz w:val="22"/>
          <w:szCs w:val="22"/>
        </w:rPr>
        <w:t>Cessionário</w:t>
      </w:r>
    </w:p>
    <w:p w14:paraId="293CCF10">
      <w:pPr>
        <w:widowControl w:val="0"/>
        <w:tabs>
          <w:tab w:val="left" w:pos="468"/>
          <w:tab w:val="left" w:pos="2538"/>
          <w:tab w:val="left" w:pos="2718"/>
          <w:tab w:val="left" w:pos="4968"/>
          <w:tab w:val="left" w:pos="5688"/>
          <w:tab w:val="left" w:pos="6408"/>
          <w:tab w:val="left" w:pos="7128"/>
          <w:tab w:val="left" w:pos="7848"/>
          <w:tab w:val="left" w:pos="8568"/>
          <w:tab w:val="left" w:pos="9288"/>
        </w:tabs>
        <w:jc w:val="both"/>
        <w:rPr>
          <w:rFonts w:hint="default" w:ascii="Arial" w:hAnsi="Arial" w:cs="Arial"/>
          <w:sz w:val="22"/>
          <w:szCs w:val="22"/>
        </w:rPr>
      </w:pPr>
    </w:p>
    <w:p w14:paraId="27B55EF2">
      <w:pPr>
        <w:widowControl w:val="0"/>
        <w:tabs>
          <w:tab w:val="left" w:pos="468"/>
          <w:tab w:val="left" w:pos="2538"/>
          <w:tab w:val="left" w:pos="2718"/>
          <w:tab w:val="left" w:pos="4968"/>
          <w:tab w:val="left" w:pos="5688"/>
          <w:tab w:val="left" w:pos="6408"/>
          <w:tab w:val="left" w:pos="7128"/>
          <w:tab w:val="left" w:pos="7848"/>
          <w:tab w:val="left" w:pos="8568"/>
          <w:tab w:val="left" w:pos="9288"/>
        </w:tabs>
        <w:jc w:val="both"/>
        <w:rPr>
          <w:rFonts w:hint="default" w:ascii="Arial" w:hAnsi="Arial" w:cs="Arial"/>
          <w:sz w:val="22"/>
          <w:szCs w:val="22"/>
        </w:rPr>
      </w:pPr>
    </w:p>
    <w:p w14:paraId="4C417D59">
      <w:pPr>
        <w:widowControl w:val="0"/>
        <w:tabs>
          <w:tab w:val="left" w:pos="468"/>
          <w:tab w:val="left" w:pos="2538"/>
          <w:tab w:val="left" w:pos="2718"/>
          <w:tab w:val="left" w:pos="4968"/>
          <w:tab w:val="left" w:pos="5688"/>
          <w:tab w:val="left" w:pos="6408"/>
          <w:tab w:val="left" w:pos="7128"/>
          <w:tab w:val="left" w:pos="7848"/>
          <w:tab w:val="left" w:pos="8568"/>
          <w:tab w:val="left" w:pos="9288"/>
        </w:tabs>
        <w:jc w:val="both"/>
        <w:rPr>
          <w:rFonts w:hint="default" w:ascii="Arial" w:hAnsi="Arial" w:cs="Arial"/>
          <w:sz w:val="22"/>
          <w:szCs w:val="22"/>
        </w:rPr>
      </w:pPr>
    </w:p>
    <w:p w14:paraId="248BA468">
      <w:pPr>
        <w:widowControl w:val="0"/>
        <w:tabs>
          <w:tab w:val="left" w:pos="468"/>
          <w:tab w:val="left" w:pos="2538"/>
          <w:tab w:val="left" w:pos="2718"/>
          <w:tab w:val="left" w:pos="4968"/>
          <w:tab w:val="left" w:pos="5688"/>
          <w:tab w:val="left" w:pos="6408"/>
          <w:tab w:val="left" w:pos="7128"/>
          <w:tab w:val="left" w:pos="7848"/>
          <w:tab w:val="left" w:pos="8568"/>
          <w:tab w:val="left" w:pos="9288"/>
        </w:tabs>
        <w:jc w:val="both"/>
        <w:rPr>
          <w:rFonts w:hint="default" w:ascii="Arial" w:hAnsi="Arial" w:cs="Arial"/>
          <w:sz w:val="22"/>
          <w:szCs w:val="22"/>
        </w:rPr>
      </w:pPr>
      <w:r>
        <w:rPr>
          <w:rFonts w:hint="default" w:ascii="Arial" w:hAnsi="Arial" w:cs="Arial"/>
          <w:sz w:val="22"/>
          <w:szCs w:val="22"/>
        </w:rPr>
        <w:t>Testemunhas</w:t>
      </w:r>
    </w:p>
    <w:p w14:paraId="2A76627D">
      <w:pPr>
        <w:widowControl w:val="0"/>
        <w:tabs>
          <w:tab w:val="left" w:pos="468"/>
          <w:tab w:val="left" w:pos="2538"/>
          <w:tab w:val="left" w:pos="2718"/>
          <w:tab w:val="left" w:pos="4968"/>
          <w:tab w:val="left" w:pos="5688"/>
          <w:tab w:val="left" w:pos="6408"/>
          <w:tab w:val="left" w:pos="7128"/>
          <w:tab w:val="left" w:pos="7848"/>
          <w:tab w:val="left" w:pos="8568"/>
          <w:tab w:val="left" w:pos="9288"/>
        </w:tabs>
        <w:jc w:val="both"/>
        <w:rPr>
          <w:rFonts w:hint="default" w:ascii="Arial" w:hAnsi="Arial" w:cs="Arial"/>
          <w:sz w:val="22"/>
          <w:szCs w:val="22"/>
        </w:rPr>
      </w:pPr>
    </w:p>
    <w:p w14:paraId="4FF1C33A">
      <w:pPr>
        <w:widowControl w:val="0"/>
        <w:tabs>
          <w:tab w:val="left" w:pos="468"/>
          <w:tab w:val="left" w:pos="2538"/>
          <w:tab w:val="left" w:pos="2718"/>
          <w:tab w:val="left" w:pos="4968"/>
          <w:tab w:val="left" w:pos="5688"/>
          <w:tab w:val="left" w:pos="6408"/>
          <w:tab w:val="left" w:pos="7128"/>
          <w:tab w:val="left" w:pos="7848"/>
          <w:tab w:val="left" w:pos="8568"/>
          <w:tab w:val="left" w:pos="9288"/>
        </w:tabs>
        <w:jc w:val="both"/>
        <w:rPr>
          <w:rFonts w:hint="default" w:ascii="Arial" w:hAnsi="Arial" w:cs="Arial"/>
          <w:sz w:val="22"/>
          <w:szCs w:val="22"/>
        </w:rPr>
      </w:pPr>
    </w:p>
    <w:p w14:paraId="00BC0121">
      <w:pPr>
        <w:widowControl w:val="0"/>
        <w:tabs>
          <w:tab w:val="left" w:pos="468"/>
          <w:tab w:val="left" w:pos="2538"/>
          <w:tab w:val="left" w:pos="2718"/>
          <w:tab w:val="left" w:pos="4968"/>
          <w:tab w:val="left" w:pos="5688"/>
          <w:tab w:val="left" w:pos="6408"/>
          <w:tab w:val="left" w:pos="7128"/>
          <w:tab w:val="left" w:pos="7848"/>
          <w:tab w:val="left" w:pos="8568"/>
          <w:tab w:val="left" w:pos="9288"/>
        </w:tabs>
        <w:jc w:val="both"/>
        <w:rPr>
          <w:rFonts w:hint="default" w:ascii="Arial" w:hAnsi="Arial" w:cs="Arial"/>
          <w:sz w:val="22"/>
          <w:szCs w:val="22"/>
        </w:rPr>
      </w:pPr>
    </w:p>
    <w:p w14:paraId="323A7B47">
      <w:pPr>
        <w:widowControl w:val="0"/>
        <w:tabs>
          <w:tab w:val="left" w:pos="468"/>
          <w:tab w:val="left" w:pos="2538"/>
          <w:tab w:val="left" w:pos="2718"/>
          <w:tab w:val="left" w:pos="4968"/>
          <w:tab w:val="left" w:pos="5688"/>
          <w:tab w:val="left" w:pos="6408"/>
          <w:tab w:val="left" w:pos="7128"/>
          <w:tab w:val="left" w:pos="7848"/>
          <w:tab w:val="left" w:pos="8568"/>
          <w:tab w:val="left" w:pos="9288"/>
        </w:tabs>
        <w:jc w:val="both"/>
        <w:rPr>
          <w:rFonts w:hint="default" w:ascii="Arial" w:hAnsi="Arial" w:cs="Arial"/>
          <w:sz w:val="22"/>
          <w:szCs w:val="22"/>
          <w:lang w:val="pt-BR"/>
        </w:rPr>
      </w:pPr>
      <w:r>
        <w:rPr>
          <w:rFonts w:hint="default" w:ascii="Arial" w:hAnsi="Arial" w:cs="Arial"/>
          <w:sz w:val="22"/>
          <w:szCs w:val="22"/>
          <w:lang w:val="pt-BR"/>
        </w:rPr>
        <w:t>____________________________</w:t>
      </w:r>
    </w:p>
    <w:p w14:paraId="26A6315B">
      <w:pPr>
        <w:widowControl w:val="0"/>
        <w:tabs>
          <w:tab w:val="left" w:pos="468"/>
          <w:tab w:val="left" w:pos="2538"/>
          <w:tab w:val="left" w:pos="2718"/>
          <w:tab w:val="left" w:pos="4968"/>
          <w:tab w:val="left" w:pos="5688"/>
          <w:tab w:val="left" w:pos="6408"/>
          <w:tab w:val="left" w:pos="7128"/>
          <w:tab w:val="left" w:pos="7848"/>
          <w:tab w:val="left" w:pos="8568"/>
          <w:tab w:val="left" w:pos="9288"/>
        </w:tabs>
        <w:jc w:val="both"/>
        <w:rPr>
          <w:rFonts w:hint="default" w:ascii="Arial" w:hAnsi="Arial" w:cs="Arial"/>
          <w:sz w:val="22"/>
          <w:szCs w:val="22"/>
        </w:rPr>
      </w:pPr>
    </w:p>
    <w:p w14:paraId="3B386D10">
      <w:pPr>
        <w:widowControl w:val="0"/>
        <w:tabs>
          <w:tab w:val="left" w:pos="468"/>
          <w:tab w:val="left" w:pos="2538"/>
          <w:tab w:val="left" w:pos="2718"/>
          <w:tab w:val="left" w:pos="4968"/>
          <w:tab w:val="left" w:pos="5688"/>
          <w:tab w:val="left" w:pos="6408"/>
          <w:tab w:val="left" w:pos="7128"/>
          <w:tab w:val="left" w:pos="7848"/>
          <w:tab w:val="left" w:pos="8568"/>
          <w:tab w:val="left" w:pos="9288"/>
        </w:tabs>
        <w:jc w:val="both"/>
        <w:rPr>
          <w:rFonts w:hint="default" w:ascii="Arial" w:hAnsi="Arial" w:cs="Arial"/>
          <w:sz w:val="22"/>
          <w:szCs w:val="22"/>
        </w:rPr>
      </w:pPr>
    </w:p>
    <w:p w14:paraId="71D66617">
      <w:pPr>
        <w:widowControl w:val="0"/>
        <w:tabs>
          <w:tab w:val="left" w:pos="468"/>
          <w:tab w:val="left" w:pos="2538"/>
          <w:tab w:val="left" w:pos="2718"/>
          <w:tab w:val="left" w:pos="4968"/>
          <w:tab w:val="left" w:pos="5688"/>
          <w:tab w:val="left" w:pos="6408"/>
          <w:tab w:val="left" w:pos="7128"/>
          <w:tab w:val="left" w:pos="7848"/>
          <w:tab w:val="left" w:pos="8568"/>
          <w:tab w:val="left" w:pos="9288"/>
        </w:tabs>
        <w:jc w:val="both"/>
        <w:rPr>
          <w:rFonts w:hint="default" w:ascii="Arial" w:hAnsi="Arial" w:cs="Arial"/>
          <w:sz w:val="22"/>
          <w:szCs w:val="22"/>
        </w:rPr>
      </w:pPr>
    </w:p>
    <w:p w14:paraId="502F5792">
      <w:pPr>
        <w:widowControl w:val="0"/>
        <w:tabs>
          <w:tab w:val="left" w:pos="468"/>
          <w:tab w:val="left" w:pos="2538"/>
          <w:tab w:val="left" w:pos="2718"/>
          <w:tab w:val="left" w:pos="4968"/>
          <w:tab w:val="left" w:pos="5688"/>
          <w:tab w:val="left" w:pos="6408"/>
          <w:tab w:val="left" w:pos="7128"/>
          <w:tab w:val="left" w:pos="7848"/>
          <w:tab w:val="left" w:pos="8568"/>
          <w:tab w:val="left" w:pos="9288"/>
        </w:tabs>
        <w:jc w:val="both"/>
        <w:rPr>
          <w:rFonts w:hint="default" w:ascii="Arial" w:hAnsi="Arial" w:cs="Arial"/>
          <w:sz w:val="22"/>
          <w:szCs w:val="22"/>
        </w:rPr>
      </w:pPr>
      <w:r>
        <w:rPr>
          <w:rFonts w:hint="default" w:ascii="Arial" w:hAnsi="Arial" w:cs="Arial"/>
          <w:sz w:val="22"/>
          <w:szCs w:val="22"/>
        </w:rPr>
        <w:t>____________________________</w:t>
      </w:r>
    </w:p>
    <w:p w14:paraId="114D85CB">
      <w:pPr>
        <w:rPr>
          <w:rFonts w:hint="default" w:ascii="Arial" w:hAnsi="Arial" w:cs="Arial"/>
          <w:sz w:val="22"/>
          <w:szCs w:val="22"/>
          <w:lang w:val="pt-BR"/>
        </w:rPr>
      </w:pPr>
      <w:r>
        <w:rPr>
          <w:rFonts w:hint="default" w:ascii="Arial" w:hAnsi="Arial" w:cs="Arial"/>
          <w:sz w:val="22"/>
          <w:szCs w:val="22"/>
          <w:lang w:val="pt-BR"/>
        </w:rPr>
        <w:br w:type="page"/>
      </w:r>
    </w:p>
    <w:p w14:paraId="4CC4180B">
      <w:pPr>
        <w:jc w:val="center"/>
        <w:rPr>
          <w:rFonts w:ascii="Arial" w:hAnsi="Arial" w:cs="Arial"/>
          <w:b/>
          <w:color w:val="FF0000"/>
          <w:sz w:val="22"/>
          <w:szCs w:val="22"/>
        </w:rPr>
      </w:pPr>
    </w:p>
    <w:p w14:paraId="14266666">
      <w:pPr>
        <w:jc w:val="center"/>
        <w:rPr>
          <w:rFonts w:ascii="Arial" w:hAnsi="Arial" w:cs="Arial"/>
          <w:b/>
          <w:color w:val="FF0000"/>
          <w:sz w:val="22"/>
          <w:szCs w:val="22"/>
        </w:rPr>
      </w:pPr>
      <w:r>
        <w:rPr>
          <w:rFonts w:ascii="Arial" w:hAnsi="Arial" w:cs="Arial"/>
          <w:b/>
          <w:color w:val="FF0000"/>
          <w:sz w:val="22"/>
          <w:szCs w:val="22"/>
        </w:rPr>
        <w:t>PAPEL TIMBRADO DA EMPRESA</w:t>
      </w:r>
    </w:p>
    <w:p w14:paraId="68725F40">
      <w:pPr>
        <w:jc w:val="center"/>
        <w:rPr>
          <w:rFonts w:hint="default" w:ascii="Arial" w:hAnsi="Arial" w:cs="Arial"/>
          <w:b/>
          <w:sz w:val="22"/>
          <w:szCs w:val="22"/>
          <w:u w:val="single"/>
          <w:lang w:val="pt-BR"/>
        </w:rPr>
      </w:pPr>
      <w:r>
        <w:rPr>
          <w:rFonts w:hint="default" w:ascii="Arial" w:hAnsi="Arial" w:cs="Arial"/>
          <w:b/>
          <w:sz w:val="22"/>
          <w:szCs w:val="22"/>
          <w:u w:val="single"/>
          <w:lang w:val="pt-BR"/>
        </w:rPr>
        <w:t>ANEXO IX</w:t>
      </w:r>
    </w:p>
    <w:p w14:paraId="3ADDA3A2">
      <w:pPr>
        <w:jc w:val="center"/>
        <w:rPr>
          <w:rFonts w:hint="default" w:ascii="Arial" w:hAnsi="Arial" w:cs="Arial"/>
          <w:b/>
          <w:sz w:val="22"/>
          <w:szCs w:val="22"/>
          <w:u w:val="single"/>
          <w:lang w:val="pt-BR"/>
        </w:rPr>
      </w:pPr>
    </w:p>
    <w:p w14:paraId="0D293573">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sz w:val="22"/>
          <w:szCs w:val="22"/>
          <w:lang w:val="pt-BR"/>
        </w:rPr>
      </w:pPr>
      <w:r>
        <w:rPr>
          <w:rFonts w:hint="default" w:ascii="Arial" w:hAnsi="Arial" w:cs="Arial"/>
          <w:b/>
          <w:sz w:val="22"/>
          <w:szCs w:val="22"/>
          <w:lang w:val="pt-BR"/>
        </w:rPr>
        <w:t>MODELO DE DECLARAÇÕES</w:t>
      </w:r>
    </w:p>
    <w:p w14:paraId="36DBB089">
      <w:pPr>
        <w:tabs>
          <w:tab w:val="left" w:pos="8576"/>
          <w:tab w:val="left" w:pos="10419"/>
        </w:tabs>
        <w:spacing w:line="360" w:lineRule="auto"/>
        <w:jc w:val="center"/>
        <w:rPr>
          <w:rFonts w:ascii="Arial" w:hAnsi="Arial" w:cs="Arial"/>
          <w:sz w:val="22"/>
          <w:szCs w:val="22"/>
        </w:rPr>
      </w:pPr>
    </w:p>
    <w:p w14:paraId="10AF513C">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ENQUADRAMENTO COMO BENEFICIÁRIA DA LEI COMPLEMENTAR Nº 123/2006</w:t>
      </w:r>
    </w:p>
    <w:p w14:paraId="46BCCFB9">
      <w:pPr>
        <w:spacing w:before="240" w:after="240" w:line="360" w:lineRule="auto"/>
        <w:ind w:left="0" w:leftChars="0" w:firstLine="959" w:firstLineChars="436"/>
        <w:jc w:val="both"/>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nº </w:t>
      </w:r>
      <w:r>
        <w:rPr>
          <w:rFonts w:hint="default" w:ascii="Arial" w:hAnsi="Arial" w:cs="Arial"/>
          <w:sz w:val="22"/>
          <w:szCs w:val="22"/>
          <w:lang w:val="pt-BR"/>
        </w:rPr>
        <w:t>____/2024</w:t>
      </w:r>
      <w:r>
        <w:rPr>
          <w:rFonts w:ascii="Arial" w:hAnsi="Arial" w:cs="Arial"/>
          <w:sz w:val="22"/>
          <w:szCs w:val="22"/>
        </w:rPr>
        <w:t>,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ascii="Arial" w:hAnsi="Arial" w:cs="Arial"/>
          <w:kern w:val="0"/>
          <w:sz w:val="22"/>
          <w:szCs w:val="22"/>
          <w:lang w:val="pt-BR" w:eastAsia="zh-CN" w:bidi="ar"/>
        </w:rPr>
        <w:t xml:space="preserve"> 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p>
    <w:p w14:paraId="3697A77C">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hint="default" w:ascii="Arial" w:hAnsi="Arial" w:cs="Arial"/>
          <w:color w:val="FF0000"/>
          <w:sz w:val="22"/>
          <w:szCs w:val="22"/>
          <w:lang w:val="pt-BR"/>
        </w:rPr>
        <w:t>C</w:t>
      </w:r>
      <w:r>
        <w:rPr>
          <w:rFonts w:ascii="Arial" w:hAnsi="Arial" w:cs="Arial"/>
          <w:bCs/>
          <w:color w:val="FF0000"/>
          <w:sz w:val="22"/>
          <w:szCs w:val="22"/>
        </w:rPr>
        <w:t xml:space="preserve">ertidão </w:t>
      </w:r>
      <w:r>
        <w:rPr>
          <w:rFonts w:hint="default" w:ascii="Arial" w:hAnsi="Arial" w:cs="Arial"/>
          <w:bCs/>
          <w:color w:val="FF0000"/>
          <w:sz w:val="22"/>
          <w:szCs w:val="22"/>
          <w:lang w:val="pt-BR"/>
        </w:rPr>
        <w:t>S</w:t>
      </w:r>
      <w:r>
        <w:rPr>
          <w:rFonts w:ascii="Arial" w:hAnsi="Arial" w:cs="Arial"/>
          <w:bCs/>
          <w:color w:val="FF0000"/>
          <w:sz w:val="22"/>
          <w:szCs w:val="22"/>
        </w:rPr>
        <w:t>implificada expedida pela Junta Comercial</w:t>
      </w:r>
      <w:r>
        <w:rPr>
          <w:rFonts w:hint="default" w:ascii="Arial" w:hAnsi="Arial" w:cs="Arial"/>
          <w:bCs/>
          <w:color w:val="FF0000"/>
          <w:sz w:val="22"/>
          <w:szCs w:val="22"/>
          <w:lang w:val="pt-BR"/>
        </w:rPr>
        <w:t xml:space="preserve"> da sede da licitante</w:t>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633569A0">
      <w:pPr>
        <w:tabs>
          <w:tab w:val="left" w:pos="8576"/>
          <w:tab w:val="left" w:pos="10419"/>
        </w:tabs>
        <w:jc w:val="center"/>
        <w:rPr>
          <w:rFonts w:ascii="Arial" w:hAnsi="Arial" w:cs="Arial"/>
          <w:b/>
          <w:sz w:val="22"/>
          <w:szCs w:val="22"/>
          <w:u w:val="single"/>
        </w:rPr>
      </w:pPr>
    </w:p>
    <w:p w14:paraId="4E3B2291">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ascii="Arial" w:hAnsi="Arial" w:cs="Arial"/>
          <w:sz w:val="22"/>
          <w:szCs w:val="22"/>
          <w:u w:val="none"/>
        </w:rPr>
        <w:t>DECLARAÇÃO DE CONHECIMENTO DO EDITAL</w:t>
      </w:r>
      <w:r>
        <w:rPr>
          <w:rFonts w:hint="default" w:ascii="Arial" w:hAnsi="Arial" w:cs="Arial"/>
          <w:sz w:val="22"/>
          <w:szCs w:val="22"/>
          <w:u w:val="none"/>
          <w:lang w:val="pt-BR"/>
        </w:rPr>
        <w:t xml:space="preserve"> E </w:t>
      </w:r>
    </w:p>
    <w:p w14:paraId="123003A1">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hint="default" w:ascii="Arial" w:hAnsi="Arial" w:cs="Arial"/>
          <w:sz w:val="22"/>
          <w:szCs w:val="22"/>
          <w:u w:val="none"/>
          <w:lang w:val="pt-BR"/>
        </w:rPr>
        <w:t>DOS REQUISITOS DE HABILITAÇÃO</w:t>
      </w:r>
    </w:p>
    <w:p w14:paraId="425CA157">
      <w:pPr>
        <w:autoSpaceDE w:val="0"/>
        <w:autoSpaceDN w:val="0"/>
        <w:spacing w:before="240" w:after="240" w:line="360" w:lineRule="auto"/>
        <w:ind w:firstLine="1134"/>
        <w:jc w:val="both"/>
        <w:rPr>
          <w:rFonts w:hint="default" w:ascii="Arial" w:hAnsi="Arial" w:cs="Arial"/>
          <w:sz w:val="22"/>
          <w:szCs w:val="22"/>
          <w:lang w:val="pt-BR"/>
        </w:rPr>
      </w:pPr>
      <w:r>
        <w:rPr>
          <w:rFonts w:ascii="Arial" w:hAnsi="Arial" w:cs="Arial"/>
          <w:sz w:val="22"/>
          <w:szCs w:val="22"/>
        </w:rPr>
        <w:t xml:space="preserve">(Razão Social da Licitante) ____________________, inscrita no CNPJ/MF sob o n.º __________, declara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 xml:space="preserve"> </w:t>
      </w:r>
    </w:p>
    <w:p w14:paraId="08659FAE">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color w:val="auto"/>
          <w:sz w:val="22"/>
          <w:szCs w:val="22"/>
          <w:u w:val="none"/>
        </w:rPr>
      </w:pPr>
      <w:r>
        <w:rPr>
          <w:rFonts w:ascii="Arial" w:hAnsi="Arial" w:cs="Arial"/>
          <w:color w:val="auto"/>
          <w:sz w:val="22"/>
          <w:szCs w:val="22"/>
          <w:u w:val="none"/>
        </w:rPr>
        <w:t>DECLARAÇÃO DE INEXISTÊNCIA DE FATOS IMPEDITIVOS</w:t>
      </w:r>
    </w:p>
    <w:p w14:paraId="2627578B">
      <w:p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1EE2C5AC">
      <w:pPr>
        <w:numPr>
          <w:ilvl w:val="0"/>
          <w:numId w:val="20"/>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515EEEFB">
      <w:pPr>
        <w:numPr>
          <w:ilvl w:val="0"/>
          <w:numId w:val="20"/>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3558E1F7">
      <w:pPr>
        <w:numPr>
          <w:ilvl w:val="0"/>
          <w:numId w:val="20"/>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51A131BA">
      <w:pPr>
        <w:numPr>
          <w:ilvl w:val="0"/>
          <w:numId w:val="20"/>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152D60A1">
      <w:pPr>
        <w:numPr>
          <w:ilvl w:val="0"/>
          <w:numId w:val="20"/>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4BBCE281">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r>
        <w:rPr>
          <w:rFonts w:ascii="Arial" w:hAnsi="Arial" w:cs="Arial"/>
          <w:bCs/>
          <w:color w:val="FF0000"/>
          <w:sz w:val="22"/>
          <w:szCs w:val="22"/>
          <w:u w:val="single"/>
        </w:rPr>
        <w:fldChar w:fldCharType="begin"/>
      </w:r>
      <w:r>
        <w:rPr>
          <w:rFonts w:ascii="Arial" w:hAnsi="Arial" w:cs="Arial"/>
          <w:bCs/>
          <w:color w:val="FF0000"/>
          <w:sz w:val="22"/>
          <w:szCs w:val="22"/>
          <w:u w:val="single"/>
        </w:rPr>
        <w:instrText xml:space="preserve"> HYPERLINK "https://certidoes-apf.apps.tcu.gov.br/" </w:instrText>
      </w:r>
      <w:r>
        <w:rPr>
          <w:rFonts w:ascii="Arial" w:hAnsi="Arial" w:cs="Arial"/>
          <w:bCs/>
          <w:color w:val="FF0000"/>
          <w:sz w:val="22"/>
          <w:szCs w:val="22"/>
          <w:u w:val="single"/>
        </w:rPr>
        <w:fldChar w:fldCharType="separate"/>
      </w:r>
      <w:r>
        <w:rPr>
          <w:rStyle w:val="15"/>
          <w:rFonts w:ascii="Arial" w:hAnsi="Arial" w:cs="Arial"/>
          <w:bCs/>
          <w:sz w:val="22"/>
          <w:szCs w:val="22"/>
        </w:rPr>
        <w:t>https://certidoes-apf.apps.tcu.gov.br/</w:t>
      </w:r>
      <w:r>
        <w:rPr>
          <w:rFonts w:ascii="Arial" w:hAnsi="Arial" w:cs="Arial"/>
          <w:bCs/>
          <w:color w:val="FF0000"/>
          <w:sz w:val="22"/>
          <w:szCs w:val="22"/>
          <w:u w:val="single"/>
        </w:rPr>
        <w:fldChar w:fldCharType="end"/>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4989738B">
      <w:pPr>
        <w:autoSpaceDE w:val="0"/>
        <w:autoSpaceDN w:val="0"/>
        <w:spacing w:line="360" w:lineRule="auto"/>
        <w:ind w:left="0" w:leftChars="0" w:firstLine="959" w:firstLineChars="436"/>
        <w:jc w:val="both"/>
        <w:rPr>
          <w:rFonts w:ascii="Arial" w:hAnsi="Arial" w:cs="Arial"/>
          <w:color w:val="FF0000"/>
          <w:sz w:val="22"/>
          <w:szCs w:val="22"/>
        </w:rPr>
      </w:pPr>
    </w:p>
    <w:p w14:paraId="22237592">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color w:val="auto"/>
          <w:sz w:val="22"/>
          <w:szCs w:val="22"/>
          <w:u w:val="none"/>
          <w:lang w:val="pt-BR"/>
        </w:rPr>
      </w:pPr>
      <w:r>
        <w:rPr>
          <w:rFonts w:ascii="Arial" w:hAnsi="Arial" w:cs="Arial"/>
          <w:color w:val="auto"/>
          <w:sz w:val="22"/>
          <w:szCs w:val="22"/>
          <w:u w:val="none"/>
        </w:rPr>
        <w:t xml:space="preserve">DECLARAÇÃO DE </w:t>
      </w:r>
      <w:r>
        <w:rPr>
          <w:rFonts w:hint="default" w:ascii="Arial" w:hAnsi="Arial" w:cs="Arial"/>
          <w:color w:val="auto"/>
          <w:sz w:val="22"/>
          <w:szCs w:val="22"/>
          <w:u w:val="none"/>
          <w:lang w:val="pt-BR"/>
        </w:rPr>
        <w:t>RESERVA DE CARGOS E DE TRABALHO NÃO DEGRADANTE</w:t>
      </w:r>
    </w:p>
    <w:p w14:paraId="602C2D0C">
      <w:pPr>
        <w:autoSpaceDE w:val="0"/>
        <w:autoSpaceDN w:val="0"/>
        <w:spacing w:before="240" w:after="240" w:line="360" w:lineRule="auto"/>
        <w:ind w:left="0" w:leftChars="0" w:firstLine="959" w:firstLineChars="436"/>
        <w:jc w:val="both"/>
        <w:rPr>
          <w:rStyle w:val="15"/>
          <w:rFonts w:hint="default" w:ascii="Arial" w:hAnsi="Arial" w:cs="Arial"/>
          <w:color w:val="auto"/>
          <w:sz w:val="22"/>
          <w:szCs w:val="22"/>
          <w:highlight w:val="none"/>
          <w:u w:val="none"/>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5"/>
          <w:rFonts w:hint="default" w:ascii="Arial" w:hAnsi="Arial" w:cs="Arial"/>
          <w:color w:val="auto"/>
          <w:sz w:val="22"/>
          <w:szCs w:val="22"/>
          <w:highlight w:val="none"/>
          <w:u w:val="none"/>
        </w:rPr>
        <w:t>incisos III e IV do art. 1º e no inciso III do art. 5º da Constituição Federal</w:t>
      </w:r>
      <w:r>
        <w:rPr>
          <w:rStyle w:val="15"/>
          <w:rFonts w:hint="default" w:ascii="Arial" w:hAnsi="Arial" w:cs="Arial"/>
          <w:color w:val="auto"/>
          <w:sz w:val="22"/>
          <w:szCs w:val="22"/>
          <w:highlight w:val="none"/>
          <w:u w:val="none"/>
        </w:rPr>
        <w:fldChar w:fldCharType="end"/>
      </w:r>
      <w:r>
        <w:rPr>
          <w:rStyle w:val="15"/>
          <w:rFonts w:hint="default" w:ascii="Arial" w:hAnsi="Arial" w:cs="Arial"/>
          <w:color w:val="auto"/>
          <w:sz w:val="22"/>
          <w:szCs w:val="22"/>
          <w:highlight w:val="none"/>
          <w:u w:val="none"/>
          <w:lang w:val="pt-BR"/>
        </w:rPr>
        <w:t>.</w:t>
      </w:r>
    </w:p>
    <w:p w14:paraId="330B6FA6">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NÃO PARENTESCO</w:t>
      </w:r>
    </w:p>
    <w:p w14:paraId="01D79F1D">
      <w:pPr>
        <w:tabs>
          <w:tab w:val="left" w:pos="1440"/>
          <w:tab w:val="left" w:pos="8576"/>
          <w:tab w:val="left" w:pos="10419"/>
        </w:tabs>
        <w:spacing w:before="240" w:after="240" w:line="360" w:lineRule="auto"/>
        <w:ind w:left="0" w:leftChars="0" w:firstLine="959" w:firstLineChars="436"/>
        <w:jc w:val="both"/>
        <w:rPr>
          <w:rFonts w:hint="default" w:ascii="Arial" w:hAnsi="Arial" w:cs="Arial"/>
          <w:sz w:val="22"/>
          <w:szCs w:val="22"/>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nº </w:t>
      </w:r>
      <w:r>
        <w:rPr>
          <w:rFonts w:hint="default" w:ascii="Arial" w:hAnsi="Arial" w:cs="Arial"/>
          <w:sz w:val="22"/>
          <w:szCs w:val="22"/>
          <w:lang w:val="pt-BR"/>
        </w:rPr>
        <w:t>11/2024</w:t>
      </w:r>
      <w:r>
        <w:rPr>
          <w:rFonts w:ascii="Arial" w:hAnsi="Arial" w:cs="Arial"/>
          <w:sz w:val="22"/>
          <w:szCs w:val="22"/>
        </w:rPr>
        <w:t xml:space="preserve">,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w:t>
      </w:r>
      <w:r>
        <w:rPr>
          <w:rFonts w:hint="default" w:ascii="Arial" w:hAnsi="Arial" w:cs="Arial"/>
          <w:sz w:val="22"/>
          <w:szCs w:val="22"/>
          <w:lang w:val="pt-BR"/>
        </w:rPr>
        <w:t>or do contrato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58139055">
      <w:pPr>
        <w:tabs>
          <w:tab w:val="left" w:pos="8576"/>
          <w:tab w:val="left" w:pos="10419"/>
        </w:tabs>
        <w:spacing w:line="360" w:lineRule="auto"/>
        <w:ind w:left="0" w:leftChars="0" w:firstLine="0" w:firstLineChars="0"/>
        <w:jc w:val="both"/>
        <w:rPr>
          <w:rFonts w:ascii="Arial" w:hAnsi="Arial" w:cs="Arial"/>
          <w:sz w:val="22"/>
          <w:szCs w:val="22"/>
        </w:rPr>
      </w:pPr>
      <w:r>
        <w:drawing>
          <wp:inline distT="0" distB="0" distL="114300" distR="114300">
            <wp:extent cx="5753735" cy="2698750"/>
            <wp:effectExtent l="0" t="0" r="18415" b="6350"/>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pic:cNvPicPr>
                  </pic:nvPicPr>
                  <pic:blipFill>
                    <a:blip r:embed="rId10"/>
                    <a:stretch>
                      <a:fillRect/>
                    </a:stretch>
                  </pic:blipFill>
                  <pic:spPr>
                    <a:xfrm>
                      <a:off x="0" y="0"/>
                      <a:ext cx="5753735" cy="2698750"/>
                    </a:xfrm>
                    <a:prstGeom prst="rect">
                      <a:avLst/>
                    </a:prstGeom>
                    <a:noFill/>
                    <a:ln>
                      <a:noFill/>
                    </a:ln>
                  </pic:spPr>
                </pic:pic>
              </a:graphicData>
            </a:graphic>
          </wp:inline>
        </w:drawing>
      </w:r>
    </w:p>
    <w:p w14:paraId="4EA0FADD">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i/>
          <w:color w:val="auto"/>
          <w:sz w:val="22"/>
          <w:szCs w:val="22"/>
          <w:u w:val="none"/>
          <w:lang w:val="pt-BR"/>
        </w:rPr>
      </w:pPr>
      <w:r>
        <w:rPr>
          <w:rFonts w:ascii="Arial" w:hAnsi="Arial" w:cs="Arial"/>
          <w:color w:val="auto"/>
          <w:sz w:val="22"/>
          <w:szCs w:val="22"/>
          <w:u w:val="none"/>
        </w:rPr>
        <w:t xml:space="preserve">DECLARAÇÃO </w:t>
      </w:r>
      <w:r>
        <w:rPr>
          <w:rFonts w:hint="default" w:ascii="Arial" w:hAnsi="Arial" w:cs="Arial"/>
          <w:color w:val="auto"/>
          <w:sz w:val="22"/>
          <w:szCs w:val="22"/>
          <w:u w:val="none"/>
          <w:lang w:val="pt-BR"/>
        </w:rPr>
        <w:t>DE QUE NÃO EMPREGA MENOR DE IDADE</w:t>
      </w:r>
    </w:p>
    <w:p w14:paraId="49BE84E7">
      <w:pPr>
        <w:autoSpaceDE w:val="0"/>
        <w:autoSpaceDN w:val="0"/>
        <w:spacing w:before="240" w:after="240"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CNPJ nº </w:t>
      </w:r>
      <w:r>
        <w:rPr>
          <w:rFonts w:hint="default" w:ascii="Arial" w:hAnsi="Arial" w:cs="Arial"/>
          <w:sz w:val="22"/>
          <w:szCs w:val="22"/>
          <w:lang w:val="pt-BR"/>
        </w:rPr>
        <w:t>________</w:t>
      </w:r>
      <w:r>
        <w:rPr>
          <w:rFonts w:ascii="Arial" w:hAnsi="Arial" w:cs="Arial"/>
          <w:sz w:val="22"/>
          <w:szCs w:val="22"/>
        </w:rPr>
        <w:t>__, declara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p>
    <w:p w14:paraId="662C7AFA">
      <w:pPr>
        <w:autoSpaceDE w:val="0"/>
        <w:autoSpaceDN w:val="0"/>
        <w:spacing w:before="240" w:after="240" w:line="360" w:lineRule="auto"/>
        <w:ind w:left="0" w:leftChars="0" w:firstLine="959" w:firstLineChars="436"/>
        <w:jc w:val="both"/>
        <w:rPr>
          <w:rFonts w:ascii="Arial" w:hAnsi="Arial" w:cs="Arial"/>
          <w:sz w:val="22"/>
          <w:szCs w:val="22"/>
        </w:rPr>
      </w:pP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214CA861">
      <w:pPr>
        <w:autoSpaceDE w:val="0"/>
        <w:autoSpaceDN w:val="0"/>
        <w:spacing w:line="360" w:lineRule="auto"/>
        <w:ind w:left="0" w:leftChars="0" w:firstLine="959" w:firstLineChars="436"/>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2024</w:t>
      </w:r>
      <w:r>
        <w:rPr>
          <w:rFonts w:ascii="Arial" w:hAnsi="Arial" w:cs="Arial"/>
          <w:sz w:val="22"/>
          <w:szCs w:val="22"/>
        </w:rPr>
        <w:t>.</w:t>
      </w:r>
    </w:p>
    <w:p w14:paraId="62CCE28D">
      <w:pPr>
        <w:jc w:val="both"/>
        <w:rPr>
          <w:rFonts w:ascii="Arial" w:hAnsi="Arial" w:cs="Arial"/>
          <w:color w:val="auto"/>
          <w:sz w:val="22"/>
          <w:szCs w:val="22"/>
        </w:rPr>
      </w:pPr>
    </w:p>
    <w:p w14:paraId="2B4DA40A">
      <w:pPr>
        <w:tabs>
          <w:tab w:val="left" w:pos="8576"/>
          <w:tab w:val="left" w:pos="10419"/>
        </w:tabs>
        <w:jc w:val="both"/>
        <w:rPr>
          <w:rFonts w:ascii="Arial" w:hAnsi="Arial" w:cs="Arial"/>
          <w:sz w:val="22"/>
          <w:szCs w:val="22"/>
        </w:rPr>
      </w:pPr>
    </w:p>
    <w:p w14:paraId="0CAB7F59">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6D339F92">
      <w:pPr>
        <w:rPr>
          <w:rFonts w:ascii="Arial" w:hAnsi="Arial" w:cs="Arial"/>
          <w:sz w:val="22"/>
          <w:szCs w:val="22"/>
        </w:rPr>
      </w:pPr>
      <w:r>
        <w:rPr>
          <w:rFonts w:ascii="Arial" w:hAnsi="Arial" w:cs="Arial"/>
          <w:sz w:val="22"/>
          <w:szCs w:val="22"/>
        </w:rPr>
        <w:br w:type="page"/>
      </w:r>
    </w:p>
    <w:p w14:paraId="7C7B55BA">
      <w:pPr>
        <w:spacing w:line="360" w:lineRule="auto"/>
        <w:jc w:val="center"/>
        <w:rPr>
          <w:rFonts w:ascii="Arial" w:hAnsi="Arial" w:cs="Arial"/>
          <w:b/>
          <w:bCs w:val="0"/>
          <w:sz w:val="22"/>
          <w:szCs w:val="22"/>
          <w:u w:val="none"/>
        </w:rPr>
      </w:pPr>
      <w:r>
        <w:rPr>
          <w:rFonts w:ascii="Arial" w:hAnsi="Arial" w:cs="Arial"/>
          <w:b/>
          <w:bCs w:val="0"/>
          <w:sz w:val="22"/>
          <w:szCs w:val="22"/>
          <w:u w:val="none"/>
        </w:rPr>
        <w:t>ANEXO X</w:t>
      </w:r>
    </w:p>
    <w:p w14:paraId="772F19D1">
      <w:pPr>
        <w:spacing w:line="360" w:lineRule="auto"/>
        <w:jc w:val="center"/>
        <w:rPr>
          <w:rFonts w:ascii="Arial" w:hAnsi="Arial" w:cs="Arial"/>
          <w:bCs/>
          <w:sz w:val="22"/>
          <w:szCs w:val="22"/>
          <w:u w:val="none"/>
        </w:rPr>
      </w:pPr>
    </w:p>
    <w:p w14:paraId="480AF16D">
      <w:pPr>
        <w:pStyle w:val="3"/>
        <w:pBdr>
          <w:top w:val="double" w:color="auto" w:sz="4" w:space="1"/>
          <w:left w:val="double" w:color="auto" w:sz="4" w:space="4"/>
          <w:bottom w:val="double" w:color="auto" w:sz="4" w:space="1"/>
          <w:right w:val="double" w:color="auto" w:sz="4" w:space="4"/>
        </w:pBdr>
        <w:shd w:val="clear" w:color="auto" w:fill="D7D7D7" w:themeFill="background1" w:themeFillShade="D8"/>
        <w:spacing w:line="360" w:lineRule="auto"/>
        <w:jc w:val="center"/>
        <w:rPr>
          <w:rFonts w:hint="default"/>
          <w:lang w:val="pt-BR"/>
        </w:rPr>
      </w:pPr>
      <w:r>
        <w:rPr>
          <w:rFonts w:hint="default" w:ascii="Arial" w:hAnsi="Arial" w:cs="Arial"/>
          <w:bCs/>
          <w:sz w:val="22"/>
          <w:szCs w:val="22"/>
          <w:u w:val="none"/>
          <w:lang w:val="pt-BR"/>
        </w:rPr>
        <w:t>MINUTA DE CONTRATO</w:t>
      </w:r>
    </w:p>
    <w:p w14:paraId="2287261A">
      <w:pPr>
        <w:pStyle w:val="3"/>
        <w:spacing w:line="360" w:lineRule="auto"/>
        <w:jc w:val="both"/>
        <w:rPr>
          <w:rFonts w:hint="default" w:ascii="Arial" w:hAnsi="Arial" w:cs="Arial"/>
          <w:sz w:val="22"/>
          <w:szCs w:val="22"/>
          <w:u w:val="none"/>
          <w:lang w:val="pt-BR"/>
        </w:rPr>
      </w:pPr>
    </w:p>
    <w:p w14:paraId="66EBFD17">
      <w:pPr>
        <w:jc w:val="center"/>
        <w:rPr>
          <w:rFonts w:hint="default" w:ascii="Arial" w:hAnsi="Arial" w:cs="Arial"/>
          <w:b/>
          <w:sz w:val="22"/>
          <w:szCs w:val="22"/>
          <w:lang w:val="pt-BR"/>
        </w:rPr>
      </w:pPr>
      <w:r>
        <w:rPr>
          <w:rFonts w:ascii="Arial" w:hAnsi="Arial" w:cs="Arial"/>
          <w:b/>
          <w:sz w:val="22"/>
          <w:szCs w:val="22"/>
        </w:rPr>
        <w:t xml:space="preserve">CONTRATO Nº </w:t>
      </w:r>
      <w:r>
        <w:rPr>
          <w:rFonts w:hint="default" w:ascii="Arial" w:hAnsi="Arial" w:cs="Arial"/>
          <w:b/>
          <w:sz w:val="22"/>
          <w:szCs w:val="22"/>
          <w:lang w:val="pt-BR"/>
        </w:rPr>
        <w:t>____</w:t>
      </w:r>
      <w:r>
        <w:rPr>
          <w:rFonts w:ascii="Arial" w:hAnsi="Arial" w:cs="Arial"/>
          <w:b/>
          <w:sz w:val="22"/>
          <w:szCs w:val="22"/>
        </w:rPr>
        <w:t>/202</w:t>
      </w:r>
      <w:r>
        <w:rPr>
          <w:rFonts w:hint="default" w:ascii="Arial" w:hAnsi="Arial" w:cs="Arial"/>
          <w:b/>
          <w:sz w:val="22"/>
          <w:szCs w:val="22"/>
          <w:lang w:val="pt-BR"/>
        </w:rPr>
        <w:t>4</w:t>
      </w:r>
    </w:p>
    <w:p w14:paraId="448D4118">
      <w:pPr>
        <w:jc w:val="center"/>
        <w:rPr>
          <w:rFonts w:ascii="Arial" w:hAnsi="Arial" w:cs="Arial"/>
          <w:b/>
          <w:sz w:val="22"/>
          <w:szCs w:val="22"/>
        </w:rPr>
      </w:pPr>
    </w:p>
    <w:p w14:paraId="39FEA5C5">
      <w:pPr>
        <w:spacing w:line="360" w:lineRule="auto"/>
        <w:ind w:left="4080" w:leftChars="0" w:firstLine="0" w:firstLineChars="0"/>
        <w:jc w:val="both"/>
        <w:rPr>
          <w:rFonts w:hint="default" w:ascii="Arial" w:hAnsi="Arial" w:cs="Arial"/>
          <w:b/>
          <w:sz w:val="22"/>
          <w:szCs w:val="22"/>
          <w:lang w:val="pt-BR"/>
        </w:rPr>
      </w:pPr>
      <w:r>
        <w:rPr>
          <w:rFonts w:hint="default" w:ascii="Arial" w:hAnsi="Arial" w:cs="Arial"/>
          <w:sz w:val="22"/>
          <w:szCs w:val="22"/>
        </w:rPr>
        <w:t xml:space="preserve">Termo de Contrato que celebram entre si </w:t>
      </w:r>
      <w:r>
        <w:rPr>
          <w:rFonts w:hint="default" w:ascii="Arial" w:hAnsi="Arial" w:cs="Arial"/>
          <w:sz w:val="22"/>
          <w:szCs w:val="22"/>
          <w:lang w:val="pt-BR"/>
        </w:rPr>
        <w:t xml:space="preserve">o </w:t>
      </w:r>
      <w:r>
        <w:rPr>
          <w:rFonts w:hint="default" w:ascii="Arial" w:hAnsi="Arial" w:cs="Arial"/>
          <w:b/>
          <w:sz w:val="22"/>
          <w:szCs w:val="22"/>
          <w:lang w:val="pt-BR"/>
        </w:rPr>
        <w:t>MUNICÍPIO</w:t>
      </w:r>
      <w:r>
        <w:rPr>
          <w:rFonts w:hint="default" w:ascii="Arial" w:hAnsi="Arial" w:cs="Arial"/>
          <w:b/>
          <w:sz w:val="22"/>
          <w:szCs w:val="22"/>
        </w:rPr>
        <w:t xml:space="preserve"> DE SINOP</w:t>
      </w:r>
      <w:r>
        <w:rPr>
          <w:rFonts w:hint="default" w:ascii="Arial" w:hAnsi="Arial" w:cs="Arial"/>
          <w:sz w:val="22"/>
          <w:szCs w:val="22"/>
        </w:rPr>
        <w:t xml:space="preserve"> e a empresa </w:t>
      </w:r>
      <w:r>
        <w:rPr>
          <w:rFonts w:hint="default" w:ascii="Arial" w:hAnsi="Arial" w:cs="Arial"/>
          <w:b/>
          <w:bCs w:val="0"/>
          <w:sz w:val="22"/>
          <w:szCs w:val="22"/>
          <w:lang w:val="pt-BR"/>
        </w:rPr>
        <w:t>XXXXXXXXX</w:t>
      </w:r>
      <w:r>
        <w:rPr>
          <w:rFonts w:hint="default" w:ascii="Arial" w:hAnsi="Arial" w:cs="Arial"/>
          <w:sz w:val="22"/>
          <w:szCs w:val="22"/>
          <w:highlight w:val="none"/>
        </w:rPr>
        <w:t>,</w:t>
      </w:r>
      <w:r>
        <w:rPr>
          <w:rFonts w:hint="default" w:ascii="Arial" w:hAnsi="Arial" w:cs="Arial"/>
          <w:sz w:val="22"/>
          <w:szCs w:val="22"/>
        </w:rPr>
        <w:t xml:space="preserve"> originado da </w:t>
      </w:r>
      <w:r>
        <w:rPr>
          <w:rFonts w:hint="default" w:ascii="Arial" w:hAnsi="Arial" w:cs="Arial"/>
          <w:b/>
          <w:sz w:val="22"/>
          <w:szCs w:val="22"/>
          <w:lang w:val="pt-BR"/>
        </w:rPr>
        <w:t xml:space="preserve">PREGÃO ELETRÔNICO </w:t>
      </w:r>
      <w:r>
        <w:rPr>
          <w:rFonts w:hint="default" w:ascii="Arial" w:hAnsi="Arial" w:cs="Arial"/>
          <w:b/>
          <w:sz w:val="22"/>
          <w:szCs w:val="22"/>
        </w:rPr>
        <w:t xml:space="preserve">Nº </w:t>
      </w:r>
      <w:r>
        <w:rPr>
          <w:rFonts w:hint="default" w:ascii="Arial" w:hAnsi="Arial" w:cs="Arial"/>
          <w:b/>
          <w:sz w:val="22"/>
          <w:szCs w:val="22"/>
          <w:lang w:val="pt-BR"/>
        </w:rPr>
        <w:t>37</w:t>
      </w:r>
      <w:r>
        <w:rPr>
          <w:rFonts w:hint="default" w:ascii="Arial" w:hAnsi="Arial" w:cs="Arial"/>
          <w:b/>
          <w:sz w:val="22"/>
          <w:szCs w:val="22"/>
        </w:rPr>
        <w:t>/202</w:t>
      </w:r>
      <w:r>
        <w:rPr>
          <w:rFonts w:hint="default" w:ascii="Arial" w:hAnsi="Arial" w:cs="Arial"/>
          <w:b/>
          <w:sz w:val="22"/>
          <w:szCs w:val="22"/>
          <w:lang w:val="pt-BR"/>
        </w:rPr>
        <w:t>4</w:t>
      </w:r>
      <w:r>
        <w:rPr>
          <w:rFonts w:hint="default" w:ascii="Arial" w:hAnsi="Arial" w:cs="Arial"/>
          <w:sz w:val="22"/>
          <w:szCs w:val="22"/>
        </w:rPr>
        <w:t xml:space="preserve"> referente à </w:t>
      </w:r>
      <w:r>
        <w:rPr>
          <w:rFonts w:hint="default" w:ascii="Arial" w:hAnsi="Arial" w:cs="Arial"/>
          <w:sz w:val="22"/>
          <w:szCs w:val="22"/>
          <w:highlight w:val="none"/>
          <w:lang w:val="pt-BR"/>
        </w:rPr>
        <w:t xml:space="preserve">Contratação </w:t>
      </w:r>
      <w:r>
        <w:rPr>
          <w:rFonts w:hint="default" w:ascii="Arial" w:hAnsi="Arial" w:cs="Arial"/>
          <w:b w:val="0"/>
          <w:bCs/>
          <w:sz w:val="22"/>
          <w:szCs w:val="22"/>
        </w:rPr>
        <w:t xml:space="preserve">de empresa </w:t>
      </w:r>
      <w:r>
        <w:rPr>
          <w:rFonts w:hint="default" w:ascii="Arial" w:hAnsi="Arial" w:cs="Arial"/>
          <w:b w:val="0"/>
          <w:bCs/>
          <w:sz w:val="22"/>
          <w:szCs w:val="22"/>
          <w:lang w:val="pt-BR"/>
        </w:rPr>
        <w:t>especializada para locação de sistema de Data Center para sistemas críticos computacionais e de telecomunicações, contemplando serviços de manutenção preditiva, preventiva e corretiva, compreendendo a locação de container, com fornecimento de ambientes de alta disponibilidade para sistemas críticos computacionais e de telecomunicações, conforme condições estabelecidas no Anexo I - Termo de Referência</w:t>
      </w:r>
      <w:r>
        <w:rPr>
          <w:rFonts w:hint="default" w:ascii="Arial" w:hAnsi="Arial" w:cs="Arial"/>
          <w:b w:val="0"/>
          <w:bCs w:val="0"/>
          <w:color w:val="000000"/>
          <w:sz w:val="22"/>
          <w:szCs w:val="22"/>
          <w:lang w:val="pt-BR"/>
        </w:rPr>
        <w:t>.</w:t>
      </w:r>
    </w:p>
    <w:p w14:paraId="3E33E3C1">
      <w:pPr>
        <w:rPr>
          <w:rFonts w:ascii="Arial" w:hAnsi="Arial" w:cs="Arial"/>
          <w:b/>
          <w:iCs/>
          <w:sz w:val="22"/>
          <w:szCs w:val="22"/>
          <w:u w:val="single"/>
          <w:lang w:eastAsia="en-US" w:bidi="en-US"/>
        </w:rPr>
      </w:pPr>
    </w:p>
    <w:p w14:paraId="486DE124">
      <w:pPr>
        <w:pStyle w:val="162"/>
        <w:pBdr>
          <w:top w:val="double" w:color="auto" w:sz="4" w:space="1"/>
          <w:left w:val="double" w:color="auto" w:sz="4" w:space="4"/>
          <w:bottom w:val="double" w:color="auto" w:sz="4" w:space="1"/>
          <w:right w:val="double" w:color="auto" w:sz="4" w:space="4"/>
        </w:pBdr>
        <w:shd w:val="clear" w:color="auto" w:fill="D9D9D9"/>
        <w:spacing w:line="360" w:lineRule="auto"/>
        <w:rPr>
          <w:rFonts w:cs="Arial"/>
          <w:b/>
          <w:color w:val="000000"/>
          <w:sz w:val="22"/>
          <w:szCs w:val="22"/>
        </w:rPr>
      </w:pPr>
      <w:r>
        <w:rPr>
          <w:rFonts w:cs="Arial"/>
          <w:b/>
          <w:color w:val="000000"/>
          <w:sz w:val="22"/>
          <w:szCs w:val="22"/>
        </w:rPr>
        <w:t>Preâmbulo</w:t>
      </w:r>
    </w:p>
    <w:p w14:paraId="780F7EAB">
      <w:pPr>
        <w:tabs>
          <w:tab w:val="left" w:pos="426"/>
        </w:tabs>
        <w:adjustRightInd w:val="0"/>
        <w:jc w:val="both"/>
        <w:rPr>
          <w:rFonts w:ascii="Arial" w:hAnsi="Arial" w:cs="Arial"/>
          <w:sz w:val="22"/>
          <w:szCs w:val="22"/>
        </w:rPr>
      </w:pPr>
    </w:p>
    <w:p w14:paraId="41E09763">
      <w:pPr>
        <w:spacing w:line="360" w:lineRule="auto"/>
        <w:jc w:val="both"/>
        <w:rPr>
          <w:rFonts w:hint="default"/>
          <w:sz w:val="22"/>
          <w:szCs w:val="22"/>
          <w:lang w:val="pt-BR"/>
        </w:rPr>
      </w:pPr>
      <w:r>
        <w:rPr>
          <w:rFonts w:ascii="Arial" w:hAnsi="Arial" w:cs="Arial"/>
          <w:b w:val="0"/>
          <w:bCs/>
          <w:color w:val="000000"/>
          <w:sz w:val="22"/>
          <w:szCs w:val="22"/>
        </w:rPr>
        <w:t>DAS PARTES E SEUS REPRESENTANTES:</w:t>
      </w:r>
      <w:r>
        <w:rPr>
          <w:rFonts w:ascii="Arial" w:hAnsi="Arial" w:cs="Arial"/>
          <w:color w:val="000000"/>
          <w:sz w:val="22"/>
          <w:szCs w:val="22"/>
        </w:rPr>
        <w:t xml:space="preserve"> </w:t>
      </w:r>
      <w:r>
        <w:rPr>
          <w:rFonts w:hint="default" w:ascii="Arial" w:hAnsi="Arial" w:cs="Arial"/>
          <w:color w:val="000000"/>
          <w:sz w:val="22"/>
          <w:szCs w:val="22"/>
          <w:lang w:val="pt-BR"/>
        </w:rPr>
        <w:t>O</w:t>
      </w:r>
      <w:r>
        <w:rPr>
          <w:rFonts w:ascii="Arial" w:hAnsi="Arial" w:cs="Arial"/>
          <w:color w:val="000000"/>
          <w:sz w:val="22"/>
          <w:szCs w:val="22"/>
        </w:rPr>
        <w:t xml:space="preserve"> </w:t>
      </w:r>
      <w:r>
        <w:rPr>
          <w:rFonts w:ascii="Arial" w:hAnsi="Arial" w:cs="Arial"/>
          <w:b/>
          <w:bCs/>
          <w:color w:val="000000"/>
          <w:sz w:val="22"/>
          <w:szCs w:val="22"/>
        </w:rPr>
        <w:t>MUNIC</w:t>
      </w:r>
      <w:r>
        <w:rPr>
          <w:rFonts w:hint="default" w:ascii="Arial" w:hAnsi="Arial" w:cs="Arial"/>
          <w:b/>
          <w:bCs/>
          <w:color w:val="000000"/>
          <w:sz w:val="22"/>
          <w:szCs w:val="22"/>
          <w:lang w:val="pt-BR"/>
        </w:rPr>
        <w:t>ÍPIO</w:t>
      </w:r>
      <w:r>
        <w:rPr>
          <w:rFonts w:ascii="Arial" w:hAnsi="Arial" w:cs="Arial"/>
          <w:b/>
          <w:bCs/>
          <w:color w:val="000000"/>
          <w:sz w:val="22"/>
          <w:szCs w:val="22"/>
        </w:rPr>
        <w:t xml:space="preserve"> DE SINOP</w:t>
      </w:r>
      <w:r>
        <w:rPr>
          <w:rFonts w:hint="default" w:ascii="Arial" w:hAnsi="Arial" w:cs="Arial"/>
          <w:b/>
          <w:bCs/>
          <w:color w:val="000000"/>
          <w:sz w:val="22"/>
          <w:szCs w:val="22"/>
          <w:lang w:val="pt-BR"/>
        </w:rPr>
        <w:t xml:space="preserve"> - </w:t>
      </w:r>
      <w:r>
        <w:rPr>
          <w:rFonts w:ascii="Arial" w:hAnsi="Arial" w:cs="Arial"/>
          <w:b/>
          <w:bCs/>
          <w:color w:val="000000"/>
          <w:sz w:val="22"/>
          <w:szCs w:val="22"/>
        </w:rPr>
        <w:t>MT</w:t>
      </w:r>
      <w:r>
        <w:rPr>
          <w:rFonts w:ascii="Arial" w:hAnsi="Arial" w:cs="Arial"/>
          <w:color w:val="000000"/>
          <w:sz w:val="22"/>
          <w:szCs w:val="22"/>
        </w:rPr>
        <w:t>, pessoa jurídica de direito público interno,</w:t>
      </w:r>
      <w:r>
        <w:rPr>
          <w:rFonts w:hint="default" w:ascii="Arial" w:hAnsi="Arial" w:cs="Arial"/>
          <w:color w:val="000000"/>
          <w:sz w:val="22"/>
          <w:szCs w:val="22"/>
          <w:lang w:val="pt-BR"/>
        </w:rPr>
        <w:t xml:space="preserve"> </w:t>
      </w:r>
      <w:r>
        <w:rPr>
          <w:rFonts w:ascii="Arial" w:hAnsi="Arial" w:cs="Arial"/>
          <w:color w:val="000000"/>
          <w:sz w:val="22"/>
          <w:szCs w:val="22"/>
        </w:rPr>
        <w:t>inscrit</w:t>
      </w:r>
      <w:r>
        <w:rPr>
          <w:rFonts w:hint="default" w:ascii="Arial" w:hAnsi="Arial" w:cs="Arial"/>
          <w:color w:val="000000"/>
          <w:sz w:val="22"/>
          <w:szCs w:val="22"/>
          <w:lang w:val="pt-BR"/>
        </w:rPr>
        <w:t>o</w:t>
      </w:r>
      <w:r>
        <w:rPr>
          <w:rFonts w:ascii="Arial" w:hAnsi="Arial" w:cs="Arial"/>
          <w:color w:val="000000"/>
          <w:sz w:val="22"/>
          <w:szCs w:val="22"/>
        </w:rPr>
        <w:t xml:space="preserve"> no CNPJ/MF sob o nº 15.024.003/0001-32</w:t>
      </w:r>
      <w:r>
        <w:rPr>
          <w:rFonts w:hint="default" w:ascii="Arial" w:hAnsi="Arial" w:cs="Arial"/>
          <w:color w:val="000000"/>
          <w:sz w:val="22"/>
          <w:szCs w:val="22"/>
          <w:lang w:val="pt-BR"/>
        </w:rPr>
        <w:t>,</w:t>
      </w:r>
      <w:r>
        <w:rPr>
          <w:rFonts w:ascii="Arial" w:hAnsi="Arial" w:cs="Arial"/>
          <w:color w:val="000000"/>
          <w:sz w:val="22"/>
          <w:szCs w:val="22"/>
        </w:rPr>
        <w:t xml:space="preserve"> com sede à Avenida das Embaúbas, n° 1.386, Setor Comercial, na </w:t>
      </w:r>
      <w:r>
        <w:rPr>
          <w:rFonts w:hint="default" w:ascii="Arial" w:hAnsi="Arial" w:cs="Arial"/>
          <w:color w:val="000000"/>
          <w:sz w:val="22"/>
          <w:szCs w:val="22"/>
          <w:lang w:val="pt-BR"/>
        </w:rPr>
        <w:t>C</w:t>
      </w:r>
      <w:r>
        <w:rPr>
          <w:rFonts w:ascii="Arial" w:hAnsi="Arial" w:cs="Arial"/>
          <w:color w:val="000000"/>
          <w:sz w:val="22"/>
          <w:szCs w:val="22"/>
        </w:rPr>
        <w:t>idade de Sinop</w:t>
      </w:r>
      <w:r>
        <w:rPr>
          <w:rFonts w:hint="default" w:ascii="Arial" w:hAnsi="Arial" w:cs="Arial"/>
          <w:color w:val="000000"/>
          <w:sz w:val="22"/>
          <w:szCs w:val="22"/>
          <w:lang w:val="pt-BR"/>
        </w:rPr>
        <w:t xml:space="preserve"> - </w:t>
      </w:r>
      <w:r>
        <w:rPr>
          <w:rFonts w:ascii="Arial" w:hAnsi="Arial" w:cs="Arial"/>
          <w:color w:val="000000"/>
          <w:sz w:val="22"/>
          <w:szCs w:val="22"/>
        </w:rPr>
        <w:t>M</w:t>
      </w:r>
      <w:r>
        <w:rPr>
          <w:rFonts w:hint="default" w:ascii="Arial" w:hAnsi="Arial" w:cs="Arial"/>
          <w:color w:val="000000"/>
          <w:sz w:val="22"/>
          <w:szCs w:val="22"/>
          <w:lang w:val="pt-BR"/>
        </w:rPr>
        <w:t>T</w:t>
      </w:r>
      <w:r>
        <w:rPr>
          <w:rFonts w:ascii="Arial" w:hAnsi="Arial" w:cs="Arial"/>
          <w:color w:val="000000"/>
          <w:sz w:val="22"/>
          <w:szCs w:val="22"/>
        </w:rPr>
        <w:t xml:space="preserve">, </w:t>
      </w:r>
      <w:r>
        <w:rPr>
          <w:rFonts w:ascii="Arial" w:hAnsi="Arial" w:cs="Arial"/>
          <w:sz w:val="22"/>
          <w:szCs w:val="22"/>
        </w:rPr>
        <w:t>neste ato representad</w:t>
      </w:r>
      <w:r>
        <w:rPr>
          <w:rFonts w:hint="default" w:ascii="Arial" w:hAnsi="Arial" w:cs="Arial"/>
          <w:sz w:val="22"/>
          <w:szCs w:val="22"/>
          <w:lang w:val="pt-BR"/>
        </w:rPr>
        <w:t>o</w:t>
      </w:r>
      <w:r>
        <w:rPr>
          <w:rFonts w:ascii="Arial" w:hAnsi="Arial" w:cs="Arial"/>
          <w:sz w:val="22"/>
          <w:szCs w:val="22"/>
        </w:rPr>
        <w:t xml:space="preserve"> pelo Prefeito Municipal, Sr. </w:t>
      </w:r>
      <w:r>
        <w:rPr>
          <w:rFonts w:ascii="Arial" w:hAnsi="Arial" w:cs="Arial"/>
          <w:b/>
          <w:sz w:val="22"/>
          <w:szCs w:val="22"/>
        </w:rPr>
        <w:t>ROBERTO DORNER</w:t>
      </w:r>
      <w:r>
        <w:rPr>
          <w:rFonts w:ascii="Arial" w:hAnsi="Arial" w:cs="Arial"/>
          <w:sz w:val="22"/>
          <w:szCs w:val="22"/>
        </w:rPr>
        <w:t xml:space="preserve">, brasileiro, viúvo, empresário, residente </w:t>
      </w:r>
      <w:r>
        <w:rPr>
          <w:rFonts w:ascii="Arial" w:hAnsi="Arial" w:cs="Arial"/>
          <w:color w:val="000000"/>
          <w:sz w:val="22"/>
          <w:szCs w:val="22"/>
        </w:rPr>
        <w:t>e domiciliado na Avenida dos Jacarandás, nº 3584, Setor Comercial</w:t>
      </w:r>
      <w:r>
        <w:rPr>
          <w:rFonts w:ascii="Arial" w:hAnsi="Arial" w:cs="Arial"/>
          <w:sz w:val="22"/>
          <w:szCs w:val="22"/>
        </w:rPr>
        <w:t xml:space="preserve">, CEP 78.550-248, na </w:t>
      </w:r>
      <w:r>
        <w:rPr>
          <w:rFonts w:hint="default" w:ascii="Arial" w:hAnsi="Arial" w:cs="Arial"/>
          <w:sz w:val="22"/>
          <w:szCs w:val="22"/>
          <w:lang w:val="pt-BR"/>
        </w:rPr>
        <w:t>C</w:t>
      </w:r>
      <w:r>
        <w:rPr>
          <w:rFonts w:ascii="Arial" w:hAnsi="Arial" w:cs="Arial"/>
          <w:sz w:val="22"/>
          <w:szCs w:val="22"/>
        </w:rPr>
        <w:t>idade de Sinop</w:t>
      </w:r>
      <w:r>
        <w:rPr>
          <w:rFonts w:hint="default" w:ascii="Arial" w:hAnsi="Arial" w:cs="Arial"/>
          <w:sz w:val="22"/>
          <w:szCs w:val="22"/>
          <w:lang w:val="pt-BR"/>
        </w:rPr>
        <w:t xml:space="preserve"> - MT</w:t>
      </w:r>
      <w:r>
        <w:rPr>
          <w:rFonts w:ascii="Arial" w:hAnsi="Arial" w:cs="Arial"/>
          <w:sz w:val="22"/>
          <w:szCs w:val="22"/>
        </w:rPr>
        <w:t>, portador da CI/RG nº 0607820-6 SSP/MT e CPF/MF nº 127.091.159-72,</w:t>
      </w:r>
      <w:r>
        <w:rPr>
          <w:rFonts w:hint="default" w:ascii="Arial" w:hAnsi="Arial" w:cs="Arial"/>
          <w:sz w:val="22"/>
          <w:szCs w:val="22"/>
          <w:lang w:val="pt-BR"/>
        </w:rPr>
        <w:t xml:space="preserve"> </w:t>
      </w:r>
      <w:r>
        <w:rPr>
          <w:rFonts w:ascii="Arial" w:hAnsi="Arial" w:cs="Arial"/>
          <w:color w:val="000000"/>
          <w:sz w:val="22"/>
          <w:szCs w:val="22"/>
        </w:rPr>
        <w:t>doravante simplesmente denominad</w:t>
      </w:r>
      <w:r>
        <w:rPr>
          <w:rFonts w:hint="default" w:ascii="Arial" w:hAnsi="Arial" w:cs="Arial"/>
          <w:color w:val="000000"/>
          <w:sz w:val="22"/>
          <w:szCs w:val="22"/>
          <w:lang w:val="pt-BR"/>
        </w:rPr>
        <w:t>o</w:t>
      </w:r>
      <w:r>
        <w:rPr>
          <w:rFonts w:ascii="Arial" w:hAnsi="Arial" w:cs="Arial"/>
          <w:color w:val="000000"/>
          <w:sz w:val="22"/>
          <w:szCs w:val="22"/>
        </w:rPr>
        <w:t xml:space="preserve"> </w:t>
      </w:r>
      <w:r>
        <w:rPr>
          <w:rFonts w:ascii="Arial" w:hAnsi="Arial" w:cs="Arial"/>
          <w:b/>
          <w:color w:val="000000"/>
          <w:sz w:val="22"/>
          <w:szCs w:val="22"/>
        </w:rPr>
        <w:t>CONTRATANTE</w:t>
      </w:r>
      <w:r>
        <w:rPr>
          <w:rFonts w:ascii="Arial" w:hAnsi="Arial" w:cs="Arial"/>
          <w:color w:val="000000"/>
          <w:sz w:val="22"/>
          <w:szCs w:val="22"/>
        </w:rPr>
        <w:t xml:space="preserve"> e do outro lado a empresa ................</w:t>
      </w:r>
      <w:r>
        <w:rPr>
          <w:rFonts w:hint="default" w:ascii="Arial" w:hAnsi="Arial" w:cs="Arial"/>
          <w:color w:val="000000"/>
          <w:sz w:val="22"/>
          <w:szCs w:val="22"/>
          <w:lang w:val="pt-BR"/>
        </w:rPr>
        <w:t xml:space="preserve">, </w:t>
      </w:r>
      <w:r>
        <w:rPr>
          <w:rFonts w:ascii="Arial" w:hAnsi="Arial" w:cs="Arial"/>
          <w:color w:val="000000"/>
          <w:sz w:val="22"/>
          <w:szCs w:val="22"/>
        </w:rPr>
        <w:t>inscrita no CNPJ/MF sob  o nº ...............</w:t>
      </w:r>
      <w:r>
        <w:rPr>
          <w:rFonts w:hint="default" w:ascii="Arial" w:hAnsi="Arial" w:cs="Arial"/>
          <w:color w:val="000000"/>
          <w:sz w:val="22"/>
          <w:szCs w:val="22"/>
          <w:lang w:val="pt-BR"/>
        </w:rPr>
        <w:t>,</w:t>
      </w:r>
      <w:r>
        <w:rPr>
          <w:rFonts w:ascii="Arial" w:hAnsi="Arial" w:cs="Arial"/>
          <w:color w:val="000000"/>
          <w:sz w:val="22"/>
          <w:szCs w:val="22"/>
        </w:rPr>
        <w:t xml:space="preserve"> com sede ..................... ,</w:t>
      </w:r>
      <w:r>
        <w:rPr>
          <w:rFonts w:hint="default" w:ascii="Arial" w:hAnsi="Arial" w:cs="Arial"/>
          <w:color w:val="000000"/>
          <w:sz w:val="22"/>
          <w:szCs w:val="22"/>
          <w:lang w:val="pt-BR"/>
        </w:rPr>
        <w:t xml:space="preserve"> </w:t>
      </w:r>
      <w:r>
        <w:rPr>
          <w:rFonts w:ascii="Arial" w:hAnsi="Arial" w:cs="Arial"/>
          <w:sz w:val="22"/>
          <w:szCs w:val="22"/>
        </w:rPr>
        <w:t xml:space="preserve">neste ato representada pelo(a) seu(sua) ________(cargo)____, Sr.(a) ____________, inscrito no CPF/MF sob o n.º __________, </w:t>
      </w:r>
      <w:r>
        <w:rPr>
          <w:rFonts w:ascii="Arial" w:hAnsi="Arial" w:cs="Arial"/>
          <w:sz w:val="22"/>
          <w:szCs w:val="22"/>
          <w:u w:val="single"/>
        </w:rPr>
        <w:t>(nacionalidade</w:t>
      </w:r>
      <w:r>
        <w:rPr>
          <w:rFonts w:ascii="Arial" w:hAnsi="Arial" w:cs="Arial"/>
          <w:sz w:val="22"/>
          <w:szCs w:val="22"/>
        </w:rPr>
        <w:t xml:space="preserve">), </w:t>
      </w:r>
      <w:r>
        <w:rPr>
          <w:rFonts w:ascii="Arial" w:hAnsi="Arial" w:cs="Arial"/>
          <w:sz w:val="22"/>
          <w:szCs w:val="22"/>
          <w:u w:val="single"/>
        </w:rPr>
        <w:t>(estado civil)</w:t>
      </w:r>
      <w:r>
        <w:rPr>
          <w:rFonts w:ascii="Arial" w:hAnsi="Arial" w:cs="Arial"/>
          <w:sz w:val="22"/>
          <w:szCs w:val="22"/>
        </w:rPr>
        <w:t xml:space="preserve">, </w:t>
      </w:r>
      <w:r>
        <w:rPr>
          <w:rFonts w:ascii="Arial" w:hAnsi="Arial" w:cs="Arial"/>
          <w:sz w:val="22"/>
          <w:szCs w:val="22"/>
          <w:u w:val="single"/>
        </w:rPr>
        <w:t>(profissão)</w:t>
      </w:r>
      <w:r>
        <w:rPr>
          <w:rFonts w:ascii="Arial" w:hAnsi="Arial" w:cs="Arial"/>
          <w:sz w:val="22"/>
          <w:szCs w:val="22"/>
        </w:rPr>
        <w:t xml:space="preserve"> , portador da Cédula de Identidade n.° __________, residente e domiciliado em_</w:t>
      </w:r>
      <w:r>
        <w:rPr>
          <w:rFonts w:ascii="Arial" w:hAnsi="Arial" w:cs="Arial"/>
          <w:sz w:val="22"/>
          <w:szCs w:val="22"/>
          <w:u w:val="single"/>
        </w:rPr>
        <w:t>(endereço)</w:t>
      </w:r>
      <w:r>
        <w:rPr>
          <w:rFonts w:ascii="Arial" w:hAnsi="Arial" w:cs="Arial"/>
          <w:sz w:val="22"/>
          <w:szCs w:val="22"/>
        </w:rPr>
        <w:t>__, em conformidade com a</w:t>
      </w:r>
      <w:r>
        <w:rPr>
          <w:rFonts w:ascii="Arial" w:hAnsi="Arial" w:cs="Arial"/>
          <w:sz w:val="22"/>
          <w:szCs w:val="22"/>
          <w:u w:val="none"/>
        </w:rPr>
        <w:t xml:space="preserve"> (</w:t>
      </w:r>
      <w:r>
        <w:rPr>
          <w:rFonts w:ascii="Arial" w:hAnsi="Arial" w:cs="Arial"/>
          <w:sz w:val="22"/>
          <w:szCs w:val="22"/>
          <w:u w:val="single"/>
        </w:rPr>
        <w:t>indicar os instrumentos que dão à pessoa poderes para representar a sociedade</w:t>
      </w:r>
      <w:r>
        <w:rPr>
          <w:rFonts w:ascii="Arial" w:hAnsi="Arial" w:cs="Arial"/>
          <w:sz w:val="22"/>
          <w:szCs w:val="22"/>
          <w:u w:val="none"/>
        </w:rPr>
        <w:t>)</w:t>
      </w:r>
      <w:r>
        <w:rPr>
          <w:rFonts w:hint="default" w:ascii="Arial" w:hAnsi="Arial" w:cs="Arial"/>
          <w:sz w:val="22"/>
          <w:szCs w:val="22"/>
          <w:u w:val="none"/>
          <w:lang w:val="pt-BR"/>
        </w:rPr>
        <w:t>,</w:t>
      </w:r>
      <w:r>
        <w:rPr>
          <w:rFonts w:ascii="Arial" w:hAnsi="Arial" w:cs="Arial"/>
          <w:color w:val="000000"/>
          <w:sz w:val="22"/>
          <w:szCs w:val="22"/>
        </w:rPr>
        <w:t xml:space="preserve"> doravante simplesmente denominada </w:t>
      </w:r>
      <w:r>
        <w:rPr>
          <w:rFonts w:ascii="Arial" w:hAnsi="Arial" w:cs="Arial"/>
          <w:b/>
          <w:color w:val="000000"/>
          <w:sz w:val="22"/>
          <w:szCs w:val="22"/>
        </w:rPr>
        <w:t>CONTRATADA</w:t>
      </w:r>
      <w:r>
        <w:rPr>
          <w:rFonts w:hint="default" w:ascii="Arial" w:hAnsi="Arial" w:cs="Arial"/>
          <w:b w:val="0"/>
          <w:bCs/>
          <w:color w:val="000000"/>
          <w:sz w:val="22"/>
          <w:szCs w:val="22"/>
          <w:lang w:val="pt-BR"/>
        </w:rPr>
        <w:t>.</w:t>
      </w:r>
    </w:p>
    <w:p w14:paraId="79F500FB">
      <w:pPr>
        <w:tabs>
          <w:tab w:val="left" w:pos="142"/>
          <w:tab w:val="left" w:pos="426"/>
        </w:tabs>
        <w:spacing w:line="360" w:lineRule="auto"/>
        <w:jc w:val="both"/>
        <w:rPr>
          <w:rFonts w:hint="default" w:ascii="Arial" w:hAnsi="Arial" w:cs="Arial"/>
          <w:color w:val="000000"/>
          <w:sz w:val="22"/>
          <w:szCs w:val="22"/>
          <w:lang w:val="pt-BR"/>
        </w:rPr>
      </w:pPr>
      <w:r>
        <w:rPr>
          <w:rFonts w:ascii="Arial" w:hAnsi="Arial" w:cs="Arial"/>
          <w:b w:val="0"/>
          <w:bCs/>
          <w:color w:val="000000"/>
          <w:sz w:val="22"/>
          <w:szCs w:val="22"/>
        </w:rPr>
        <w:t>DA FINALIDADE:</w:t>
      </w:r>
      <w:r>
        <w:rPr>
          <w:rFonts w:ascii="Arial" w:hAnsi="Arial" w:cs="Arial"/>
          <w:b/>
          <w:color w:val="000000"/>
          <w:sz w:val="22"/>
          <w:szCs w:val="22"/>
        </w:rPr>
        <w:t xml:space="preserve"> </w:t>
      </w:r>
      <w:r>
        <w:rPr>
          <w:rFonts w:ascii="Arial" w:hAnsi="Arial" w:cs="Arial"/>
          <w:color w:val="000000"/>
          <w:sz w:val="22"/>
          <w:szCs w:val="22"/>
        </w:rPr>
        <w:t>O presente Contrato tem por finalidade formalizar e disciplinar o relacionamento contratual com vistas à execução dos trabalhos definidos e especificados na CLÁUSULA PRIMEIRA – OBJETO sendo que sua lavratura foi regularmente autorizada em despacho datado de ..../......../202</w:t>
      </w:r>
      <w:r>
        <w:rPr>
          <w:rFonts w:hint="default" w:ascii="Arial" w:hAnsi="Arial" w:cs="Arial"/>
          <w:color w:val="000000"/>
          <w:sz w:val="22"/>
          <w:szCs w:val="22"/>
          <w:lang w:val="pt-BR"/>
        </w:rPr>
        <w:t>4</w:t>
      </w:r>
    </w:p>
    <w:p w14:paraId="5782602E">
      <w:pPr>
        <w:pStyle w:val="162"/>
        <w:pBdr>
          <w:top w:val="double" w:color="auto" w:sz="4" w:space="1"/>
          <w:left w:val="double" w:color="auto" w:sz="4" w:space="4"/>
          <w:bottom w:val="double" w:color="auto" w:sz="4" w:space="1"/>
          <w:right w:val="double" w:color="auto" w:sz="4" w:space="4"/>
        </w:pBdr>
        <w:shd w:val="clear" w:color="auto" w:fill="D9D9D9"/>
        <w:spacing w:line="360" w:lineRule="auto"/>
        <w:rPr>
          <w:rFonts w:cs="Arial"/>
          <w:b/>
          <w:color w:val="000000"/>
          <w:sz w:val="22"/>
          <w:szCs w:val="22"/>
        </w:rPr>
      </w:pPr>
      <w:r>
        <w:rPr>
          <w:rFonts w:cs="Arial"/>
          <w:b/>
          <w:color w:val="000000"/>
          <w:sz w:val="22"/>
          <w:szCs w:val="22"/>
        </w:rPr>
        <w:t xml:space="preserve">Cláusula Primeira </w:t>
      </w:r>
    </w:p>
    <w:p w14:paraId="0C5E71A4">
      <w:pPr>
        <w:pStyle w:val="162"/>
        <w:pBdr>
          <w:top w:val="double" w:color="auto" w:sz="4" w:space="1"/>
          <w:left w:val="double" w:color="auto" w:sz="4" w:space="4"/>
          <w:bottom w:val="double" w:color="auto" w:sz="4" w:space="1"/>
          <w:right w:val="double" w:color="auto" w:sz="4" w:space="4"/>
        </w:pBdr>
        <w:shd w:val="clear" w:color="auto" w:fill="D9D9D9"/>
        <w:spacing w:line="360" w:lineRule="auto"/>
        <w:rPr>
          <w:rFonts w:hint="default" w:cs="Arial"/>
          <w:b/>
          <w:color w:val="000000"/>
          <w:sz w:val="22"/>
          <w:szCs w:val="22"/>
          <w:lang w:val="pt-BR"/>
        </w:rPr>
      </w:pPr>
      <w:r>
        <w:rPr>
          <w:rFonts w:cs="Arial"/>
          <w:b/>
          <w:color w:val="000000"/>
          <w:sz w:val="22"/>
          <w:szCs w:val="22"/>
        </w:rPr>
        <w:t>DO OBJETO</w:t>
      </w:r>
      <w:r>
        <w:rPr>
          <w:rFonts w:hint="default" w:cs="Arial"/>
          <w:b/>
          <w:color w:val="000000"/>
          <w:sz w:val="22"/>
          <w:szCs w:val="22"/>
          <w:lang w:val="pt-BR"/>
        </w:rPr>
        <w:t xml:space="preserve"> E VALOR</w:t>
      </w:r>
    </w:p>
    <w:p w14:paraId="62ACD59D">
      <w:pPr>
        <w:widowControl w:val="0"/>
        <w:numPr>
          <w:ilvl w:val="1"/>
          <w:numId w:val="21"/>
        </w:numPr>
        <w:tabs>
          <w:tab w:val="left" w:pos="426"/>
        </w:tabs>
        <w:suppressAutoHyphens/>
        <w:adjustRightInd w:val="0"/>
        <w:spacing w:before="240" w:after="240" w:line="360" w:lineRule="auto"/>
        <w:ind w:leftChars="0"/>
        <w:jc w:val="both"/>
        <w:textAlignment w:val="baseline"/>
        <w:rPr>
          <w:rFonts w:hint="default" w:ascii="Arial" w:hAnsi="Arial" w:cs="Arial"/>
          <w:b/>
          <w:bCs/>
          <w:sz w:val="22"/>
          <w:szCs w:val="22"/>
          <w:lang w:val="pt-BR"/>
        </w:rPr>
      </w:pPr>
      <w:r>
        <w:rPr>
          <w:rFonts w:ascii="Arial" w:hAnsi="Arial" w:cs="Arial"/>
          <w:color w:val="000000"/>
          <w:sz w:val="22"/>
          <w:szCs w:val="22"/>
          <w:lang w:eastAsia="ar-SA"/>
        </w:rPr>
        <w:t xml:space="preserve">Constitui objeto deste </w:t>
      </w:r>
      <w:r>
        <w:rPr>
          <w:rFonts w:hint="default" w:ascii="Arial" w:hAnsi="Arial" w:cs="Arial"/>
          <w:color w:val="000000"/>
          <w:sz w:val="22"/>
          <w:szCs w:val="22"/>
          <w:lang w:val="pt-BR" w:eastAsia="ar-SA"/>
        </w:rPr>
        <w:t>c</w:t>
      </w:r>
      <w:r>
        <w:rPr>
          <w:rFonts w:ascii="Arial" w:hAnsi="Arial" w:cs="Arial"/>
          <w:color w:val="000000"/>
          <w:sz w:val="22"/>
          <w:szCs w:val="22"/>
          <w:lang w:eastAsia="ar-SA"/>
        </w:rPr>
        <w:t xml:space="preserve">ontrato a entrega pela </w:t>
      </w:r>
      <w:r>
        <w:rPr>
          <w:rFonts w:hint="default" w:ascii="Arial" w:hAnsi="Arial" w:cs="Arial"/>
          <w:color w:val="000000"/>
          <w:sz w:val="22"/>
          <w:szCs w:val="22"/>
          <w:lang w:val="pt-BR" w:eastAsia="ar-SA"/>
        </w:rPr>
        <w:t>prestação de serviço</w:t>
      </w:r>
      <w:r>
        <w:rPr>
          <w:rFonts w:ascii="Arial" w:hAnsi="Arial" w:cs="Arial"/>
          <w:color w:val="000000"/>
          <w:sz w:val="22"/>
          <w:szCs w:val="22"/>
          <w:lang w:eastAsia="ar-SA"/>
        </w:rPr>
        <w:t xml:space="preserve"> descrito no Termo de Referência – Anexo I do edital, bem como em sua proposta, os quais ficam fazendo parte integrante e inseparável deste instrumento, como se aqui integralmente reproduzidos, e assim resumidos quanto a seus elementos característicos:</w:t>
      </w:r>
      <w:r>
        <w:rPr>
          <w:rFonts w:hint="default" w:ascii="Arial" w:hAnsi="Arial" w:cs="Arial"/>
          <w:color w:val="000000"/>
          <w:sz w:val="22"/>
          <w:szCs w:val="22"/>
          <w:lang w:val="pt-BR" w:eastAsia="ar-SA"/>
        </w:rPr>
        <w:t xml:space="preserve"> </w:t>
      </w:r>
      <w:r>
        <w:rPr>
          <w:rFonts w:hint="default" w:ascii="Arial" w:hAnsi="Arial" w:cs="Arial"/>
          <w:b/>
          <w:bCs/>
          <w:sz w:val="22"/>
          <w:szCs w:val="22"/>
          <w:highlight w:val="none"/>
          <w:lang w:val="pt-BR"/>
        </w:rPr>
        <w:t xml:space="preserve">Contratação </w:t>
      </w:r>
      <w:r>
        <w:rPr>
          <w:rFonts w:hint="default" w:ascii="Arial" w:hAnsi="Arial" w:cs="Arial"/>
          <w:b/>
          <w:bCs/>
          <w:sz w:val="22"/>
          <w:szCs w:val="22"/>
        </w:rPr>
        <w:t xml:space="preserve">de empresa </w:t>
      </w:r>
      <w:r>
        <w:rPr>
          <w:rFonts w:hint="default" w:ascii="Arial" w:hAnsi="Arial" w:cs="Arial"/>
          <w:b/>
          <w:bCs/>
          <w:sz w:val="22"/>
          <w:szCs w:val="22"/>
          <w:lang w:val="pt-BR"/>
        </w:rPr>
        <w:t>especializada para locação de sistema de Data Center para sistemas críticos computacionais e de telecomunicações, contemplando serviços de manutenção preditiva, preventiva e corretiva, compreendendo a locação de container, com fornecimento de ambientes de alta disponibilidade para sistemas críticos computacionais e de telecomunicações, conforme condições estabelecidas no Anexo I - Termo de Referência.</w:t>
      </w:r>
    </w:p>
    <w:tbl>
      <w:tblPr>
        <w:tblStyle w:val="10"/>
        <w:tblpPr w:leftFromText="180" w:rightFromText="180" w:vertAnchor="text" w:horzAnchor="page" w:tblpX="880" w:tblpY="345"/>
        <w:tblOverlap w:val="never"/>
        <w:tblW w:w="1059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30"/>
        <w:gridCol w:w="765"/>
        <w:gridCol w:w="4950"/>
        <w:gridCol w:w="795"/>
        <w:gridCol w:w="630"/>
        <w:gridCol w:w="1202"/>
        <w:gridCol w:w="1326"/>
      </w:tblGrid>
      <w:tr w14:paraId="131C85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4" w:hRule="atLeast"/>
        </w:trPr>
        <w:tc>
          <w:tcPr>
            <w:tcW w:w="930" w:type="dxa"/>
            <w:tcBorders>
              <w:top w:val="single" w:color="000000" w:sz="2" w:space="0"/>
              <w:left w:val="single" w:color="000000" w:sz="2" w:space="0"/>
              <w:bottom w:val="single" w:color="auto" w:sz="4" w:space="0"/>
              <w:right w:val="single" w:color="000000" w:sz="2" w:space="0"/>
            </w:tcBorders>
            <w:shd w:val="clear" w:color="auto" w:fill="BFBFBF"/>
            <w:vAlign w:val="center"/>
          </w:tcPr>
          <w:p w14:paraId="11BF2859">
            <w:pPr>
              <w:jc w:val="center"/>
              <w:rPr>
                <w:rFonts w:hint="default" w:ascii="Arial" w:hAnsi="Arial" w:cs="Arial"/>
                <w:sz w:val="16"/>
                <w:szCs w:val="16"/>
              </w:rPr>
            </w:pPr>
            <w:r>
              <w:rPr>
                <w:rFonts w:hint="default" w:ascii="Arial" w:hAnsi="Arial" w:cs="Arial"/>
                <w:sz w:val="16"/>
                <w:szCs w:val="16"/>
                <w:lang w:val="en-US" w:eastAsia="zh-CN"/>
              </w:rPr>
              <w:t>GRUPO</w:t>
            </w:r>
          </w:p>
        </w:tc>
        <w:tc>
          <w:tcPr>
            <w:tcW w:w="765" w:type="dxa"/>
            <w:tcBorders>
              <w:top w:val="single" w:color="000000" w:sz="2" w:space="0"/>
              <w:left w:val="single" w:color="000000" w:sz="2" w:space="0"/>
              <w:bottom w:val="single" w:color="000000" w:sz="2" w:space="0"/>
              <w:right w:val="single" w:color="000000" w:sz="2" w:space="0"/>
            </w:tcBorders>
            <w:shd w:val="clear" w:color="auto" w:fill="BFBFBF"/>
            <w:vAlign w:val="center"/>
          </w:tcPr>
          <w:p w14:paraId="044A0BF2">
            <w:pPr>
              <w:jc w:val="center"/>
              <w:rPr>
                <w:rFonts w:hint="default" w:ascii="Arial" w:hAnsi="Arial" w:cs="Arial"/>
                <w:sz w:val="16"/>
                <w:szCs w:val="16"/>
              </w:rPr>
            </w:pPr>
            <w:r>
              <w:rPr>
                <w:rFonts w:hint="default" w:ascii="Arial" w:hAnsi="Arial" w:cs="Arial"/>
                <w:sz w:val="16"/>
                <w:szCs w:val="16"/>
                <w:lang w:val="en-US" w:eastAsia="zh-CN"/>
              </w:rPr>
              <w:t>ITEM</w:t>
            </w:r>
          </w:p>
        </w:tc>
        <w:tc>
          <w:tcPr>
            <w:tcW w:w="4950" w:type="dxa"/>
            <w:tcBorders>
              <w:top w:val="single" w:color="000000" w:sz="2" w:space="0"/>
              <w:left w:val="single" w:color="000000" w:sz="2" w:space="0"/>
              <w:bottom w:val="single" w:color="000000" w:sz="2" w:space="0"/>
              <w:right w:val="single" w:color="000000" w:sz="2" w:space="0"/>
            </w:tcBorders>
            <w:shd w:val="clear" w:color="auto" w:fill="BFBFBF"/>
            <w:vAlign w:val="center"/>
          </w:tcPr>
          <w:p w14:paraId="2FBD2ACF">
            <w:pPr>
              <w:jc w:val="center"/>
              <w:rPr>
                <w:rFonts w:hint="default" w:ascii="Arial" w:hAnsi="Arial" w:cs="Arial"/>
                <w:sz w:val="16"/>
                <w:szCs w:val="16"/>
              </w:rPr>
            </w:pPr>
            <w:r>
              <w:rPr>
                <w:rFonts w:hint="default" w:ascii="Arial" w:hAnsi="Arial" w:cs="Arial"/>
                <w:sz w:val="16"/>
                <w:szCs w:val="16"/>
                <w:lang w:val="en-US" w:eastAsia="zh-CN"/>
              </w:rPr>
              <w:t>DESCRIÇÃO</w:t>
            </w:r>
          </w:p>
        </w:tc>
        <w:tc>
          <w:tcPr>
            <w:tcW w:w="795" w:type="dxa"/>
            <w:tcBorders>
              <w:top w:val="single" w:color="000000" w:sz="2" w:space="0"/>
              <w:left w:val="single" w:color="000000" w:sz="2" w:space="0"/>
              <w:bottom w:val="single" w:color="000000" w:sz="2" w:space="0"/>
              <w:right w:val="single" w:color="000000" w:sz="2" w:space="0"/>
            </w:tcBorders>
            <w:shd w:val="clear" w:color="auto" w:fill="BFBFBF"/>
            <w:vAlign w:val="center"/>
          </w:tcPr>
          <w:p w14:paraId="4BD32225">
            <w:pPr>
              <w:jc w:val="center"/>
              <w:rPr>
                <w:rFonts w:hint="default" w:ascii="Arial" w:hAnsi="Arial" w:cs="Arial"/>
                <w:sz w:val="16"/>
                <w:szCs w:val="16"/>
              </w:rPr>
            </w:pPr>
            <w:r>
              <w:rPr>
                <w:rFonts w:hint="default" w:ascii="Arial" w:hAnsi="Arial" w:cs="Arial"/>
                <w:sz w:val="16"/>
                <w:szCs w:val="16"/>
                <w:lang w:val="en-US" w:eastAsia="zh-CN"/>
              </w:rPr>
              <w:t>UND.</w:t>
            </w:r>
          </w:p>
        </w:tc>
        <w:tc>
          <w:tcPr>
            <w:tcW w:w="630" w:type="dxa"/>
            <w:tcBorders>
              <w:top w:val="single" w:color="000000" w:sz="2" w:space="0"/>
              <w:left w:val="single" w:color="000000" w:sz="2" w:space="0"/>
              <w:bottom w:val="single" w:color="000000" w:sz="2" w:space="0"/>
              <w:right w:val="single" w:color="000000" w:sz="2" w:space="0"/>
            </w:tcBorders>
            <w:shd w:val="clear" w:color="auto" w:fill="BFBFBF"/>
            <w:vAlign w:val="center"/>
          </w:tcPr>
          <w:p w14:paraId="3D1CC76B">
            <w:pPr>
              <w:jc w:val="center"/>
              <w:rPr>
                <w:rFonts w:hint="default" w:ascii="Arial" w:hAnsi="Arial" w:cs="Arial"/>
                <w:sz w:val="16"/>
                <w:szCs w:val="16"/>
              </w:rPr>
            </w:pPr>
            <w:r>
              <w:rPr>
                <w:rFonts w:hint="default" w:ascii="Arial" w:hAnsi="Arial" w:cs="Arial"/>
                <w:sz w:val="16"/>
                <w:szCs w:val="16"/>
                <w:lang w:val="en-US" w:eastAsia="zh-CN"/>
              </w:rPr>
              <w:t>QT</w:t>
            </w:r>
            <w:r>
              <w:rPr>
                <w:rFonts w:hint="default" w:ascii="Arial" w:hAnsi="Arial" w:cs="Arial"/>
                <w:sz w:val="16"/>
                <w:szCs w:val="16"/>
                <w:lang w:val="pt-BR" w:eastAsia="zh-CN"/>
              </w:rPr>
              <w:t>D</w:t>
            </w:r>
            <w:r>
              <w:rPr>
                <w:rFonts w:hint="default" w:ascii="Arial" w:hAnsi="Arial" w:cs="Arial"/>
                <w:sz w:val="16"/>
                <w:szCs w:val="16"/>
                <w:lang w:val="en-US" w:eastAsia="zh-CN"/>
              </w:rPr>
              <w:t>.</w:t>
            </w:r>
          </w:p>
        </w:tc>
        <w:tc>
          <w:tcPr>
            <w:tcW w:w="1202" w:type="dxa"/>
            <w:tcBorders>
              <w:top w:val="single" w:color="000000" w:sz="2" w:space="0"/>
              <w:left w:val="single" w:color="000000" w:sz="2" w:space="0"/>
              <w:bottom w:val="single" w:color="000000" w:sz="2" w:space="0"/>
              <w:right w:val="single" w:color="000000" w:sz="2" w:space="0"/>
            </w:tcBorders>
            <w:shd w:val="clear" w:color="auto" w:fill="BFBFBF"/>
            <w:vAlign w:val="center"/>
          </w:tcPr>
          <w:p w14:paraId="413F19FD">
            <w:pPr>
              <w:jc w:val="center"/>
              <w:rPr>
                <w:rFonts w:hint="default" w:ascii="Arial" w:hAnsi="Arial" w:cs="Arial"/>
                <w:sz w:val="16"/>
                <w:szCs w:val="16"/>
                <w:lang w:val="pt-BR"/>
              </w:rPr>
            </w:pPr>
            <w:r>
              <w:rPr>
                <w:rFonts w:hint="default" w:ascii="Arial" w:hAnsi="Arial" w:cs="Arial"/>
                <w:sz w:val="16"/>
                <w:szCs w:val="16"/>
                <w:lang w:val="en-US" w:eastAsia="zh-CN"/>
              </w:rPr>
              <w:t xml:space="preserve">VALOR </w:t>
            </w:r>
            <w:r>
              <w:rPr>
                <w:rFonts w:hint="default" w:ascii="Arial" w:hAnsi="Arial" w:cs="Arial"/>
                <w:sz w:val="16"/>
                <w:szCs w:val="16"/>
                <w:lang w:val="pt-BR" w:eastAsia="zh-CN"/>
              </w:rPr>
              <w:t>UNITÁRIO</w:t>
            </w:r>
          </w:p>
        </w:tc>
        <w:tc>
          <w:tcPr>
            <w:tcW w:w="1326" w:type="dxa"/>
            <w:tcBorders>
              <w:top w:val="single" w:color="000000" w:sz="2" w:space="0"/>
              <w:left w:val="single" w:color="000000" w:sz="2" w:space="0"/>
              <w:bottom w:val="single" w:color="000000" w:sz="2" w:space="0"/>
              <w:right w:val="single" w:color="000000" w:sz="2" w:space="0"/>
            </w:tcBorders>
            <w:shd w:val="clear" w:color="auto" w:fill="BFBFBF"/>
            <w:vAlign w:val="center"/>
          </w:tcPr>
          <w:p w14:paraId="7CBF5F6C">
            <w:pPr>
              <w:jc w:val="center"/>
              <w:rPr>
                <w:rFonts w:hint="default" w:ascii="Arial" w:hAnsi="Arial" w:cs="Arial"/>
                <w:sz w:val="16"/>
                <w:szCs w:val="16"/>
              </w:rPr>
            </w:pPr>
            <w:r>
              <w:rPr>
                <w:rFonts w:hint="default" w:ascii="Arial" w:hAnsi="Arial" w:cs="Arial"/>
                <w:sz w:val="16"/>
                <w:szCs w:val="16"/>
                <w:lang w:val="pt-BR" w:eastAsia="zh-CN"/>
              </w:rPr>
              <w:t xml:space="preserve">VALOR </w:t>
            </w:r>
            <w:r>
              <w:rPr>
                <w:rFonts w:hint="default" w:ascii="Arial" w:hAnsi="Arial" w:cs="Arial"/>
                <w:sz w:val="16"/>
                <w:szCs w:val="16"/>
                <w:lang w:val="en-US" w:eastAsia="zh-CN"/>
              </w:rPr>
              <w:t>TOTAL</w:t>
            </w:r>
          </w:p>
        </w:tc>
      </w:tr>
      <w:tr w14:paraId="321146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15" w:hRule="atLeast"/>
        </w:trPr>
        <w:tc>
          <w:tcPr>
            <w:tcW w:w="930" w:type="dxa"/>
            <w:vMerge w:val="restart"/>
            <w:tcBorders>
              <w:top w:val="single" w:color="auto" w:sz="4" w:space="0"/>
              <w:left w:val="single" w:color="000000" w:sz="2" w:space="0"/>
              <w:bottom w:val="single" w:color="auto" w:sz="4" w:space="0"/>
              <w:right w:val="single" w:color="000000" w:sz="2" w:space="0"/>
            </w:tcBorders>
            <w:shd w:val="clear" w:color="auto" w:fill="auto"/>
            <w:vAlign w:val="center"/>
          </w:tcPr>
          <w:p w14:paraId="2A7DD271">
            <w:pPr>
              <w:jc w:val="center"/>
              <w:rPr>
                <w:rFonts w:hint="default" w:ascii="Arial" w:hAnsi="Arial" w:cs="Arial"/>
                <w:sz w:val="16"/>
                <w:szCs w:val="16"/>
                <w:lang w:val="pt-BR"/>
              </w:rPr>
            </w:pPr>
            <w:r>
              <w:rPr>
                <w:rFonts w:hint="default" w:ascii="Arial" w:hAnsi="Arial" w:cs="Arial"/>
                <w:sz w:val="16"/>
                <w:szCs w:val="16"/>
                <w:lang w:val="en-US" w:eastAsia="zh-CN"/>
              </w:rPr>
              <w:t>GRUP</w:t>
            </w:r>
            <w:r>
              <w:rPr>
                <w:rFonts w:hint="default" w:ascii="Arial" w:hAnsi="Arial" w:cs="Arial"/>
                <w:sz w:val="16"/>
                <w:szCs w:val="16"/>
                <w:lang w:val="pt-BR" w:eastAsia="zh-CN"/>
              </w:rPr>
              <w:t>O1</w:t>
            </w:r>
          </w:p>
        </w:tc>
        <w:tc>
          <w:tcPr>
            <w:tcW w:w="76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CF6C62B">
            <w:pPr>
              <w:jc w:val="center"/>
              <w:rPr>
                <w:rFonts w:hint="default" w:ascii="Arial" w:hAnsi="Arial" w:cs="Arial"/>
                <w:sz w:val="16"/>
                <w:szCs w:val="16"/>
              </w:rPr>
            </w:pPr>
            <w:r>
              <w:rPr>
                <w:rFonts w:hint="default" w:ascii="Arial" w:hAnsi="Arial" w:cs="Arial"/>
                <w:sz w:val="16"/>
                <w:szCs w:val="16"/>
                <w:lang w:val="en-US" w:eastAsia="zh-CN"/>
              </w:rPr>
              <w:t>1</w:t>
            </w:r>
          </w:p>
        </w:tc>
        <w:tc>
          <w:tcPr>
            <w:tcW w:w="49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4FA33D">
            <w:pPr>
              <w:jc w:val="both"/>
              <w:rPr>
                <w:rFonts w:hint="default" w:ascii="Arial" w:hAnsi="Arial" w:cs="Arial"/>
                <w:sz w:val="16"/>
                <w:szCs w:val="16"/>
              </w:rPr>
            </w:pPr>
            <w:r>
              <w:rPr>
                <w:rFonts w:hint="default" w:ascii="Arial" w:hAnsi="Arial" w:cs="Arial"/>
                <w:sz w:val="16"/>
                <w:szCs w:val="16"/>
                <w:lang w:val="en-US" w:eastAsia="zh-CN"/>
              </w:rPr>
              <w:t>CONTRATAÇÃO DE EMPRESA ESPECIALIZADA PARA LOCAÇÃO DE SISTEMA DE DATA CENTER PARA SISTEMAS CRÍTICOS COMPUTACIONAIS E DE TELECOMUNICAÇÕES, CONTEMPLANDO SERVIÇOS DE MANUTENÇÃO PREDITIVA, PREVENTIVA E CORRETIVA, COMPREENDENDO A LOCAÇÃO DE CONTAINER, COM FORNECIMENTO DE AMBIENTES DE ALTA DISPONIBILIDADE PARA SISTEMAS CRÍTICOS COMPUTACIONAIS E DE TELECOMUNICAÇÕES, CONFORME CONDIÇÕES ESTABELECIDAS NESTE TERMO DE REFERÊNCIA. A SOLUÇÃO DEVERÁ INCLUIR O FORNECIMENTO, INSTALAÇÃO E TESTES DE DISPOSITIVOS ELÉTRICO-ELETRÔNICOS, MECÂNICOS E LÓGICOS, COM PASSIVOS: ORGANIZADOS, IDENTIFICADOS E CERTIFICADOS.</w:t>
            </w:r>
          </w:p>
        </w:tc>
        <w:tc>
          <w:tcPr>
            <w:tcW w:w="79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8E8450F">
            <w:pPr>
              <w:jc w:val="center"/>
              <w:rPr>
                <w:rFonts w:hint="default" w:ascii="Arial" w:hAnsi="Arial" w:cs="Arial"/>
                <w:sz w:val="16"/>
                <w:szCs w:val="16"/>
              </w:rPr>
            </w:pPr>
            <w:r>
              <w:rPr>
                <w:rFonts w:hint="default" w:ascii="Arial" w:hAnsi="Arial" w:cs="Arial"/>
                <w:sz w:val="16"/>
                <w:szCs w:val="16"/>
                <w:lang w:val="en-US" w:eastAsia="zh-CN"/>
              </w:rPr>
              <w:t>MÊS</w:t>
            </w:r>
          </w:p>
        </w:tc>
        <w:tc>
          <w:tcPr>
            <w:tcW w:w="63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771B6FA">
            <w:pPr>
              <w:jc w:val="center"/>
              <w:rPr>
                <w:rFonts w:hint="default" w:ascii="Arial" w:hAnsi="Arial" w:cs="Arial"/>
                <w:sz w:val="16"/>
                <w:szCs w:val="16"/>
              </w:rPr>
            </w:pPr>
            <w:r>
              <w:rPr>
                <w:rFonts w:hint="default" w:ascii="Arial" w:hAnsi="Arial" w:cs="Arial"/>
                <w:sz w:val="16"/>
                <w:szCs w:val="16"/>
                <w:lang w:val="en-US" w:eastAsia="zh-CN"/>
              </w:rPr>
              <w:t>12</w:t>
            </w:r>
          </w:p>
        </w:tc>
        <w:tc>
          <w:tcPr>
            <w:tcW w:w="120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8208DE6">
            <w:pPr>
              <w:jc w:val="center"/>
              <w:rPr>
                <w:rFonts w:hint="default" w:ascii="Arial" w:hAnsi="Arial" w:cs="Arial"/>
                <w:sz w:val="16"/>
                <w:szCs w:val="16"/>
                <w:lang w:val="pt-BR"/>
              </w:rPr>
            </w:pPr>
            <w:r>
              <w:rPr>
                <w:rFonts w:hint="default" w:ascii="Arial" w:hAnsi="Arial" w:cs="Arial"/>
                <w:sz w:val="16"/>
                <w:szCs w:val="16"/>
                <w:lang w:val="pt-BR"/>
              </w:rPr>
              <w:t xml:space="preserve">R$ </w:t>
            </w:r>
          </w:p>
        </w:tc>
        <w:tc>
          <w:tcPr>
            <w:tcW w:w="1326"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CDD5DCD">
            <w:pPr>
              <w:jc w:val="center"/>
              <w:rPr>
                <w:rFonts w:hint="default" w:ascii="Arial" w:hAnsi="Arial" w:cs="Arial"/>
                <w:sz w:val="16"/>
                <w:szCs w:val="16"/>
                <w:lang w:val="pt-BR"/>
              </w:rPr>
            </w:pPr>
            <w:r>
              <w:rPr>
                <w:rFonts w:hint="default" w:ascii="Arial" w:hAnsi="Arial" w:cs="Arial"/>
                <w:sz w:val="16"/>
                <w:szCs w:val="16"/>
                <w:lang w:val="pt-BR"/>
              </w:rPr>
              <w:t xml:space="preserve">R$ </w:t>
            </w:r>
          </w:p>
        </w:tc>
      </w:tr>
      <w:tr w14:paraId="448822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7" w:hRule="atLeast"/>
        </w:trPr>
        <w:tc>
          <w:tcPr>
            <w:tcW w:w="930" w:type="dxa"/>
            <w:vMerge w:val="continue"/>
            <w:tcBorders>
              <w:top w:val="single" w:color="auto" w:sz="4" w:space="0"/>
              <w:left w:val="single" w:color="000000" w:sz="2" w:space="0"/>
              <w:bottom w:val="single" w:color="auto" w:sz="4" w:space="0"/>
              <w:right w:val="single" w:color="000000" w:sz="2" w:space="0"/>
            </w:tcBorders>
            <w:shd w:val="clear" w:color="auto" w:fill="auto"/>
            <w:vAlign w:val="center"/>
          </w:tcPr>
          <w:p w14:paraId="26957812">
            <w:pPr>
              <w:rPr>
                <w:rFonts w:hint="default" w:ascii="Arial" w:hAnsi="Arial" w:cs="Arial"/>
                <w:sz w:val="16"/>
                <w:szCs w:val="16"/>
              </w:rPr>
            </w:pPr>
          </w:p>
        </w:tc>
        <w:tc>
          <w:tcPr>
            <w:tcW w:w="76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17ED651">
            <w:pPr>
              <w:jc w:val="center"/>
              <w:rPr>
                <w:rFonts w:hint="default" w:ascii="Arial" w:hAnsi="Arial" w:cs="Arial"/>
                <w:sz w:val="16"/>
                <w:szCs w:val="16"/>
              </w:rPr>
            </w:pPr>
            <w:r>
              <w:rPr>
                <w:rFonts w:hint="default" w:ascii="Arial" w:hAnsi="Arial" w:cs="Arial"/>
                <w:sz w:val="16"/>
                <w:szCs w:val="16"/>
                <w:lang w:val="en-US" w:eastAsia="zh-CN"/>
              </w:rPr>
              <w:t>2</w:t>
            </w:r>
          </w:p>
        </w:tc>
        <w:tc>
          <w:tcPr>
            <w:tcW w:w="49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68A19E0">
            <w:pPr>
              <w:jc w:val="both"/>
              <w:rPr>
                <w:rFonts w:hint="default" w:ascii="Arial" w:hAnsi="Arial" w:cs="Arial"/>
                <w:sz w:val="16"/>
                <w:szCs w:val="16"/>
              </w:rPr>
            </w:pPr>
            <w:r>
              <w:rPr>
                <w:rFonts w:hint="default" w:ascii="Arial" w:hAnsi="Arial" w:cs="Arial"/>
                <w:sz w:val="16"/>
                <w:szCs w:val="16"/>
                <w:lang w:val="en-US" w:eastAsia="zh-CN"/>
              </w:rPr>
              <w:t>SERVIÇO DE MOVIMENTAÇÃO DE EQUIPAMENTOS (MOVING)</w:t>
            </w:r>
          </w:p>
        </w:tc>
        <w:tc>
          <w:tcPr>
            <w:tcW w:w="79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DEE9CBE">
            <w:pPr>
              <w:jc w:val="center"/>
              <w:rPr>
                <w:rFonts w:hint="default" w:ascii="Arial" w:hAnsi="Arial" w:cs="Arial"/>
                <w:sz w:val="16"/>
                <w:szCs w:val="16"/>
              </w:rPr>
            </w:pPr>
            <w:r>
              <w:rPr>
                <w:rFonts w:hint="default" w:ascii="Arial" w:hAnsi="Arial" w:cs="Arial"/>
                <w:sz w:val="16"/>
                <w:szCs w:val="16"/>
                <w:lang w:val="en-US" w:eastAsia="zh-CN"/>
              </w:rPr>
              <w:t>UNID</w:t>
            </w:r>
          </w:p>
        </w:tc>
        <w:tc>
          <w:tcPr>
            <w:tcW w:w="63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855E8CE">
            <w:pPr>
              <w:jc w:val="center"/>
              <w:rPr>
                <w:rFonts w:hint="default" w:ascii="Arial" w:hAnsi="Arial" w:cs="Arial"/>
                <w:sz w:val="16"/>
                <w:szCs w:val="16"/>
              </w:rPr>
            </w:pPr>
            <w:r>
              <w:rPr>
                <w:rFonts w:hint="default" w:ascii="Arial" w:hAnsi="Arial" w:cs="Arial"/>
                <w:sz w:val="16"/>
                <w:szCs w:val="16"/>
                <w:lang w:val="en-US" w:eastAsia="zh-CN"/>
              </w:rPr>
              <w:t>1</w:t>
            </w:r>
          </w:p>
        </w:tc>
        <w:tc>
          <w:tcPr>
            <w:tcW w:w="120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3B88A23">
            <w:pPr>
              <w:jc w:val="center"/>
              <w:rPr>
                <w:rFonts w:hint="default" w:ascii="Arial" w:hAnsi="Arial" w:cs="Arial"/>
                <w:sz w:val="16"/>
                <w:szCs w:val="16"/>
                <w:lang w:val="pt-BR"/>
              </w:rPr>
            </w:pPr>
            <w:r>
              <w:rPr>
                <w:rFonts w:hint="default" w:ascii="Arial" w:hAnsi="Arial" w:cs="Arial"/>
                <w:sz w:val="16"/>
                <w:szCs w:val="16"/>
                <w:lang w:val="pt-BR"/>
              </w:rPr>
              <w:t xml:space="preserve">R$ </w:t>
            </w:r>
          </w:p>
        </w:tc>
        <w:tc>
          <w:tcPr>
            <w:tcW w:w="1326"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361B1DF">
            <w:pPr>
              <w:jc w:val="center"/>
              <w:rPr>
                <w:rFonts w:hint="default" w:ascii="Arial" w:hAnsi="Arial" w:cs="Arial"/>
                <w:sz w:val="16"/>
                <w:szCs w:val="16"/>
                <w:lang w:val="pt-BR"/>
              </w:rPr>
            </w:pPr>
            <w:r>
              <w:rPr>
                <w:rFonts w:hint="default" w:ascii="Arial" w:hAnsi="Arial" w:cs="Arial"/>
                <w:sz w:val="16"/>
                <w:szCs w:val="16"/>
                <w:lang w:val="pt-BR"/>
              </w:rPr>
              <w:t xml:space="preserve">R$ </w:t>
            </w:r>
          </w:p>
        </w:tc>
      </w:tr>
    </w:tbl>
    <w:p w14:paraId="0F4F480C">
      <w:pPr>
        <w:widowControl w:val="0"/>
        <w:numPr>
          <w:ilvl w:val="0"/>
          <w:numId w:val="0"/>
        </w:numPr>
        <w:tabs>
          <w:tab w:val="left" w:pos="426"/>
        </w:tabs>
        <w:suppressAutoHyphens/>
        <w:adjustRightInd w:val="0"/>
        <w:spacing w:before="240" w:after="240" w:line="360" w:lineRule="auto"/>
        <w:ind w:leftChars="0"/>
        <w:jc w:val="both"/>
        <w:textAlignment w:val="baseline"/>
        <w:rPr>
          <w:rFonts w:hint="default" w:ascii="Arial" w:hAnsi="Arial" w:cs="Arial"/>
          <w:b/>
          <w:bCs/>
          <w:sz w:val="22"/>
          <w:szCs w:val="22"/>
          <w:lang w:val="pt-BR"/>
        </w:rPr>
      </w:pPr>
    </w:p>
    <w:p w14:paraId="3C410396">
      <w:pPr>
        <w:pBdr>
          <w:top w:val="double" w:color="auto" w:sz="4" w:space="1"/>
          <w:left w:val="double" w:color="auto" w:sz="4" w:space="4"/>
          <w:bottom w:val="double" w:color="auto" w:sz="4" w:space="1"/>
          <w:right w:val="double" w:color="auto" w:sz="4" w:space="4"/>
        </w:pBdr>
        <w:shd w:val="clear" w:color="auto" w:fill="D9D9D9"/>
        <w:tabs>
          <w:tab w:val="left" w:pos="1080"/>
        </w:tabs>
        <w:spacing w:line="360" w:lineRule="auto"/>
        <w:jc w:val="center"/>
        <w:rPr>
          <w:rFonts w:ascii="Arial" w:hAnsi="Arial" w:cs="Arial"/>
          <w:b/>
          <w:sz w:val="22"/>
          <w:szCs w:val="22"/>
        </w:rPr>
      </w:pPr>
      <w:r>
        <w:rPr>
          <w:rFonts w:ascii="Arial" w:hAnsi="Arial" w:cs="Arial"/>
          <w:b/>
          <w:sz w:val="22"/>
          <w:szCs w:val="22"/>
        </w:rPr>
        <w:t>DO FUNDAMENTO LEGAL</w:t>
      </w:r>
    </w:p>
    <w:p w14:paraId="09E10011">
      <w:pPr>
        <w:widowControl w:val="0"/>
        <w:numPr>
          <w:ilvl w:val="1"/>
          <w:numId w:val="22"/>
        </w:numPr>
        <w:tabs>
          <w:tab w:val="left" w:pos="567"/>
        </w:tabs>
        <w:adjustRightInd w:val="0"/>
        <w:spacing w:before="240" w:after="240" w:line="360" w:lineRule="auto"/>
        <w:ind w:left="0" w:firstLine="0"/>
        <w:jc w:val="both"/>
        <w:textAlignment w:val="baseline"/>
        <w:rPr>
          <w:rFonts w:ascii="Arial" w:hAnsi="Arial"/>
          <w:sz w:val="22"/>
          <w:szCs w:val="22"/>
          <w:lang w:val="pt-BR"/>
        </w:rPr>
      </w:pPr>
      <w:r>
        <w:rPr>
          <w:rFonts w:ascii="Arial" w:hAnsi="Arial" w:cs="Arial"/>
          <w:color w:val="000000"/>
          <w:sz w:val="22"/>
          <w:szCs w:val="22"/>
        </w:rPr>
        <w:t xml:space="preserve">O presente Contrato decorre de licitação sob modalidade de Pregão </w:t>
      </w:r>
      <w:r>
        <w:rPr>
          <w:rFonts w:hint="default" w:ascii="Arial" w:hAnsi="Arial" w:cs="Arial"/>
          <w:color w:val="000000"/>
          <w:sz w:val="22"/>
          <w:szCs w:val="22"/>
          <w:lang w:val="pt-BR"/>
        </w:rPr>
        <w:t>Eletrônico</w:t>
      </w:r>
      <w:r>
        <w:rPr>
          <w:rFonts w:ascii="Arial" w:hAnsi="Arial" w:cs="Arial"/>
          <w:color w:val="000000"/>
          <w:sz w:val="22"/>
          <w:szCs w:val="22"/>
        </w:rPr>
        <w:t xml:space="preserve"> nº </w:t>
      </w:r>
      <w:r>
        <w:rPr>
          <w:rFonts w:hint="default" w:ascii="Arial" w:hAnsi="Arial" w:cs="Arial"/>
          <w:color w:val="000000"/>
          <w:sz w:val="22"/>
          <w:szCs w:val="22"/>
          <w:lang w:val="pt-BR"/>
        </w:rPr>
        <w:t>37/2024</w:t>
      </w:r>
      <w:r>
        <w:rPr>
          <w:rFonts w:ascii="Arial" w:hAnsi="Arial" w:cs="Arial"/>
          <w:color w:val="000000"/>
          <w:sz w:val="22"/>
          <w:szCs w:val="22"/>
        </w:rPr>
        <w:t>, nos termos e condições do Termo de Referência do edital, cujo resultado foi homologado em data de ...../....../202</w:t>
      </w:r>
      <w:r>
        <w:rPr>
          <w:rFonts w:hint="default" w:ascii="Arial" w:hAnsi="Arial" w:cs="Arial"/>
          <w:color w:val="000000"/>
          <w:sz w:val="22"/>
          <w:szCs w:val="22"/>
          <w:lang w:val="pt-BR"/>
        </w:rPr>
        <w:t>4</w:t>
      </w:r>
      <w:r>
        <w:rPr>
          <w:rFonts w:ascii="Arial" w:hAnsi="Arial" w:cs="Arial"/>
          <w:color w:val="000000"/>
          <w:sz w:val="22"/>
          <w:szCs w:val="22"/>
        </w:rPr>
        <w:t xml:space="preserve"> pelo Sr. Prefeito Municipal, conforme consta do Processo Administrativo acima mencionado, submetendo-se as partes às disposições constantes da</w:t>
      </w:r>
      <w:r>
        <w:rPr>
          <w:rFonts w:hint="default" w:ascii="Arial" w:hAnsi="Arial" w:cs="Arial"/>
          <w:color w:val="000000"/>
          <w:sz w:val="22"/>
          <w:szCs w:val="22"/>
          <w:lang w:val="pt-BR"/>
        </w:rPr>
        <w:t xml:space="preserve"> </w:t>
      </w:r>
      <w:r>
        <w:rPr>
          <w:rFonts w:ascii="Arial" w:hAnsi="Arial"/>
          <w:sz w:val="22"/>
          <w:szCs w:val="22"/>
          <w:lang w:val="pt-PT" w:eastAsia="ar-SA"/>
        </w:rPr>
        <w:t xml:space="preserve">Lei </w:t>
      </w:r>
      <w:r>
        <w:rPr>
          <w:rFonts w:hint="default" w:ascii="Arial" w:hAnsi="Arial"/>
          <w:sz w:val="22"/>
          <w:szCs w:val="22"/>
          <w:lang w:val="pt-BR" w:eastAsia="ar-SA"/>
        </w:rPr>
        <w:t xml:space="preserve">Federal </w:t>
      </w:r>
      <w:r>
        <w:rPr>
          <w:rFonts w:ascii="Arial" w:hAnsi="Arial"/>
          <w:sz w:val="22"/>
          <w:szCs w:val="22"/>
          <w:lang w:val="pt-PT" w:eastAsia="ar-SA"/>
        </w:rPr>
        <w:t xml:space="preserve">nº </w:t>
      </w:r>
      <w:r>
        <w:rPr>
          <w:rFonts w:hint="default" w:ascii="Arial" w:hAnsi="Arial"/>
          <w:sz w:val="22"/>
          <w:szCs w:val="22"/>
          <w:lang w:val="pt-BR" w:eastAsia="ar-SA"/>
        </w:rPr>
        <w:t>14.133/2021 e o Decreto Municipal n.º 359/2023</w:t>
      </w:r>
      <w:r>
        <w:rPr>
          <w:rFonts w:ascii="Arial" w:hAnsi="Arial"/>
          <w:sz w:val="22"/>
          <w:szCs w:val="22"/>
          <w:lang w:val="pt-PT" w:eastAsia="ar-SA"/>
        </w:rPr>
        <w:t>, resolvem celebrar o presente Termo de Contrato, mediante as cláusulas e condições a seguir enunciadas.</w:t>
      </w:r>
    </w:p>
    <w:p w14:paraId="59668D0C">
      <w:pPr>
        <w:pBdr>
          <w:top w:val="double" w:color="auto" w:sz="4" w:space="1"/>
          <w:left w:val="double" w:color="auto" w:sz="4" w:space="4"/>
          <w:bottom w:val="double" w:color="auto" w:sz="4" w:space="1"/>
          <w:right w:val="double" w:color="auto" w:sz="4" w:space="4"/>
        </w:pBdr>
        <w:shd w:val="clear" w:color="auto" w:fill="D9D9D9"/>
        <w:tabs>
          <w:tab w:val="left" w:pos="1080"/>
        </w:tabs>
        <w:spacing w:line="360" w:lineRule="auto"/>
        <w:jc w:val="center"/>
        <w:rPr>
          <w:rFonts w:ascii="Arial" w:hAnsi="Arial" w:cs="Arial"/>
          <w:b/>
          <w:sz w:val="22"/>
          <w:szCs w:val="22"/>
        </w:rPr>
      </w:pPr>
      <w:r>
        <w:rPr>
          <w:rFonts w:ascii="Arial" w:hAnsi="Arial" w:cs="Arial"/>
          <w:b/>
          <w:sz w:val="22"/>
          <w:szCs w:val="22"/>
        </w:rPr>
        <w:t>Cláusula Terceira</w:t>
      </w:r>
    </w:p>
    <w:p w14:paraId="234A5B0D">
      <w:pPr>
        <w:pBdr>
          <w:top w:val="double" w:color="auto" w:sz="4" w:space="1"/>
          <w:left w:val="double" w:color="auto" w:sz="4" w:space="4"/>
          <w:bottom w:val="double" w:color="auto" w:sz="4" w:space="1"/>
          <w:right w:val="double" w:color="auto" w:sz="4" w:space="4"/>
        </w:pBdr>
        <w:shd w:val="clear" w:color="auto" w:fill="D9D9D9"/>
        <w:tabs>
          <w:tab w:val="left" w:pos="1080"/>
        </w:tabs>
        <w:spacing w:line="360" w:lineRule="auto"/>
        <w:jc w:val="center"/>
        <w:rPr>
          <w:rFonts w:ascii="Arial" w:hAnsi="Arial" w:cs="Arial"/>
          <w:b/>
          <w:sz w:val="22"/>
          <w:szCs w:val="22"/>
        </w:rPr>
      </w:pPr>
      <w:r>
        <w:rPr>
          <w:rFonts w:ascii="Arial" w:hAnsi="Arial" w:cs="Arial"/>
          <w:b/>
          <w:sz w:val="22"/>
          <w:szCs w:val="22"/>
        </w:rPr>
        <w:t>DA VIGÊNCIA</w:t>
      </w:r>
    </w:p>
    <w:p w14:paraId="168CA700">
      <w:pPr>
        <w:pStyle w:val="136"/>
        <w:numPr>
          <w:ilvl w:val="0"/>
          <w:numId w:val="0"/>
        </w:numPr>
        <w:tabs>
          <w:tab w:val="left" w:pos="240"/>
          <w:tab w:val="left" w:pos="480"/>
        </w:tabs>
        <w:spacing w:line="360" w:lineRule="auto"/>
        <w:ind w:leftChars="0"/>
        <w:rPr>
          <w:rFonts w:ascii="Arial" w:hAnsi="Arial" w:eastAsia="Calibri" w:cs="Arial"/>
          <w:i w:val="0"/>
          <w:iCs w:val="0"/>
          <w:color w:val="auto"/>
          <w:kern w:val="1"/>
          <w:sz w:val="22"/>
          <w:szCs w:val="22"/>
          <w:highlight w:val="none"/>
          <w:lang w:eastAsia="ar-SA"/>
        </w:rPr>
      </w:pPr>
      <w:r>
        <w:rPr>
          <w:rFonts w:ascii="Arial" w:hAnsi="Arial" w:cs="Arial"/>
          <w:b/>
          <w:i w:val="0"/>
          <w:iCs w:val="0"/>
          <w:color w:val="auto"/>
          <w:sz w:val="22"/>
          <w:szCs w:val="22"/>
          <w:highlight w:val="none"/>
        </w:rPr>
        <w:t>3.1.</w:t>
      </w:r>
      <w:r>
        <w:rPr>
          <w:rFonts w:ascii="Arial" w:hAnsi="Arial" w:cs="Arial"/>
          <w:i w:val="0"/>
          <w:iCs w:val="0"/>
          <w:color w:val="auto"/>
          <w:sz w:val="22"/>
          <w:szCs w:val="22"/>
          <w:highlight w:val="none"/>
        </w:rPr>
        <w:t xml:space="preserve"> </w:t>
      </w:r>
      <w:r>
        <w:rPr>
          <w:rFonts w:ascii="Arial" w:hAnsi="Arial" w:cs="Arial"/>
          <w:b/>
          <w:i w:val="0"/>
          <w:iCs w:val="0"/>
          <w:color w:val="auto"/>
          <w:sz w:val="22"/>
          <w:szCs w:val="22"/>
          <w:highlight w:val="none"/>
          <w:lang w:eastAsia="en-US" w:bidi="en-US"/>
        </w:rPr>
        <w:t>Prazo de Vigência:</w:t>
      </w:r>
      <w:r>
        <w:rPr>
          <w:rFonts w:ascii="Arial" w:hAnsi="Arial" w:cs="Arial"/>
          <w:i w:val="0"/>
          <w:iCs w:val="0"/>
          <w:color w:val="auto"/>
          <w:sz w:val="22"/>
          <w:szCs w:val="22"/>
          <w:highlight w:val="none"/>
          <w:lang w:eastAsia="en-US" w:bidi="en-US"/>
        </w:rPr>
        <w:t xml:space="preserve"> O prazo de vigência do presente Contrato </w:t>
      </w:r>
      <w:r>
        <w:rPr>
          <w:rFonts w:ascii="Arial" w:hAnsi="Arial" w:cs="Arial"/>
          <w:bCs/>
          <w:i w:val="0"/>
          <w:iCs w:val="0"/>
          <w:color w:val="auto"/>
          <w:sz w:val="22"/>
          <w:szCs w:val="22"/>
          <w:highlight w:val="none"/>
          <w:lang w:eastAsia="en-US" w:bidi="en-US"/>
        </w:rPr>
        <w:t>será de</w:t>
      </w:r>
      <w:r>
        <w:rPr>
          <w:rFonts w:ascii="Arial" w:hAnsi="Arial" w:cs="Arial"/>
          <w:b/>
          <w:bCs w:val="0"/>
          <w:i w:val="0"/>
          <w:iCs w:val="0"/>
          <w:color w:val="auto"/>
          <w:sz w:val="22"/>
          <w:szCs w:val="22"/>
          <w:highlight w:val="none"/>
          <w:lang w:eastAsia="en-US" w:bidi="en-US"/>
        </w:rPr>
        <w:t xml:space="preserve"> </w:t>
      </w:r>
      <w:r>
        <w:rPr>
          <w:rFonts w:hint="default" w:ascii="Arial" w:hAnsi="Arial" w:cs="Arial"/>
          <w:b/>
          <w:bCs w:val="0"/>
          <w:i w:val="0"/>
          <w:iCs w:val="0"/>
          <w:color w:val="auto"/>
          <w:sz w:val="22"/>
          <w:szCs w:val="22"/>
          <w:highlight w:val="none"/>
          <w:lang w:val="pt-BR" w:eastAsia="en-US" w:bidi="en-US"/>
        </w:rPr>
        <w:t>12</w:t>
      </w:r>
      <w:r>
        <w:rPr>
          <w:rFonts w:ascii="Arial" w:hAnsi="Arial" w:cs="Arial"/>
          <w:b/>
          <w:bCs w:val="0"/>
          <w:i w:val="0"/>
          <w:iCs w:val="0"/>
          <w:color w:val="auto"/>
          <w:sz w:val="22"/>
          <w:szCs w:val="22"/>
          <w:highlight w:val="none"/>
          <w:lang w:eastAsia="en-US" w:bidi="en-US"/>
        </w:rPr>
        <w:t xml:space="preserve"> (</w:t>
      </w:r>
      <w:r>
        <w:rPr>
          <w:rFonts w:hint="default" w:ascii="Arial" w:hAnsi="Arial" w:cs="Arial"/>
          <w:b/>
          <w:bCs w:val="0"/>
          <w:i w:val="0"/>
          <w:iCs w:val="0"/>
          <w:color w:val="auto"/>
          <w:sz w:val="22"/>
          <w:szCs w:val="22"/>
          <w:highlight w:val="none"/>
          <w:lang w:val="pt-BR" w:eastAsia="en-US" w:bidi="en-US"/>
        </w:rPr>
        <w:t>doze</w:t>
      </w:r>
      <w:r>
        <w:rPr>
          <w:rFonts w:ascii="Arial" w:hAnsi="Arial" w:cs="Arial"/>
          <w:b/>
          <w:bCs w:val="0"/>
          <w:i w:val="0"/>
          <w:iCs w:val="0"/>
          <w:color w:val="auto"/>
          <w:sz w:val="22"/>
          <w:szCs w:val="22"/>
          <w:highlight w:val="none"/>
          <w:lang w:eastAsia="en-US" w:bidi="en-US"/>
        </w:rPr>
        <w:t>) meses</w:t>
      </w:r>
      <w:r>
        <w:rPr>
          <w:rFonts w:ascii="Arial" w:hAnsi="Arial" w:cs="Arial"/>
          <w:bCs/>
          <w:i w:val="0"/>
          <w:iCs w:val="0"/>
          <w:color w:val="auto"/>
          <w:sz w:val="22"/>
          <w:szCs w:val="22"/>
          <w:highlight w:val="none"/>
          <w:lang w:eastAsia="en-US" w:bidi="en-US"/>
        </w:rPr>
        <w:t xml:space="preserve">, </w:t>
      </w:r>
      <w:r>
        <w:rPr>
          <w:rFonts w:ascii="Arial" w:hAnsi="Arial" w:cs="Arial"/>
          <w:bCs/>
          <w:i w:val="0"/>
          <w:iCs w:val="0"/>
          <w:color w:val="auto"/>
          <w:kern w:val="1"/>
          <w:sz w:val="22"/>
          <w:szCs w:val="22"/>
          <w:highlight w:val="none"/>
          <w:lang w:eastAsia="ar-SA"/>
        </w:rPr>
        <w:t xml:space="preserve">contados a partir da </w:t>
      </w:r>
      <w:r>
        <w:rPr>
          <w:rFonts w:hint="default" w:cs="Arial"/>
          <w:bCs/>
          <w:i w:val="0"/>
          <w:iCs w:val="0"/>
          <w:color w:val="auto"/>
          <w:kern w:val="1"/>
          <w:sz w:val="22"/>
          <w:szCs w:val="22"/>
          <w:highlight w:val="none"/>
          <w:lang w:val="pt-BR" w:eastAsia="ar-SA"/>
        </w:rPr>
        <w:t xml:space="preserve">data de </w:t>
      </w:r>
      <w:r>
        <w:rPr>
          <w:rFonts w:ascii="Arial" w:hAnsi="Arial" w:cs="Arial"/>
          <w:bCs/>
          <w:i w:val="0"/>
          <w:iCs w:val="0"/>
          <w:color w:val="auto"/>
          <w:kern w:val="1"/>
          <w:sz w:val="22"/>
          <w:szCs w:val="22"/>
          <w:highlight w:val="none"/>
          <w:lang w:eastAsia="ar-SA"/>
        </w:rPr>
        <w:t xml:space="preserve">assinatura, podendo ser prorrogado de acordo com </w:t>
      </w:r>
      <w:r>
        <w:rPr>
          <w:rFonts w:hint="default" w:cs="Arial"/>
          <w:bCs/>
          <w:i w:val="0"/>
          <w:iCs w:val="0"/>
          <w:color w:val="auto"/>
          <w:kern w:val="1"/>
          <w:sz w:val="22"/>
          <w:szCs w:val="22"/>
          <w:highlight w:val="none"/>
          <w:lang w:val="pt-BR" w:eastAsia="ar-SA"/>
        </w:rPr>
        <w:t>o</w:t>
      </w:r>
      <w:r>
        <w:rPr>
          <w:rFonts w:ascii="Arial" w:hAnsi="Arial" w:cs="Arial"/>
          <w:bCs/>
          <w:i w:val="0"/>
          <w:iCs w:val="0"/>
          <w:color w:val="auto"/>
          <w:kern w:val="1"/>
          <w:sz w:val="22"/>
          <w:szCs w:val="22"/>
          <w:highlight w:val="none"/>
          <w:lang w:eastAsia="ar-SA"/>
        </w:rPr>
        <w:t xml:space="preserve">s </w:t>
      </w:r>
      <w:r>
        <w:rPr>
          <w:rFonts w:hint="default" w:cs="Arial"/>
          <w:bCs/>
          <w:i w:val="0"/>
          <w:iCs w:val="0"/>
          <w:color w:val="auto"/>
          <w:kern w:val="1"/>
          <w:sz w:val="22"/>
          <w:szCs w:val="22"/>
          <w:highlight w:val="none"/>
          <w:lang w:val="pt-BR" w:eastAsia="ar-SA"/>
        </w:rPr>
        <w:t>a</w:t>
      </w:r>
      <w:r>
        <w:rPr>
          <w:rFonts w:hint="default" w:ascii="Arial" w:hAnsi="Arial" w:cs="Arial"/>
          <w:i w:val="0"/>
          <w:iCs w:val="0"/>
          <w:color w:val="auto"/>
          <w:sz w:val="22"/>
          <w:szCs w:val="22"/>
        </w:rPr>
        <w:t>rt</w:t>
      </w:r>
      <w:r>
        <w:rPr>
          <w:rFonts w:hint="default" w:cs="Arial"/>
          <w:i w:val="0"/>
          <w:iCs w:val="0"/>
          <w:color w:val="auto"/>
          <w:sz w:val="22"/>
          <w:szCs w:val="22"/>
          <w:lang w:val="pt-BR"/>
        </w:rPr>
        <w:t>s</w:t>
      </w:r>
      <w:r>
        <w:rPr>
          <w:rFonts w:hint="default" w:ascii="Arial" w:hAnsi="Arial" w:cs="Arial"/>
          <w:i w:val="0"/>
          <w:iCs w:val="0"/>
          <w:color w:val="auto"/>
          <w:sz w:val="22"/>
          <w:szCs w:val="22"/>
        </w:rPr>
        <w:t xml:space="preserve">. </w:t>
      </w:r>
      <w:r>
        <w:rPr>
          <w:rFonts w:hint="default" w:ascii="Arial" w:hAnsi="Arial" w:cs="Arial"/>
          <w:i w:val="0"/>
          <w:iCs w:val="0"/>
          <w:color w:val="auto"/>
          <w:sz w:val="22"/>
          <w:szCs w:val="22"/>
          <w:lang w:val="pt-BR"/>
        </w:rPr>
        <w:t>105 a 107</w:t>
      </w:r>
      <w:r>
        <w:rPr>
          <w:rFonts w:hint="default" w:ascii="Arial" w:hAnsi="Arial" w:cs="Arial"/>
          <w:i w:val="0"/>
          <w:iCs w:val="0"/>
          <w:color w:val="auto"/>
          <w:sz w:val="22"/>
          <w:szCs w:val="22"/>
        </w:rPr>
        <w:t xml:space="preserve"> da Lei nº </w:t>
      </w:r>
      <w:r>
        <w:rPr>
          <w:rFonts w:hint="default" w:ascii="Arial" w:hAnsi="Arial" w:cs="Arial"/>
          <w:i w:val="0"/>
          <w:iCs w:val="0"/>
          <w:color w:val="auto"/>
          <w:sz w:val="22"/>
          <w:szCs w:val="22"/>
          <w:lang w:val="pt-BR"/>
        </w:rPr>
        <w:t>14.133/2021</w:t>
      </w:r>
      <w:r>
        <w:rPr>
          <w:rFonts w:ascii="Arial" w:hAnsi="Arial" w:eastAsia="Calibri" w:cs="Arial"/>
          <w:i w:val="0"/>
          <w:iCs w:val="0"/>
          <w:color w:val="auto"/>
          <w:kern w:val="1"/>
          <w:sz w:val="22"/>
          <w:szCs w:val="22"/>
          <w:highlight w:val="none"/>
          <w:lang w:eastAsia="ar-SA"/>
        </w:rPr>
        <w:t>.</w:t>
      </w:r>
    </w:p>
    <w:p w14:paraId="4AB0E2F5">
      <w:pPr>
        <w:pBdr>
          <w:top w:val="double" w:color="auto" w:sz="4" w:space="1"/>
          <w:left w:val="double" w:color="auto" w:sz="4" w:space="4"/>
          <w:bottom w:val="double" w:color="auto" w:sz="4" w:space="1"/>
          <w:right w:val="double" w:color="auto" w:sz="4" w:space="4"/>
        </w:pBdr>
        <w:shd w:val="clear" w:color="auto" w:fill="D9D9D9"/>
        <w:tabs>
          <w:tab w:val="left" w:pos="1080"/>
        </w:tabs>
        <w:spacing w:line="360" w:lineRule="auto"/>
        <w:jc w:val="center"/>
        <w:rPr>
          <w:rFonts w:ascii="Arial" w:hAnsi="Arial" w:cs="Arial"/>
          <w:b/>
          <w:sz w:val="22"/>
          <w:szCs w:val="22"/>
        </w:rPr>
      </w:pPr>
      <w:r>
        <w:rPr>
          <w:rFonts w:ascii="Arial" w:hAnsi="Arial" w:cs="Arial"/>
          <w:b/>
          <w:sz w:val="22"/>
          <w:szCs w:val="22"/>
        </w:rPr>
        <w:t>Cláusula Quarta</w:t>
      </w:r>
    </w:p>
    <w:p w14:paraId="55513FB5">
      <w:pPr>
        <w:pBdr>
          <w:top w:val="double" w:color="auto" w:sz="4" w:space="1"/>
          <w:left w:val="double" w:color="auto" w:sz="4" w:space="4"/>
          <w:bottom w:val="double" w:color="auto" w:sz="4" w:space="1"/>
          <w:right w:val="double" w:color="auto" w:sz="4" w:space="4"/>
        </w:pBdr>
        <w:shd w:val="clear" w:color="auto" w:fill="D9D9D9"/>
        <w:tabs>
          <w:tab w:val="left" w:pos="1080"/>
        </w:tabs>
        <w:spacing w:line="360" w:lineRule="auto"/>
        <w:jc w:val="center"/>
        <w:rPr>
          <w:rFonts w:ascii="Arial" w:hAnsi="Arial" w:cs="Arial"/>
          <w:b/>
          <w:sz w:val="22"/>
          <w:szCs w:val="22"/>
        </w:rPr>
      </w:pPr>
      <w:r>
        <w:rPr>
          <w:rFonts w:ascii="Arial" w:hAnsi="Arial" w:cs="Arial"/>
          <w:b/>
          <w:sz w:val="22"/>
          <w:szCs w:val="22"/>
        </w:rPr>
        <w:t>DA PRESTAÇÃO DOS SERVIÇOS</w:t>
      </w:r>
    </w:p>
    <w:p w14:paraId="45D134D0">
      <w:pPr>
        <w:pStyle w:val="128"/>
        <w:widowControl w:val="0"/>
        <w:numPr>
          <w:ilvl w:val="0"/>
          <w:numId w:val="0"/>
        </w:numPr>
        <w:autoSpaceDE w:val="0"/>
        <w:autoSpaceDN w:val="0"/>
        <w:spacing w:after="0" w:line="360" w:lineRule="auto"/>
        <w:ind w:left="0" w:leftChars="0" w:firstLine="0" w:firstLineChars="0"/>
        <w:jc w:val="both"/>
        <w:rPr>
          <w:rFonts w:hint="default" w:ascii="Arial" w:hAnsi="Arial" w:cs="Arial"/>
          <w:sz w:val="22"/>
          <w:szCs w:val="22"/>
        </w:rPr>
      </w:pPr>
      <w:r>
        <w:rPr>
          <w:rFonts w:hint="default" w:ascii="Arial" w:hAnsi="Arial" w:cs="Arial"/>
          <w:b/>
          <w:bCs/>
          <w:sz w:val="22"/>
          <w:szCs w:val="22"/>
          <w:highlight w:val="none"/>
          <w:lang w:val="pt-BR"/>
        </w:rPr>
        <w:t>4.1.</w:t>
      </w:r>
      <w:r>
        <w:rPr>
          <w:rFonts w:hint="default" w:ascii="Arial" w:hAnsi="Arial" w:cs="Arial"/>
          <w:sz w:val="22"/>
          <w:szCs w:val="22"/>
          <w:highlight w:val="none"/>
          <w:lang w:val="pt-BR"/>
        </w:rPr>
        <w:t xml:space="preserve"> </w:t>
      </w:r>
      <w:r>
        <w:rPr>
          <w:rFonts w:hint="default" w:ascii="Arial" w:hAnsi="Arial" w:cs="Arial"/>
          <w:sz w:val="22"/>
          <w:szCs w:val="22"/>
        </w:rPr>
        <w:t>Horários para execução do serviço: O horário de entrega do produto e execução do serviço é o comercial, iniciando as 08:00 e terminando as 18:00 horas</w:t>
      </w:r>
      <w:r>
        <w:rPr>
          <w:rFonts w:hint="default" w:ascii="Arial" w:hAnsi="Arial" w:cs="Arial"/>
          <w:sz w:val="22"/>
          <w:szCs w:val="22"/>
          <w:lang w:val="pt-BR"/>
        </w:rPr>
        <w:t xml:space="preserve"> (horário local)</w:t>
      </w:r>
      <w:r>
        <w:rPr>
          <w:rFonts w:hint="default" w:ascii="Arial" w:hAnsi="Arial" w:cs="Arial"/>
          <w:sz w:val="22"/>
          <w:szCs w:val="22"/>
        </w:rPr>
        <w:t>. Podendo, a critério da PREFEITURA ser realizado fora do horário comercial, sem ônus para a CONTRATANTE mediante autorização com antecedência de 24 (vinte e quatro) horas, devendo a empresa apresentar lista de funcionários devidamente identificados.</w:t>
      </w:r>
    </w:p>
    <w:p w14:paraId="399D6DDE">
      <w:pPr>
        <w:pStyle w:val="128"/>
        <w:widowControl w:val="0"/>
        <w:numPr>
          <w:ilvl w:val="0"/>
          <w:numId w:val="0"/>
        </w:numPr>
        <w:autoSpaceDE w:val="0"/>
        <w:autoSpaceDN w:val="0"/>
        <w:spacing w:after="0" w:line="360" w:lineRule="auto"/>
        <w:ind w:left="0" w:leftChars="0" w:firstLine="0" w:firstLineChars="0"/>
        <w:jc w:val="both"/>
        <w:rPr>
          <w:rFonts w:hint="default" w:ascii="Arial" w:hAnsi="Arial" w:cs="Arial"/>
          <w:sz w:val="22"/>
          <w:szCs w:val="22"/>
        </w:rPr>
      </w:pPr>
      <w:r>
        <w:rPr>
          <w:rFonts w:hint="default" w:ascii="Arial" w:hAnsi="Arial" w:cs="Arial"/>
          <w:b/>
          <w:bCs/>
          <w:sz w:val="22"/>
          <w:szCs w:val="22"/>
          <w:lang w:val="pt-BR"/>
        </w:rPr>
        <w:t>4.2.</w:t>
      </w:r>
      <w:r>
        <w:rPr>
          <w:rFonts w:hint="default" w:ascii="Arial" w:hAnsi="Arial" w:cs="Arial"/>
          <w:sz w:val="22"/>
          <w:szCs w:val="22"/>
          <w:lang w:val="pt-BR"/>
        </w:rPr>
        <w:t xml:space="preserve"> </w:t>
      </w:r>
      <w:r>
        <w:rPr>
          <w:rFonts w:hint="default" w:ascii="Arial" w:hAnsi="Arial" w:cs="Arial"/>
          <w:sz w:val="22"/>
          <w:szCs w:val="22"/>
        </w:rPr>
        <w:t xml:space="preserve">Locais de entrega do produto ou execução do serviço: Os produtos adquiridos deverão ser entregues na Rua das Avencas, 1481, </w:t>
      </w:r>
      <w:r>
        <w:rPr>
          <w:rFonts w:hint="default" w:ascii="Arial" w:hAnsi="Arial" w:cs="Arial"/>
          <w:sz w:val="22"/>
          <w:szCs w:val="22"/>
          <w:lang w:val="pt-BR"/>
        </w:rPr>
        <w:t>Setor Comercial</w:t>
      </w:r>
      <w:r>
        <w:rPr>
          <w:rFonts w:hint="default" w:ascii="Arial" w:hAnsi="Arial" w:cs="Arial"/>
          <w:sz w:val="22"/>
          <w:szCs w:val="22"/>
        </w:rPr>
        <w:t>, Sinop-MT</w:t>
      </w:r>
      <w:r>
        <w:rPr>
          <w:rFonts w:hint="default" w:ascii="Arial" w:hAnsi="Arial" w:cs="Arial"/>
          <w:sz w:val="22"/>
          <w:szCs w:val="22"/>
          <w:lang w:val="pt-BR"/>
        </w:rPr>
        <w:t>, CEP 78550-210</w:t>
      </w:r>
      <w:r>
        <w:rPr>
          <w:rFonts w:hint="default" w:ascii="Arial" w:hAnsi="Arial" w:cs="Arial"/>
          <w:sz w:val="22"/>
          <w:szCs w:val="22"/>
        </w:rPr>
        <w:t xml:space="preserve"> (Secretaria de Administração</w:t>
      </w:r>
      <w:r>
        <w:rPr>
          <w:rFonts w:hint="default" w:ascii="Arial" w:hAnsi="Arial" w:cs="Arial"/>
          <w:sz w:val="22"/>
          <w:szCs w:val="22"/>
          <w:lang w:val="pt-BR"/>
        </w:rPr>
        <w:t xml:space="preserve"> e Modernização</w:t>
      </w:r>
      <w:r>
        <w:rPr>
          <w:rFonts w:hint="default" w:ascii="Arial" w:hAnsi="Arial" w:cs="Arial"/>
          <w:sz w:val="22"/>
          <w:szCs w:val="22"/>
        </w:rPr>
        <w:t>);</w:t>
      </w:r>
    </w:p>
    <w:p w14:paraId="053AA8B3">
      <w:pPr>
        <w:pStyle w:val="128"/>
        <w:widowControl w:val="0"/>
        <w:numPr>
          <w:ilvl w:val="0"/>
          <w:numId w:val="0"/>
        </w:numPr>
        <w:autoSpaceDE w:val="0"/>
        <w:autoSpaceDN w:val="0"/>
        <w:spacing w:after="0" w:line="360" w:lineRule="auto"/>
        <w:ind w:left="0" w:leftChars="0" w:firstLine="0" w:firstLineChars="0"/>
        <w:jc w:val="both"/>
        <w:rPr>
          <w:rFonts w:hint="default" w:ascii="Arial" w:hAnsi="Arial" w:cs="Arial"/>
          <w:sz w:val="22"/>
          <w:szCs w:val="22"/>
        </w:rPr>
      </w:pPr>
      <w:r>
        <w:rPr>
          <w:rFonts w:hint="default" w:ascii="Arial" w:hAnsi="Arial" w:cs="Arial"/>
          <w:b/>
          <w:bCs/>
          <w:sz w:val="22"/>
          <w:szCs w:val="22"/>
          <w:lang w:val="pt-BR"/>
        </w:rPr>
        <w:t>4.3.</w:t>
      </w:r>
      <w:r>
        <w:rPr>
          <w:rFonts w:hint="default" w:ascii="Arial" w:hAnsi="Arial" w:cs="Arial"/>
          <w:sz w:val="22"/>
          <w:szCs w:val="22"/>
          <w:lang w:val="pt-BR"/>
        </w:rPr>
        <w:t xml:space="preserve"> </w:t>
      </w:r>
      <w:r>
        <w:rPr>
          <w:rFonts w:hint="default" w:ascii="Arial" w:hAnsi="Arial" w:cs="Arial"/>
          <w:sz w:val="22"/>
          <w:szCs w:val="22"/>
        </w:rPr>
        <w:t>Em até 3 (três) dias úteis após a abertura da Ordem de Serviço (OS), a CONTRATADA deve realizar reunião inicial com a equipe técnica da PREFEITURA para colher informações necessárias à elaboração do projeto executivo, de acordo com a disponibilidade de agenda da equipe técnica da PREFEITURA;</w:t>
      </w:r>
    </w:p>
    <w:p w14:paraId="5D02A96D">
      <w:pPr>
        <w:pStyle w:val="128"/>
        <w:widowControl w:val="0"/>
        <w:numPr>
          <w:ilvl w:val="0"/>
          <w:numId w:val="0"/>
        </w:numPr>
        <w:autoSpaceDE w:val="0"/>
        <w:autoSpaceDN w:val="0"/>
        <w:spacing w:after="0" w:line="360" w:lineRule="auto"/>
        <w:ind w:left="0" w:leftChars="0" w:firstLine="0" w:firstLineChars="0"/>
        <w:jc w:val="both"/>
        <w:rPr>
          <w:rFonts w:hint="default" w:ascii="Arial" w:hAnsi="Arial" w:cs="Arial"/>
          <w:sz w:val="22"/>
          <w:szCs w:val="22"/>
        </w:rPr>
      </w:pPr>
      <w:r>
        <w:rPr>
          <w:rFonts w:hint="default" w:ascii="Arial" w:hAnsi="Arial" w:cs="Arial"/>
          <w:b/>
          <w:bCs/>
          <w:sz w:val="22"/>
          <w:szCs w:val="22"/>
          <w:lang w:val="pt-BR"/>
        </w:rPr>
        <w:t>4.4.</w:t>
      </w:r>
      <w:r>
        <w:rPr>
          <w:rFonts w:hint="default" w:ascii="Arial" w:hAnsi="Arial" w:cs="Arial"/>
          <w:sz w:val="22"/>
          <w:szCs w:val="22"/>
          <w:lang w:val="pt-BR"/>
        </w:rPr>
        <w:t xml:space="preserve"> </w:t>
      </w:r>
      <w:r>
        <w:rPr>
          <w:rFonts w:hint="default" w:ascii="Arial" w:hAnsi="Arial" w:cs="Arial"/>
          <w:sz w:val="22"/>
          <w:szCs w:val="22"/>
        </w:rPr>
        <w:t>A CONTRATADA deverá entregar no prazo de 15 (quinze) dias úteis após a assinatura da ata da reunião inicial, o Estudo técnico do edifício da PREFEITURA para garantir o recepcionamento das cargas elétricas e térmicas atuais e futuras.</w:t>
      </w:r>
    </w:p>
    <w:p w14:paraId="76FA0637">
      <w:pPr>
        <w:pStyle w:val="128"/>
        <w:widowControl w:val="0"/>
        <w:numPr>
          <w:ilvl w:val="0"/>
          <w:numId w:val="0"/>
        </w:numPr>
        <w:autoSpaceDE w:val="0"/>
        <w:autoSpaceDN w:val="0"/>
        <w:spacing w:after="0" w:line="360" w:lineRule="auto"/>
        <w:ind w:left="0" w:leftChars="0" w:firstLine="0" w:firstLineChars="0"/>
        <w:jc w:val="both"/>
        <w:rPr>
          <w:rFonts w:hint="default" w:ascii="Arial" w:hAnsi="Arial" w:cs="Arial"/>
          <w:sz w:val="22"/>
          <w:szCs w:val="22"/>
        </w:rPr>
      </w:pPr>
      <w:r>
        <w:rPr>
          <w:rFonts w:hint="default" w:ascii="Arial" w:hAnsi="Arial" w:cs="Arial"/>
          <w:b/>
          <w:bCs/>
          <w:sz w:val="22"/>
          <w:szCs w:val="22"/>
          <w:lang w:val="pt-BR"/>
        </w:rPr>
        <w:t>4.5.</w:t>
      </w:r>
      <w:r>
        <w:rPr>
          <w:rFonts w:hint="default" w:ascii="Arial" w:hAnsi="Arial" w:cs="Arial"/>
          <w:sz w:val="22"/>
          <w:szCs w:val="22"/>
          <w:lang w:val="pt-BR"/>
        </w:rPr>
        <w:t xml:space="preserve"> </w:t>
      </w:r>
      <w:r>
        <w:rPr>
          <w:rFonts w:hint="default" w:ascii="Arial" w:hAnsi="Arial" w:cs="Arial"/>
          <w:sz w:val="22"/>
          <w:szCs w:val="22"/>
        </w:rPr>
        <w:t>A critério da CONTRATANTE ou CONTRATADA, poderão ser solicitadas reuniões para acompanhamento do Estudo técnico do edifício da PREFEITURA.</w:t>
      </w:r>
    </w:p>
    <w:p w14:paraId="0D4AFB57">
      <w:pPr>
        <w:pStyle w:val="128"/>
        <w:widowControl w:val="0"/>
        <w:numPr>
          <w:ilvl w:val="0"/>
          <w:numId w:val="0"/>
        </w:numPr>
        <w:autoSpaceDE w:val="0"/>
        <w:autoSpaceDN w:val="0"/>
        <w:spacing w:after="0" w:line="360" w:lineRule="auto"/>
        <w:ind w:left="0" w:leftChars="0" w:firstLine="0" w:firstLineChars="0"/>
        <w:jc w:val="both"/>
        <w:rPr>
          <w:rFonts w:hint="default" w:ascii="Arial" w:hAnsi="Arial" w:cs="Arial"/>
          <w:sz w:val="22"/>
          <w:szCs w:val="22"/>
        </w:rPr>
      </w:pPr>
      <w:r>
        <w:rPr>
          <w:rFonts w:hint="default" w:ascii="Arial" w:hAnsi="Arial" w:cs="Arial"/>
          <w:b/>
          <w:bCs/>
          <w:sz w:val="22"/>
          <w:szCs w:val="22"/>
          <w:lang w:val="pt-BR"/>
        </w:rPr>
        <w:t>4.6.</w:t>
      </w:r>
      <w:r>
        <w:rPr>
          <w:rFonts w:hint="default" w:ascii="Arial" w:hAnsi="Arial" w:cs="Arial"/>
          <w:sz w:val="22"/>
          <w:szCs w:val="22"/>
          <w:lang w:val="pt-BR"/>
        </w:rPr>
        <w:t xml:space="preserve"> </w:t>
      </w:r>
      <w:r>
        <w:rPr>
          <w:rFonts w:hint="default" w:ascii="Arial" w:hAnsi="Arial" w:cs="Arial"/>
          <w:sz w:val="22"/>
          <w:szCs w:val="22"/>
        </w:rPr>
        <w:t>Após o recebimento do Estudo técnico do edifício da PREFEITURA, a CONTRATANTE terá o prazo de 05 (cinco) dias úteis para aprovação da documentação.</w:t>
      </w:r>
    </w:p>
    <w:p w14:paraId="0AB53097">
      <w:pPr>
        <w:pStyle w:val="128"/>
        <w:widowControl w:val="0"/>
        <w:numPr>
          <w:ilvl w:val="0"/>
          <w:numId w:val="0"/>
        </w:numPr>
        <w:autoSpaceDE w:val="0"/>
        <w:autoSpaceDN w:val="0"/>
        <w:spacing w:after="0" w:line="360" w:lineRule="auto"/>
        <w:ind w:left="0" w:leftChars="0" w:firstLine="0" w:firstLineChars="0"/>
        <w:jc w:val="both"/>
        <w:rPr>
          <w:rFonts w:hint="default" w:ascii="Arial" w:hAnsi="Arial" w:cs="Arial"/>
          <w:sz w:val="22"/>
          <w:szCs w:val="22"/>
        </w:rPr>
      </w:pPr>
      <w:r>
        <w:rPr>
          <w:rFonts w:hint="default" w:ascii="Arial" w:hAnsi="Arial" w:cs="Arial"/>
          <w:b/>
          <w:bCs/>
          <w:sz w:val="22"/>
          <w:szCs w:val="22"/>
          <w:lang w:val="pt-BR"/>
        </w:rPr>
        <w:t>4.7.</w:t>
      </w:r>
      <w:r>
        <w:rPr>
          <w:rFonts w:hint="default" w:ascii="Arial" w:hAnsi="Arial" w:cs="Arial"/>
          <w:sz w:val="22"/>
          <w:szCs w:val="22"/>
          <w:lang w:val="pt-BR"/>
        </w:rPr>
        <w:t xml:space="preserve"> </w:t>
      </w:r>
      <w:r>
        <w:rPr>
          <w:rFonts w:hint="default" w:ascii="Arial" w:hAnsi="Arial" w:cs="Arial"/>
          <w:sz w:val="22"/>
          <w:szCs w:val="22"/>
        </w:rPr>
        <w:t>Caso seja constatada a necessidade de correção da documentação recebida, a CONTRATADA terá o prazo de 2 (dois) dias úteis para a adequação do Estudo Técnico.</w:t>
      </w:r>
    </w:p>
    <w:p w14:paraId="5C08B447">
      <w:pPr>
        <w:pStyle w:val="128"/>
        <w:widowControl w:val="0"/>
        <w:numPr>
          <w:ilvl w:val="0"/>
          <w:numId w:val="0"/>
        </w:numPr>
        <w:autoSpaceDE w:val="0"/>
        <w:autoSpaceDN w:val="0"/>
        <w:spacing w:after="0" w:line="360" w:lineRule="auto"/>
        <w:ind w:left="0" w:leftChars="0" w:firstLine="0" w:firstLineChars="0"/>
        <w:jc w:val="both"/>
        <w:rPr>
          <w:rFonts w:hint="default" w:ascii="Arial" w:hAnsi="Arial" w:cs="Arial"/>
          <w:sz w:val="22"/>
          <w:szCs w:val="22"/>
        </w:rPr>
      </w:pPr>
      <w:r>
        <w:rPr>
          <w:rFonts w:hint="default" w:ascii="Arial" w:hAnsi="Arial" w:cs="Arial"/>
          <w:b/>
          <w:bCs/>
          <w:sz w:val="22"/>
          <w:szCs w:val="22"/>
          <w:lang w:val="pt-BR"/>
        </w:rPr>
        <w:t>4.8.</w:t>
      </w:r>
      <w:r>
        <w:rPr>
          <w:rFonts w:hint="default" w:ascii="Arial" w:hAnsi="Arial" w:cs="Arial"/>
          <w:sz w:val="22"/>
          <w:szCs w:val="22"/>
          <w:lang w:val="pt-BR"/>
        </w:rPr>
        <w:t xml:space="preserve"> </w:t>
      </w:r>
      <w:r>
        <w:rPr>
          <w:rFonts w:hint="default" w:ascii="Arial" w:hAnsi="Arial" w:cs="Arial"/>
          <w:sz w:val="22"/>
          <w:szCs w:val="22"/>
        </w:rPr>
        <w:t>Em até 30 (trinta) dias úteis após a aprovação do Estudo técnico, a CONTRATADA deverá entregar o Projeto Executivo;</w:t>
      </w:r>
    </w:p>
    <w:p w14:paraId="71295241">
      <w:pPr>
        <w:pStyle w:val="128"/>
        <w:widowControl w:val="0"/>
        <w:numPr>
          <w:ilvl w:val="0"/>
          <w:numId w:val="0"/>
        </w:numPr>
        <w:autoSpaceDE w:val="0"/>
        <w:autoSpaceDN w:val="0"/>
        <w:spacing w:after="0" w:line="360" w:lineRule="auto"/>
        <w:ind w:left="0" w:leftChars="0" w:firstLine="0" w:firstLineChars="0"/>
        <w:jc w:val="both"/>
        <w:rPr>
          <w:rFonts w:hint="default" w:ascii="Arial" w:hAnsi="Arial" w:cs="Arial"/>
          <w:sz w:val="22"/>
          <w:szCs w:val="22"/>
        </w:rPr>
      </w:pPr>
      <w:r>
        <w:rPr>
          <w:rFonts w:hint="default" w:ascii="Arial" w:hAnsi="Arial" w:cs="Arial"/>
          <w:b/>
          <w:bCs/>
          <w:sz w:val="22"/>
          <w:szCs w:val="22"/>
          <w:lang w:val="pt-BR"/>
        </w:rPr>
        <w:t>4.9.</w:t>
      </w:r>
      <w:r>
        <w:rPr>
          <w:rFonts w:hint="default" w:ascii="Arial" w:hAnsi="Arial" w:cs="Arial"/>
          <w:sz w:val="22"/>
          <w:szCs w:val="22"/>
          <w:lang w:val="pt-BR"/>
        </w:rPr>
        <w:t xml:space="preserve"> </w:t>
      </w:r>
      <w:r>
        <w:rPr>
          <w:rFonts w:hint="default" w:ascii="Arial" w:hAnsi="Arial" w:cs="Arial"/>
          <w:sz w:val="22"/>
          <w:szCs w:val="22"/>
        </w:rPr>
        <w:t>Em até 90 (noventa) dias úteis após aceite do projeto executivo, a CONTRATADA deverá fornecer, instalar e testar o Centro de Processamento de Dados da PREFEITURA (incluindo adequações físicas caso seja verificado a necessidade do mesmo);</w:t>
      </w:r>
    </w:p>
    <w:p w14:paraId="20542D2E">
      <w:pPr>
        <w:pStyle w:val="128"/>
        <w:widowControl w:val="0"/>
        <w:numPr>
          <w:ilvl w:val="0"/>
          <w:numId w:val="0"/>
        </w:numPr>
        <w:autoSpaceDE w:val="0"/>
        <w:autoSpaceDN w:val="0"/>
        <w:spacing w:after="0" w:line="360" w:lineRule="auto"/>
        <w:ind w:left="0" w:leftChars="0" w:firstLine="0" w:firstLineChars="0"/>
        <w:jc w:val="both"/>
        <w:rPr>
          <w:rFonts w:hint="default" w:ascii="Arial" w:hAnsi="Arial" w:cs="Arial"/>
          <w:color w:val="auto"/>
          <w:sz w:val="22"/>
          <w:szCs w:val="22"/>
        </w:rPr>
      </w:pPr>
      <w:r>
        <w:rPr>
          <w:rFonts w:hint="default" w:ascii="Arial" w:hAnsi="Arial" w:cs="Arial"/>
          <w:b/>
          <w:bCs/>
          <w:color w:val="auto"/>
          <w:sz w:val="22"/>
          <w:szCs w:val="22"/>
          <w:lang w:val="pt-BR"/>
        </w:rPr>
        <w:t>4.10.</w:t>
      </w:r>
      <w:r>
        <w:rPr>
          <w:rFonts w:hint="default" w:ascii="Arial" w:hAnsi="Arial" w:cs="Arial"/>
          <w:color w:val="auto"/>
          <w:sz w:val="22"/>
          <w:szCs w:val="22"/>
          <w:lang w:val="pt-BR"/>
        </w:rPr>
        <w:t xml:space="preserve"> </w:t>
      </w:r>
      <w:r>
        <w:rPr>
          <w:rFonts w:hint="default" w:ascii="Arial" w:hAnsi="Arial" w:cs="Arial"/>
          <w:color w:val="auto"/>
          <w:sz w:val="22"/>
          <w:szCs w:val="22"/>
        </w:rPr>
        <w:t xml:space="preserve">O Termo de Recebimento Provisório será emitido após execução do serviço e entrega da primeira versão dos documentos finais do tipo </w:t>
      </w:r>
      <w:r>
        <w:rPr>
          <w:rFonts w:hint="default" w:ascii="Arial" w:hAnsi="Arial" w:cs="Arial"/>
          <w:i/>
          <w:iCs/>
          <w:color w:val="auto"/>
          <w:sz w:val="22"/>
          <w:szCs w:val="22"/>
        </w:rPr>
        <w:t>as-built</w:t>
      </w:r>
      <w:r>
        <w:rPr>
          <w:rFonts w:hint="default" w:ascii="Arial" w:hAnsi="Arial" w:cs="Arial"/>
          <w:color w:val="auto"/>
          <w:sz w:val="22"/>
          <w:szCs w:val="22"/>
        </w:rPr>
        <w:t>, tendo a PREFEITURA 15 (quinze) dias úteis para aprovar, podendo solicitar retrabalho quantas vezes julgar necessário para se obter a boa qualidade do documento;</w:t>
      </w:r>
    </w:p>
    <w:p w14:paraId="101274BC">
      <w:pPr>
        <w:pStyle w:val="128"/>
        <w:widowControl w:val="0"/>
        <w:numPr>
          <w:ilvl w:val="0"/>
          <w:numId w:val="0"/>
        </w:numPr>
        <w:autoSpaceDE w:val="0"/>
        <w:autoSpaceDN w:val="0"/>
        <w:spacing w:after="0" w:line="360" w:lineRule="auto"/>
        <w:ind w:left="0" w:leftChars="0" w:firstLine="0" w:firstLineChars="0"/>
        <w:jc w:val="both"/>
        <w:rPr>
          <w:rFonts w:hint="default" w:ascii="Arial" w:hAnsi="Arial" w:cs="Arial"/>
          <w:sz w:val="22"/>
          <w:szCs w:val="22"/>
        </w:rPr>
      </w:pPr>
      <w:r>
        <w:rPr>
          <w:rFonts w:hint="default" w:ascii="Arial" w:hAnsi="Arial" w:cs="Arial"/>
          <w:b/>
          <w:bCs/>
          <w:color w:val="auto"/>
          <w:sz w:val="22"/>
          <w:szCs w:val="22"/>
          <w:lang w:val="pt-BR"/>
        </w:rPr>
        <w:t>4.11.</w:t>
      </w:r>
      <w:r>
        <w:rPr>
          <w:rFonts w:hint="default" w:ascii="Arial" w:hAnsi="Arial" w:cs="Arial"/>
          <w:color w:val="auto"/>
          <w:sz w:val="22"/>
          <w:szCs w:val="22"/>
          <w:lang w:val="pt-BR"/>
        </w:rPr>
        <w:t xml:space="preserve"> </w:t>
      </w:r>
      <w:r>
        <w:rPr>
          <w:rFonts w:hint="default" w:ascii="Arial" w:hAnsi="Arial" w:cs="Arial"/>
          <w:color w:val="auto"/>
          <w:sz w:val="22"/>
          <w:szCs w:val="22"/>
        </w:rPr>
        <w:t xml:space="preserve">O aceite dos documentos finais do tipo </w:t>
      </w:r>
      <w:r>
        <w:rPr>
          <w:rFonts w:hint="default" w:ascii="Arial" w:hAnsi="Arial" w:cs="Arial"/>
          <w:i/>
          <w:iCs/>
          <w:color w:val="auto"/>
          <w:sz w:val="22"/>
          <w:szCs w:val="22"/>
        </w:rPr>
        <w:t>as-built</w:t>
      </w:r>
      <w:r>
        <w:rPr>
          <w:rFonts w:hint="default" w:ascii="Arial" w:hAnsi="Arial" w:cs="Arial"/>
          <w:color w:val="auto"/>
          <w:sz w:val="22"/>
          <w:szCs w:val="22"/>
        </w:rPr>
        <w:t xml:space="preserve"> serão dados com a assinatura do Termo de Recebimento Definitivo pela Comissão de Execução contratual e pela CONTRATADA, em até 20 (vinte) dias úteis a partir da emissão do Termo de Recebimento Provisório.</w:t>
      </w:r>
    </w:p>
    <w:p w14:paraId="3DD0907F">
      <w:pPr>
        <w:pBdr>
          <w:top w:val="double" w:color="auto" w:sz="4" w:space="1"/>
          <w:left w:val="double" w:color="auto" w:sz="4" w:space="4"/>
          <w:bottom w:val="double" w:color="auto" w:sz="4" w:space="1"/>
          <w:right w:val="double" w:color="auto" w:sz="4" w:space="4"/>
        </w:pBdr>
        <w:shd w:val="clear" w:color="auto" w:fill="D9D9D9"/>
        <w:tabs>
          <w:tab w:val="left" w:pos="1080"/>
        </w:tabs>
        <w:spacing w:line="360" w:lineRule="auto"/>
        <w:jc w:val="center"/>
        <w:rPr>
          <w:rFonts w:ascii="Arial" w:hAnsi="Arial" w:cs="Arial"/>
          <w:b/>
          <w:sz w:val="22"/>
          <w:szCs w:val="22"/>
        </w:rPr>
      </w:pPr>
      <w:r>
        <w:rPr>
          <w:rFonts w:ascii="Arial" w:hAnsi="Arial" w:cs="Arial"/>
          <w:b/>
          <w:sz w:val="22"/>
          <w:szCs w:val="22"/>
        </w:rPr>
        <w:t>Cláusula Quinta</w:t>
      </w:r>
    </w:p>
    <w:p w14:paraId="3FC389C5">
      <w:pPr>
        <w:pBdr>
          <w:top w:val="double" w:color="auto" w:sz="4" w:space="1"/>
          <w:left w:val="double" w:color="auto" w:sz="4" w:space="4"/>
          <w:bottom w:val="double" w:color="auto" w:sz="4" w:space="1"/>
          <w:right w:val="double" w:color="auto" w:sz="4" w:space="4"/>
        </w:pBdr>
        <w:shd w:val="clear" w:color="auto" w:fill="D9D9D9"/>
        <w:tabs>
          <w:tab w:val="left" w:pos="1080"/>
        </w:tabs>
        <w:spacing w:line="360" w:lineRule="auto"/>
        <w:jc w:val="center"/>
        <w:rPr>
          <w:rFonts w:ascii="Arial" w:hAnsi="Arial" w:cs="Arial"/>
          <w:b/>
          <w:sz w:val="22"/>
          <w:szCs w:val="22"/>
        </w:rPr>
      </w:pPr>
      <w:r>
        <w:rPr>
          <w:rFonts w:ascii="Arial" w:hAnsi="Arial" w:cs="Arial"/>
          <w:b/>
          <w:sz w:val="22"/>
          <w:szCs w:val="22"/>
        </w:rPr>
        <w:t>DO PAGAMENTO</w:t>
      </w:r>
    </w:p>
    <w:p w14:paraId="477068F1">
      <w:pPr>
        <w:spacing w:before="240" w:after="240" w:line="360" w:lineRule="auto"/>
        <w:jc w:val="both"/>
        <w:rPr>
          <w:rFonts w:hint="default" w:ascii="Arial" w:hAnsi="Arial" w:cs="Arial"/>
          <w:sz w:val="22"/>
          <w:szCs w:val="22"/>
          <w:highlight w:val="none"/>
          <w:lang w:val="pt-BR"/>
        </w:rPr>
      </w:pPr>
      <w:r>
        <w:rPr>
          <w:rFonts w:hint="default" w:ascii="Arial" w:hAnsi="Arial" w:cs="Arial"/>
          <w:b/>
          <w:bCs/>
          <w:i w:val="0"/>
          <w:iCs/>
          <w:sz w:val="22"/>
          <w:szCs w:val="22"/>
          <w:lang w:val="pt-BR"/>
        </w:rPr>
        <w:t xml:space="preserve">5.1. </w:t>
      </w:r>
      <w:r>
        <w:rPr>
          <w:rFonts w:hint="default" w:ascii="Arial" w:hAnsi="Arial" w:eastAsia="Times New Roman" w:cs="Arial"/>
          <w:color w:val="000000"/>
          <w:sz w:val="22"/>
          <w:szCs w:val="22"/>
        </w:rPr>
        <w:t>O pagamento das obrigações contratuais deverá observar a ordem cronológica de exigibilidade para cada fonte diferenciada de recursos, separadamente por unidade orçamentária e subdividida nas seguintes categorias de contratações: I - fornecimento de bens; II - locações;</w:t>
      </w:r>
      <w:r>
        <w:rPr>
          <w:rFonts w:hint="default" w:ascii="Arial" w:hAnsi="Arial" w:cs="Arial"/>
          <w:color w:val="000000"/>
          <w:sz w:val="22"/>
          <w:szCs w:val="22"/>
          <w:lang w:val="pt-BR"/>
        </w:rPr>
        <w:t xml:space="preserve"> </w:t>
      </w:r>
      <w:r>
        <w:rPr>
          <w:rFonts w:hint="default" w:ascii="Arial" w:hAnsi="Arial" w:eastAsia="Times New Roman" w:cs="Arial"/>
          <w:color w:val="000000"/>
          <w:sz w:val="22"/>
          <w:szCs w:val="22"/>
        </w:rPr>
        <w:t>III - prestação de serviços; e IV - realização de obras</w:t>
      </w:r>
      <w:r>
        <w:rPr>
          <w:rFonts w:hint="default" w:ascii="Arial" w:hAnsi="Arial" w:cs="Arial"/>
          <w:color w:val="000000"/>
          <w:sz w:val="22"/>
          <w:szCs w:val="22"/>
          <w:lang w:val="pt-BR"/>
        </w:rPr>
        <w:t>, conforme determina o Decreto Municipal nº 129/2024.</w:t>
      </w:r>
    </w:p>
    <w:p w14:paraId="67EF07E0">
      <w:pPr>
        <w:pStyle w:val="134"/>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5.2. </w:t>
      </w:r>
      <w:r>
        <w:rPr>
          <w:rFonts w:hint="default" w:ascii="Arial" w:hAnsi="Arial" w:eastAsia="Times New Roman" w:cs="Arial"/>
          <w:color w:val="000000"/>
          <w:sz w:val="22"/>
          <w:szCs w:val="22"/>
        </w:rPr>
        <w:t>A ordem cronológica de exigibilidade terá como marco inicial, para efeito de inclusão do crédito na sequência de pagamentos, a liquidação de despesa.</w:t>
      </w:r>
    </w:p>
    <w:p w14:paraId="004EA6A3">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lang w:val="pt-BR"/>
        </w:rPr>
        <w:t>5.3.</w:t>
      </w:r>
      <w:r>
        <w:rPr>
          <w:rFonts w:hint="default" w:ascii="Arial" w:hAnsi="Arial" w:cs="Arial"/>
          <w:sz w:val="22"/>
          <w:szCs w:val="22"/>
        </w:rPr>
        <w:t xml:space="preserve"> </w:t>
      </w:r>
      <w:r>
        <w:rPr>
          <w:rFonts w:hint="default" w:ascii="Arial" w:hAnsi="Arial" w:eastAsia="Times New Roman" w:cs="Arial"/>
          <w:color w:val="000000"/>
          <w:sz w:val="22"/>
          <w:szCs w:val="22"/>
        </w:rPr>
        <w:t>Considera-se liquidação o segundo estágio da despesa pública e consiste na verificação do direito adquirido pelo credor, tendo por base os títulos e documentos comprobatórios do respectivo crédito, após a execução do objeto do gasto e atesto por servidor designado.</w:t>
      </w:r>
    </w:p>
    <w:p w14:paraId="729FA337">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highlight w:val="none"/>
          <w:lang w:val="pt-BR"/>
        </w:rPr>
        <w:t>5.4.</w:t>
      </w:r>
      <w:r>
        <w:rPr>
          <w:rFonts w:hint="default" w:ascii="Arial" w:hAnsi="Arial" w:cs="Arial"/>
          <w:sz w:val="22"/>
          <w:szCs w:val="22"/>
          <w:highlight w:val="none"/>
        </w:rPr>
        <w:t xml:space="preserve"> </w:t>
      </w:r>
      <w:r>
        <w:rPr>
          <w:rFonts w:hint="default" w:ascii="Arial" w:hAnsi="Arial" w:eastAsia="Times New Roman" w:cs="Arial"/>
          <w:color w:val="000000"/>
          <w:sz w:val="22"/>
          <w:szCs w:val="22"/>
        </w:rPr>
        <w:t>Para os fins de liquidação, deverá ser observado o dispositivo no artigo 63 da Lei n° 4.320 de 17 de março de 1964 e instrução normativa 38/2009, certificando-se do adimplemento da obrigação do contratado nos prazos e forma previstos no contrato</w:t>
      </w:r>
      <w:r>
        <w:rPr>
          <w:rFonts w:hint="default" w:ascii="Arial" w:hAnsi="Arial" w:eastAsia="Times New Roman" w:cs="Arial"/>
          <w:color w:val="000000"/>
          <w:sz w:val="22"/>
          <w:szCs w:val="22"/>
          <w:lang w:val="pt-BR"/>
        </w:rPr>
        <w:t>.</w:t>
      </w:r>
    </w:p>
    <w:p w14:paraId="7B705980">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eastAsia="Times New Roman" w:cs="Arial"/>
          <w:color w:val="000000"/>
          <w:sz w:val="22"/>
          <w:szCs w:val="22"/>
        </w:rPr>
      </w:pPr>
      <w:r>
        <w:rPr>
          <w:rFonts w:hint="default" w:ascii="Arial" w:hAnsi="Arial" w:eastAsia="Times New Roman" w:cs="Arial"/>
          <w:color w:val="000000"/>
          <w:sz w:val="22"/>
          <w:szCs w:val="22"/>
        </w:rPr>
        <w:t xml:space="preserve">Os prazos </w:t>
      </w:r>
      <w:r>
        <w:rPr>
          <w:rFonts w:hint="default" w:ascii="Arial" w:hAnsi="Arial" w:cs="Arial"/>
          <w:color w:val="000000"/>
          <w:sz w:val="22"/>
          <w:szCs w:val="22"/>
          <w:lang w:val="pt-BR"/>
        </w:rPr>
        <w:t xml:space="preserve">para que sejam efetuados os pagamento </w:t>
      </w:r>
      <w:r>
        <w:rPr>
          <w:rFonts w:hint="default" w:ascii="Arial" w:hAnsi="Arial" w:eastAsia="Times New Roman" w:cs="Arial"/>
          <w:color w:val="000000"/>
          <w:sz w:val="22"/>
          <w:szCs w:val="22"/>
        </w:rPr>
        <w:t>serão limitados a:</w:t>
      </w:r>
    </w:p>
    <w:p w14:paraId="5481021C">
      <w:pPr>
        <w:keepNext w:val="0"/>
        <w:keepLines w:val="0"/>
        <w:pageBreakBefore w:val="0"/>
        <w:widowControl/>
        <w:numPr>
          <w:ilvl w:val="0"/>
          <w:numId w:val="12"/>
        </w:numPr>
        <w:tabs>
          <w:tab w:val="clear" w:pos="420"/>
        </w:tabs>
        <w:kinsoku/>
        <w:wordWrap/>
        <w:overflowPunct/>
        <w:topLinePunct w:val="0"/>
        <w:autoSpaceDE w:val="0"/>
        <w:autoSpaceDN w:val="0"/>
        <w:bidi w:val="0"/>
        <w:adjustRightInd w:val="0"/>
        <w:snapToGrid/>
        <w:spacing w:before="181" w:beforeLines="50" w:after="181" w:afterLines="50" w:line="360" w:lineRule="auto"/>
        <w:ind w:left="480" w:leftChars="0" w:firstLine="0" w:firstLineChars="0"/>
        <w:jc w:val="both"/>
        <w:textAlignment w:val="auto"/>
        <w:rPr>
          <w:rFonts w:hint="default" w:ascii="Arial" w:hAnsi="Arial" w:cs="Arial"/>
          <w:sz w:val="22"/>
          <w:szCs w:val="22"/>
        </w:rPr>
      </w:pPr>
      <w:r>
        <w:rPr>
          <w:rFonts w:hint="default" w:ascii="Arial" w:hAnsi="Arial" w:eastAsia="Times New Roman" w:cs="Arial"/>
          <w:color w:val="000000"/>
          <w:sz w:val="22"/>
          <w:szCs w:val="22"/>
        </w:rPr>
        <w:t>até 10 dias para a liquidação e encaminhamento para pagamento, a contar do recebimento da nota fiscal ou instrumento de cobra</w:t>
      </w:r>
      <w:r>
        <w:rPr>
          <w:rFonts w:hint="default" w:ascii="Arial" w:hAnsi="Arial" w:eastAsia="Times New Roman" w:cs="Arial"/>
          <w:color w:val="000000"/>
          <w:sz w:val="22"/>
          <w:szCs w:val="22"/>
          <w:lang w:val="pt-BR"/>
        </w:rPr>
        <w:t>n</w:t>
      </w:r>
      <w:r>
        <w:rPr>
          <w:rFonts w:hint="default" w:ascii="Arial" w:hAnsi="Arial" w:eastAsia="Times New Roman" w:cs="Arial"/>
          <w:color w:val="000000"/>
          <w:sz w:val="22"/>
          <w:szCs w:val="22"/>
        </w:rPr>
        <w:t>ça equivalente pela unidade Administrativa responsável pela despesa;</w:t>
      </w:r>
    </w:p>
    <w:p w14:paraId="319A5396">
      <w:pPr>
        <w:keepNext w:val="0"/>
        <w:keepLines w:val="0"/>
        <w:pageBreakBefore w:val="0"/>
        <w:widowControl/>
        <w:numPr>
          <w:ilvl w:val="0"/>
          <w:numId w:val="12"/>
        </w:numPr>
        <w:tabs>
          <w:tab w:val="clear" w:pos="420"/>
        </w:tabs>
        <w:kinsoku/>
        <w:wordWrap/>
        <w:overflowPunct/>
        <w:topLinePunct w:val="0"/>
        <w:autoSpaceDE w:val="0"/>
        <w:autoSpaceDN w:val="0"/>
        <w:bidi w:val="0"/>
        <w:adjustRightInd w:val="0"/>
        <w:snapToGrid/>
        <w:spacing w:before="181" w:beforeLines="50" w:after="181" w:afterLines="50" w:line="360" w:lineRule="auto"/>
        <w:ind w:left="480" w:leftChars="0" w:firstLine="0" w:firstLineChars="0"/>
        <w:jc w:val="both"/>
        <w:textAlignment w:val="auto"/>
        <w:rPr>
          <w:rFonts w:hint="default" w:ascii="Arial" w:hAnsi="Arial" w:eastAsia="Times New Roman" w:cs="Arial"/>
          <w:color w:val="000000"/>
          <w:sz w:val="22"/>
          <w:szCs w:val="22"/>
        </w:rPr>
      </w:pPr>
      <w:r>
        <w:rPr>
          <w:rFonts w:hint="default" w:ascii="Arial" w:hAnsi="Arial" w:cs="Arial"/>
          <w:color w:val="000000"/>
          <w:sz w:val="22"/>
          <w:szCs w:val="22"/>
          <w:lang w:val="pt-BR"/>
        </w:rPr>
        <w:t>a</w:t>
      </w:r>
      <w:r>
        <w:rPr>
          <w:rFonts w:hint="default" w:ascii="Arial" w:hAnsi="Arial" w:cs="Arial"/>
          <w:color w:val="000000"/>
          <w:sz w:val="22"/>
          <w:szCs w:val="22"/>
        </w:rPr>
        <w:t>t</w:t>
      </w:r>
      <w:r>
        <w:rPr>
          <w:rFonts w:hint="default" w:ascii="Arial" w:hAnsi="Arial" w:cs="Arial"/>
          <w:color w:val="000000"/>
          <w:sz w:val="22"/>
          <w:szCs w:val="22"/>
          <w:lang w:val="pt-BR"/>
        </w:rPr>
        <w:t xml:space="preserve">é </w:t>
      </w:r>
      <w:r>
        <w:rPr>
          <w:rFonts w:hint="default" w:ascii="Arial" w:hAnsi="Arial" w:cs="Arial"/>
          <w:color w:val="000000"/>
          <w:sz w:val="22"/>
          <w:szCs w:val="22"/>
        </w:rPr>
        <w:t>20 dias para pagamento, a contar da liquida</w:t>
      </w:r>
      <w:r>
        <w:rPr>
          <w:rFonts w:hint="default" w:ascii="Arial" w:hAnsi="Arial" w:cs="Arial"/>
          <w:color w:val="000000"/>
          <w:sz w:val="22"/>
          <w:szCs w:val="22"/>
          <w:lang w:val="pt-BR"/>
        </w:rPr>
        <w:t>ção;</w:t>
      </w:r>
    </w:p>
    <w:p w14:paraId="674C08EC">
      <w:pPr>
        <w:keepNext w:val="0"/>
        <w:keepLines w:val="0"/>
        <w:pageBreakBefore w:val="0"/>
        <w:widowControl/>
        <w:numPr>
          <w:ilvl w:val="0"/>
          <w:numId w:val="12"/>
        </w:numPr>
        <w:tabs>
          <w:tab w:val="clear" w:pos="420"/>
        </w:tabs>
        <w:kinsoku/>
        <w:wordWrap/>
        <w:overflowPunct/>
        <w:topLinePunct w:val="0"/>
        <w:autoSpaceDE w:val="0"/>
        <w:autoSpaceDN w:val="0"/>
        <w:bidi w:val="0"/>
        <w:adjustRightInd w:val="0"/>
        <w:snapToGrid/>
        <w:spacing w:before="181" w:beforeLines="50" w:after="181" w:afterLines="50" w:line="360" w:lineRule="auto"/>
        <w:ind w:left="480" w:leftChars="0" w:firstLine="0" w:firstLineChars="0"/>
        <w:jc w:val="both"/>
        <w:textAlignment w:val="auto"/>
        <w:rPr>
          <w:rFonts w:hint="default" w:ascii="Arial" w:hAnsi="Arial" w:eastAsia="Times New Roman" w:cs="Arial"/>
          <w:color w:val="000000"/>
          <w:sz w:val="22"/>
          <w:szCs w:val="22"/>
        </w:rPr>
      </w:pPr>
      <w:r>
        <w:rPr>
          <w:rFonts w:hint="default" w:ascii="Arial" w:hAnsi="Arial" w:eastAsia="Times New Roman" w:cs="Arial"/>
          <w:color w:val="000000"/>
          <w:sz w:val="22"/>
          <w:szCs w:val="22"/>
          <w:lang w:val="pt-BR"/>
        </w:rPr>
        <w:t>a</w:t>
      </w:r>
      <w:r>
        <w:rPr>
          <w:rFonts w:hint="default" w:ascii="Arial" w:hAnsi="Arial" w:eastAsia="Times New Roman" w:cs="Arial"/>
          <w:color w:val="000000"/>
          <w:sz w:val="22"/>
          <w:szCs w:val="22"/>
        </w:rPr>
        <w:t xml:space="preserve">pós a liquidação, o órgão responsável deverá encaminhar o processo para pagamento em até 3 dias a contar da data do atesto, respeitado o prazo definido </w:t>
      </w:r>
      <w:r>
        <w:rPr>
          <w:rFonts w:hint="default" w:ascii="Arial" w:hAnsi="Arial" w:cs="Arial"/>
          <w:color w:val="000000"/>
          <w:sz w:val="22"/>
          <w:szCs w:val="22"/>
          <w:lang w:val="pt-BR"/>
        </w:rPr>
        <w:t>(até 10 dias para liquidação e encaminhamento).</w:t>
      </w:r>
    </w:p>
    <w:p w14:paraId="7ABFAC4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5.5.</w:t>
      </w:r>
      <w:r>
        <w:rPr>
          <w:rFonts w:hint="default" w:ascii="Arial" w:hAnsi="Arial" w:cs="Arial"/>
          <w:sz w:val="22"/>
          <w:szCs w:val="22"/>
        </w:rPr>
        <w:t xml:space="preserve"> </w:t>
      </w:r>
      <w:r>
        <w:rPr>
          <w:rFonts w:hint="default" w:ascii="Arial" w:hAnsi="Arial" w:eastAsia="Times New Roman" w:cs="Arial"/>
          <w:color w:val="000000"/>
          <w:sz w:val="22"/>
          <w:szCs w:val="22"/>
        </w:rPr>
        <w:t xml:space="preserve">O prazo para a solução, pelo contratado, de inconsistências na execução do objeto ou de saneamento da nota fiscal ou de instrumento de cobrança equivalente, verificadas pela administração durante a análise prévia à liquidação da despesa, não será computado </w:t>
      </w:r>
      <w:r>
        <w:rPr>
          <w:rFonts w:hint="default" w:ascii="Arial" w:hAnsi="Arial" w:cs="Arial"/>
          <w:color w:val="000000"/>
          <w:sz w:val="22"/>
          <w:szCs w:val="22"/>
          <w:lang w:val="pt-BR"/>
        </w:rPr>
        <w:t>no prazo para liquidação e pagamento.</w:t>
      </w:r>
    </w:p>
    <w:p w14:paraId="1316135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5.6.</w:t>
      </w:r>
      <w:r>
        <w:rPr>
          <w:rFonts w:hint="default" w:ascii="Arial" w:hAnsi="Arial" w:cs="Arial"/>
          <w:sz w:val="22"/>
          <w:szCs w:val="22"/>
        </w:rPr>
        <w:t xml:space="preserve"> </w:t>
      </w:r>
      <w:r>
        <w:rPr>
          <w:rFonts w:hint="default" w:ascii="Arial" w:hAnsi="Arial" w:eastAsia="Times New Roman" w:cs="Arial"/>
          <w:color w:val="000000"/>
          <w:sz w:val="22"/>
          <w:szCs w:val="22"/>
        </w:rPr>
        <w:t>Na hipótese de caso fortuito ou força maior, que impeça a liquidação ou o pagamento da despesa, o prazo para o pagamento será suspenso até a sua regularização, devendo ser mantida a posição da ordem cronológica que a despesa originalmente estava inscrita</w:t>
      </w:r>
      <w:r>
        <w:rPr>
          <w:rFonts w:hint="default" w:ascii="Arial" w:hAnsi="Arial" w:eastAsia="Times New Roman" w:cs="Arial"/>
          <w:color w:val="000000"/>
          <w:sz w:val="22"/>
          <w:szCs w:val="22"/>
          <w:lang w:val="pt-BR"/>
        </w:rPr>
        <w:t>.</w:t>
      </w:r>
      <w:r>
        <w:rPr>
          <w:rFonts w:hint="default" w:ascii="Arial" w:hAnsi="Arial" w:cs="Arial"/>
          <w:color w:val="auto"/>
          <w:sz w:val="22"/>
          <w:szCs w:val="22"/>
          <w:u w:val="none"/>
          <w:lang w:eastAsia="en-US"/>
        </w:rPr>
        <w:t xml:space="preserve"> </w:t>
      </w:r>
    </w:p>
    <w:p w14:paraId="4F4DFC34">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5.7.</w:t>
      </w:r>
      <w:r>
        <w:rPr>
          <w:rFonts w:hint="default" w:ascii="Arial" w:hAnsi="Arial" w:cs="Arial"/>
          <w:sz w:val="22"/>
          <w:szCs w:val="22"/>
        </w:rPr>
        <w:t xml:space="preserve"> </w:t>
      </w:r>
      <w:r>
        <w:rPr>
          <w:rFonts w:hint="default" w:ascii="Arial" w:hAnsi="Arial" w:eastAsia="Times New Roman" w:cs="Arial"/>
          <w:color w:val="000000"/>
          <w:sz w:val="22"/>
          <w:szCs w:val="22"/>
        </w:rPr>
        <w:t>Previamente ao pagamento, a administração deve verificar a manutenção das condições exigidas para habilitação na licitação, ou para a qualificação na contratação direta, bem como eventual aplicação de sanção administrativa.</w:t>
      </w:r>
    </w:p>
    <w:p w14:paraId="0998D22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ind w:left="480" w:leftChars="200" w:firstLine="0" w:firstLineChars="0"/>
        <w:jc w:val="both"/>
        <w:textAlignment w:val="auto"/>
        <w:rPr>
          <w:rFonts w:hint="default" w:ascii="Arial" w:hAnsi="Arial" w:cs="Arial"/>
          <w:sz w:val="22"/>
          <w:szCs w:val="22"/>
        </w:rPr>
      </w:pPr>
      <w:r>
        <w:rPr>
          <w:rFonts w:hint="default" w:ascii="Arial" w:hAnsi="Arial" w:cs="Arial"/>
          <w:b/>
          <w:bCs/>
          <w:sz w:val="22"/>
          <w:szCs w:val="22"/>
          <w:lang w:val="pt-BR"/>
        </w:rPr>
        <w:t xml:space="preserve">5.7.1. </w:t>
      </w:r>
      <w:r>
        <w:rPr>
          <w:rFonts w:hint="default" w:ascii="Arial" w:hAnsi="Arial" w:eastAsia="Times New Roman" w:cs="Arial"/>
          <w:color w:val="000000"/>
          <w:sz w:val="22"/>
          <w:szCs w:val="22"/>
        </w:rPr>
        <w:t>verificadas quaisquer irregularidades, a administração deverá notificar o fornecedor contratado para que regularize a sua situação, sem prejuízo do prosseguimento do processo de pagamento;</w:t>
      </w:r>
    </w:p>
    <w:p w14:paraId="4BEC700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5.8.</w:t>
      </w:r>
      <w:r>
        <w:rPr>
          <w:rFonts w:hint="default" w:ascii="Arial" w:hAnsi="Arial" w:cs="Arial"/>
          <w:sz w:val="22"/>
          <w:szCs w:val="22"/>
        </w:rPr>
        <w:t xml:space="preserve"> </w:t>
      </w:r>
      <w:r>
        <w:rPr>
          <w:rFonts w:hint="default" w:ascii="Arial" w:hAnsi="Arial" w:eastAsia="Times New Roman" w:cs="Arial"/>
          <w:color w:val="000000"/>
          <w:sz w:val="22"/>
          <w:szCs w:val="22"/>
        </w:rPr>
        <w:t>A permanecência da condição de irregularidade devidamente notificada anteriormente sem a devida justificativa ou com justificativa não aceita pela administração, culminará em suspensão dos pagamentos e rescisão contratual, sem prejuízo da apuração de responsabilidade e da aplicação de penalidades cabíveis, observado o contraditório e ampla defesa</w:t>
      </w:r>
      <w:r>
        <w:rPr>
          <w:rFonts w:hint="default" w:ascii="Arial" w:hAnsi="Arial" w:eastAsia="Times New Roman" w:cs="Arial"/>
          <w:color w:val="000000"/>
          <w:sz w:val="22"/>
          <w:szCs w:val="22"/>
          <w:lang w:val="pt-BR"/>
        </w:rPr>
        <w:t>.</w:t>
      </w:r>
    </w:p>
    <w:p w14:paraId="231F487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Times New Roman" w:cs="Arial"/>
          <w:color w:val="000000"/>
          <w:sz w:val="22"/>
          <w:szCs w:val="22"/>
        </w:rPr>
      </w:pPr>
      <w:r>
        <w:rPr>
          <w:rFonts w:hint="default" w:ascii="Arial" w:hAnsi="Arial" w:eastAsia="Calibri" w:cs="Arial"/>
          <w:b/>
          <w:bCs/>
          <w:sz w:val="22"/>
          <w:szCs w:val="22"/>
          <w:lang w:val="pt-BR" w:eastAsia="en-US"/>
        </w:rPr>
        <w:t>5.9.</w:t>
      </w:r>
      <w:r>
        <w:rPr>
          <w:rFonts w:hint="default" w:ascii="Arial" w:hAnsi="Arial" w:eastAsia="Calibri" w:cs="Arial"/>
          <w:sz w:val="22"/>
          <w:szCs w:val="22"/>
          <w:lang w:eastAsia="en-US"/>
        </w:rPr>
        <w:t xml:space="preserve"> </w:t>
      </w:r>
      <w:r>
        <w:rPr>
          <w:rFonts w:hint="default" w:ascii="Arial" w:hAnsi="Arial" w:eastAsia="Times New Roman" w:cs="Arial"/>
          <w:color w:val="000000"/>
          <w:sz w:val="22"/>
          <w:szCs w:val="22"/>
        </w:rPr>
        <w:t xml:space="preserve">É facultada a retenção </w:t>
      </w:r>
      <w:r>
        <w:rPr>
          <w:rFonts w:hint="default" w:ascii="Arial" w:hAnsi="Arial" w:eastAsia="Times New Roman" w:cs="Arial"/>
          <w:i/>
          <w:color w:val="000000"/>
          <w:sz w:val="22"/>
          <w:szCs w:val="22"/>
        </w:rPr>
        <w:t xml:space="preserve">ad cautelam </w:t>
      </w:r>
      <w:r>
        <w:rPr>
          <w:rFonts w:hint="default" w:ascii="Arial" w:hAnsi="Arial" w:eastAsia="Times New Roman" w:cs="Arial"/>
          <w:color w:val="000000"/>
          <w:sz w:val="22"/>
          <w:szCs w:val="22"/>
        </w:rPr>
        <w:t>dos créditos decorrentres do contrato, até o limite dos prejuízos causados a administração pública e das multas aplicadas de acordo com a Lei Federal 14.133 de 2021, regulamento municipal próprio sobr o tema.</w:t>
      </w:r>
    </w:p>
    <w:p w14:paraId="1F53691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r>
        <w:rPr>
          <w:rFonts w:hint="default" w:ascii="Arial" w:hAnsi="Arial" w:eastAsia="Times New Roman" w:cs="Arial"/>
          <w:b/>
          <w:bCs/>
          <w:color w:val="000000"/>
          <w:sz w:val="22"/>
          <w:szCs w:val="22"/>
          <w:lang w:val="pt-BR"/>
        </w:rPr>
        <w:t>5.10.</w:t>
      </w:r>
      <w:r>
        <w:rPr>
          <w:rFonts w:hint="default" w:ascii="Arial" w:hAnsi="Arial" w:eastAsia="Times New Roman" w:cs="Arial"/>
          <w:color w:val="000000"/>
          <w:sz w:val="22"/>
          <w:szCs w:val="22"/>
          <w:lang w:val="pt-BR"/>
        </w:rPr>
        <w:t xml:space="preserve"> </w:t>
      </w:r>
      <w:r>
        <w:rPr>
          <w:rFonts w:hint="default" w:ascii="Arial" w:hAnsi="Arial" w:eastAsia="Calibri" w:cs="Arial"/>
          <w:sz w:val="22"/>
          <w:szCs w:val="22"/>
          <w:lang w:eastAsia="en-US"/>
        </w:rPr>
        <w:t xml:space="preserve">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p w14:paraId="69C00337">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5.11.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0BD94FA0">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lang w:val="pt-BR"/>
        </w:rPr>
        <w:t>5.12.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11F68694">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5.13.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1078A331">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lang w:val="pt-BR"/>
        </w:rPr>
        <w:t>5.14.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4C9DEDDA">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lang w:val="pt-BR"/>
        </w:rPr>
        <w:t>5.15.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2AA956BC">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lang w:val="pt-BR"/>
        </w:rPr>
        <w:t>5.16.</w:t>
      </w:r>
      <w:r>
        <w:rPr>
          <w:rFonts w:hint="default" w:ascii="Arial" w:hAnsi="Arial" w:cs="Arial"/>
          <w:sz w:val="22"/>
          <w:szCs w:val="22"/>
        </w:rPr>
        <w:t xml:space="preserve"> Qualquer irregularidade ou falta de apresentação de certidões o prazo do item </w:t>
      </w:r>
      <w:r>
        <w:rPr>
          <w:rFonts w:hint="default" w:ascii="Arial" w:hAnsi="Arial" w:cs="Arial"/>
          <w:sz w:val="22"/>
          <w:szCs w:val="22"/>
          <w:lang w:val="pt-BR"/>
        </w:rPr>
        <w:t>5</w:t>
      </w:r>
      <w:r>
        <w:rPr>
          <w:rFonts w:hint="default" w:ascii="Arial" w:hAnsi="Arial" w:cs="Arial"/>
          <w:sz w:val="22"/>
          <w:szCs w:val="22"/>
        </w:rPr>
        <w:t>.</w:t>
      </w:r>
      <w:r>
        <w:rPr>
          <w:rFonts w:hint="default" w:ascii="Arial" w:hAnsi="Arial" w:cs="Arial"/>
          <w:sz w:val="22"/>
          <w:szCs w:val="22"/>
          <w:lang w:val="pt-BR"/>
        </w:rPr>
        <w:t>4.</w:t>
      </w:r>
      <w:r>
        <w:rPr>
          <w:rFonts w:hint="default" w:ascii="Arial" w:hAnsi="Arial" w:cs="Arial"/>
          <w:sz w:val="22"/>
          <w:szCs w:val="22"/>
        </w:rPr>
        <w:t xml:space="preserve"> somente se iniciará com a devida regularização das pendências. </w:t>
      </w:r>
    </w:p>
    <w:p w14:paraId="6C8A1B0D">
      <w:pPr>
        <w:pStyle w:val="134"/>
        <w:numPr>
          <w:ilvl w:val="0"/>
          <w:numId w:val="0"/>
        </w:numPr>
        <w:spacing w:line="360" w:lineRule="auto"/>
        <w:ind w:leftChars="0"/>
        <w:jc w:val="both"/>
        <w:rPr>
          <w:rFonts w:hint="default" w:ascii="Arial" w:hAnsi="Arial" w:eastAsia="SimSun" w:cs="Arial"/>
          <w:b w:val="0"/>
          <w:bCs w:val="0"/>
          <w:sz w:val="22"/>
          <w:szCs w:val="22"/>
        </w:rPr>
      </w:pPr>
      <w:r>
        <w:rPr>
          <w:rFonts w:hint="default" w:cs="Arial"/>
          <w:b/>
          <w:bCs/>
          <w:sz w:val="22"/>
          <w:szCs w:val="22"/>
          <w:highlight w:val="none"/>
          <w:lang w:val="pt-BR" w:eastAsia="en-US"/>
        </w:rPr>
        <w:t>5</w:t>
      </w:r>
      <w:r>
        <w:rPr>
          <w:rFonts w:hint="default" w:ascii="Arial" w:hAnsi="Arial" w:cs="Arial"/>
          <w:b/>
          <w:bCs/>
          <w:sz w:val="22"/>
          <w:szCs w:val="22"/>
          <w:highlight w:val="none"/>
          <w:lang w:val="pt-BR" w:eastAsia="en-US"/>
        </w:rPr>
        <w:t>.</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lang w:val="pt-BR"/>
        </w:rPr>
        <w:t xml:space="preserve">Em </w:t>
      </w:r>
      <w:r>
        <w:rPr>
          <w:rFonts w:hint="default" w:ascii="Arial" w:hAnsi="Arial" w:eastAsia="SimSun" w:cs="Arial"/>
          <w:b w:val="0"/>
          <w:bCs w:val="0"/>
          <w:sz w:val="22"/>
          <w:szCs w:val="22"/>
        </w:rPr>
        <w:t>caso de eventua</w:t>
      </w:r>
      <w:r>
        <w:rPr>
          <w:rFonts w:hint="default" w:ascii="Arial" w:hAnsi="Arial" w:cs="Arial"/>
          <w:b w:val="0"/>
          <w:bCs w:val="0"/>
          <w:sz w:val="22"/>
          <w:szCs w:val="22"/>
          <w:lang w:val="pt-BR"/>
        </w:rPr>
        <w:t>l</w:t>
      </w:r>
      <w:r>
        <w:rPr>
          <w:rFonts w:hint="default" w:ascii="Arial" w:hAnsi="Arial" w:eastAsia="SimSun" w:cs="Arial"/>
          <w:b w:val="0"/>
          <w:bCs w:val="0"/>
          <w:sz w:val="22"/>
          <w:szCs w:val="22"/>
        </w:rPr>
        <w:t xml:space="preserve"> atraso de pagamento, desde que a CONTRATADA não tenha concorrido de alguma forma para tanto, fica convencionado</w:t>
      </w:r>
      <w:r>
        <w:rPr>
          <w:rFonts w:hint="default" w:ascii="Arial" w:hAnsi="Arial" w:cs="Arial"/>
          <w:b w:val="0"/>
          <w:bCs w:val="0"/>
          <w:sz w:val="22"/>
          <w:szCs w:val="22"/>
          <w:lang w:val="pt-BR"/>
        </w:rPr>
        <w:t>,</w:t>
      </w:r>
      <w:r>
        <w:rPr>
          <w:rFonts w:hint="default" w:ascii="Arial" w:hAnsi="Arial" w:eastAsia="SimSun" w:cs="Arial"/>
          <w:b w:val="0"/>
          <w:bCs w:val="0"/>
          <w:sz w:val="22"/>
          <w:szCs w:val="22"/>
        </w:rPr>
        <w:t xml:space="preserve"> </w:t>
      </w:r>
      <w:r>
        <w:rPr>
          <w:rFonts w:hint="default" w:ascii="Arial" w:hAnsi="Arial" w:cs="Arial"/>
          <w:sz w:val="22"/>
          <w:szCs w:val="22"/>
          <w:highlight w:val="none"/>
        </w:rPr>
        <w:t>para fins de</w:t>
      </w:r>
      <w:r>
        <w:rPr>
          <w:rFonts w:hint="default" w:ascii="Arial" w:hAnsi="Arial"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w:t>
      </w:r>
      <w:r>
        <w:rPr>
          <w:rFonts w:hint="default" w:ascii="Arial" w:hAnsi="Arial" w:cs="Arial"/>
          <w:sz w:val="22"/>
          <w:szCs w:val="22"/>
          <w:highlight w:val="none"/>
          <w:lang w:val="pt-BR"/>
        </w:rPr>
        <w:t>,</w:t>
      </w:r>
      <w:r>
        <w:rPr>
          <w:rFonts w:hint="default" w:ascii="Arial" w:hAnsi="Arial" w:eastAsia="SimSun" w:cs="Arial"/>
          <w:b w:val="0"/>
          <w:bCs w:val="0"/>
          <w:sz w:val="22"/>
          <w:szCs w:val="22"/>
        </w:rPr>
        <w:t xml:space="preserve"> devidos pel</w:t>
      </w:r>
      <w:r>
        <w:rPr>
          <w:rFonts w:hint="default" w:ascii="Arial" w:hAnsi="Arial" w:eastAsia="SimSun" w:cs="Arial"/>
          <w:b w:val="0"/>
          <w:bCs w:val="0"/>
          <w:sz w:val="22"/>
          <w:szCs w:val="22"/>
          <w:lang w:val="pt-BR"/>
        </w:rPr>
        <w:t>a</w:t>
      </w:r>
      <w:r>
        <w:rPr>
          <w:rFonts w:hint="default" w:ascii="Arial" w:hAnsi="Arial" w:eastAsia="SimSun" w:cs="Arial"/>
          <w:b w:val="0"/>
          <w:bCs w:val="0"/>
          <w:sz w:val="22"/>
          <w:szCs w:val="22"/>
        </w:rPr>
        <w:t xml:space="preserve"> CONTRATANTE, entre o término do prazo </w:t>
      </w:r>
      <w:r>
        <w:rPr>
          <w:rFonts w:hint="default" w:ascii="Arial" w:hAnsi="Arial" w:cs="Arial"/>
          <w:b w:val="0"/>
          <w:bCs w:val="0"/>
          <w:sz w:val="22"/>
          <w:szCs w:val="22"/>
          <w:lang w:val="pt-BR"/>
        </w:rPr>
        <w:t xml:space="preserve">para pagamento </w:t>
      </w:r>
      <w:r>
        <w:rPr>
          <w:rFonts w:hint="default" w:ascii="Arial" w:hAnsi="Arial" w:eastAsia="SimSun" w:cs="Arial"/>
          <w:b w:val="0"/>
          <w:bCs w:val="0"/>
          <w:sz w:val="22"/>
          <w:szCs w:val="22"/>
        </w:rPr>
        <w:t>e a data do efetivo pagamento da nota fiscal/fatura, a serem incluídos em fatura própria, são calculados por meio da aplicação da seguinte fórmula: EM = I x N x VP, onde:</w:t>
      </w:r>
    </w:p>
    <w:p w14:paraId="08B29E40">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EM = Encargos Moratórios;</w:t>
      </w:r>
    </w:p>
    <w:p w14:paraId="20EA7AE5">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N = Número de dias entre a data prevista para o pagamento e a do efetivo pagamento;</w:t>
      </w:r>
    </w:p>
    <w:p w14:paraId="3D9B063F">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VP = Valor da parcela em atraso;</w:t>
      </w:r>
    </w:p>
    <w:p w14:paraId="08943BE7">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I = Índice de compensação financeira = 0,00016438, assim apurado:</w:t>
      </w:r>
    </w:p>
    <w:p w14:paraId="003E603F">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I = i / 365</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 xml:space="preserve"> </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 xml:space="preserve">I = 6/ 100 / 365 </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I = 0,00016438</w:t>
      </w:r>
    </w:p>
    <w:p w14:paraId="1C759EE0">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Onde i = taxa percentual anual no valor de 6%</w:t>
      </w:r>
    </w:p>
    <w:p w14:paraId="26619A9A">
      <w:pPr>
        <w:pStyle w:val="3"/>
        <w:numPr>
          <w:ilvl w:val="0"/>
          <w:numId w:val="0"/>
        </w:numPr>
        <w:spacing w:before="93" w:line="360" w:lineRule="auto"/>
        <w:ind w:left="960" w:leftChars="400" w:right="0" w:rightChars="0" w:firstLine="0" w:firstLineChars="0"/>
        <w:jc w:val="both"/>
        <w:rPr>
          <w:rFonts w:hint="default" w:ascii="Times New Roman" w:hAnsi="Times New Roman" w:eastAsia="SimSun" w:cs="Times New Roman"/>
          <w:b w:val="0"/>
          <w:bCs w:val="0"/>
          <w:sz w:val="24"/>
          <w:szCs w:val="24"/>
          <w:u w:val="none"/>
          <w:lang w:val="pt-BR" w:eastAsia="en-US"/>
        </w:rPr>
      </w:pPr>
    </w:p>
    <w:p w14:paraId="76EB843C">
      <w:pPr>
        <w:pStyle w:val="134"/>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5.18.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6CED8656">
      <w:pPr>
        <w:pStyle w:val="134"/>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5.19.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0280FF0D">
      <w:pPr>
        <w:pStyle w:val="134"/>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5.20.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778B2B58">
      <w:pPr>
        <w:pStyle w:val="137"/>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5.20.1.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687C5AA6">
      <w:pPr>
        <w:pStyle w:val="137"/>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5.20.2.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1490629A">
      <w:pPr>
        <w:pStyle w:val="137"/>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5.20.3.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sz w:val="22"/>
          <w:szCs w:val="22"/>
          <w:lang w:val="pt-BR" w:eastAsia="en-US"/>
        </w:rPr>
        <w:t>o Contrato</w:t>
      </w:r>
      <w:r>
        <w:rPr>
          <w:rFonts w:hint="default" w:ascii="Arial" w:hAnsi="Arial" w:cs="Arial"/>
          <w:sz w:val="22"/>
          <w:szCs w:val="22"/>
          <w:lang w:eastAsia="en-US"/>
        </w:rPr>
        <w:t xml:space="preserve"> e do órgão contratante; </w:t>
      </w:r>
    </w:p>
    <w:p w14:paraId="3ED9FC2C">
      <w:pPr>
        <w:pStyle w:val="137"/>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5.20.4.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sz w:val="22"/>
          <w:szCs w:val="22"/>
          <w:lang w:val="pt-BR" w:eastAsia="en-US"/>
        </w:rPr>
        <w:t>o Contrato</w:t>
      </w:r>
      <w:r>
        <w:rPr>
          <w:rFonts w:hint="default" w:ascii="Arial" w:hAnsi="Arial" w:cs="Arial"/>
          <w:sz w:val="22"/>
          <w:szCs w:val="22"/>
          <w:lang w:eastAsia="en-US"/>
        </w:rPr>
        <w:t xml:space="preserve">; </w:t>
      </w:r>
    </w:p>
    <w:p w14:paraId="0BFA34C2">
      <w:pPr>
        <w:pStyle w:val="137"/>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5.20.5.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590F1946">
      <w:pPr>
        <w:pStyle w:val="137"/>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5.20.6.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356241FD">
      <w:pPr>
        <w:pStyle w:val="134"/>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5.21.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2FDDC393">
      <w:pPr>
        <w:pStyle w:val="134"/>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5.22.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670F9F2B">
      <w:pPr>
        <w:pStyle w:val="134"/>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5.23.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38DDD65C">
      <w:pPr>
        <w:pStyle w:val="134"/>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5.24.</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sz w:val="22"/>
          <w:szCs w:val="22"/>
          <w:lang w:val="pt-BR" w:eastAsia="en-US"/>
        </w:rPr>
        <w:t>o Contrato</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55509A4A">
      <w:pPr>
        <w:spacing w:before="240" w:after="240" w:line="360" w:lineRule="auto"/>
        <w:jc w:val="both"/>
        <w:rPr>
          <w:rFonts w:ascii="Arial" w:hAnsi="Arial" w:cs="Arial"/>
          <w:sz w:val="22"/>
          <w:szCs w:val="22"/>
        </w:rPr>
      </w:pPr>
      <w:r>
        <w:rPr>
          <w:rFonts w:hint="default" w:ascii="Arial" w:hAnsi="Arial" w:cs="Arial"/>
          <w:b/>
          <w:sz w:val="22"/>
          <w:szCs w:val="22"/>
          <w:lang w:val="pt-BR"/>
        </w:rPr>
        <w:t>5.25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15EB2BE6">
      <w:pPr>
        <w:pStyle w:val="119"/>
        <w:suppressLineNumbers w:val="0"/>
        <w:spacing w:before="240" w:after="240" w:line="360" w:lineRule="auto"/>
      </w:pPr>
      <w:r>
        <w:rPr>
          <w:rFonts w:hint="default"/>
          <w:b/>
          <w:lang w:val="pt-BR"/>
        </w:rPr>
        <w:t>5.26</w:t>
      </w:r>
      <w:r>
        <w:rPr>
          <w:b/>
        </w:rPr>
        <w:t>.</w:t>
      </w:r>
      <w:r>
        <w:t xml:space="preserve"> Na eventualidade de aplicação de multas, estas deverão ser liquidadas simultaneamente com parcela vinculada ao evento cujo descumprimento der origem à aplicação da penalidade.</w:t>
      </w:r>
    </w:p>
    <w:p w14:paraId="4C31C832">
      <w:pPr>
        <w:spacing w:before="240" w:after="240" w:line="360" w:lineRule="auto"/>
        <w:jc w:val="both"/>
        <w:rPr>
          <w:rFonts w:ascii="Arial" w:hAnsi="Arial" w:cs="Arial"/>
          <w:sz w:val="22"/>
          <w:szCs w:val="22"/>
        </w:rPr>
      </w:pPr>
      <w:r>
        <w:rPr>
          <w:rFonts w:hint="default" w:ascii="Arial" w:hAnsi="Arial" w:cs="Arial"/>
          <w:b/>
          <w:sz w:val="22"/>
          <w:szCs w:val="22"/>
          <w:lang w:val="pt-BR"/>
        </w:rPr>
        <w:t>5.27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6CF98A6F">
      <w:pPr>
        <w:spacing w:before="240" w:after="240" w:line="360" w:lineRule="auto"/>
        <w:jc w:val="both"/>
        <w:rPr>
          <w:rFonts w:ascii="Arial" w:hAnsi="Arial" w:cs="Arial"/>
          <w:sz w:val="22"/>
          <w:szCs w:val="22"/>
        </w:rPr>
      </w:pPr>
      <w:r>
        <w:rPr>
          <w:rFonts w:hint="default" w:ascii="Arial" w:hAnsi="Arial" w:cs="Arial"/>
          <w:b/>
          <w:sz w:val="22"/>
          <w:szCs w:val="22"/>
          <w:lang w:val="pt-BR"/>
        </w:rPr>
        <w:t>5.28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26EEACF4">
      <w:pPr>
        <w:pStyle w:val="17"/>
        <w:widowControl w:val="0"/>
        <w:adjustRightInd w:val="0"/>
        <w:spacing w:before="240" w:after="240" w:line="360" w:lineRule="auto"/>
        <w:textAlignment w:val="baseline"/>
        <w:rPr>
          <w:rFonts w:ascii="Arial" w:hAnsi="Arial" w:cs="Arial"/>
          <w:sz w:val="22"/>
          <w:szCs w:val="22"/>
        </w:rPr>
      </w:pPr>
      <w:r>
        <w:rPr>
          <w:rFonts w:hint="default" w:ascii="Arial" w:hAnsi="Arial" w:cs="Arial"/>
          <w:b/>
          <w:sz w:val="22"/>
          <w:szCs w:val="22"/>
          <w:lang w:val="pt-BR"/>
        </w:rPr>
        <w:t>5.29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41AABAA5">
      <w:pPr>
        <w:pBdr>
          <w:top w:val="double" w:color="auto" w:sz="4" w:space="1"/>
          <w:left w:val="double" w:color="auto" w:sz="4" w:space="4"/>
          <w:bottom w:val="double" w:color="auto" w:sz="4" w:space="1"/>
          <w:right w:val="double" w:color="auto" w:sz="4" w:space="4"/>
        </w:pBdr>
        <w:shd w:val="clear" w:color="auto" w:fill="D9D9D9"/>
        <w:tabs>
          <w:tab w:val="left" w:pos="1080"/>
        </w:tabs>
        <w:spacing w:line="360" w:lineRule="auto"/>
        <w:jc w:val="center"/>
        <w:rPr>
          <w:rFonts w:ascii="Arial" w:hAnsi="Arial" w:cs="Arial"/>
          <w:b/>
          <w:sz w:val="22"/>
          <w:szCs w:val="22"/>
        </w:rPr>
      </w:pPr>
      <w:r>
        <w:rPr>
          <w:rFonts w:ascii="Arial" w:hAnsi="Arial" w:cs="Arial"/>
          <w:b/>
          <w:sz w:val="22"/>
          <w:szCs w:val="22"/>
        </w:rPr>
        <w:t>Cláusula Sexta</w:t>
      </w:r>
    </w:p>
    <w:p w14:paraId="74BF9B5F">
      <w:pPr>
        <w:pBdr>
          <w:top w:val="double" w:color="auto" w:sz="4" w:space="1"/>
          <w:left w:val="double" w:color="auto" w:sz="4" w:space="4"/>
          <w:bottom w:val="double" w:color="auto" w:sz="4" w:space="1"/>
          <w:right w:val="double" w:color="auto" w:sz="4" w:space="4"/>
        </w:pBdr>
        <w:shd w:val="clear" w:color="auto" w:fill="D9D9D9"/>
        <w:tabs>
          <w:tab w:val="left" w:pos="1080"/>
        </w:tabs>
        <w:spacing w:line="360" w:lineRule="auto"/>
        <w:jc w:val="center"/>
        <w:rPr>
          <w:rFonts w:ascii="Arial" w:hAnsi="Arial" w:cs="Arial"/>
          <w:b/>
          <w:sz w:val="22"/>
          <w:szCs w:val="22"/>
        </w:rPr>
      </w:pPr>
      <w:r>
        <w:rPr>
          <w:rFonts w:ascii="Arial" w:hAnsi="Arial" w:cs="Arial"/>
          <w:b/>
          <w:sz w:val="22"/>
          <w:szCs w:val="22"/>
        </w:rPr>
        <w:t>DA DOTAÇÃO ORÇAMENTÁRIA</w:t>
      </w:r>
    </w:p>
    <w:p w14:paraId="5AEF311F">
      <w:pPr>
        <w:spacing w:line="360" w:lineRule="auto"/>
        <w:jc w:val="both"/>
        <w:rPr>
          <w:rFonts w:ascii="Arial" w:hAnsi="Arial" w:cs="Arial"/>
          <w:color w:val="000000"/>
          <w:sz w:val="22"/>
          <w:szCs w:val="22"/>
        </w:rPr>
      </w:pPr>
      <w:r>
        <w:rPr>
          <w:rFonts w:ascii="Arial" w:hAnsi="Arial" w:cs="Arial"/>
          <w:b/>
          <w:sz w:val="22"/>
          <w:szCs w:val="22"/>
        </w:rPr>
        <w:t>6.1.</w:t>
      </w:r>
      <w:r>
        <w:rPr>
          <w:rFonts w:ascii="Arial" w:hAnsi="Arial" w:cs="Arial"/>
          <w:sz w:val="22"/>
          <w:szCs w:val="22"/>
        </w:rPr>
        <w:t xml:space="preserve"> As despesas decorrentes deste Contrato correrão à conta d</w:t>
      </w:r>
      <w:r>
        <w:rPr>
          <w:rFonts w:hint="default" w:ascii="Arial" w:hAnsi="Arial" w:cs="Arial"/>
          <w:sz w:val="22"/>
          <w:szCs w:val="22"/>
          <w:lang w:val="pt-BR"/>
        </w:rPr>
        <w:t>a</w:t>
      </w:r>
      <w:r>
        <w:rPr>
          <w:rFonts w:ascii="Arial" w:hAnsi="Arial" w:cs="Arial"/>
          <w:sz w:val="22"/>
          <w:szCs w:val="22"/>
        </w:rPr>
        <w:t xml:space="preserve"> </w:t>
      </w:r>
      <w:r>
        <w:rPr>
          <w:rFonts w:hint="default" w:ascii="Arial" w:hAnsi="Arial" w:cs="Arial"/>
          <w:sz w:val="22"/>
          <w:szCs w:val="22"/>
          <w:lang w:val="pt-BR"/>
        </w:rPr>
        <w:t>Secretaria Municipal de Administração e Modernização</w:t>
      </w:r>
      <w:r>
        <w:rPr>
          <w:rFonts w:ascii="Arial" w:hAnsi="Arial" w:cs="Arial"/>
          <w:color w:val="000000"/>
          <w:sz w:val="22"/>
          <w:szCs w:val="22"/>
        </w:rPr>
        <w:t xml:space="preserve"> </w:t>
      </w:r>
      <w:r>
        <w:rPr>
          <w:rFonts w:hint="default" w:ascii="Arial" w:hAnsi="Arial" w:cs="Arial"/>
          <w:color w:val="000000"/>
          <w:sz w:val="22"/>
          <w:szCs w:val="22"/>
          <w:lang w:val="pt-BR"/>
        </w:rPr>
        <w:t xml:space="preserve">por meio </w:t>
      </w:r>
      <w:r>
        <w:rPr>
          <w:rFonts w:ascii="Arial" w:hAnsi="Arial" w:cs="Arial"/>
          <w:color w:val="000000"/>
          <w:sz w:val="22"/>
          <w:szCs w:val="22"/>
        </w:rPr>
        <w:t>da dotaç</w:t>
      </w:r>
      <w:r>
        <w:rPr>
          <w:rFonts w:hint="default" w:ascii="Arial" w:hAnsi="Arial" w:cs="Arial"/>
          <w:color w:val="000000"/>
          <w:sz w:val="22"/>
          <w:szCs w:val="22"/>
          <w:lang w:val="pt-BR"/>
        </w:rPr>
        <w:t>ão</w:t>
      </w:r>
      <w:r>
        <w:rPr>
          <w:rFonts w:ascii="Arial" w:hAnsi="Arial" w:cs="Arial"/>
          <w:color w:val="000000"/>
          <w:sz w:val="22"/>
          <w:szCs w:val="22"/>
        </w:rPr>
        <w:t xml:space="preserve"> orçamentária a seguir:</w:t>
      </w:r>
    </w:p>
    <w:p w14:paraId="54A8A0AD">
      <w:pPr>
        <w:spacing w:line="360" w:lineRule="auto"/>
        <w:jc w:val="both"/>
        <w:rPr>
          <w:rFonts w:ascii="Arial" w:hAnsi="Arial" w:cs="Arial"/>
          <w:color w:val="000000"/>
          <w:sz w:val="22"/>
          <w:szCs w:val="22"/>
        </w:rPr>
      </w:pPr>
    </w:p>
    <w:tbl>
      <w:tblPr>
        <w:tblStyle w:val="157"/>
        <w:tblW w:w="9061" w:type="dxa"/>
        <w:tblInd w:w="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46"/>
        <w:gridCol w:w="3795"/>
        <w:gridCol w:w="2520"/>
      </w:tblGrid>
      <w:tr w14:paraId="373DB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2746" w:type="dxa"/>
            <w:shd w:val="clear" w:color="auto" w:fill="auto"/>
          </w:tcPr>
          <w:p w14:paraId="785B809F">
            <w:pPr>
              <w:pStyle w:val="155"/>
              <w:widowControl w:val="0"/>
              <w:autoSpaceDE w:val="0"/>
              <w:autoSpaceDN w:val="0"/>
              <w:spacing w:after="0" w:line="240" w:lineRule="auto"/>
              <w:jc w:val="center"/>
              <w:rPr>
                <w:rFonts w:hint="default" w:ascii="Arial" w:hAnsi="Arial" w:cs="Arial"/>
                <w:b/>
                <w:sz w:val="22"/>
                <w:szCs w:val="22"/>
                <w:lang w:val="pt-BR"/>
              </w:rPr>
            </w:pPr>
            <w:r>
              <w:rPr>
                <w:rFonts w:hint="default" w:ascii="Arial" w:hAnsi="Arial" w:cs="Arial"/>
                <w:b/>
                <w:sz w:val="22"/>
                <w:szCs w:val="22"/>
              </w:rPr>
              <w:t>SE</w:t>
            </w:r>
            <w:r>
              <w:rPr>
                <w:rFonts w:hint="default" w:ascii="Arial" w:hAnsi="Arial" w:cs="Arial"/>
                <w:b/>
                <w:sz w:val="22"/>
                <w:szCs w:val="22"/>
                <w:lang w:val="pt-BR"/>
              </w:rPr>
              <w:t>CRETARIA</w:t>
            </w:r>
          </w:p>
        </w:tc>
        <w:tc>
          <w:tcPr>
            <w:tcW w:w="3795" w:type="dxa"/>
            <w:shd w:val="clear" w:color="auto" w:fill="auto"/>
          </w:tcPr>
          <w:p w14:paraId="5A820BA0">
            <w:pPr>
              <w:pStyle w:val="155"/>
              <w:widowControl w:val="0"/>
              <w:autoSpaceDE w:val="0"/>
              <w:autoSpaceDN w:val="0"/>
              <w:spacing w:after="0" w:line="240" w:lineRule="auto"/>
              <w:jc w:val="center"/>
              <w:rPr>
                <w:rFonts w:hint="default" w:ascii="Arial" w:hAnsi="Arial" w:cs="Arial"/>
                <w:b/>
                <w:sz w:val="22"/>
                <w:szCs w:val="22"/>
              </w:rPr>
            </w:pPr>
            <w:r>
              <w:rPr>
                <w:rFonts w:hint="default" w:ascii="Arial" w:hAnsi="Arial" w:cs="Arial"/>
                <w:b/>
                <w:sz w:val="22"/>
                <w:szCs w:val="22"/>
              </w:rPr>
              <w:t>DOTAÇÃO</w:t>
            </w:r>
          </w:p>
        </w:tc>
        <w:tc>
          <w:tcPr>
            <w:tcW w:w="2520" w:type="dxa"/>
            <w:shd w:val="clear" w:color="auto" w:fill="auto"/>
          </w:tcPr>
          <w:p w14:paraId="5F6FBF3D">
            <w:pPr>
              <w:pStyle w:val="155"/>
              <w:widowControl w:val="0"/>
              <w:autoSpaceDE w:val="0"/>
              <w:autoSpaceDN w:val="0"/>
              <w:spacing w:after="0" w:line="240" w:lineRule="auto"/>
              <w:jc w:val="center"/>
              <w:rPr>
                <w:rFonts w:hint="default" w:ascii="Arial" w:hAnsi="Arial" w:cs="Arial"/>
                <w:b/>
                <w:sz w:val="22"/>
                <w:szCs w:val="22"/>
              </w:rPr>
            </w:pPr>
            <w:r>
              <w:rPr>
                <w:rFonts w:hint="default" w:ascii="Arial" w:hAnsi="Arial" w:cs="Arial"/>
                <w:b/>
                <w:sz w:val="22"/>
                <w:szCs w:val="22"/>
              </w:rPr>
              <w:t>RECURSO</w:t>
            </w:r>
          </w:p>
        </w:tc>
      </w:tr>
      <w:tr w14:paraId="74D985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5" w:hRule="atLeast"/>
        </w:trPr>
        <w:tc>
          <w:tcPr>
            <w:tcW w:w="2746" w:type="dxa"/>
            <w:shd w:val="clear" w:color="auto" w:fill="auto"/>
            <w:vAlign w:val="center"/>
          </w:tcPr>
          <w:p w14:paraId="57075262">
            <w:pPr>
              <w:pStyle w:val="155"/>
              <w:widowControl w:val="0"/>
              <w:autoSpaceDE w:val="0"/>
              <w:autoSpaceDN w:val="0"/>
              <w:spacing w:after="0" w:line="240" w:lineRule="auto"/>
              <w:jc w:val="center"/>
              <w:rPr>
                <w:rFonts w:hint="default" w:ascii="Arial" w:hAnsi="Arial" w:cs="Arial"/>
                <w:sz w:val="22"/>
                <w:szCs w:val="22"/>
                <w:lang w:val="pt-BR"/>
              </w:rPr>
            </w:pPr>
            <w:r>
              <w:rPr>
                <w:rFonts w:hint="default" w:ascii="Arial" w:hAnsi="Arial" w:cs="Arial"/>
                <w:sz w:val="22"/>
                <w:szCs w:val="22"/>
                <w:lang w:val="pt-BR"/>
              </w:rPr>
              <w:t>SECRETARIA MUNICIPAL DE ADMINISTRAÇÃO E MODERNIZAÇÃO</w:t>
            </w:r>
          </w:p>
        </w:tc>
        <w:tc>
          <w:tcPr>
            <w:tcW w:w="3795" w:type="dxa"/>
            <w:shd w:val="clear" w:color="auto" w:fill="auto"/>
            <w:vAlign w:val="center"/>
          </w:tcPr>
          <w:p w14:paraId="27C1EE5D">
            <w:pPr>
              <w:pStyle w:val="155"/>
              <w:widowControl w:val="0"/>
              <w:autoSpaceDE w:val="0"/>
              <w:autoSpaceDN w:val="0"/>
              <w:spacing w:after="0" w:line="240" w:lineRule="auto"/>
              <w:jc w:val="center"/>
              <w:rPr>
                <w:rFonts w:hint="default" w:ascii="Arial" w:hAnsi="Arial" w:cs="Arial"/>
                <w:sz w:val="22"/>
                <w:szCs w:val="22"/>
              </w:rPr>
            </w:pPr>
            <w:r>
              <w:rPr>
                <w:rFonts w:hint="default" w:ascii="Arial" w:hAnsi="Arial" w:cs="Arial"/>
                <w:sz w:val="22"/>
                <w:szCs w:val="22"/>
                <w:highlight w:val="none"/>
                <w:lang w:val="pt-BR"/>
              </w:rPr>
              <w:t>2031.33.90.40.0000.25000000000</w:t>
            </w:r>
          </w:p>
        </w:tc>
        <w:tc>
          <w:tcPr>
            <w:tcW w:w="2520" w:type="dxa"/>
            <w:shd w:val="clear" w:color="auto" w:fill="auto"/>
            <w:vAlign w:val="center"/>
          </w:tcPr>
          <w:p w14:paraId="0E0760E0">
            <w:pPr>
              <w:pStyle w:val="155"/>
              <w:widowControl w:val="0"/>
              <w:autoSpaceDE w:val="0"/>
              <w:autoSpaceDN w:val="0"/>
              <w:spacing w:after="0" w:line="240" w:lineRule="auto"/>
              <w:jc w:val="center"/>
              <w:rPr>
                <w:rFonts w:hint="default" w:ascii="Arial" w:hAnsi="Arial" w:cs="Arial"/>
                <w:sz w:val="22"/>
                <w:szCs w:val="22"/>
              </w:rPr>
            </w:pPr>
            <w:r>
              <w:rPr>
                <w:rFonts w:hint="default" w:ascii="Arial" w:hAnsi="Arial" w:cs="Arial"/>
                <w:sz w:val="22"/>
                <w:szCs w:val="22"/>
              </w:rPr>
              <w:t>PRÓPRIO (MUNIC</w:t>
            </w:r>
            <w:r>
              <w:rPr>
                <w:rFonts w:hint="default" w:ascii="Arial" w:hAnsi="Arial" w:cs="Arial"/>
                <w:sz w:val="22"/>
                <w:szCs w:val="22"/>
                <w:lang w:val="pt-BR"/>
              </w:rPr>
              <w:t>Í</w:t>
            </w:r>
            <w:r>
              <w:rPr>
                <w:rFonts w:hint="default" w:ascii="Arial" w:hAnsi="Arial" w:cs="Arial"/>
                <w:sz w:val="22"/>
                <w:szCs w:val="22"/>
              </w:rPr>
              <w:t>PIO)</w:t>
            </w:r>
          </w:p>
        </w:tc>
      </w:tr>
    </w:tbl>
    <w:p w14:paraId="70162D47">
      <w:pPr>
        <w:spacing w:line="360" w:lineRule="auto"/>
        <w:jc w:val="both"/>
        <w:rPr>
          <w:rFonts w:ascii="Arial" w:hAnsi="Arial" w:cs="Arial"/>
          <w:b/>
          <w:color w:val="000000"/>
          <w:sz w:val="22"/>
          <w:szCs w:val="22"/>
        </w:rPr>
      </w:pPr>
    </w:p>
    <w:p w14:paraId="63437DBE">
      <w:pPr>
        <w:pBdr>
          <w:top w:val="double" w:color="auto" w:sz="4" w:space="1"/>
          <w:left w:val="double" w:color="auto" w:sz="4" w:space="4"/>
          <w:bottom w:val="double" w:color="auto" w:sz="4" w:space="1"/>
          <w:right w:val="double" w:color="auto" w:sz="4" w:space="4"/>
        </w:pBdr>
        <w:shd w:val="clear" w:color="auto" w:fill="D9D9D9"/>
        <w:tabs>
          <w:tab w:val="left" w:pos="1080"/>
        </w:tabs>
        <w:spacing w:line="360" w:lineRule="auto"/>
        <w:jc w:val="center"/>
        <w:rPr>
          <w:rFonts w:ascii="Arial" w:hAnsi="Arial" w:cs="Arial"/>
          <w:b/>
          <w:sz w:val="22"/>
          <w:szCs w:val="22"/>
        </w:rPr>
      </w:pPr>
      <w:r>
        <w:rPr>
          <w:rFonts w:ascii="Arial" w:hAnsi="Arial" w:cs="Arial"/>
          <w:b/>
          <w:sz w:val="22"/>
          <w:szCs w:val="22"/>
        </w:rPr>
        <w:t>Cláusula Sétima</w:t>
      </w:r>
    </w:p>
    <w:p w14:paraId="523FDB76">
      <w:pPr>
        <w:pBdr>
          <w:top w:val="double" w:color="auto" w:sz="4" w:space="1"/>
          <w:left w:val="double" w:color="auto" w:sz="4" w:space="4"/>
          <w:bottom w:val="double" w:color="auto" w:sz="4" w:space="1"/>
          <w:right w:val="double" w:color="auto" w:sz="4" w:space="4"/>
        </w:pBdr>
        <w:shd w:val="clear" w:color="auto" w:fill="D9D9D9"/>
        <w:tabs>
          <w:tab w:val="left" w:pos="1080"/>
        </w:tabs>
        <w:spacing w:line="360" w:lineRule="auto"/>
        <w:jc w:val="center"/>
        <w:rPr>
          <w:rFonts w:ascii="Arial" w:hAnsi="Arial" w:cs="Arial"/>
          <w:b/>
          <w:sz w:val="22"/>
          <w:szCs w:val="22"/>
        </w:rPr>
      </w:pPr>
      <w:r>
        <w:rPr>
          <w:rFonts w:ascii="Arial" w:hAnsi="Arial" w:cs="Arial"/>
          <w:b/>
          <w:sz w:val="22"/>
          <w:szCs w:val="22"/>
        </w:rPr>
        <w:t>DO REAJUSTAMENTO DE PREÇOS</w:t>
      </w:r>
    </w:p>
    <w:p w14:paraId="5EF010B7">
      <w:pPr>
        <w:keepNext/>
        <w:numPr>
          <w:ilvl w:val="2"/>
          <w:numId w:val="0"/>
        </w:numPr>
        <w:tabs>
          <w:tab w:val="left" w:pos="0"/>
        </w:tabs>
        <w:suppressAutoHyphens/>
        <w:jc w:val="both"/>
        <w:outlineLvl w:val="2"/>
        <w:rPr>
          <w:rFonts w:ascii="Arial" w:hAnsi="Arial" w:cs="Arial"/>
          <w:b/>
          <w:kern w:val="1"/>
          <w:sz w:val="22"/>
          <w:szCs w:val="22"/>
          <w:u w:val="single"/>
          <w:lang w:eastAsia="ar-SA"/>
        </w:rPr>
      </w:pPr>
    </w:p>
    <w:p w14:paraId="5A323E96">
      <w:pPr>
        <w:pStyle w:val="129"/>
        <w:numPr>
          <w:ilvl w:val="1"/>
          <w:numId w:val="23"/>
        </w:numPr>
        <w:spacing w:after="240" w:line="360" w:lineRule="auto"/>
        <w:ind w:left="0" w:leftChars="0" w:firstLine="0" w:firstLineChars="0"/>
        <w:rPr>
          <w:rFonts w:hint="default" w:ascii="Arial" w:hAnsi="Arial" w:cs="Arial"/>
          <w:sz w:val="22"/>
          <w:szCs w:val="22"/>
        </w:rPr>
      </w:pPr>
      <w:r>
        <w:rPr>
          <w:rFonts w:hint="default" w:ascii="Arial" w:hAnsi="Arial" w:cs="Arial"/>
          <w:sz w:val="22"/>
          <w:szCs w:val="22"/>
          <w:lang w:val="pt-BR"/>
        </w:rPr>
        <w:t>O</w:t>
      </w:r>
      <w:r>
        <w:rPr>
          <w:rFonts w:hint="default" w:ascii="Arial" w:hAnsi="Arial" w:cs="Arial"/>
          <w:sz w:val="22"/>
          <w:szCs w:val="22"/>
        </w:rPr>
        <w:t xml:space="preserve"> reajustamento ou repactuação sobre os preços registrados, nos termos da Lei</w:t>
      </w:r>
      <w:r>
        <w:rPr>
          <w:rFonts w:hint="default" w:ascii="Arial" w:hAnsi="Arial" w:cs="Arial"/>
          <w:sz w:val="22"/>
          <w:szCs w:val="22"/>
          <w:lang w:val="pt-BR"/>
        </w:rPr>
        <w:t xml:space="preserve"> Federal</w:t>
      </w:r>
      <w:r>
        <w:rPr>
          <w:rFonts w:hint="default" w:ascii="Arial" w:hAnsi="Arial" w:cs="Arial"/>
          <w:sz w:val="22"/>
          <w:szCs w:val="22"/>
        </w:rPr>
        <w:t xml:space="preserve"> nº 14.133</w:t>
      </w:r>
      <w:r>
        <w:rPr>
          <w:rFonts w:hint="default" w:ascii="Arial" w:hAnsi="Arial" w:cs="Arial"/>
          <w:sz w:val="22"/>
          <w:szCs w:val="22"/>
          <w:lang w:val="pt-BR"/>
        </w:rPr>
        <w:t>/</w:t>
      </w:r>
      <w:r>
        <w:rPr>
          <w:rFonts w:hint="default" w:ascii="Arial" w:hAnsi="Arial" w:cs="Arial"/>
          <w:sz w:val="22"/>
          <w:szCs w:val="22"/>
        </w:rPr>
        <w:t>2021</w:t>
      </w:r>
      <w:r>
        <w:rPr>
          <w:rFonts w:hint="default" w:ascii="Arial" w:hAnsi="Arial" w:cs="Arial"/>
          <w:sz w:val="22"/>
          <w:szCs w:val="22"/>
          <w:lang w:val="pt-BR"/>
        </w:rPr>
        <w:t>, ocorrerá conforme a seguir:</w:t>
      </w:r>
    </w:p>
    <w:p w14:paraId="36F81851">
      <w:pPr>
        <w:pStyle w:val="129"/>
        <w:numPr>
          <w:ilvl w:val="1"/>
          <w:numId w:val="23"/>
        </w:numPr>
        <w:spacing w:after="240" w:line="360" w:lineRule="auto"/>
        <w:ind w:left="0" w:leftChars="0" w:firstLine="0" w:firstLineChars="0"/>
        <w:rPr>
          <w:rFonts w:hint="default" w:ascii="Arial" w:hAnsi="Arial" w:cs="Arial"/>
          <w:sz w:val="22"/>
          <w:szCs w:val="22"/>
        </w:rPr>
      </w:pPr>
      <w:r>
        <w:rPr>
          <w:rFonts w:hint="default" w:ascii="Arial" w:hAnsi="Arial" w:cs="Arial"/>
          <w:sz w:val="22"/>
          <w:szCs w:val="22"/>
        </w:rPr>
        <w:t>No caso do reajustamento, deverá ser respeitada a contagem da anualidade e o índice previstos para a contratação;</w:t>
      </w:r>
    </w:p>
    <w:p w14:paraId="4D83558A">
      <w:pPr>
        <w:pStyle w:val="129"/>
        <w:numPr>
          <w:ilvl w:val="1"/>
          <w:numId w:val="23"/>
        </w:numPr>
        <w:spacing w:after="240" w:line="360" w:lineRule="auto"/>
        <w:ind w:left="0" w:leftChars="0" w:firstLine="0" w:firstLineChars="0"/>
        <w:rPr>
          <w:rFonts w:hint="default" w:ascii="Arial" w:hAnsi="Arial" w:cs="Arial"/>
          <w:sz w:val="22"/>
          <w:szCs w:val="22"/>
          <w:lang w:val="pt-BR"/>
        </w:rPr>
      </w:pPr>
      <w:r>
        <w:rPr>
          <w:rFonts w:hint="default" w:ascii="Arial" w:hAnsi="Arial" w:cs="Arial"/>
          <w:sz w:val="22"/>
          <w:szCs w:val="22"/>
        </w:rPr>
        <w:t>No caso da repactuação, poderá ser a pedido do interessado, conforme critérios definidos para a contratação.</w:t>
      </w:r>
    </w:p>
    <w:p w14:paraId="1598B311">
      <w:pPr>
        <w:pStyle w:val="129"/>
        <w:numPr>
          <w:ilvl w:val="1"/>
          <w:numId w:val="23"/>
        </w:numPr>
        <w:spacing w:after="240" w:line="360" w:lineRule="auto"/>
        <w:ind w:left="0" w:leftChars="0" w:firstLine="0" w:firstLineChars="0"/>
        <w:rPr>
          <w:rFonts w:hint="default" w:ascii="Arial" w:hAnsi="Arial" w:cs="Arial"/>
          <w:sz w:val="22"/>
          <w:szCs w:val="22"/>
          <w:lang w:val="pt-BR"/>
        </w:rPr>
      </w:pPr>
      <w:r>
        <w:rPr>
          <w:rFonts w:hint="default" w:ascii="Arial" w:hAnsi="Arial" w:cs="Arial"/>
          <w:sz w:val="22"/>
          <w:szCs w:val="22"/>
          <w:lang w:val="pt-BR"/>
        </w:rPr>
        <w:t>Os preços inicialmente contratados são fixos e irreajustáveis no prazo de um ano contado da data do orçamento estimado, realizado em Maio/2024.</w:t>
      </w:r>
    </w:p>
    <w:p w14:paraId="3680FA70">
      <w:pPr>
        <w:pStyle w:val="129"/>
        <w:numPr>
          <w:ilvl w:val="1"/>
          <w:numId w:val="23"/>
        </w:numPr>
        <w:spacing w:after="240" w:line="360" w:lineRule="auto"/>
        <w:ind w:left="0" w:leftChars="0" w:firstLine="0" w:firstLineChars="0"/>
        <w:rPr>
          <w:rFonts w:hint="default" w:ascii="Arial" w:hAnsi="Arial" w:cs="Arial"/>
          <w:sz w:val="22"/>
          <w:szCs w:val="22"/>
          <w:lang w:val="pt-BR"/>
        </w:rPr>
      </w:pPr>
      <w:r>
        <w:rPr>
          <w:rFonts w:hint="default" w:ascii="Arial" w:hAnsi="Arial" w:cs="Arial"/>
          <w:sz w:val="22"/>
          <w:szCs w:val="22"/>
          <w:lang w:val="pt-BR"/>
        </w:rPr>
        <w:t>Após o interregno de um ano, e independentemente de pedido do contratado, os preços iniciais serão reajustados, mediante a aplicação, pelo contratante, do Índice Nacional de Preços ao Consumidor Amplo - IPCA/IBGE, exclusivamente para as obrigações iniciadas e concluídas após a ocorrência da anualidade.</w:t>
      </w:r>
    </w:p>
    <w:p w14:paraId="30559445">
      <w:pPr>
        <w:pStyle w:val="129"/>
        <w:numPr>
          <w:ilvl w:val="1"/>
          <w:numId w:val="23"/>
        </w:numPr>
        <w:spacing w:after="240" w:line="360" w:lineRule="auto"/>
        <w:ind w:left="0" w:leftChars="0" w:firstLine="0" w:firstLineChars="0"/>
        <w:rPr>
          <w:rFonts w:hint="default" w:ascii="Arial" w:hAnsi="Arial" w:cs="Arial"/>
          <w:sz w:val="22"/>
          <w:szCs w:val="22"/>
          <w:lang w:val="pt-BR"/>
        </w:rPr>
      </w:pPr>
      <w:r>
        <w:rPr>
          <w:rFonts w:hint="default" w:ascii="Arial" w:hAnsi="Arial" w:cs="Arial"/>
          <w:sz w:val="22"/>
          <w:szCs w:val="22"/>
          <w:lang w:val="pt-BR"/>
        </w:rPr>
        <w:t>Nos reajustes subsequentes ao primeiro, o interregno mínimo de um ano será contado a partir dos efeitos financeiros do último reajuste.</w:t>
      </w:r>
    </w:p>
    <w:p w14:paraId="694B556B">
      <w:pPr>
        <w:pStyle w:val="129"/>
        <w:numPr>
          <w:ilvl w:val="1"/>
          <w:numId w:val="23"/>
        </w:numPr>
        <w:spacing w:after="240" w:line="360" w:lineRule="auto"/>
        <w:ind w:left="0" w:leftChars="0" w:firstLine="0" w:firstLineChars="0"/>
        <w:rPr>
          <w:rFonts w:hint="default" w:ascii="Arial" w:hAnsi="Arial" w:cs="Arial"/>
          <w:sz w:val="22"/>
          <w:szCs w:val="22"/>
          <w:lang w:val="pt-BR"/>
        </w:rPr>
      </w:pPr>
      <w:r>
        <w:rPr>
          <w:rFonts w:hint="default" w:ascii="Arial" w:hAnsi="Arial" w:cs="Arial"/>
          <w:sz w:val="22"/>
          <w:szCs w:val="22"/>
          <w:lang w:val="pt-BR"/>
        </w:rPr>
        <w:t>No caso de atraso ou não divulgação do(s) índice(s) de reajustamento, o contratante pagará ao contratado a importância calculada pela última variação conhecida, liquidando a diferença correspondente tão logo seja(m) divulgado(s) o(s) índice(s) definitivo(s).</w:t>
      </w:r>
    </w:p>
    <w:p w14:paraId="31349EBE">
      <w:pPr>
        <w:pStyle w:val="129"/>
        <w:numPr>
          <w:ilvl w:val="1"/>
          <w:numId w:val="23"/>
        </w:numPr>
        <w:spacing w:after="240" w:line="360" w:lineRule="auto"/>
        <w:ind w:left="0" w:leftChars="0" w:firstLine="0" w:firstLineChars="0"/>
        <w:rPr>
          <w:rFonts w:hint="default" w:ascii="Arial" w:hAnsi="Arial" w:cs="Arial"/>
          <w:sz w:val="22"/>
          <w:szCs w:val="22"/>
          <w:lang w:val="pt-BR"/>
        </w:rPr>
      </w:pPr>
      <w:r>
        <w:rPr>
          <w:rFonts w:hint="default" w:ascii="Arial" w:hAnsi="Arial" w:cs="Arial"/>
          <w:sz w:val="22"/>
          <w:szCs w:val="22"/>
          <w:lang w:val="pt-BR"/>
        </w:rPr>
        <w:t>Nas aferições finais, o(s) índice(s) utilizado(s) para reajuste será(ão), obrigatoriamente, o(s) definitivo(s).</w:t>
      </w:r>
    </w:p>
    <w:p w14:paraId="2D9EA40A">
      <w:pPr>
        <w:pStyle w:val="129"/>
        <w:numPr>
          <w:ilvl w:val="1"/>
          <w:numId w:val="23"/>
        </w:numPr>
        <w:spacing w:after="240" w:line="360" w:lineRule="auto"/>
        <w:ind w:left="0" w:leftChars="0" w:firstLine="0" w:firstLineChars="0"/>
        <w:rPr>
          <w:rFonts w:hint="default" w:ascii="Arial" w:hAnsi="Arial" w:cs="Arial"/>
          <w:sz w:val="22"/>
          <w:szCs w:val="22"/>
          <w:lang w:val="pt-BR"/>
        </w:rPr>
      </w:pPr>
      <w:r>
        <w:rPr>
          <w:rFonts w:hint="default" w:ascii="Arial" w:hAnsi="Arial" w:cs="Arial"/>
          <w:sz w:val="22"/>
          <w:szCs w:val="22"/>
          <w:lang w:val="pt-BR"/>
        </w:rPr>
        <w:t>Caso o(s) índice(s) estabelecido(s) para reajustamento venha(m) a ser extinto(s) ou de qualquer forma não possa(m) mais ser utilizado(s), será(ão) adotado(s), em substituição, o(s) que vier(em) a ser determinado(s) pela legislação então em vigor.</w:t>
      </w:r>
    </w:p>
    <w:p w14:paraId="6429C032">
      <w:pPr>
        <w:pStyle w:val="129"/>
        <w:numPr>
          <w:ilvl w:val="1"/>
          <w:numId w:val="23"/>
        </w:numPr>
        <w:spacing w:after="240" w:line="360" w:lineRule="auto"/>
        <w:ind w:left="0" w:leftChars="0" w:firstLine="0" w:firstLineChars="0"/>
        <w:rPr>
          <w:rFonts w:hint="default" w:ascii="Arial" w:hAnsi="Arial" w:cs="Arial"/>
          <w:szCs w:val="22"/>
        </w:rPr>
      </w:pPr>
      <w:r>
        <w:rPr>
          <w:rFonts w:hint="default" w:ascii="Arial" w:hAnsi="Arial" w:cs="Arial"/>
          <w:sz w:val="22"/>
          <w:szCs w:val="22"/>
          <w:lang w:val="pt-BR"/>
        </w:rPr>
        <w:t>Na ausência de previsão legal quanto ao índice substituto, as partes elegerão novo índice oficial, para reajustamento do preço do valor remanescente, por meio de termo aditivo.</w:t>
      </w:r>
    </w:p>
    <w:p w14:paraId="7CA4FF3A">
      <w:pPr>
        <w:pStyle w:val="129"/>
        <w:numPr>
          <w:ilvl w:val="1"/>
          <w:numId w:val="23"/>
        </w:numPr>
        <w:spacing w:after="240" w:line="360" w:lineRule="auto"/>
        <w:ind w:left="0" w:leftChars="0" w:firstLine="0" w:firstLineChars="0"/>
        <w:rPr>
          <w:rFonts w:hint="default" w:ascii="Arial" w:hAnsi="Arial" w:cs="Arial"/>
          <w:szCs w:val="22"/>
        </w:rPr>
      </w:pPr>
      <w:r>
        <w:rPr>
          <w:rFonts w:hint="default" w:ascii="Arial" w:hAnsi="Arial" w:cs="Arial"/>
          <w:sz w:val="22"/>
          <w:szCs w:val="22"/>
          <w:lang w:val="pt-BR"/>
        </w:rPr>
        <w:t>O reajuste será realizado por apostilamento.</w:t>
      </w:r>
    </w:p>
    <w:p w14:paraId="7CA4BB66">
      <w:pPr>
        <w:pBdr>
          <w:top w:val="double" w:color="auto" w:sz="4" w:space="1"/>
          <w:left w:val="double" w:color="auto" w:sz="4" w:space="4"/>
          <w:bottom w:val="double" w:color="auto" w:sz="4" w:space="1"/>
          <w:right w:val="double" w:color="auto" w:sz="4" w:space="4"/>
        </w:pBdr>
        <w:shd w:val="clear" w:color="auto" w:fill="D9D9D9"/>
        <w:tabs>
          <w:tab w:val="left" w:pos="1080"/>
        </w:tabs>
        <w:spacing w:line="360" w:lineRule="auto"/>
        <w:jc w:val="center"/>
        <w:rPr>
          <w:rFonts w:ascii="Arial" w:hAnsi="Arial" w:cs="Arial"/>
          <w:b/>
          <w:sz w:val="22"/>
          <w:szCs w:val="22"/>
        </w:rPr>
      </w:pPr>
      <w:r>
        <w:rPr>
          <w:rFonts w:ascii="Arial" w:hAnsi="Arial" w:cs="Arial"/>
          <w:b/>
          <w:sz w:val="22"/>
          <w:szCs w:val="22"/>
        </w:rPr>
        <w:t>Cláusula Oitava</w:t>
      </w:r>
    </w:p>
    <w:p w14:paraId="441A8F14">
      <w:pPr>
        <w:pBdr>
          <w:top w:val="double" w:color="auto" w:sz="4" w:space="1"/>
          <w:left w:val="double" w:color="auto" w:sz="4" w:space="4"/>
          <w:bottom w:val="double" w:color="auto" w:sz="4" w:space="1"/>
          <w:right w:val="double" w:color="auto" w:sz="4" w:space="4"/>
        </w:pBdr>
        <w:shd w:val="clear" w:color="auto" w:fill="D9D9D9"/>
        <w:tabs>
          <w:tab w:val="left" w:pos="1080"/>
        </w:tabs>
        <w:spacing w:line="360" w:lineRule="auto"/>
        <w:jc w:val="center"/>
        <w:rPr>
          <w:rFonts w:ascii="Arial" w:hAnsi="Arial" w:cs="Arial"/>
          <w:b/>
          <w:sz w:val="22"/>
          <w:szCs w:val="22"/>
        </w:rPr>
      </w:pPr>
      <w:r>
        <w:rPr>
          <w:rFonts w:ascii="Arial" w:hAnsi="Arial" w:cs="Arial"/>
          <w:b/>
          <w:sz w:val="22"/>
          <w:szCs w:val="22"/>
        </w:rPr>
        <w:t>DAS OBRIGAÇÕES DA CONTRATANTE</w:t>
      </w:r>
    </w:p>
    <w:p w14:paraId="35570680">
      <w:pPr>
        <w:pStyle w:val="154"/>
        <w:numPr>
          <w:ilvl w:val="0"/>
          <w:numId w:val="0"/>
        </w:numPr>
        <w:tabs>
          <w:tab w:val="left" w:pos="426"/>
        </w:tabs>
        <w:spacing w:line="360" w:lineRule="auto"/>
        <w:ind w:leftChars="0"/>
        <w:jc w:val="both"/>
        <w:rPr>
          <w:rFonts w:hint="default" w:ascii="Arial" w:hAnsi="Arial" w:cs="Arial"/>
          <w:sz w:val="22"/>
          <w:szCs w:val="22"/>
        </w:rPr>
      </w:pPr>
      <w:r>
        <w:rPr>
          <w:rFonts w:hint="default" w:ascii="Arial" w:hAnsi="Arial" w:cs="Arial"/>
          <w:b/>
          <w:bCs/>
          <w:sz w:val="22"/>
          <w:szCs w:val="22"/>
          <w:lang w:val="pt-BR"/>
        </w:rPr>
        <w:t>8.1.</w:t>
      </w:r>
      <w:r>
        <w:rPr>
          <w:rFonts w:hint="default" w:ascii="Arial" w:hAnsi="Arial" w:cs="Arial"/>
          <w:sz w:val="22"/>
          <w:szCs w:val="22"/>
          <w:lang w:val="pt-BR"/>
        </w:rPr>
        <w:t xml:space="preserve"> </w:t>
      </w:r>
      <w:r>
        <w:rPr>
          <w:rFonts w:hint="default" w:ascii="Arial" w:hAnsi="Arial" w:cs="Arial"/>
          <w:sz w:val="22"/>
          <w:szCs w:val="22"/>
        </w:rPr>
        <w:t>Tornar disponíveis os locais onde serão instalados os equipamentos, permitindo o acesso dos empregados da empresa CONTRATADA às suas dependências para execução dos serviços referentes ao objeto.</w:t>
      </w:r>
    </w:p>
    <w:p w14:paraId="6622DA57">
      <w:pPr>
        <w:pStyle w:val="154"/>
        <w:numPr>
          <w:ilvl w:val="0"/>
          <w:numId w:val="0"/>
        </w:numPr>
        <w:tabs>
          <w:tab w:val="left" w:pos="426"/>
        </w:tabs>
        <w:spacing w:line="360" w:lineRule="auto"/>
        <w:ind w:leftChars="0"/>
        <w:jc w:val="both"/>
        <w:rPr>
          <w:rFonts w:hint="default" w:ascii="Arial" w:hAnsi="Arial" w:cs="Arial"/>
          <w:sz w:val="22"/>
          <w:szCs w:val="22"/>
        </w:rPr>
      </w:pPr>
      <w:r>
        <w:rPr>
          <w:rFonts w:hint="default" w:ascii="Arial" w:hAnsi="Arial" w:cs="Arial"/>
          <w:b/>
          <w:bCs/>
          <w:sz w:val="22"/>
          <w:szCs w:val="22"/>
          <w:lang w:val="pt-BR"/>
        </w:rPr>
        <w:t>8.2.</w:t>
      </w:r>
      <w:r>
        <w:rPr>
          <w:rFonts w:hint="default" w:ascii="Arial" w:hAnsi="Arial" w:cs="Arial"/>
          <w:sz w:val="22"/>
          <w:szCs w:val="22"/>
          <w:lang w:val="pt-BR"/>
        </w:rPr>
        <w:t xml:space="preserve"> </w:t>
      </w:r>
      <w:r>
        <w:rPr>
          <w:rFonts w:hint="default" w:ascii="Arial" w:hAnsi="Arial" w:cs="Arial"/>
          <w:sz w:val="22"/>
          <w:szCs w:val="22"/>
        </w:rPr>
        <w:t xml:space="preserve">Prestar todas as informações e os esclarecimentos solicitados pela CONTRATADA. </w:t>
      </w:r>
    </w:p>
    <w:p w14:paraId="4C7EBA26">
      <w:pPr>
        <w:pStyle w:val="154"/>
        <w:numPr>
          <w:ilvl w:val="0"/>
          <w:numId w:val="0"/>
        </w:numPr>
        <w:tabs>
          <w:tab w:val="left" w:pos="426"/>
        </w:tabs>
        <w:spacing w:line="360" w:lineRule="auto"/>
        <w:ind w:leftChars="0"/>
        <w:jc w:val="both"/>
        <w:rPr>
          <w:rFonts w:hint="default" w:ascii="Arial" w:hAnsi="Arial" w:cs="Arial"/>
          <w:sz w:val="22"/>
          <w:szCs w:val="22"/>
        </w:rPr>
      </w:pPr>
      <w:r>
        <w:rPr>
          <w:rFonts w:hint="default" w:ascii="Arial" w:hAnsi="Arial" w:cs="Arial"/>
          <w:b/>
          <w:bCs/>
          <w:sz w:val="22"/>
          <w:szCs w:val="22"/>
          <w:lang w:val="pt-BR"/>
        </w:rPr>
        <w:t>8.3.</w:t>
      </w:r>
      <w:r>
        <w:rPr>
          <w:rFonts w:hint="default" w:ascii="Arial" w:hAnsi="Arial" w:cs="Arial"/>
          <w:sz w:val="22"/>
          <w:szCs w:val="22"/>
          <w:lang w:val="pt-BR"/>
        </w:rPr>
        <w:t xml:space="preserve"> </w:t>
      </w:r>
      <w:r>
        <w:rPr>
          <w:rFonts w:hint="default" w:ascii="Arial" w:hAnsi="Arial" w:cs="Arial"/>
          <w:sz w:val="22"/>
          <w:szCs w:val="22"/>
        </w:rPr>
        <w:t>Comunicar a CONTRATADA toda e quaisquer ocorrências relacionadas com o fornecimento e instalação dos equipamentos.</w:t>
      </w:r>
    </w:p>
    <w:p w14:paraId="64CDC14D">
      <w:pPr>
        <w:pStyle w:val="154"/>
        <w:numPr>
          <w:ilvl w:val="0"/>
          <w:numId w:val="0"/>
        </w:numPr>
        <w:tabs>
          <w:tab w:val="left" w:pos="426"/>
        </w:tabs>
        <w:spacing w:line="360" w:lineRule="auto"/>
        <w:ind w:leftChars="0"/>
        <w:jc w:val="both"/>
        <w:rPr>
          <w:rFonts w:hint="default" w:ascii="Arial" w:hAnsi="Arial" w:cs="Arial"/>
          <w:sz w:val="22"/>
          <w:szCs w:val="22"/>
        </w:rPr>
      </w:pPr>
      <w:r>
        <w:rPr>
          <w:rFonts w:hint="default" w:ascii="Arial" w:hAnsi="Arial" w:cs="Arial"/>
          <w:b/>
          <w:bCs/>
          <w:sz w:val="22"/>
          <w:szCs w:val="22"/>
          <w:lang w:val="pt-BR"/>
        </w:rPr>
        <w:t>8.4.</w:t>
      </w:r>
      <w:r>
        <w:rPr>
          <w:rFonts w:hint="default" w:ascii="Arial" w:hAnsi="Arial" w:cs="Arial"/>
          <w:sz w:val="22"/>
          <w:szCs w:val="22"/>
          <w:lang w:val="pt-BR"/>
        </w:rPr>
        <w:t xml:space="preserve"> </w:t>
      </w:r>
      <w:r>
        <w:rPr>
          <w:rFonts w:hint="default" w:ascii="Arial" w:hAnsi="Arial" w:cs="Arial"/>
          <w:sz w:val="22"/>
          <w:szCs w:val="22"/>
        </w:rPr>
        <w:t>Fiscalizar a entrega e instalação do Centro de Processamento de Dados, podendo sustar, recusar, solicitar fazer ou desfazer qualquer entrega ou serviços, no todo ou em parte, que não esteja de acordo com as condições e exigências estabelecidas neste Termo de Referência.</w:t>
      </w:r>
    </w:p>
    <w:p w14:paraId="457668EE">
      <w:pPr>
        <w:pStyle w:val="154"/>
        <w:numPr>
          <w:ilvl w:val="0"/>
          <w:numId w:val="0"/>
        </w:numPr>
        <w:tabs>
          <w:tab w:val="left" w:pos="426"/>
        </w:tabs>
        <w:spacing w:line="360" w:lineRule="auto"/>
        <w:ind w:leftChars="0"/>
        <w:jc w:val="both"/>
        <w:rPr>
          <w:rFonts w:hint="default" w:ascii="Arial" w:hAnsi="Arial" w:cs="Arial"/>
          <w:sz w:val="22"/>
          <w:szCs w:val="22"/>
        </w:rPr>
      </w:pPr>
      <w:r>
        <w:rPr>
          <w:rFonts w:hint="default" w:ascii="Arial" w:hAnsi="Arial" w:cs="Arial"/>
          <w:b/>
          <w:bCs/>
          <w:sz w:val="22"/>
          <w:szCs w:val="22"/>
          <w:lang w:val="pt-BR"/>
        </w:rPr>
        <w:t>8.5.</w:t>
      </w:r>
      <w:r>
        <w:rPr>
          <w:rFonts w:hint="default" w:ascii="Arial" w:hAnsi="Arial" w:cs="Arial"/>
          <w:sz w:val="22"/>
          <w:szCs w:val="22"/>
          <w:lang w:val="pt-BR"/>
        </w:rPr>
        <w:t xml:space="preserve"> </w:t>
      </w:r>
      <w:r>
        <w:rPr>
          <w:rFonts w:hint="default" w:ascii="Arial" w:hAnsi="Arial" w:cs="Arial"/>
          <w:sz w:val="22"/>
          <w:szCs w:val="22"/>
        </w:rPr>
        <w:t>Emitir relatórios sobre os atos relativos à execução do contrato que vier a ser firmado, em especial quanto ao acompanhamento e fiscalização da execução dos serviços, à exigência de condições estabelecidas e proposta de aplicação de sanções.</w:t>
      </w:r>
    </w:p>
    <w:p w14:paraId="245BE565">
      <w:pPr>
        <w:pStyle w:val="154"/>
        <w:numPr>
          <w:ilvl w:val="0"/>
          <w:numId w:val="0"/>
        </w:numPr>
        <w:tabs>
          <w:tab w:val="left" w:pos="426"/>
        </w:tabs>
        <w:spacing w:line="360" w:lineRule="auto"/>
        <w:ind w:leftChars="0"/>
        <w:jc w:val="both"/>
        <w:rPr>
          <w:rFonts w:hint="default" w:ascii="Arial" w:hAnsi="Arial" w:cs="Arial"/>
          <w:bCs/>
          <w:sz w:val="22"/>
          <w:szCs w:val="22"/>
          <w:highlight w:val="none"/>
        </w:rPr>
      </w:pPr>
      <w:r>
        <w:rPr>
          <w:rFonts w:hint="default" w:ascii="Arial" w:hAnsi="Arial" w:cs="Arial"/>
          <w:b/>
          <w:bCs/>
          <w:sz w:val="22"/>
          <w:szCs w:val="22"/>
          <w:lang w:val="pt-BR"/>
        </w:rPr>
        <w:t>8.6.</w:t>
      </w:r>
      <w:r>
        <w:rPr>
          <w:rFonts w:hint="default" w:ascii="Arial" w:hAnsi="Arial" w:cs="Arial"/>
          <w:sz w:val="22"/>
          <w:szCs w:val="22"/>
          <w:lang w:val="pt-BR"/>
        </w:rPr>
        <w:t xml:space="preserve"> </w:t>
      </w:r>
      <w:r>
        <w:rPr>
          <w:rFonts w:hint="default" w:ascii="Arial" w:hAnsi="Arial" w:cs="Arial"/>
          <w:bCs/>
          <w:sz w:val="22"/>
          <w:szCs w:val="22"/>
          <w:highlight w:val="none"/>
        </w:rPr>
        <w:t>Atestar nas Notas Fiscais e/ou fatura a efetiva entrega do objeto desta licitação.</w:t>
      </w:r>
    </w:p>
    <w:p w14:paraId="27E8F104">
      <w:pPr>
        <w:pStyle w:val="154"/>
        <w:numPr>
          <w:ilvl w:val="0"/>
          <w:numId w:val="0"/>
        </w:numPr>
        <w:tabs>
          <w:tab w:val="left" w:pos="426"/>
        </w:tabs>
        <w:spacing w:line="360" w:lineRule="auto"/>
        <w:ind w:leftChars="0"/>
        <w:jc w:val="both"/>
        <w:rPr>
          <w:rFonts w:hint="default" w:ascii="Arial" w:hAnsi="Arial" w:cs="Arial"/>
          <w:sz w:val="22"/>
          <w:szCs w:val="22"/>
          <w:highlight w:val="none"/>
        </w:rPr>
      </w:pPr>
      <w:r>
        <w:rPr>
          <w:rFonts w:hint="default" w:ascii="Arial" w:hAnsi="Arial" w:cs="Arial"/>
          <w:b/>
          <w:bCs w:val="0"/>
          <w:sz w:val="22"/>
          <w:szCs w:val="22"/>
          <w:highlight w:val="none"/>
          <w:lang w:val="pt-BR"/>
        </w:rPr>
        <w:t>8.7.</w:t>
      </w:r>
      <w:r>
        <w:rPr>
          <w:rFonts w:hint="default" w:ascii="Arial" w:hAnsi="Arial" w:cs="Arial"/>
          <w:bCs/>
          <w:sz w:val="22"/>
          <w:szCs w:val="22"/>
          <w:highlight w:val="none"/>
          <w:lang w:val="pt-BR"/>
        </w:rPr>
        <w:t xml:space="preserve"> </w:t>
      </w:r>
      <w:r>
        <w:rPr>
          <w:rFonts w:hint="default" w:ascii="Arial" w:hAnsi="Arial" w:cs="Arial"/>
          <w:sz w:val="22"/>
          <w:szCs w:val="22"/>
          <w:highlight w:val="none"/>
        </w:rPr>
        <w:t>Promover o acompanhamento e a fiscalização da execução do objeto do presente Termo de Referência, sob o aspecto quantitativo e qualitativo, anotando em registro próprio as falhas e ocorrências detectadas.</w:t>
      </w:r>
    </w:p>
    <w:p w14:paraId="364A6618">
      <w:pPr>
        <w:pStyle w:val="154"/>
        <w:numPr>
          <w:ilvl w:val="0"/>
          <w:numId w:val="0"/>
        </w:numPr>
        <w:tabs>
          <w:tab w:val="left" w:pos="426"/>
        </w:tabs>
        <w:spacing w:line="360" w:lineRule="auto"/>
        <w:ind w:leftChars="0"/>
        <w:jc w:val="both"/>
        <w:rPr>
          <w:rFonts w:hint="default" w:ascii="Arial" w:hAnsi="Arial" w:cs="Arial"/>
          <w:sz w:val="22"/>
          <w:szCs w:val="22"/>
          <w:highlight w:val="none"/>
        </w:rPr>
      </w:pPr>
      <w:r>
        <w:rPr>
          <w:rFonts w:hint="default" w:ascii="Arial" w:hAnsi="Arial" w:cs="Arial"/>
          <w:b/>
          <w:bCs/>
          <w:sz w:val="22"/>
          <w:szCs w:val="22"/>
          <w:highlight w:val="none"/>
          <w:lang w:val="pt-BR"/>
        </w:rPr>
        <w:t>8.8.</w:t>
      </w:r>
      <w:r>
        <w:rPr>
          <w:rFonts w:hint="default" w:ascii="Arial" w:hAnsi="Arial" w:cs="Arial"/>
          <w:sz w:val="22"/>
          <w:szCs w:val="22"/>
          <w:highlight w:val="none"/>
          <w:lang w:val="pt-BR"/>
        </w:rPr>
        <w:t xml:space="preserve"> </w:t>
      </w:r>
      <w:r>
        <w:rPr>
          <w:rFonts w:hint="default" w:ascii="Arial" w:hAnsi="Arial" w:cs="Arial"/>
          <w:sz w:val="22"/>
          <w:szCs w:val="22"/>
          <w:highlight w:val="none"/>
        </w:rPr>
        <w:t>A Contratante não responderá por quaisquer compromissos assumidos pela Contratada com terceiros, bem como por qualquer dano causado a terceiros em decorrência de ato da Contratada, de seus empregados, prepostos ou subordinados.</w:t>
      </w:r>
    </w:p>
    <w:p w14:paraId="1468CD58">
      <w:pPr>
        <w:pStyle w:val="154"/>
        <w:numPr>
          <w:ilvl w:val="0"/>
          <w:numId w:val="0"/>
        </w:numPr>
        <w:tabs>
          <w:tab w:val="left" w:pos="426"/>
        </w:tabs>
        <w:spacing w:line="360" w:lineRule="auto"/>
        <w:ind w:leftChars="0"/>
        <w:jc w:val="both"/>
        <w:rPr>
          <w:rFonts w:hint="default" w:ascii="Arial" w:hAnsi="Arial" w:cs="Arial"/>
          <w:sz w:val="22"/>
          <w:szCs w:val="22"/>
          <w:highlight w:val="none"/>
        </w:rPr>
      </w:pPr>
      <w:r>
        <w:rPr>
          <w:rFonts w:hint="default" w:ascii="Arial" w:hAnsi="Arial" w:cs="Arial"/>
          <w:b/>
          <w:bCs/>
          <w:sz w:val="22"/>
          <w:szCs w:val="22"/>
          <w:highlight w:val="none"/>
          <w:lang w:val="pt-BR"/>
        </w:rPr>
        <w:t>8.9.</w:t>
      </w:r>
      <w:r>
        <w:rPr>
          <w:rFonts w:hint="default" w:ascii="Arial" w:hAnsi="Arial" w:cs="Arial"/>
          <w:sz w:val="22"/>
          <w:szCs w:val="22"/>
          <w:highlight w:val="none"/>
          <w:lang w:val="pt-BR"/>
        </w:rPr>
        <w:t xml:space="preserve"> </w:t>
      </w:r>
      <w:r>
        <w:rPr>
          <w:rFonts w:hint="default" w:ascii="Arial" w:hAnsi="Arial" w:cs="Arial"/>
          <w:sz w:val="22"/>
          <w:szCs w:val="22"/>
          <w:highlight w:val="none"/>
        </w:rPr>
        <w:t>Fornecer todo tipo de informação interna essencial à realização dos fornecimentos.</w:t>
      </w:r>
    </w:p>
    <w:p w14:paraId="6F4D8E6B">
      <w:pPr>
        <w:pStyle w:val="154"/>
        <w:numPr>
          <w:ilvl w:val="0"/>
          <w:numId w:val="0"/>
        </w:numPr>
        <w:tabs>
          <w:tab w:val="left" w:pos="426"/>
        </w:tabs>
        <w:spacing w:line="360" w:lineRule="auto"/>
        <w:ind w:leftChars="0"/>
        <w:jc w:val="both"/>
        <w:rPr>
          <w:rFonts w:hint="default" w:ascii="Arial" w:hAnsi="Arial" w:cs="Arial"/>
          <w:sz w:val="22"/>
          <w:szCs w:val="22"/>
          <w:highlight w:val="none"/>
        </w:rPr>
      </w:pPr>
      <w:r>
        <w:rPr>
          <w:rFonts w:hint="default" w:ascii="Arial" w:hAnsi="Arial" w:cs="Arial"/>
          <w:b/>
          <w:bCs/>
          <w:sz w:val="22"/>
          <w:szCs w:val="22"/>
          <w:highlight w:val="none"/>
          <w:lang w:val="pt-BR"/>
        </w:rPr>
        <w:t>8.10.</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Conferir toda a documentação, especificação do produto, quantidade e qualidade </w:t>
      </w:r>
      <w:r>
        <w:rPr>
          <w:rFonts w:hint="default" w:ascii="Arial" w:hAnsi="Arial" w:cs="Arial"/>
          <w:sz w:val="22"/>
          <w:szCs w:val="22"/>
          <w:highlight w:val="none"/>
          <w:lang w:val="pt-BR"/>
        </w:rPr>
        <w:t>t</w:t>
      </w:r>
      <w:r>
        <w:rPr>
          <w:rFonts w:hint="default" w:ascii="Arial" w:hAnsi="Arial" w:cs="Arial"/>
          <w:sz w:val="22"/>
          <w:szCs w:val="22"/>
          <w:highlight w:val="none"/>
        </w:rPr>
        <w:t>écnica gerada e apresentada durante a execução do objeto, efetuando o seu atesto quando a mesma estiver em conformidade com os padrões de informação e qualidade exigidos.</w:t>
      </w:r>
    </w:p>
    <w:p w14:paraId="409F32BA">
      <w:pPr>
        <w:pStyle w:val="154"/>
        <w:numPr>
          <w:ilvl w:val="0"/>
          <w:numId w:val="0"/>
        </w:numPr>
        <w:tabs>
          <w:tab w:val="left" w:pos="426"/>
        </w:tabs>
        <w:spacing w:line="360" w:lineRule="auto"/>
        <w:ind w:leftChars="0"/>
        <w:jc w:val="both"/>
        <w:rPr>
          <w:rFonts w:hint="default" w:ascii="Arial" w:hAnsi="Arial" w:cs="Arial"/>
          <w:sz w:val="22"/>
          <w:szCs w:val="22"/>
          <w:highlight w:val="none"/>
          <w:lang w:val="pt-BR"/>
        </w:rPr>
      </w:pPr>
      <w:r>
        <w:rPr>
          <w:rFonts w:hint="default" w:ascii="Arial" w:hAnsi="Arial" w:cs="Arial"/>
          <w:b/>
          <w:bCs/>
          <w:sz w:val="22"/>
          <w:szCs w:val="22"/>
          <w:highlight w:val="none"/>
          <w:lang w:val="pt-BR"/>
        </w:rPr>
        <w:t>8.11.</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Efetuar o pagamento de acordo com o estabelecido neste Termo de Referência e demais cominações legais, desde que atendidas todas as exigências e cumpridas as especificações e desde que devidamente atestadas as notas fiscais e relatórios feitos pelos fiscais </w:t>
      </w:r>
      <w:r>
        <w:rPr>
          <w:rFonts w:hint="default" w:ascii="Arial" w:hAnsi="Arial" w:cs="Arial"/>
          <w:sz w:val="22"/>
          <w:szCs w:val="22"/>
          <w:highlight w:val="none"/>
          <w:lang w:val="pt-BR"/>
        </w:rPr>
        <w:t>do contrato.</w:t>
      </w:r>
    </w:p>
    <w:p w14:paraId="1CB65C30">
      <w:pPr>
        <w:pStyle w:val="154"/>
        <w:numPr>
          <w:ilvl w:val="0"/>
          <w:numId w:val="0"/>
        </w:numPr>
        <w:tabs>
          <w:tab w:val="left" w:pos="426"/>
        </w:tabs>
        <w:spacing w:line="360" w:lineRule="auto"/>
        <w:ind w:leftChars="0"/>
        <w:jc w:val="both"/>
        <w:rPr>
          <w:rFonts w:hint="default" w:ascii="Arial" w:hAnsi="Arial" w:cs="Arial"/>
          <w:sz w:val="22"/>
          <w:szCs w:val="22"/>
          <w:highlight w:val="none"/>
        </w:rPr>
      </w:pPr>
      <w:r>
        <w:rPr>
          <w:rFonts w:hint="default" w:ascii="Arial" w:hAnsi="Arial" w:cs="Arial"/>
          <w:b/>
          <w:bCs/>
          <w:sz w:val="22"/>
          <w:szCs w:val="22"/>
          <w:highlight w:val="none"/>
          <w:lang w:val="pt-BR"/>
        </w:rPr>
        <w:t>8.12.</w:t>
      </w:r>
      <w:r>
        <w:rPr>
          <w:rFonts w:hint="default" w:ascii="Arial" w:hAnsi="Arial" w:cs="Arial"/>
          <w:sz w:val="22"/>
          <w:szCs w:val="22"/>
          <w:highlight w:val="none"/>
          <w:lang w:val="pt-BR"/>
        </w:rPr>
        <w:t xml:space="preserve"> </w:t>
      </w:r>
      <w:r>
        <w:rPr>
          <w:rFonts w:hint="default" w:ascii="Arial" w:hAnsi="Arial" w:cs="Arial"/>
          <w:sz w:val="22"/>
          <w:szCs w:val="22"/>
          <w:highlight w:val="none"/>
        </w:rPr>
        <w:t>Aplicar à contratada as penalidades, quando for o caso.</w:t>
      </w:r>
    </w:p>
    <w:p w14:paraId="6B4EA461">
      <w:pPr>
        <w:pStyle w:val="154"/>
        <w:numPr>
          <w:ilvl w:val="0"/>
          <w:numId w:val="0"/>
        </w:numPr>
        <w:tabs>
          <w:tab w:val="left" w:pos="426"/>
        </w:tabs>
        <w:spacing w:line="360" w:lineRule="auto"/>
        <w:ind w:leftChars="0"/>
        <w:jc w:val="both"/>
        <w:rPr>
          <w:rFonts w:hint="default" w:ascii="Arial" w:hAnsi="Arial" w:cs="Arial"/>
          <w:sz w:val="22"/>
          <w:szCs w:val="22"/>
          <w:highlight w:val="none"/>
        </w:rPr>
      </w:pPr>
      <w:r>
        <w:rPr>
          <w:rFonts w:hint="default" w:ascii="Arial" w:hAnsi="Arial" w:cs="Arial"/>
          <w:b/>
          <w:bCs/>
          <w:sz w:val="22"/>
          <w:szCs w:val="22"/>
          <w:highlight w:val="none"/>
          <w:lang w:val="pt-BR"/>
        </w:rPr>
        <w:t>8.13.</w:t>
      </w:r>
      <w:r>
        <w:rPr>
          <w:rFonts w:hint="default" w:ascii="Arial" w:hAnsi="Arial" w:cs="Arial"/>
          <w:sz w:val="22"/>
          <w:szCs w:val="22"/>
          <w:highlight w:val="none"/>
          <w:lang w:val="pt-BR"/>
        </w:rPr>
        <w:t xml:space="preserve"> </w:t>
      </w:r>
      <w:r>
        <w:rPr>
          <w:rFonts w:hint="default" w:ascii="Arial" w:hAnsi="Arial" w:cs="Arial"/>
          <w:sz w:val="22"/>
          <w:szCs w:val="22"/>
          <w:highlight w:val="none"/>
        </w:rPr>
        <w:t>Notificar, por escrito, a contratada da aplicação de qualquer sanção.</w:t>
      </w:r>
    </w:p>
    <w:p w14:paraId="77E46E63">
      <w:pPr>
        <w:pStyle w:val="154"/>
        <w:numPr>
          <w:ilvl w:val="0"/>
          <w:numId w:val="0"/>
        </w:numPr>
        <w:tabs>
          <w:tab w:val="left" w:pos="426"/>
        </w:tabs>
        <w:spacing w:line="360" w:lineRule="auto"/>
        <w:ind w:leftChars="0"/>
        <w:jc w:val="both"/>
        <w:rPr>
          <w:rFonts w:hint="default" w:ascii="Arial" w:hAnsi="Arial" w:cs="Arial"/>
          <w:sz w:val="22"/>
          <w:szCs w:val="22"/>
          <w:highlight w:val="none"/>
        </w:rPr>
      </w:pPr>
      <w:r>
        <w:rPr>
          <w:rFonts w:hint="default" w:ascii="Arial" w:hAnsi="Arial" w:cs="Arial"/>
          <w:b/>
          <w:bCs/>
          <w:sz w:val="22"/>
          <w:szCs w:val="22"/>
          <w:highlight w:val="none"/>
          <w:lang w:val="pt-BR"/>
        </w:rPr>
        <w:t>8.14.</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Acompanhar, controlar e avaliar a </w:t>
      </w:r>
      <w:r>
        <w:rPr>
          <w:rFonts w:hint="default" w:ascii="Arial" w:hAnsi="Arial" w:cs="Arial"/>
          <w:sz w:val="22"/>
          <w:szCs w:val="22"/>
          <w:highlight w:val="none"/>
          <w:lang w:val="pt-BR"/>
        </w:rPr>
        <w:t>entrega e a qualidade dos materiais e serviços</w:t>
      </w:r>
      <w:r>
        <w:rPr>
          <w:rFonts w:hint="default" w:ascii="Arial" w:hAnsi="Arial" w:cs="Arial"/>
          <w:sz w:val="22"/>
          <w:szCs w:val="22"/>
          <w:highlight w:val="none"/>
        </w:rPr>
        <w:t xml:space="preserve">, através da unidade responsável por esta </w:t>
      </w:r>
      <w:r>
        <w:rPr>
          <w:rFonts w:hint="default" w:ascii="Arial" w:hAnsi="Arial" w:cs="Arial"/>
          <w:sz w:val="22"/>
          <w:szCs w:val="22"/>
          <w:highlight w:val="none"/>
          <w:lang w:val="pt-BR"/>
        </w:rPr>
        <w:t>a</w:t>
      </w:r>
      <w:r>
        <w:rPr>
          <w:rFonts w:hint="default" w:ascii="Arial" w:hAnsi="Arial" w:cs="Arial"/>
          <w:sz w:val="22"/>
          <w:szCs w:val="22"/>
          <w:highlight w:val="none"/>
        </w:rPr>
        <w:t>tribuição.</w:t>
      </w:r>
    </w:p>
    <w:p w14:paraId="4AFFA953">
      <w:pPr>
        <w:pStyle w:val="154"/>
        <w:numPr>
          <w:ilvl w:val="0"/>
          <w:numId w:val="0"/>
        </w:numPr>
        <w:tabs>
          <w:tab w:val="left" w:pos="426"/>
        </w:tabs>
        <w:spacing w:line="360" w:lineRule="auto"/>
        <w:ind w:leftChars="0"/>
        <w:jc w:val="both"/>
        <w:rPr>
          <w:rFonts w:hint="default" w:ascii="Arial" w:hAnsi="Arial" w:cs="Arial"/>
          <w:sz w:val="22"/>
          <w:szCs w:val="22"/>
          <w:highlight w:val="none"/>
        </w:rPr>
      </w:pPr>
      <w:r>
        <w:rPr>
          <w:rFonts w:hint="default" w:ascii="Arial" w:hAnsi="Arial" w:cs="Arial"/>
          <w:b/>
          <w:bCs/>
          <w:sz w:val="22"/>
          <w:szCs w:val="22"/>
          <w:highlight w:val="none"/>
          <w:lang w:val="pt-BR"/>
        </w:rPr>
        <w:t>8.15.</w:t>
      </w:r>
      <w:r>
        <w:rPr>
          <w:rFonts w:hint="default" w:ascii="Arial" w:hAnsi="Arial" w:cs="Arial"/>
          <w:sz w:val="22"/>
          <w:szCs w:val="22"/>
          <w:highlight w:val="none"/>
          <w:lang w:val="pt-BR"/>
        </w:rPr>
        <w:t xml:space="preserve"> </w:t>
      </w:r>
      <w:r>
        <w:rPr>
          <w:rFonts w:hint="default" w:ascii="Arial" w:hAnsi="Arial" w:cs="Arial"/>
          <w:sz w:val="22"/>
          <w:szCs w:val="22"/>
          <w:highlight w:val="none"/>
        </w:rPr>
        <w:t>Interromper os serviços que apresentarem irregularidades em sua prestação, comunicando o fato imediatamente à Contratada, bem como qualquer eventual ocorrência relevante relacionada com o mesmo.</w:t>
      </w:r>
    </w:p>
    <w:p w14:paraId="1C0BB4EF">
      <w:pPr>
        <w:pBdr>
          <w:top w:val="double" w:color="auto" w:sz="4" w:space="1"/>
          <w:left w:val="double" w:color="auto" w:sz="4" w:space="4"/>
          <w:bottom w:val="double" w:color="auto" w:sz="4" w:space="1"/>
          <w:right w:val="double" w:color="auto" w:sz="4" w:space="4"/>
        </w:pBdr>
        <w:shd w:val="clear" w:color="auto" w:fill="D9D9D9"/>
        <w:tabs>
          <w:tab w:val="left" w:pos="1080"/>
        </w:tabs>
        <w:spacing w:line="360" w:lineRule="auto"/>
        <w:jc w:val="center"/>
        <w:rPr>
          <w:rFonts w:ascii="Arial" w:hAnsi="Arial" w:cs="Arial"/>
          <w:b/>
          <w:sz w:val="22"/>
          <w:szCs w:val="22"/>
        </w:rPr>
      </w:pPr>
      <w:r>
        <w:rPr>
          <w:rFonts w:ascii="Arial" w:hAnsi="Arial" w:cs="Arial"/>
          <w:b/>
          <w:sz w:val="22"/>
          <w:szCs w:val="22"/>
        </w:rPr>
        <w:t>Cláusula Nona</w:t>
      </w:r>
    </w:p>
    <w:p w14:paraId="411145BA">
      <w:pPr>
        <w:pBdr>
          <w:top w:val="double" w:color="auto" w:sz="4" w:space="1"/>
          <w:left w:val="double" w:color="auto" w:sz="4" w:space="4"/>
          <w:bottom w:val="double" w:color="auto" w:sz="4" w:space="1"/>
          <w:right w:val="double" w:color="auto" w:sz="4" w:space="4"/>
        </w:pBdr>
        <w:shd w:val="clear" w:color="auto" w:fill="D9D9D9"/>
        <w:tabs>
          <w:tab w:val="left" w:pos="1080"/>
        </w:tabs>
        <w:spacing w:line="360" w:lineRule="auto"/>
        <w:jc w:val="center"/>
        <w:rPr>
          <w:rFonts w:ascii="Arial" w:hAnsi="Arial" w:cs="Arial"/>
          <w:b/>
          <w:sz w:val="22"/>
          <w:szCs w:val="22"/>
        </w:rPr>
      </w:pPr>
      <w:r>
        <w:rPr>
          <w:rFonts w:ascii="Arial" w:hAnsi="Arial" w:cs="Arial"/>
          <w:b/>
          <w:sz w:val="22"/>
          <w:szCs w:val="22"/>
        </w:rPr>
        <w:t>DAS OBRIGAÇÕES DA CONTRATADA</w:t>
      </w:r>
    </w:p>
    <w:p w14:paraId="338C76DA">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color w:val="auto"/>
          <w:sz w:val="22"/>
          <w:szCs w:val="22"/>
          <w:highlight w:val="none"/>
          <w:lang w:val="pt-BR"/>
        </w:rPr>
        <w:t>9.</w:t>
      </w:r>
      <w:r>
        <w:rPr>
          <w:rFonts w:hint="default" w:ascii="Arial" w:hAnsi="Arial" w:cs="Arial"/>
          <w:b/>
          <w:bCs/>
          <w:color w:val="auto"/>
          <w:sz w:val="22"/>
          <w:szCs w:val="22"/>
          <w:highlight w:val="none"/>
        </w:rPr>
        <w:t>1</w:t>
      </w:r>
      <w:r>
        <w:rPr>
          <w:rFonts w:hint="default" w:ascii="Arial" w:hAnsi="Arial" w:cs="Arial"/>
          <w:color w:val="auto"/>
          <w:sz w:val="22"/>
          <w:szCs w:val="22"/>
          <w:highlight w:val="none"/>
        </w:rPr>
        <w:t>.</w:t>
      </w:r>
      <w:r>
        <w:rPr>
          <w:rFonts w:hint="default" w:ascii="Arial" w:hAnsi="Arial" w:cs="Arial"/>
          <w:color w:val="auto"/>
          <w:sz w:val="22"/>
          <w:szCs w:val="22"/>
          <w:highlight w:val="none"/>
          <w:lang w:val="pt-BR"/>
        </w:rPr>
        <w:t xml:space="preserve"> </w:t>
      </w:r>
      <w:r>
        <w:rPr>
          <w:rFonts w:hint="default" w:ascii="Arial" w:hAnsi="Arial" w:cs="Arial"/>
          <w:sz w:val="22"/>
          <w:szCs w:val="22"/>
        </w:rPr>
        <w:t>Comunicar à CONTRATANTE, por escrito, qualquer anormalidade de caráter urgente e prestar os esclarecimentos julgados necessários.</w:t>
      </w:r>
    </w:p>
    <w:p w14:paraId="0BD6A006">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9.2</w:t>
      </w:r>
      <w:r>
        <w:rPr>
          <w:rFonts w:hint="default" w:ascii="Arial" w:hAnsi="Arial" w:cs="Arial"/>
          <w:sz w:val="22"/>
          <w:szCs w:val="22"/>
          <w:lang w:val="pt-BR"/>
        </w:rPr>
        <w:t xml:space="preserve"> </w:t>
      </w:r>
      <w:r>
        <w:rPr>
          <w:rFonts w:hint="default" w:ascii="Arial" w:hAnsi="Arial" w:cs="Arial"/>
          <w:sz w:val="22"/>
          <w:szCs w:val="22"/>
        </w:rPr>
        <w:t>Possuir técnicos devidamente qualificados/treinados pelo fabricante dos equipamentos que compõem o Centro de Processamento de Dados para execução, instalação e testes de operação.</w:t>
      </w:r>
    </w:p>
    <w:p w14:paraId="26FFFF7B">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9.3</w:t>
      </w:r>
      <w:r>
        <w:rPr>
          <w:rFonts w:hint="default" w:ascii="Arial" w:hAnsi="Arial" w:cs="Arial"/>
          <w:sz w:val="22"/>
          <w:szCs w:val="22"/>
          <w:lang w:val="pt-BR"/>
        </w:rPr>
        <w:t xml:space="preserve"> </w:t>
      </w:r>
      <w:r>
        <w:rPr>
          <w:rFonts w:hint="default" w:ascii="Arial" w:hAnsi="Arial" w:cs="Arial"/>
          <w:sz w:val="22"/>
          <w:szCs w:val="22"/>
        </w:rPr>
        <w:t xml:space="preserve">Efetuar a entrega dos equipamentos do Centro de Processamento de Dados de acordo com as especificações e demais condições previstas neste Termo de Referência. </w:t>
      </w:r>
    </w:p>
    <w:p w14:paraId="025FC333">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9.4</w:t>
      </w:r>
      <w:r>
        <w:rPr>
          <w:rFonts w:hint="default" w:ascii="Arial" w:hAnsi="Arial" w:cs="Arial"/>
          <w:sz w:val="22"/>
          <w:szCs w:val="22"/>
          <w:lang w:val="pt-BR"/>
        </w:rPr>
        <w:t xml:space="preserve"> </w:t>
      </w:r>
      <w:r>
        <w:rPr>
          <w:rFonts w:hint="default" w:ascii="Arial" w:hAnsi="Arial" w:cs="Arial"/>
          <w:sz w:val="22"/>
          <w:szCs w:val="22"/>
        </w:rPr>
        <w:t xml:space="preserve">A CONTRATADA deverá emitir relatórios da manutenção e de todas as ocorrências referente a manutenção corretiva quando em garantia. </w:t>
      </w:r>
    </w:p>
    <w:p w14:paraId="21E304B6">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9.5</w:t>
      </w:r>
      <w:r>
        <w:rPr>
          <w:rFonts w:hint="default" w:ascii="Arial" w:hAnsi="Arial" w:cs="Arial"/>
          <w:sz w:val="22"/>
          <w:szCs w:val="22"/>
          <w:lang w:val="pt-BR"/>
        </w:rPr>
        <w:t xml:space="preserve"> </w:t>
      </w:r>
      <w:r>
        <w:rPr>
          <w:rFonts w:hint="default" w:ascii="Arial" w:hAnsi="Arial" w:cs="Arial"/>
          <w:sz w:val="22"/>
          <w:szCs w:val="22"/>
        </w:rPr>
        <w:t xml:space="preserve">Assumir toda a responsabilidade pelos encargos fiscais e comerciais resultantes do fornecimento do objeto do presente Termo de Referência. </w:t>
      </w:r>
    </w:p>
    <w:p w14:paraId="214DA164">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9.6</w:t>
      </w:r>
      <w:r>
        <w:rPr>
          <w:rFonts w:hint="default" w:ascii="Arial" w:hAnsi="Arial" w:cs="Arial"/>
          <w:sz w:val="22"/>
          <w:szCs w:val="22"/>
          <w:lang w:val="pt-BR"/>
        </w:rPr>
        <w:t xml:space="preserve"> </w:t>
      </w:r>
      <w:r>
        <w:rPr>
          <w:rFonts w:hint="default" w:ascii="Arial" w:hAnsi="Arial" w:cs="Arial"/>
          <w:sz w:val="22"/>
          <w:szCs w:val="22"/>
        </w:rPr>
        <w:t xml:space="preserve">O objeto deverá ser entregue, levando-se em consideração o fato de que os serviços deste Termo deverão ser entregues completos (cabos, identificadores dos cabos, acessórios, manuais entre outros) em consequência, ficará a cargo da CONTRATADA prever qualquer material necessário, mesmo quando não expressamente indicado no Termo de Referência e nas especificações técnicas, não lhe cabendo quaisquer acréscimos de pagamentos decorrentes. </w:t>
      </w:r>
    </w:p>
    <w:p w14:paraId="2D7E6AD3">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9.7</w:t>
      </w:r>
      <w:r>
        <w:rPr>
          <w:rFonts w:hint="default" w:ascii="Arial" w:hAnsi="Arial" w:cs="Arial"/>
          <w:sz w:val="22"/>
          <w:szCs w:val="22"/>
          <w:lang w:val="pt-BR"/>
        </w:rPr>
        <w:t xml:space="preserve"> </w:t>
      </w:r>
      <w:r>
        <w:rPr>
          <w:rFonts w:hint="default" w:ascii="Arial" w:hAnsi="Arial" w:cs="Arial"/>
          <w:sz w:val="22"/>
          <w:szCs w:val="22"/>
        </w:rPr>
        <w:t xml:space="preserve">Durante a execução do serviço a CONTRATADA deverá disponibilizar nas instalações da CONTRATANTE, profissionais legalmente habilitados, com registro válido no Conselho Regional de Engenharia e Arquitetura (CREA) competente, com habilitação de Engenheiro. </w:t>
      </w:r>
    </w:p>
    <w:p w14:paraId="191E3DE2">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9.8</w:t>
      </w:r>
      <w:r>
        <w:rPr>
          <w:rFonts w:hint="default" w:ascii="Arial" w:hAnsi="Arial" w:cs="Arial"/>
          <w:sz w:val="22"/>
          <w:szCs w:val="22"/>
          <w:lang w:val="pt-BR"/>
        </w:rPr>
        <w:t xml:space="preserve"> </w:t>
      </w:r>
      <w:r>
        <w:rPr>
          <w:rFonts w:hint="default" w:ascii="Arial" w:hAnsi="Arial" w:cs="Arial"/>
          <w:sz w:val="22"/>
          <w:szCs w:val="22"/>
        </w:rPr>
        <w:t>A CONTRATADA deverá emitir Anotação de Responsabilidade Técnica – ART ou RRT junto ao CREA ou CAU MT, em nome de seus responsáveis técnicos apresentados, para vinculação de responsabilidade de projetos executivos, fornecimento e serviços a serem executados via objeto deste Termo de Referência, após a assinatura do Contrato.</w:t>
      </w:r>
    </w:p>
    <w:p w14:paraId="5A3B982D">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b/>
          <w:sz w:val="22"/>
          <w:szCs w:val="22"/>
          <w:highlight w:val="none"/>
          <w:lang w:val="pt-BR"/>
        </w:rPr>
      </w:pPr>
      <w:r>
        <w:rPr>
          <w:rFonts w:hint="default" w:ascii="Arial" w:hAnsi="Arial" w:cs="Arial"/>
          <w:b/>
          <w:bCs/>
          <w:color w:val="auto"/>
          <w:sz w:val="22"/>
          <w:szCs w:val="22"/>
          <w:highlight w:val="none"/>
          <w:lang w:val="pt-BR"/>
        </w:rPr>
        <w:t>9.9</w:t>
      </w:r>
      <w:r>
        <w:rPr>
          <w:rFonts w:hint="default" w:ascii="Arial" w:hAnsi="Arial" w:cs="Arial"/>
          <w:color w:val="auto"/>
          <w:sz w:val="22"/>
          <w:szCs w:val="22"/>
          <w:highlight w:val="none"/>
          <w:lang w:val="pt-BR"/>
        </w:rPr>
        <w:t xml:space="preserve"> </w:t>
      </w:r>
      <w:r>
        <w:rPr>
          <w:rFonts w:hint="default" w:ascii="Arial" w:hAnsi="Arial" w:cs="Arial"/>
          <w:color w:val="auto"/>
          <w:sz w:val="22"/>
          <w:szCs w:val="22"/>
          <w:highlight w:val="none"/>
        </w:rPr>
        <w:t>A CONTRATADA deverá emitir comprovante de regularização junto ao CREA e CAU da proponente e dos profissionais responsáveis técnicos apresentados pela proponente, através de Certidão de Registro e Quitação – CRQ emitida pelo CREA. A certidão deverá conter os dados cadastrais atualizados, nos termos da legislação em vigor, com habilitação de Engenheiro, em atendimento à Resolução do CONFEA nº 265 (15/12/79), Resolução nº 266 (15/12/79) e Resolução nº 191 (20/03/70). Em caso de participantes e seus responsáveis técnicos inscritos ou registrados em um CREA de outra região, os mesmos deverão, no ato da assinatura do contrato, terem sido visitados e ter registrada a sua documentação no CREA-M</w:t>
      </w:r>
      <w:r>
        <w:rPr>
          <w:rFonts w:hint="default" w:ascii="Arial" w:hAnsi="Arial" w:cs="Arial"/>
          <w:color w:val="auto"/>
          <w:sz w:val="22"/>
          <w:szCs w:val="22"/>
          <w:highlight w:val="none"/>
          <w:lang w:val="pt-BR"/>
        </w:rPr>
        <w:t>T</w:t>
      </w:r>
      <w:r>
        <w:rPr>
          <w:rFonts w:hint="default" w:ascii="Arial" w:hAnsi="Arial" w:cs="Arial"/>
          <w:color w:val="auto"/>
          <w:sz w:val="22"/>
          <w:szCs w:val="22"/>
          <w:highlight w:val="none"/>
        </w:rPr>
        <w:t>, de acordo com a resolução 413/97, do Conselho Federal de Engenharia, Arquitetura e Agronomia</w:t>
      </w:r>
      <w:r>
        <w:rPr>
          <w:rFonts w:hint="default" w:ascii="Arial" w:hAnsi="Arial" w:cs="Arial"/>
          <w:color w:val="auto"/>
          <w:sz w:val="22"/>
          <w:szCs w:val="22"/>
          <w:highlight w:val="none"/>
          <w:lang w:val="pt-BR"/>
        </w:rPr>
        <w:t>.</w:t>
      </w:r>
      <w:r>
        <w:rPr>
          <w:rFonts w:hint="default" w:ascii="Arial" w:hAnsi="Arial" w:cs="Arial"/>
          <w:color w:val="auto"/>
          <w:sz w:val="22"/>
          <w:szCs w:val="22"/>
          <w:highlight w:val="none"/>
          <w:lang w:eastAsia="zh-CN"/>
        </w:rPr>
        <w:t xml:space="preserve"> </w:t>
      </w:r>
    </w:p>
    <w:p w14:paraId="2D1036A5">
      <w:pPr>
        <w:pStyle w:val="128"/>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right="0" w:rightChars="0"/>
        <w:contextualSpacing/>
        <w:jc w:val="both"/>
        <w:textAlignment w:val="baseline"/>
        <w:rPr>
          <w:rFonts w:hint="default" w:ascii="Arial" w:hAnsi="Arial" w:cs="Arial"/>
          <w:color w:val="auto"/>
          <w:sz w:val="22"/>
          <w:szCs w:val="22"/>
          <w:highlight w:val="none"/>
        </w:rPr>
      </w:pPr>
      <w:r>
        <w:rPr>
          <w:rFonts w:hint="default" w:ascii="Arial" w:hAnsi="Arial" w:cs="Arial"/>
          <w:b/>
          <w:bCs/>
          <w:color w:val="auto"/>
          <w:sz w:val="22"/>
          <w:szCs w:val="22"/>
          <w:highlight w:val="none"/>
          <w:lang w:val="pt-BR"/>
        </w:rPr>
        <w:t>9.10</w:t>
      </w:r>
      <w:r>
        <w:rPr>
          <w:rFonts w:hint="default" w:ascii="Arial" w:hAnsi="Arial" w:cs="Arial"/>
          <w:color w:val="auto"/>
          <w:sz w:val="22"/>
          <w:szCs w:val="22"/>
          <w:highlight w:val="none"/>
          <w:lang w:val="pt-BR"/>
        </w:rPr>
        <w:t xml:space="preserve"> </w:t>
      </w:r>
      <w:r>
        <w:rPr>
          <w:rFonts w:hint="default" w:ascii="Arial" w:hAnsi="Arial" w:cs="Arial"/>
          <w:color w:val="auto"/>
          <w:sz w:val="22"/>
          <w:szCs w:val="22"/>
          <w:highlight w:val="none"/>
        </w:rPr>
        <w:t>Responsabilizar-se pelas despesas dos tributos, encargos trabalhistas, previdenciários, fiscais, comerciais, taxas, fretes, seguros, deslocamento de pessoal, prestação de garantia e quaisquer outras que incidam ou venham a incidir na execução da ata/contrato, inclusive nos casos de troca de item ou qualquer eventualidade que possa ocorrer;</w:t>
      </w:r>
    </w:p>
    <w:p w14:paraId="06A3411D">
      <w:pPr>
        <w:pStyle w:val="128"/>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right="0" w:rightChars="0"/>
        <w:contextualSpacing/>
        <w:jc w:val="both"/>
        <w:textAlignment w:val="baseline"/>
        <w:rPr>
          <w:rFonts w:hint="default" w:ascii="Arial" w:hAnsi="Arial" w:cs="Arial"/>
          <w:color w:val="auto"/>
          <w:sz w:val="22"/>
          <w:szCs w:val="22"/>
          <w:highlight w:val="none"/>
        </w:rPr>
      </w:pPr>
      <w:r>
        <w:rPr>
          <w:rFonts w:hint="default" w:ascii="Arial" w:hAnsi="Arial" w:cs="Arial"/>
          <w:b/>
          <w:bCs/>
          <w:color w:val="auto"/>
          <w:sz w:val="22"/>
          <w:szCs w:val="22"/>
          <w:highlight w:val="none"/>
          <w:lang w:val="pt-BR"/>
        </w:rPr>
        <w:t>9.11</w:t>
      </w:r>
      <w:r>
        <w:rPr>
          <w:rFonts w:hint="default" w:ascii="Arial" w:hAnsi="Arial" w:cs="Arial"/>
          <w:color w:val="auto"/>
          <w:sz w:val="22"/>
          <w:szCs w:val="22"/>
          <w:highlight w:val="none"/>
          <w:lang w:val="pt-BR"/>
        </w:rPr>
        <w:t xml:space="preserve"> </w:t>
      </w:r>
      <w:r>
        <w:rPr>
          <w:rFonts w:hint="default" w:ascii="Arial" w:hAnsi="Arial" w:cs="Arial"/>
          <w:color w:val="auto"/>
          <w:sz w:val="22"/>
          <w:szCs w:val="22"/>
          <w:highlight w:val="none"/>
        </w:rPr>
        <w:t>Arcar com toda e qualquer despesa relativa ao fornecimento ora pactuado, dentre elas, carga, transporte, descarga, frete, impostos, mão de obra, taxas, contribuições, encargos sociais, inclusive nos casos de troca de item ou qualquer eventualidade que possa ocorrer;</w:t>
      </w:r>
    </w:p>
    <w:p w14:paraId="4AB92ACB">
      <w:pPr>
        <w:pStyle w:val="128"/>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right="0" w:rightChars="0"/>
        <w:contextualSpacing/>
        <w:jc w:val="both"/>
        <w:textAlignment w:val="baseline"/>
        <w:rPr>
          <w:rFonts w:hint="default" w:ascii="Arial" w:hAnsi="Arial" w:cs="Arial"/>
          <w:color w:val="auto"/>
          <w:sz w:val="22"/>
          <w:szCs w:val="22"/>
          <w:highlight w:val="none"/>
        </w:rPr>
      </w:pPr>
      <w:r>
        <w:rPr>
          <w:rFonts w:hint="default" w:ascii="Arial" w:hAnsi="Arial" w:cs="Arial"/>
          <w:b/>
          <w:bCs/>
          <w:color w:val="auto"/>
          <w:sz w:val="22"/>
          <w:szCs w:val="22"/>
          <w:highlight w:val="none"/>
          <w:lang w:val="pt-BR"/>
        </w:rPr>
        <w:t>9.12</w:t>
      </w:r>
      <w:r>
        <w:rPr>
          <w:rFonts w:hint="default" w:ascii="Arial" w:hAnsi="Arial" w:cs="Arial"/>
          <w:color w:val="auto"/>
          <w:sz w:val="22"/>
          <w:szCs w:val="22"/>
          <w:highlight w:val="none"/>
          <w:lang w:val="pt-BR"/>
        </w:rPr>
        <w:t xml:space="preserve"> </w:t>
      </w:r>
      <w:r>
        <w:rPr>
          <w:rFonts w:hint="default" w:ascii="Arial" w:hAnsi="Arial" w:cs="Arial"/>
          <w:color w:val="auto"/>
          <w:sz w:val="22"/>
          <w:szCs w:val="22"/>
          <w:highlight w:val="none"/>
        </w:rPr>
        <w:t>Manter, durante toda a execução d</w:t>
      </w:r>
      <w:r>
        <w:rPr>
          <w:rFonts w:hint="default" w:ascii="Arial" w:hAnsi="Arial" w:cs="Arial"/>
          <w:color w:val="auto"/>
          <w:sz w:val="22"/>
          <w:szCs w:val="22"/>
          <w:highlight w:val="none"/>
          <w:lang w:val="pt-BR"/>
        </w:rPr>
        <w:t xml:space="preserve">o </w:t>
      </w:r>
      <w:r>
        <w:rPr>
          <w:rFonts w:hint="default" w:ascii="Arial" w:hAnsi="Arial" w:cs="Arial"/>
          <w:color w:val="auto"/>
          <w:sz w:val="22"/>
          <w:szCs w:val="22"/>
          <w:highlight w:val="none"/>
        </w:rPr>
        <w:t>contrato, em compatibilidade com as obrigações assumidas, todas as condições de habilitação e qualificação exigidas na licitação ou na contratação.</w:t>
      </w:r>
    </w:p>
    <w:p w14:paraId="5BE3BF5A">
      <w:pPr>
        <w:pStyle w:val="128"/>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right="0" w:rightChars="0"/>
        <w:contextualSpacing/>
        <w:jc w:val="both"/>
        <w:textAlignment w:val="baseline"/>
        <w:rPr>
          <w:rFonts w:hint="default" w:ascii="Arial" w:hAnsi="Arial" w:cs="Arial"/>
          <w:color w:val="auto"/>
          <w:sz w:val="22"/>
          <w:szCs w:val="22"/>
          <w:highlight w:val="none"/>
        </w:rPr>
      </w:pPr>
      <w:r>
        <w:rPr>
          <w:rFonts w:hint="default" w:ascii="Arial" w:hAnsi="Arial" w:cs="Arial"/>
          <w:b/>
          <w:bCs/>
          <w:color w:val="auto"/>
          <w:sz w:val="22"/>
          <w:szCs w:val="22"/>
          <w:highlight w:val="none"/>
          <w:lang w:val="pt-BR"/>
        </w:rPr>
        <w:t>9.13</w:t>
      </w:r>
      <w:r>
        <w:rPr>
          <w:rFonts w:hint="default" w:ascii="Arial" w:hAnsi="Arial" w:cs="Arial"/>
          <w:color w:val="auto"/>
          <w:sz w:val="22"/>
          <w:szCs w:val="22"/>
          <w:highlight w:val="none"/>
          <w:lang w:val="pt-BR"/>
        </w:rPr>
        <w:t xml:space="preserve"> </w:t>
      </w:r>
      <w:r>
        <w:rPr>
          <w:rFonts w:hint="default" w:ascii="Arial" w:hAnsi="Arial" w:cs="Arial"/>
          <w:color w:val="auto"/>
          <w:sz w:val="22"/>
          <w:szCs w:val="22"/>
          <w:highlight w:val="none"/>
        </w:rPr>
        <w:t>Atender prontamente a quaisquer exigências da Administração, inerentes ao objeto da presente licitação.</w:t>
      </w:r>
    </w:p>
    <w:p w14:paraId="4AA65999">
      <w:pPr>
        <w:pStyle w:val="128"/>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contextualSpacing/>
        <w:jc w:val="both"/>
        <w:textAlignment w:val="baseline"/>
        <w:rPr>
          <w:rFonts w:hint="default" w:ascii="Arial" w:hAnsi="Arial" w:cs="Arial"/>
          <w:color w:val="auto"/>
          <w:sz w:val="22"/>
          <w:szCs w:val="22"/>
          <w:highlight w:val="none"/>
        </w:rPr>
      </w:pPr>
      <w:r>
        <w:rPr>
          <w:rFonts w:hint="default" w:ascii="Arial" w:hAnsi="Arial" w:cs="Arial"/>
          <w:b/>
          <w:bCs/>
          <w:color w:val="auto"/>
          <w:sz w:val="22"/>
          <w:szCs w:val="22"/>
          <w:highlight w:val="none"/>
          <w:lang w:val="pt-BR"/>
        </w:rPr>
        <w:t>9.14</w:t>
      </w:r>
      <w:r>
        <w:rPr>
          <w:rFonts w:hint="default" w:ascii="Arial" w:hAnsi="Arial" w:cs="Arial"/>
          <w:color w:val="auto"/>
          <w:sz w:val="22"/>
          <w:szCs w:val="22"/>
          <w:highlight w:val="none"/>
          <w:lang w:val="pt-BR"/>
        </w:rPr>
        <w:t xml:space="preserve"> </w:t>
      </w:r>
      <w:r>
        <w:rPr>
          <w:rFonts w:hint="default" w:ascii="Arial" w:hAnsi="Arial" w:cs="Arial"/>
          <w:color w:val="auto"/>
          <w:sz w:val="22"/>
          <w:szCs w:val="22"/>
          <w:highlight w:val="none"/>
        </w:rPr>
        <w:t>Não transferir a terceiros, por qualquer forma, as obrigações assumidas, nem subcontratar qualquer das prestações a que está obrigada.</w:t>
      </w:r>
    </w:p>
    <w:p w14:paraId="7E26CA34">
      <w:pPr>
        <w:pStyle w:val="128"/>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color w:val="auto"/>
          <w:sz w:val="22"/>
          <w:szCs w:val="22"/>
          <w:highlight w:val="none"/>
        </w:rPr>
      </w:pPr>
      <w:r>
        <w:rPr>
          <w:rFonts w:hint="default" w:ascii="Arial" w:hAnsi="Arial" w:cs="Arial"/>
          <w:b/>
          <w:bCs/>
          <w:color w:val="auto"/>
          <w:sz w:val="22"/>
          <w:szCs w:val="22"/>
          <w:highlight w:val="none"/>
          <w:lang w:val="pt-BR"/>
        </w:rPr>
        <w:t>9.15</w:t>
      </w:r>
      <w:r>
        <w:rPr>
          <w:rFonts w:hint="default" w:ascii="Arial" w:hAnsi="Arial" w:cs="Arial"/>
          <w:color w:val="auto"/>
          <w:sz w:val="22"/>
          <w:szCs w:val="22"/>
          <w:highlight w:val="none"/>
          <w:lang w:val="pt-BR"/>
        </w:rPr>
        <w:t xml:space="preserve"> </w:t>
      </w:r>
      <w:r>
        <w:rPr>
          <w:rFonts w:hint="default" w:ascii="Arial" w:hAnsi="Arial" w:cs="Arial"/>
          <w:color w:val="auto"/>
          <w:sz w:val="22"/>
          <w:szCs w:val="22"/>
          <w:highlight w:val="none"/>
        </w:rPr>
        <w:t>Destacar e discriminar a retenção a que está sujeita, informando de forma clara e inequívoca todos os impostos e alíquotas incidentes, cabendo a ela toda a responsabilidade pela eventual ausência dessa informação ou pela informação incorreta.</w:t>
      </w:r>
    </w:p>
    <w:p w14:paraId="1144C4FC">
      <w:pPr>
        <w:pStyle w:val="128"/>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color w:val="auto"/>
          <w:sz w:val="22"/>
          <w:szCs w:val="22"/>
          <w:highlight w:val="none"/>
        </w:rPr>
      </w:pPr>
      <w:r>
        <w:rPr>
          <w:rFonts w:hint="default" w:ascii="Arial" w:hAnsi="Arial" w:cs="Arial"/>
          <w:b/>
          <w:bCs/>
          <w:color w:val="auto"/>
          <w:sz w:val="22"/>
          <w:szCs w:val="22"/>
          <w:highlight w:val="none"/>
          <w:lang w:val="pt-BR"/>
        </w:rPr>
        <w:t>9.16</w:t>
      </w:r>
      <w:r>
        <w:rPr>
          <w:rFonts w:hint="default" w:ascii="Arial" w:hAnsi="Arial" w:cs="Arial"/>
          <w:color w:val="auto"/>
          <w:sz w:val="22"/>
          <w:szCs w:val="22"/>
          <w:highlight w:val="none"/>
          <w:lang w:val="pt-BR"/>
        </w:rPr>
        <w:t xml:space="preserve"> </w:t>
      </w:r>
      <w:r>
        <w:rPr>
          <w:rFonts w:hint="default" w:ascii="Arial" w:hAnsi="Arial" w:cs="Arial"/>
          <w:color w:val="auto"/>
          <w:sz w:val="22"/>
          <w:szCs w:val="22"/>
          <w:highlight w:val="none"/>
        </w:rPr>
        <w:t>As notas fiscais não poderão ter rasuras e deverão descrever corretamente o item</w:t>
      </w:r>
      <w:r>
        <w:rPr>
          <w:rFonts w:hint="default" w:ascii="Arial" w:hAnsi="Arial" w:cs="Arial"/>
          <w:color w:val="auto"/>
          <w:sz w:val="22"/>
          <w:szCs w:val="22"/>
          <w:highlight w:val="none"/>
          <w:lang w:val="pt-BR"/>
        </w:rPr>
        <w:t>, o</w:t>
      </w:r>
      <w:r>
        <w:rPr>
          <w:rFonts w:hint="default" w:ascii="Arial" w:hAnsi="Arial" w:cs="Arial"/>
          <w:color w:val="auto"/>
          <w:sz w:val="22"/>
          <w:szCs w:val="22"/>
          <w:highlight w:val="none"/>
        </w:rPr>
        <w:t xml:space="preserve"> número de empenho, o número do processo de compras</w:t>
      </w:r>
      <w:r>
        <w:rPr>
          <w:rFonts w:hint="default" w:ascii="Arial" w:hAnsi="Arial" w:cs="Arial"/>
          <w:color w:val="auto"/>
          <w:sz w:val="22"/>
          <w:szCs w:val="22"/>
          <w:highlight w:val="none"/>
          <w:lang w:val="pt-BR"/>
        </w:rPr>
        <w:t xml:space="preserve"> e</w:t>
      </w:r>
      <w:r>
        <w:rPr>
          <w:rFonts w:hint="default" w:ascii="Arial" w:hAnsi="Arial" w:cs="Arial"/>
          <w:color w:val="auto"/>
          <w:sz w:val="22"/>
          <w:szCs w:val="22"/>
          <w:highlight w:val="none"/>
        </w:rPr>
        <w:t xml:space="preserve"> dados bancários para depósito. </w:t>
      </w:r>
      <w:r>
        <w:rPr>
          <w:rFonts w:hint="default" w:ascii="Arial" w:hAnsi="Arial" w:cs="Arial"/>
          <w:b/>
          <w:bCs/>
          <w:color w:val="auto"/>
          <w:sz w:val="22"/>
          <w:szCs w:val="22"/>
          <w:highlight w:val="none"/>
          <w:lang w:val="pt-BR"/>
        </w:rPr>
        <w:t>9.17</w:t>
      </w:r>
      <w:r>
        <w:rPr>
          <w:rFonts w:hint="default" w:ascii="Arial" w:hAnsi="Arial" w:cs="Arial"/>
          <w:color w:val="auto"/>
          <w:sz w:val="22"/>
          <w:szCs w:val="22"/>
          <w:highlight w:val="none"/>
          <w:lang w:val="pt-BR"/>
        </w:rPr>
        <w:t xml:space="preserve"> </w:t>
      </w:r>
      <w:r>
        <w:rPr>
          <w:rFonts w:hint="default" w:ascii="Arial" w:hAnsi="Arial" w:cs="Arial"/>
          <w:color w:val="auto"/>
          <w:sz w:val="22"/>
          <w:szCs w:val="22"/>
          <w:highlight w:val="none"/>
        </w:rPr>
        <w:t>As notas fiscais serão liberadas para pagamento somente quando estiver devidamente assinad</w:t>
      </w:r>
      <w:r>
        <w:rPr>
          <w:rFonts w:hint="default" w:ascii="Arial" w:hAnsi="Arial" w:cs="Arial"/>
          <w:color w:val="auto"/>
          <w:sz w:val="22"/>
          <w:szCs w:val="22"/>
          <w:highlight w:val="none"/>
          <w:lang w:val="pt-BR"/>
        </w:rPr>
        <w:t>a</w:t>
      </w:r>
      <w:r>
        <w:rPr>
          <w:rFonts w:hint="default" w:ascii="Arial" w:hAnsi="Arial" w:cs="Arial"/>
          <w:color w:val="auto"/>
          <w:sz w:val="22"/>
          <w:szCs w:val="22"/>
          <w:highlight w:val="none"/>
        </w:rPr>
        <w:t xml:space="preserve"> e carimbad</w:t>
      </w:r>
      <w:r>
        <w:rPr>
          <w:rFonts w:hint="default" w:ascii="Arial" w:hAnsi="Arial" w:cs="Arial"/>
          <w:color w:val="auto"/>
          <w:sz w:val="22"/>
          <w:szCs w:val="22"/>
          <w:highlight w:val="none"/>
          <w:lang w:val="pt-BR"/>
        </w:rPr>
        <w:t>a</w:t>
      </w:r>
      <w:r>
        <w:rPr>
          <w:rFonts w:hint="default" w:ascii="Arial" w:hAnsi="Arial" w:cs="Arial"/>
          <w:color w:val="auto"/>
          <w:sz w:val="22"/>
          <w:szCs w:val="22"/>
          <w:highlight w:val="none"/>
        </w:rPr>
        <w:t xml:space="preserve"> pelo </w:t>
      </w:r>
      <w:r>
        <w:rPr>
          <w:rFonts w:hint="default" w:ascii="Arial" w:hAnsi="Arial" w:cs="Arial"/>
          <w:color w:val="auto"/>
          <w:sz w:val="22"/>
          <w:szCs w:val="22"/>
          <w:highlight w:val="none"/>
          <w:lang w:val="pt-BR"/>
        </w:rPr>
        <w:t>servidor</w:t>
      </w:r>
      <w:r>
        <w:rPr>
          <w:rFonts w:hint="default" w:ascii="Arial" w:hAnsi="Arial" w:cs="Arial"/>
          <w:color w:val="auto"/>
          <w:sz w:val="22"/>
          <w:szCs w:val="22"/>
          <w:highlight w:val="none"/>
        </w:rPr>
        <w:t xml:space="preserve"> responsável;</w:t>
      </w:r>
    </w:p>
    <w:p w14:paraId="332DB296">
      <w:pPr>
        <w:pStyle w:val="128"/>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leftChars="0" w:right="0" w:rightChars="0"/>
        <w:jc w:val="both"/>
        <w:textAlignment w:val="baseline"/>
        <w:rPr>
          <w:rFonts w:hint="default" w:ascii="Arial" w:hAnsi="Arial" w:cs="Arial"/>
          <w:b w:val="0"/>
          <w:bCs w:val="0"/>
          <w:color w:val="auto"/>
          <w:sz w:val="22"/>
          <w:szCs w:val="22"/>
          <w:highlight w:val="none"/>
          <w:lang w:val="pt-BR"/>
        </w:rPr>
      </w:pPr>
      <w:r>
        <w:rPr>
          <w:rFonts w:hint="default" w:ascii="Arial" w:hAnsi="Arial" w:cs="Arial"/>
          <w:b/>
          <w:bCs/>
          <w:color w:val="auto"/>
          <w:sz w:val="22"/>
          <w:szCs w:val="22"/>
          <w:highlight w:val="none"/>
          <w:lang w:val="pt-BR"/>
        </w:rPr>
        <w:t>9.18</w:t>
      </w:r>
      <w:r>
        <w:rPr>
          <w:rFonts w:hint="default" w:ascii="Arial" w:hAnsi="Arial" w:cs="Arial"/>
          <w:color w:val="auto"/>
          <w:sz w:val="22"/>
          <w:szCs w:val="22"/>
          <w:highlight w:val="none"/>
          <w:lang w:val="pt-BR"/>
        </w:rPr>
        <w:t xml:space="preserve"> </w:t>
      </w:r>
      <w:r>
        <w:rPr>
          <w:rFonts w:hint="default" w:ascii="Arial" w:hAnsi="Arial" w:cs="Arial"/>
          <w:color w:val="auto"/>
          <w:sz w:val="22"/>
          <w:szCs w:val="22"/>
          <w:highlight w:val="none"/>
        </w:rPr>
        <w:t>As notas fiscais deverão se</w:t>
      </w:r>
      <w:r>
        <w:rPr>
          <w:rFonts w:hint="default" w:ascii="Arial" w:hAnsi="Arial" w:cs="Arial"/>
          <w:color w:val="auto"/>
          <w:sz w:val="22"/>
          <w:szCs w:val="22"/>
          <w:highlight w:val="none"/>
          <w:lang w:val="pt-BR"/>
        </w:rPr>
        <w:t>r</w:t>
      </w:r>
      <w:r>
        <w:rPr>
          <w:rFonts w:hint="default" w:ascii="Arial" w:hAnsi="Arial" w:cs="Arial"/>
          <w:color w:val="auto"/>
          <w:sz w:val="22"/>
          <w:szCs w:val="22"/>
          <w:highlight w:val="none"/>
        </w:rPr>
        <w:t xml:space="preserve"> encaminhadas</w:t>
      </w:r>
      <w:r>
        <w:rPr>
          <w:rFonts w:hint="default" w:ascii="Arial" w:hAnsi="Arial" w:cs="Arial"/>
          <w:color w:val="auto"/>
          <w:sz w:val="22"/>
          <w:szCs w:val="22"/>
          <w:highlight w:val="none"/>
          <w:lang w:val="pt-BR"/>
        </w:rPr>
        <w:t xml:space="preserve"> à Prefeitura de Sinop, por meio do </w:t>
      </w:r>
      <w:r>
        <w:rPr>
          <w:rFonts w:hint="default" w:ascii="Arial" w:hAnsi="Arial" w:cs="Arial"/>
          <w:b/>
          <w:bCs/>
          <w:i/>
          <w:iCs/>
          <w:color w:val="auto"/>
          <w:sz w:val="22"/>
          <w:szCs w:val="22"/>
          <w:highlight w:val="none"/>
          <w:lang w:val="pt-BR"/>
        </w:rPr>
        <w:t>Portal do Fornecedor</w:t>
      </w:r>
      <w:r>
        <w:rPr>
          <w:rFonts w:hint="default" w:ascii="Arial" w:hAnsi="Arial" w:cs="Arial"/>
          <w:color w:val="auto"/>
          <w:sz w:val="22"/>
          <w:szCs w:val="22"/>
          <w:highlight w:val="none"/>
          <w:lang w:val="pt-BR"/>
        </w:rPr>
        <w:t xml:space="preserve">, disponível no endereço eletrônico: </w:t>
      </w:r>
      <w:r>
        <w:rPr>
          <w:rFonts w:hint="default" w:ascii="Arial" w:hAnsi="Arial" w:cs="Arial"/>
          <w:i/>
          <w:iCs/>
          <w:color w:val="auto"/>
          <w:sz w:val="22"/>
          <w:szCs w:val="22"/>
          <w:highlight w:val="none"/>
          <w:lang w:val="pt-BR"/>
        </w:rPr>
        <w:fldChar w:fldCharType="begin"/>
      </w:r>
      <w:r>
        <w:rPr>
          <w:rFonts w:hint="default" w:ascii="Arial" w:hAnsi="Arial" w:cs="Arial"/>
          <w:i/>
          <w:iCs/>
          <w:color w:val="auto"/>
          <w:sz w:val="22"/>
          <w:szCs w:val="22"/>
          <w:highlight w:val="none"/>
          <w:lang w:val="pt-BR"/>
        </w:rPr>
        <w:instrText xml:space="preserve"> HYPERLINK "https://www.gp.srv.br/portalfornecedor_sinop/servlet/home," </w:instrText>
      </w:r>
      <w:r>
        <w:rPr>
          <w:rFonts w:hint="default" w:ascii="Arial" w:hAnsi="Arial" w:cs="Arial"/>
          <w:i/>
          <w:iCs/>
          <w:color w:val="auto"/>
          <w:sz w:val="22"/>
          <w:szCs w:val="22"/>
          <w:highlight w:val="none"/>
          <w:lang w:val="pt-BR"/>
        </w:rPr>
        <w:fldChar w:fldCharType="separate"/>
      </w:r>
      <w:r>
        <w:rPr>
          <w:rStyle w:val="15"/>
          <w:rFonts w:hint="default" w:ascii="Arial" w:hAnsi="Arial" w:cs="Arial"/>
          <w:i/>
          <w:iCs/>
          <w:color w:val="auto"/>
          <w:sz w:val="22"/>
          <w:szCs w:val="22"/>
          <w:highlight w:val="none"/>
          <w:lang w:val="pt-BR"/>
        </w:rPr>
        <w:t>https://www.gp.srv.br/portalfornecedor_sinop/servlet/home</w:t>
      </w:r>
      <w:r>
        <w:rPr>
          <w:rStyle w:val="15"/>
          <w:rFonts w:hint="default" w:ascii="Arial" w:hAnsi="Arial" w:cs="Arial"/>
          <w:color w:val="auto"/>
          <w:sz w:val="22"/>
          <w:szCs w:val="22"/>
          <w:highlight w:val="none"/>
          <w:lang w:val="pt-BR"/>
        </w:rPr>
        <w:t>,</w:t>
      </w:r>
      <w:r>
        <w:rPr>
          <w:rFonts w:hint="default" w:ascii="Arial" w:hAnsi="Arial" w:cs="Arial"/>
          <w:i/>
          <w:iCs/>
          <w:color w:val="auto"/>
          <w:sz w:val="22"/>
          <w:szCs w:val="22"/>
          <w:highlight w:val="none"/>
          <w:lang w:val="pt-BR"/>
        </w:rPr>
        <w:fldChar w:fldCharType="end"/>
      </w:r>
      <w:r>
        <w:rPr>
          <w:rFonts w:hint="default" w:ascii="Arial" w:hAnsi="Arial" w:cs="Arial"/>
          <w:color w:val="auto"/>
          <w:sz w:val="22"/>
          <w:szCs w:val="22"/>
          <w:highlight w:val="none"/>
          <w:lang w:val="pt-BR"/>
        </w:rPr>
        <w:t xml:space="preserve"> conforme Decreto 230/2023 o</w:t>
      </w:r>
      <w:r>
        <w:rPr>
          <w:rFonts w:hint="default" w:ascii="Arial" w:hAnsi="Arial" w:cs="Arial"/>
          <w:b w:val="0"/>
          <w:bCs w:val="0"/>
          <w:color w:val="auto"/>
          <w:sz w:val="22"/>
          <w:szCs w:val="22"/>
          <w:highlight w:val="none"/>
          <w:lang w:val="pt-BR"/>
        </w:rPr>
        <w:t xml:space="preserve"> protocolo deverá ser realizado separadamente por Secretaria e Empenho/Nad;</w:t>
      </w:r>
    </w:p>
    <w:p w14:paraId="7ECEB432">
      <w:pPr>
        <w:pStyle w:val="128"/>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leftChars="0" w:right="0" w:rightChars="0"/>
        <w:jc w:val="both"/>
        <w:textAlignment w:val="baseline"/>
        <w:rPr>
          <w:rFonts w:hint="default" w:ascii="Arial" w:hAnsi="Arial" w:cs="Arial"/>
          <w:b w:val="0"/>
          <w:bCs w:val="0"/>
          <w:color w:val="auto"/>
          <w:sz w:val="22"/>
          <w:szCs w:val="22"/>
          <w:highlight w:val="none"/>
          <w:lang w:val="pt-BR"/>
        </w:rPr>
      </w:pPr>
      <w:r>
        <w:rPr>
          <w:rFonts w:hint="default" w:ascii="Arial" w:hAnsi="Arial" w:cs="Arial"/>
          <w:b/>
          <w:bCs/>
          <w:color w:val="auto"/>
          <w:sz w:val="22"/>
          <w:szCs w:val="22"/>
          <w:highlight w:val="none"/>
          <w:lang w:val="pt-BR"/>
        </w:rPr>
        <w:t>9.19</w:t>
      </w:r>
      <w:r>
        <w:rPr>
          <w:rFonts w:hint="default" w:ascii="Arial" w:hAnsi="Arial" w:cs="Arial"/>
          <w:b w:val="0"/>
          <w:bCs w:val="0"/>
          <w:color w:val="auto"/>
          <w:sz w:val="22"/>
          <w:szCs w:val="22"/>
          <w:highlight w:val="none"/>
          <w:lang w:val="pt-BR"/>
        </w:rPr>
        <w:t xml:space="preserve"> As certidões deverão ser juntadas ao protocolo e são obrigatórias para a liquidação da despesa.</w:t>
      </w:r>
    </w:p>
    <w:p w14:paraId="37264AA4">
      <w:pPr>
        <w:pStyle w:val="128"/>
        <w:numPr>
          <w:ilvl w:val="0"/>
          <w:numId w:val="0"/>
        </w:numPr>
        <w:tabs>
          <w:tab w:val="left" w:pos="390"/>
        </w:tabs>
        <w:spacing w:before="1" w:line="360" w:lineRule="auto"/>
        <w:ind w:leftChars="0" w:right="107" w:rightChars="0"/>
        <w:jc w:val="both"/>
        <w:rPr>
          <w:rFonts w:hint="default" w:ascii="Arial" w:hAnsi="Arial" w:cs="Arial"/>
          <w:sz w:val="22"/>
          <w:szCs w:val="22"/>
          <w:highlight w:val="none"/>
          <w:lang w:val="pt-BR"/>
        </w:rPr>
      </w:pPr>
      <w:r>
        <w:rPr>
          <w:rFonts w:hint="default" w:ascii="Arial" w:hAnsi="Arial" w:cs="Arial"/>
          <w:b/>
          <w:bCs/>
          <w:color w:val="auto"/>
          <w:sz w:val="22"/>
          <w:szCs w:val="22"/>
          <w:highlight w:val="none"/>
          <w:lang w:val="pt-BR"/>
        </w:rPr>
        <w:t>9.20</w:t>
      </w:r>
      <w:r>
        <w:rPr>
          <w:rFonts w:hint="default" w:ascii="Arial" w:hAnsi="Arial" w:cs="Arial"/>
          <w:color w:val="auto"/>
          <w:sz w:val="22"/>
          <w:szCs w:val="22"/>
          <w:highlight w:val="none"/>
          <w:lang w:val="pt-BR"/>
        </w:rPr>
        <w:t xml:space="preserve"> Todos os documentos são obrigatórios, especialmente os citados no edital de licitação e os que constam na Instrução Normativa 038/2009, atualizada no Decreto 118/2022</w:t>
      </w:r>
      <w:r>
        <w:rPr>
          <w:rFonts w:hint="default" w:ascii="Arial" w:hAnsi="Arial" w:cs="Arial"/>
          <w:sz w:val="22"/>
          <w:szCs w:val="22"/>
          <w:highlight w:val="none"/>
          <w:lang w:val="pt-BR"/>
        </w:rPr>
        <w:t>.</w:t>
      </w:r>
    </w:p>
    <w:p w14:paraId="2222E166">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kern w:val="1"/>
          <w:sz w:val="22"/>
          <w:szCs w:val="22"/>
          <w:lang w:eastAsia="ar-SA"/>
        </w:rPr>
      </w:pPr>
      <w:r>
        <w:rPr>
          <w:rFonts w:ascii="Arial" w:hAnsi="Arial" w:cs="Arial"/>
          <w:b/>
          <w:kern w:val="1"/>
          <w:sz w:val="22"/>
          <w:szCs w:val="22"/>
          <w:lang w:eastAsia="ar-SA"/>
        </w:rPr>
        <w:t xml:space="preserve">Cláusula </w:t>
      </w:r>
      <w:r>
        <w:rPr>
          <w:rFonts w:hint="default" w:ascii="Arial" w:hAnsi="Arial" w:cs="Arial"/>
          <w:b/>
          <w:kern w:val="1"/>
          <w:sz w:val="22"/>
          <w:szCs w:val="22"/>
          <w:lang w:val="pt-BR" w:eastAsia="ar-SA"/>
        </w:rPr>
        <w:t xml:space="preserve">Décima </w:t>
      </w:r>
      <w:r>
        <w:rPr>
          <w:rFonts w:ascii="Arial" w:hAnsi="Arial" w:cs="Arial"/>
          <w:b/>
          <w:kern w:val="1"/>
          <w:sz w:val="22"/>
          <w:szCs w:val="22"/>
          <w:lang w:eastAsia="ar-SA"/>
        </w:rPr>
        <w:t xml:space="preserve"> </w:t>
      </w:r>
    </w:p>
    <w:p w14:paraId="68F5452A">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hint="default" w:ascii="Arial" w:hAnsi="Arial" w:cs="Arial"/>
          <w:b/>
          <w:bCs/>
          <w:kern w:val="1"/>
          <w:sz w:val="22"/>
          <w:szCs w:val="22"/>
          <w:lang w:val="pt-BR" w:eastAsia="ar-SA"/>
        </w:rPr>
      </w:pPr>
      <w:r>
        <w:rPr>
          <w:rFonts w:ascii="Arial" w:hAnsi="Arial" w:cs="Arial"/>
          <w:b/>
          <w:kern w:val="1"/>
          <w:sz w:val="22"/>
          <w:szCs w:val="22"/>
          <w:lang w:eastAsia="ar-SA"/>
        </w:rPr>
        <w:t xml:space="preserve"> DA </w:t>
      </w:r>
      <w:r>
        <w:rPr>
          <w:rFonts w:hint="default" w:ascii="Arial" w:hAnsi="Arial" w:cs="Arial"/>
          <w:b/>
          <w:kern w:val="1"/>
          <w:sz w:val="22"/>
          <w:szCs w:val="22"/>
          <w:lang w:val="pt-BR" w:eastAsia="ar-SA"/>
        </w:rPr>
        <w:t>GARANTIA DA EXECUÇÃO</w:t>
      </w:r>
    </w:p>
    <w:p w14:paraId="69181190">
      <w:pPr>
        <w:pStyle w:val="136"/>
        <w:numPr>
          <w:ilvl w:val="0"/>
          <w:numId w:val="0"/>
        </w:numPr>
        <w:spacing w:line="360" w:lineRule="auto"/>
        <w:ind w:leftChars="0"/>
        <w:rPr>
          <w:rFonts w:hint="default" w:ascii="Arial" w:hAnsi="Arial" w:cs="Arial"/>
          <w:i w:val="0"/>
          <w:iCs w:val="0"/>
          <w:color w:val="auto"/>
          <w:sz w:val="22"/>
          <w:szCs w:val="22"/>
          <w:highlight w:val="none"/>
        </w:rPr>
      </w:pPr>
      <w:r>
        <w:rPr>
          <w:rFonts w:hint="default"/>
          <w:b/>
          <w:bCs/>
          <w:i w:val="0"/>
          <w:iCs w:val="0"/>
          <w:color w:val="auto"/>
          <w:sz w:val="22"/>
          <w:szCs w:val="22"/>
          <w:highlight w:val="none"/>
          <w:lang w:val="pt-BR"/>
        </w:rPr>
        <w:t>10.1.</w:t>
      </w:r>
      <w:r>
        <w:rPr>
          <w:rFonts w:hint="default"/>
          <w:i w:val="0"/>
          <w:iCs w:val="0"/>
          <w:color w:val="auto"/>
          <w:sz w:val="22"/>
          <w:szCs w:val="22"/>
          <w:highlight w:val="none"/>
          <w:lang w:val="pt-BR"/>
        </w:rPr>
        <w:t xml:space="preserve"> </w:t>
      </w:r>
      <w:r>
        <w:rPr>
          <w:rFonts w:hint="default" w:ascii="Arial" w:hAnsi="Arial" w:cs="Arial"/>
          <w:i w:val="0"/>
          <w:iCs w:val="0"/>
          <w:color w:val="0D0D0D"/>
          <w:sz w:val="22"/>
          <w:szCs w:val="22"/>
          <w:highlight w:val="none"/>
          <w:shd w:val="clear" w:color="auto" w:fill="FFFFFF"/>
        </w:rPr>
        <w:t>Não será exigido garantia contratual</w:t>
      </w:r>
      <w:r>
        <w:rPr>
          <w:rFonts w:hint="default" w:ascii="Arial" w:hAnsi="Arial" w:cs="Arial"/>
          <w:i w:val="0"/>
          <w:iCs w:val="0"/>
          <w:color w:val="0D0D0D"/>
          <w:sz w:val="22"/>
          <w:szCs w:val="22"/>
          <w:highlight w:val="none"/>
          <w:shd w:val="clear" w:color="auto" w:fill="FFFFFF"/>
          <w:lang w:val="pt-BR"/>
        </w:rPr>
        <w:t xml:space="preserve"> conforme</w:t>
      </w:r>
      <w:r>
        <w:rPr>
          <w:rFonts w:hint="default" w:ascii="Arial" w:hAnsi="Arial" w:cs="Arial"/>
          <w:i w:val="0"/>
          <w:iCs w:val="0"/>
          <w:color w:val="auto"/>
          <w:sz w:val="22"/>
          <w:szCs w:val="22"/>
        </w:rPr>
        <w:t xml:space="preserve"> </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\l "art96" \h </w:instrText>
      </w:r>
      <w:r>
        <w:rPr>
          <w:rFonts w:hint="default" w:ascii="Arial" w:hAnsi="Arial" w:cs="Arial"/>
          <w:i w:val="0"/>
          <w:iCs w:val="0"/>
          <w:color w:val="auto"/>
          <w:sz w:val="22"/>
          <w:szCs w:val="22"/>
          <w:u w:val="none"/>
        </w:rPr>
        <w:fldChar w:fldCharType="separate"/>
      </w:r>
      <w:r>
        <w:rPr>
          <w:rStyle w:val="15"/>
          <w:rFonts w:hint="default" w:ascii="Arial" w:hAnsi="Arial" w:cs="Arial"/>
          <w:i w:val="0"/>
          <w:iCs w:val="0"/>
          <w:color w:val="auto"/>
          <w:sz w:val="22"/>
          <w:szCs w:val="22"/>
          <w:u w:val="none"/>
        </w:rPr>
        <w:t xml:space="preserve">artigos 96 e seguintes da Lei </w:t>
      </w:r>
      <w:r>
        <w:rPr>
          <w:rStyle w:val="15"/>
          <w:rFonts w:hint="default" w:ascii="Arial" w:hAnsi="Arial" w:cs="Arial"/>
          <w:i w:val="0"/>
          <w:iCs w:val="0"/>
          <w:color w:val="auto"/>
          <w:sz w:val="22"/>
          <w:szCs w:val="22"/>
          <w:u w:val="none"/>
          <w:lang w:val="pt-BR"/>
        </w:rPr>
        <w:t xml:space="preserve">Federal </w:t>
      </w:r>
      <w:r>
        <w:rPr>
          <w:rStyle w:val="15"/>
          <w:rFonts w:hint="default" w:ascii="Arial" w:hAnsi="Arial" w:cs="Arial"/>
          <w:i w:val="0"/>
          <w:iCs w:val="0"/>
          <w:color w:val="auto"/>
          <w:sz w:val="22"/>
          <w:szCs w:val="22"/>
          <w:u w:val="none"/>
        </w:rPr>
        <w:t>nº 14.133</w:t>
      </w:r>
      <w:r>
        <w:rPr>
          <w:rStyle w:val="15"/>
          <w:rFonts w:hint="default" w:ascii="Arial" w:hAnsi="Arial" w:cs="Arial"/>
          <w:i w:val="0"/>
          <w:iCs w:val="0"/>
          <w:color w:val="auto"/>
          <w:sz w:val="22"/>
          <w:szCs w:val="22"/>
          <w:u w:val="none"/>
          <w:lang w:val="pt-BR"/>
        </w:rPr>
        <w:t>/2</w:t>
      </w:r>
      <w:r>
        <w:rPr>
          <w:rStyle w:val="15"/>
          <w:rFonts w:hint="default" w:ascii="Arial" w:hAnsi="Arial" w:cs="Arial"/>
          <w:i w:val="0"/>
          <w:iCs w:val="0"/>
          <w:color w:val="auto"/>
          <w:sz w:val="22"/>
          <w:szCs w:val="22"/>
          <w:u w:val="none"/>
        </w:rPr>
        <w:t>021</w:t>
      </w:r>
      <w:r>
        <w:rPr>
          <w:rStyle w:val="15"/>
          <w:rFonts w:hint="default" w:ascii="Arial" w:hAnsi="Arial" w:cs="Arial"/>
          <w:i w:val="0"/>
          <w:iCs w:val="0"/>
          <w:color w:val="auto"/>
          <w:sz w:val="22"/>
          <w:szCs w:val="22"/>
          <w:u w:val="none"/>
        </w:rPr>
        <w:fldChar w:fldCharType="end"/>
      </w:r>
      <w:r>
        <w:rPr>
          <w:rStyle w:val="15"/>
          <w:rFonts w:hint="default" w:ascii="Arial" w:hAnsi="Arial" w:cs="Arial"/>
          <w:i w:val="0"/>
          <w:iCs w:val="0"/>
          <w:color w:val="auto"/>
          <w:sz w:val="22"/>
          <w:szCs w:val="22"/>
          <w:u w:val="none"/>
          <w:lang w:val="pt-BR"/>
        </w:rPr>
        <w:t xml:space="preserve">, </w:t>
      </w:r>
      <w:r>
        <w:rPr>
          <w:rFonts w:hint="default" w:ascii="Arial" w:hAnsi="Arial" w:cs="Arial"/>
          <w:i w:val="0"/>
          <w:iCs w:val="0"/>
          <w:color w:val="0D0D0D"/>
          <w:sz w:val="22"/>
          <w:szCs w:val="22"/>
          <w:highlight w:val="none"/>
          <w:shd w:val="clear" w:color="auto" w:fill="FFFFFF"/>
        </w:rPr>
        <w:t>todavia é importante ressaltar que o descumprimento ou atraso nas exigências estabelecidas no edital acarretará sanções administrativas. Essas medidas punitivas estão claramente delineadas no regulamento municipal, Decreto 360/2023. Portanto, é imperativo observar com rigor todas as condições do edital para evitar possíveis penalidades, conforme previsto na legislação aplicável.</w:t>
      </w:r>
      <w:r>
        <w:rPr>
          <w:rFonts w:hint="default" w:ascii="Arial" w:hAnsi="Arial" w:cs="Arial"/>
          <w:i w:val="0"/>
          <w:iCs w:val="0"/>
          <w:color w:val="0D0D0D"/>
          <w:sz w:val="22"/>
          <w:szCs w:val="22"/>
          <w:highlight w:val="none"/>
          <w:shd w:val="clear" w:color="auto" w:fill="FFFFFF"/>
          <w:lang w:val="pt-BR"/>
        </w:rPr>
        <w:t xml:space="preserve"> </w:t>
      </w:r>
      <w:r>
        <w:rPr>
          <w:rFonts w:hint="default" w:ascii="Arial" w:hAnsi="Arial" w:eastAsia="SimSun" w:cs="Arial"/>
          <w:i w:val="0"/>
          <w:iCs w:val="0"/>
          <w:color w:val="auto"/>
          <w:kern w:val="0"/>
          <w:sz w:val="22"/>
          <w:szCs w:val="22"/>
          <w:lang w:val="en-US" w:eastAsia="zh-CN" w:bidi="ar"/>
        </w:rPr>
        <w:t>O que se precisa ter é a garantia legal dos produtos</w:t>
      </w:r>
      <w:r>
        <w:rPr>
          <w:rFonts w:hint="default" w:ascii="Arial" w:hAnsi="Arial" w:eastAsia="SimSun" w:cs="Arial"/>
          <w:i w:val="0"/>
          <w:iCs w:val="0"/>
          <w:color w:val="auto"/>
          <w:kern w:val="0"/>
          <w:sz w:val="22"/>
          <w:szCs w:val="22"/>
          <w:lang w:val="pt-BR" w:eastAsia="zh-CN" w:bidi="ar"/>
        </w:rPr>
        <w:t>/serviços.</w:t>
      </w:r>
    </w:p>
    <w:p w14:paraId="525D057B">
      <w:pPr>
        <w:pBdr>
          <w:top w:val="double" w:color="auto" w:sz="4" w:space="1"/>
          <w:left w:val="double" w:color="auto" w:sz="4" w:space="4"/>
          <w:bottom w:val="double" w:color="auto" w:sz="4" w:space="1"/>
          <w:right w:val="double" w:color="auto" w:sz="4" w:space="4"/>
        </w:pBdr>
        <w:shd w:val="clear" w:color="auto" w:fill="D9D9D9"/>
        <w:tabs>
          <w:tab w:val="left" w:pos="1080"/>
        </w:tabs>
        <w:spacing w:line="360" w:lineRule="auto"/>
        <w:jc w:val="center"/>
        <w:rPr>
          <w:rFonts w:ascii="Arial" w:hAnsi="Arial" w:cs="Arial"/>
          <w:b/>
          <w:sz w:val="22"/>
          <w:szCs w:val="22"/>
        </w:rPr>
      </w:pPr>
      <w:r>
        <w:rPr>
          <w:rFonts w:ascii="Arial" w:hAnsi="Arial" w:cs="Arial"/>
          <w:b/>
          <w:sz w:val="22"/>
          <w:szCs w:val="22"/>
        </w:rPr>
        <w:t>Cláusula Décima Primeira</w:t>
      </w:r>
    </w:p>
    <w:p w14:paraId="15C1A95F">
      <w:pPr>
        <w:pBdr>
          <w:top w:val="double" w:color="auto" w:sz="4" w:space="1"/>
          <w:left w:val="double" w:color="auto" w:sz="4" w:space="4"/>
          <w:bottom w:val="double" w:color="auto" w:sz="4" w:space="1"/>
          <w:right w:val="double" w:color="auto" w:sz="4" w:space="4"/>
        </w:pBdr>
        <w:shd w:val="clear" w:color="auto" w:fill="D9D9D9"/>
        <w:tabs>
          <w:tab w:val="left" w:pos="1080"/>
        </w:tabs>
        <w:spacing w:line="360" w:lineRule="auto"/>
        <w:jc w:val="center"/>
        <w:rPr>
          <w:rFonts w:ascii="Arial" w:hAnsi="Arial" w:cs="Arial"/>
          <w:b/>
          <w:sz w:val="22"/>
          <w:szCs w:val="22"/>
        </w:rPr>
      </w:pPr>
      <w:r>
        <w:rPr>
          <w:rFonts w:ascii="Arial" w:hAnsi="Arial" w:cs="Arial"/>
          <w:b/>
          <w:sz w:val="22"/>
          <w:szCs w:val="22"/>
        </w:rPr>
        <w:t>DAS PENALIDADES</w:t>
      </w:r>
    </w:p>
    <w:p w14:paraId="266E6A19">
      <w:pPr>
        <w:pStyle w:val="134"/>
        <w:numPr>
          <w:ilvl w:val="0"/>
          <w:numId w:val="0"/>
        </w:numPr>
        <w:spacing w:line="360" w:lineRule="auto"/>
        <w:ind w:leftChars="0"/>
        <w:rPr>
          <w:sz w:val="22"/>
          <w:szCs w:val="22"/>
          <w:highlight w:val="none"/>
        </w:rPr>
      </w:pPr>
      <w:r>
        <w:rPr>
          <w:rFonts w:hint="default" w:cs="Arial"/>
          <w:b/>
          <w:bCs/>
          <w:color w:val="auto"/>
          <w:sz w:val="22"/>
          <w:szCs w:val="22"/>
          <w:lang w:val="pt-BR"/>
        </w:rPr>
        <w:t xml:space="preserve">11.1.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 xml:space="preserve">que, com dolo ou culpa: </w:t>
      </w:r>
    </w:p>
    <w:p w14:paraId="3306D869">
      <w:pPr>
        <w:pStyle w:val="21"/>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 xml:space="preserve">11.1.1.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6B41168E">
      <w:pPr>
        <w:pStyle w:val="21"/>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11.1.2.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lang w:val="pt-BR"/>
        </w:rPr>
        <w:t xml:space="preserve"> </w:t>
      </w:r>
      <w:r>
        <w:rPr>
          <w:rFonts w:hint="default" w:ascii="Arial" w:hAnsi="Arial" w:cs="Arial"/>
          <w:sz w:val="22"/>
          <w:szCs w:val="22"/>
          <w:highlight w:val="none"/>
        </w:rPr>
        <w:t>que cause grave dano à Administração, ao funcionamento dos serviços públicos ou ao interesse coletivo;</w:t>
      </w:r>
    </w:p>
    <w:p w14:paraId="44A3F70A">
      <w:pPr>
        <w:pStyle w:val="21"/>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11.1.3.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do</w:t>
      </w:r>
      <w:r>
        <w:rPr>
          <w:rFonts w:hint="default" w:ascii="Arial" w:hAnsi="Arial" w:cs="Arial"/>
          <w:color w:val="auto"/>
          <w:sz w:val="22"/>
          <w:szCs w:val="22"/>
          <w:lang w:val="pt-BR"/>
        </w:rPr>
        <w:t xml:space="preserve"> Contrato</w:t>
      </w:r>
      <w:r>
        <w:rPr>
          <w:rFonts w:hint="default" w:ascii="Arial" w:hAnsi="Arial" w:cs="Arial"/>
          <w:sz w:val="22"/>
          <w:szCs w:val="22"/>
          <w:highlight w:val="none"/>
        </w:rPr>
        <w:t>;</w:t>
      </w:r>
    </w:p>
    <w:p w14:paraId="1C7A8F64">
      <w:pPr>
        <w:pStyle w:val="137"/>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 xml:space="preserve">11.1.4.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p>
    <w:p w14:paraId="5D113C02">
      <w:pPr>
        <w:pStyle w:val="137"/>
        <w:numPr>
          <w:ilvl w:val="0"/>
          <w:numId w:val="0"/>
        </w:numPr>
        <w:tabs>
          <w:tab w:val="left" w:pos="0"/>
        </w:tabs>
        <w:spacing w:line="360" w:lineRule="auto"/>
        <w:ind w:left="4" w:leftChars="0" w:firstLine="477" w:firstLineChars="216"/>
        <w:rPr>
          <w:sz w:val="22"/>
          <w:szCs w:val="22"/>
          <w:highlight w:val="none"/>
        </w:rPr>
      </w:pPr>
      <w:r>
        <w:rPr>
          <w:rFonts w:hint="default"/>
          <w:b/>
          <w:bCs/>
          <w:sz w:val="22"/>
          <w:szCs w:val="22"/>
          <w:highlight w:val="none"/>
          <w:lang w:val="pt-BR"/>
        </w:rPr>
        <w:t xml:space="preserve">11.1.5.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p>
    <w:p w14:paraId="572CD501">
      <w:pPr>
        <w:pStyle w:val="142"/>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11.1.5.1.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7B770D0A">
      <w:pPr>
        <w:pStyle w:val="142"/>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11.1.5.2.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015D0D82">
      <w:pPr>
        <w:pStyle w:val="142"/>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11.1.5.3.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111EAC6A">
      <w:pPr>
        <w:pStyle w:val="142"/>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11.1.5.4.</w:t>
      </w:r>
      <w:r>
        <w:rPr>
          <w:rFonts w:hint="default"/>
          <w:sz w:val="22"/>
          <w:szCs w:val="22"/>
          <w:highlight w:val="none"/>
          <w:lang w:val="pt-BR"/>
        </w:rPr>
        <w:t xml:space="preserve"> D</w:t>
      </w:r>
      <w:r>
        <w:rPr>
          <w:sz w:val="22"/>
          <w:szCs w:val="22"/>
          <w:highlight w:val="none"/>
        </w:rPr>
        <w:t>eixar de apresentar amostra;</w:t>
      </w:r>
    </w:p>
    <w:p w14:paraId="7BD2D5AB">
      <w:pPr>
        <w:pStyle w:val="142"/>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11.1.5.5.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1971E9E7">
      <w:pPr>
        <w:pStyle w:val="137"/>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11.1.6.</w:t>
      </w:r>
      <w:r>
        <w:rPr>
          <w:rFonts w:hint="default"/>
          <w:sz w:val="22"/>
          <w:szCs w:val="22"/>
          <w:highlight w:val="none"/>
          <w:lang w:val="pt-BR"/>
        </w:rPr>
        <w:t xml:space="preserve"> N</w:t>
      </w:r>
      <w:r>
        <w:rPr>
          <w:sz w:val="22"/>
          <w:szCs w:val="22"/>
          <w:highlight w:val="none"/>
        </w:rPr>
        <w:t xml:space="preserve">ão celebrar </w:t>
      </w:r>
      <w:r>
        <w:rPr>
          <w:rFonts w:hint="default" w:ascii="Arial" w:hAnsi="Arial" w:cs="Arial"/>
          <w:color w:val="auto"/>
          <w:sz w:val="22"/>
          <w:szCs w:val="22"/>
          <w:lang w:val="pt-BR"/>
        </w:rPr>
        <w:t>o Contrato</w:t>
      </w:r>
      <w:r>
        <w:rPr>
          <w:rFonts w:hint="default" w:cs="Arial"/>
          <w:color w:val="auto"/>
          <w:sz w:val="22"/>
          <w:szCs w:val="22"/>
          <w:lang w:val="pt-BR"/>
        </w:rPr>
        <w:t xml:space="preserve"> </w:t>
      </w:r>
      <w:r>
        <w:rPr>
          <w:sz w:val="22"/>
          <w:szCs w:val="22"/>
          <w:highlight w:val="none"/>
        </w:rPr>
        <w:t>ou não entregar a documentação exigida para a contratação, quando convocado dentro do prazo de validade de sua proposta</w:t>
      </w:r>
      <w:r>
        <w:rPr>
          <w:rFonts w:hint="default"/>
          <w:sz w:val="22"/>
          <w:szCs w:val="22"/>
          <w:highlight w:val="none"/>
          <w:lang w:val="pt-BR"/>
        </w:rPr>
        <w:t>, bem como r</w:t>
      </w:r>
      <w:r>
        <w:rPr>
          <w:sz w:val="22"/>
          <w:szCs w:val="22"/>
          <w:highlight w:val="none"/>
        </w:rPr>
        <w:t xml:space="preserve">ecusar-se, sem justificativa, a assinar </w:t>
      </w:r>
      <w:r>
        <w:rPr>
          <w:rFonts w:hint="default" w:ascii="Arial" w:hAnsi="Arial" w:cs="Arial"/>
          <w:color w:val="auto"/>
          <w:sz w:val="22"/>
          <w:szCs w:val="22"/>
          <w:lang w:val="pt-BR"/>
        </w:rPr>
        <w:t>o Contrato</w:t>
      </w:r>
      <w:r>
        <w:rPr>
          <w:sz w:val="22"/>
          <w:szCs w:val="22"/>
          <w:highlight w:val="none"/>
        </w:rPr>
        <w:t>, ou a aceitar ou retirar o instrumento equivalente no prazo estabelecido pela Administração;</w:t>
      </w:r>
    </w:p>
    <w:p w14:paraId="57390F44">
      <w:pPr>
        <w:pStyle w:val="21"/>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11.1.7.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394B50B6">
      <w:pPr>
        <w:pStyle w:val="137"/>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highlight w:val="none"/>
          <w:lang w:val="pt-BR"/>
        </w:rPr>
        <w:t>11.1.8.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r>
        <w:rPr>
          <w:rFonts w:hint="default"/>
          <w:sz w:val="22"/>
          <w:szCs w:val="22"/>
          <w:highlight w:val="none"/>
          <w:lang w:val="pt-BR"/>
        </w:rPr>
        <w:t xml:space="preserve"> ou durante a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sz w:val="22"/>
          <w:szCs w:val="22"/>
          <w:highlight w:val="none"/>
          <w:lang w:val="pt-BR"/>
        </w:rPr>
        <w:t>;</w:t>
      </w:r>
    </w:p>
    <w:p w14:paraId="64FD6630">
      <w:pPr>
        <w:pStyle w:val="137"/>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highlight w:val="none"/>
          <w:lang w:val="pt-BR"/>
        </w:rPr>
        <w:t>11.1.9.</w:t>
      </w:r>
      <w:r>
        <w:rPr>
          <w:rFonts w:hint="default"/>
          <w:sz w:val="22"/>
          <w:szCs w:val="22"/>
          <w:highlight w:val="none"/>
          <w:lang w:val="pt-BR"/>
        </w:rPr>
        <w:t xml:space="preserve"> F</w:t>
      </w:r>
      <w:r>
        <w:rPr>
          <w:sz w:val="22"/>
          <w:szCs w:val="22"/>
          <w:highlight w:val="none"/>
        </w:rPr>
        <w:t>raudar a licitação</w:t>
      </w:r>
      <w:r>
        <w:rPr>
          <w:rFonts w:hint="default"/>
          <w:sz w:val="22"/>
          <w:szCs w:val="22"/>
          <w:highlight w:val="none"/>
          <w:lang w:val="pt-BR"/>
        </w:rPr>
        <w:t xml:space="preserve"> ou praticar ato fraudulento na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sz w:val="22"/>
          <w:szCs w:val="22"/>
          <w:highlight w:val="none"/>
          <w:lang w:val="pt-BR"/>
        </w:rPr>
        <w:t>;</w:t>
      </w:r>
    </w:p>
    <w:p w14:paraId="7CCA088B">
      <w:pPr>
        <w:pStyle w:val="137"/>
        <w:numPr>
          <w:ilvl w:val="0"/>
          <w:numId w:val="0"/>
        </w:numPr>
        <w:spacing w:line="360" w:lineRule="auto"/>
        <w:ind w:left="4" w:leftChars="0" w:firstLine="477" w:firstLineChars="216"/>
        <w:rPr>
          <w:sz w:val="22"/>
          <w:szCs w:val="22"/>
          <w:highlight w:val="none"/>
        </w:rPr>
      </w:pPr>
      <w:r>
        <w:rPr>
          <w:rFonts w:hint="default"/>
          <w:b/>
          <w:bCs/>
          <w:sz w:val="22"/>
          <w:szCs w:val="22"/>
          <w:highlight w:val="none"/>
          <w:lang w:val="pt-BR"/>
        </w:rPr>
        <w:t>11.1.10.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p>
    <w:p w14:paraId="014F5BBF">
      <w:pPr>
        <w:pStyle w:val="142"/>
        <w:numPr>
          <w:ilvl w:val="0"/>
          <w:numId w:val="0"/>
        </w:numPr>
        <w:spacing w:line="360" w:lineRule="auto"/>
        <w:ind w:left="7" w:leftChars="0" w:firstLine="716" w:firstLineChars="324"/>
        <w:rPr>
          <w:rFonts w:hint="default" w:ascii="Arial" w:hAnsi="Arial" w:cs="Arial"/>
          <w:sz w:val="22"/>
          <w:szCs w:val="22"/>
          <w:highlight w:val="none"/>
        </w:rPr>
      </w:pPr>
      <w:r>
        <w:rPr>
          <w:rFonts w:hint="default"/>
          <w:b/>
          <w:bCs/>
          <w:sz w:val="22"/>
          <w:szCs w:val="22"/>
          <w:highlight w:val="none"/>
          <w:lang w:val="pt-BR"/>
        </w:rPr>
        <w:t xml:space="preserve">11.1.10.1. </w:t>
      </w:r>
      <w:r>
        <w:rPr>
          <w:rFonts w:hint="default"/>
          <w:b w:val="0"/>
          <w:bCs w:val="0"/>
          <w:sz w:val="22"/>
          <w:szCs w:val="22"/>
          <w:highlight w:val="none"/>
          <w:lang w:val="pt-BR"/>
        </w:rPr>
        <w:t>A</w:t>
      </w:r>
      <w:r>
        <w:rPr>
          <w:sz w:val="22"/>
          <w:szCs w:val="22"/>
          <w:highlight w:val="none"/>
        </w:rPr>
        <w:t xml:space="preserve">gir em conluio ou em desconformidade com a lei; </w:t>
      </w:r>
    </w:p>
    <w:p w14:paraId="47CA2571">
      <w:pPr>
        <w:pStyle w:val="142"/>
        <w:numPr>
          <w:ilvl w:val="0"/>
          <w:numId w:val="0"/>
        </w:numPr>
        <w:spacing w:line="360" w:lineRule="auto"/>
        <w:ind w:left="7" w:leftChars="0" w:firstLine="716" w:firstLineChars="324"/>
        <w:rPr>
          <w:rFonts w:hint="default" w:ascii="Arial" w:hAnsi="Arial" w:cs="Arial"/>
          <w:sz w:val="22"/>
          <w:szCs w:val="22"/>
          <w:highlight w:val="none"/>
        </w:rPr>
      </w:pPr>
      <w:r>
        <w:rPr>
          <w:rFonts w:hint="default" w:ascii="Arial" w:hAnsi="Arial" w:cs="Arial"/>
          <w:b/>
          <w:bCs/>
          <w:sz w:val="22"/>
          <w:szCs w:val="22"/>
          <w:highlight w:val="none"/>
          <w:lang w:val="pt-BR"/>
        </w:rPr>
        <w:t>11.1.10.2.</w:t>
      </w:r>
      <w:r>
        <w:rPr>
          <w:rFonts w:hint="default" w:ascii="Arial" w:hAnsi="Arial" w:cs="Arial"/>
          <w:sz w:val="22"/>
          <w:szCs w:val="22"/>
          <w:highlight w:val="none"/>
          <w:lang w:val="pt-BR"/>
        </w:rPr>
        <w:t xml:space="preserve"> I</w:t>
      </w:r>
      <w:r>
        <w:rPr>
          <w:rFonts w:hint="default" w:ascii="Arial" w:hAnsi="Arial" w:cs="Arial"/>
          <w:sz w:val="22"/>
          <w:szCs w:val="22"/>
          <w:highlight w:val="none"/>
        </w:rPr>
        <w:t xml:space="preserve">nduzir deliberadamente a erro no julgamento; </w:t>
      </w:r>
    </w:p>
    <w:p w14:paraId="4E6E8F95">
      <w:pPr>
        <w:pStyle w:val="142"/>
        <w:numPr>
          <w:ilvl w:val="0"/>
          <w:numId w:val="0"/>
        </w:numPr>
        <w:spacing w:line="360" w:lineRule="auto"/>
        <w:ind w:left="7" w:leftChars="0" w:firstLine="716" w:firstLineChars="324"/>
        <w:rPr>
          <w:rFonts w:hint="default" w:ascii="Arial" w:hAnsi="Arial" w:cs="Arial"/>
          <w:sz w:val="22"/>
          <w:szCs w:val="22"/>
          <w:highlight w:val="none"/>
        </w:rPr>
      </w:pPr>
      <w:r>
        <w:rPr>
          <w:rFonts w:hint="default" w:ascii="Arial" w:hAnsi="Arial" w:cs="Arial"/>
          <w:b/>
          <w:bCs/>
          <w:sz w:val="22"/>
          <w:szCs w:val="22"/>
          <w:highlight w:val="none"/>
          <w:lang w:val="pt-BR"/>
        </w:rPr>
        <w:t>11.1.10.3.</w:t>
      </w:r>
      <w:r>
        <w:rPr>
          <w:rFonts w:hint="default" w:ascii="Arial" w:hAnsi="Arial" w:cs="Arial"/>
          <w:sz w:val="22"/>
          <w:szCs w:val="22"/>
          <w:highlight w:val="none"/>
          <w:lang w:val="pt-BR"/>
        </w:rPr>
        <w:t xml:space="preserve"> A</w:t>
      </w:r>
      <w:r>
        <w:rPr>
          <w:rFonts w:hint="default" w:ascii="Arial" w:hAnsi="Arial" w:cs="Arial"/>
          <w:sz w:val="22"/>
          <w:szCs w:val="22"/>
          <w:highlight w:val="none"/>
        </w:rPr>
        <w:t>presentar amostra falsificada ou deteriorada</w:t>
      </w:r>
      <w:r>
        <w:rPr>
          <w:rFonts w:hint="default" w:ascii="Arial" w:hAnsi="Arial" w:cs="Arial"/>
          <w:sz w:val="22"/>
          <w:szCs w:val="22"/>
          <w:highlight w:val="none"/>
          <w:lang w:val="pt-BR"/>
        </w:rPr>
        <w:t>.</w:t>
      </w:r>
      <w:r>
        <w:rPr>
          <w:rFonts w:hint="default" w:ascii="Arial" w:hAnsi="Arial" w:cs="Arial"/>
          <w:sz w:val="22"/>
          <w:szCs w:val="22"/>
          <w:highlight w:val="none"/>
        </w:rPr>
        <w:t xml:space="preserve"> </w:t>
      </w:r>
    </w:p>
    <w:p w14:paraId="7C624236">
      <w:pPr>
        <w:pStyle w:val="137"/>
        <w:numPr>
          <w:ilvl w:val="0"/>
          <w:numId w:val="0"/>
        </w:numPr>
        <w:spacing w:line="360" w:lineRule="auto"/>
        <w:ind w:left="0" w:leftChars="0" w:firstLine="481" w:firstLineChars="218"/>
        <w:rPr>
          <w:rFonts w:hint="default" w:ascii="Arial" w:hAnsi="Arial" w:cs="Arial"/>
          <w:sz w:val="22"/>
          <w:szCs w:val="22"/>
          <w:highlight w:val="none"/>
          <w:lang w:val="pt-BR"/>
        </w:rPr>
      </w:pPr>
      <w:r>
        <w:rPr>
          <w:rFonts w:hint="default" w:ascii="Arial" w:hAnsi="Arial" w:cs="Arial"/>
          <w:b/>
          <w:bCs/>
          <w:sz w:val="22"/>
          <w:szCs w:val="22"/>
          <w:highlight w:val="none"/>
          <w:lang w:val="pt-BR"/>
        </w:rPr>
        <w:t>11.1.11.</w:t>
      </w:r>
      <w:r>
        <w:rPr>
          <w:rFonts w:hint="default" w:ascii="Arial" w:hAnsi="Arial" w:cs="Arial"/>
          <w:sz w:val="22"/>
          <w:szCs w:val="22"/>
          <w:highlight w:val="none"/>
          <w:lang w:val="pt-BR"/>
        </w:rPr>
        <w:t xml:space="preserve"> P</w:t>
      </w:r>
      <w:r>
        <w:rPr>
          <w:rFonts w:hint="default" w:ascii="Arial" w:hAnsi="Arial" w:cs="Arial"/>
          <w:sz w:val="22"/>
          <w:szCs w:val="22"/>
          <w:highlight w:val="none"/>
        </w:rPr>
        <w:t>raticar atos ilícitos com vistas a frustrar os objetivos da licitação</w:t>
      </w:r>
      <w:r>
        <w:rPr>
          <w:rFonts w:hint="default" w:ascii="Arial" w:hAnsi="Arial" w:cs="Arial"/>
          <w:sz w:val="22"/>
          <w:szCs w:val="22"/>
          <w:highlight w:val="none"/>
          <w:lang w:val="pt-BR"/>
        </w:rPr>
        <w:t>;</w:t>
      </w:r>
    </w:p>
    <w:p w14:paraId="102BDDDE">
      <w:pPr>
        <w:pStyle w:val="137"/>
        <w:numPr>
          <w:ilvl w:val="0"/>
          <w:numId w:val="0"/>
        </w:numPr>
        <w:spacing w:line="360" w:lineRule="auto"/>
        <w:ind w:left="4" w:leftChars="0" w:firstLine="477" w:firstLineChars="216"/>
        <w:rPr>
          <w:rFonts w:hint="default" w:ascii="Arial" w:hAnsi="Arial" w:cs="Arial"/>
          <w:sz w:val="22"/>
          <w:szCs w:val="22"/>
          <w:highlight w:val="none"/>
        </w:rPr>
      </w:pPr>
      <w:r>
        <w:rPr>
          <w:rFonts w:hint="default" w:ascii="Arial" w:hAnsi="Arial" w:cs="Arial"/>
          <w:b/>
          <w:bCs/>
          <w:sz w:val="22"/>
          <w:szCs w:val="22"/>
          <w:highlight w:val="none"/>
          <w:lang w:val="pt-BR"/>
        </w:rPr>
        <w:t xml:space="preserve">11.1.12. </w:t>
      </w:r>
      <w:r>
        <w:rPr>
          <w:rFonts w:hint="default" w:ascii="Arial" w:hAnsi="Arial" w:cs="Arial"/>
          <w:sz w:val="22"/>
          <w:szCs w:val="22"/>
          <w:highlight w:val="none"/>
          <w:lang w:val="pt-BR"/>
        </w:rPr>
        <w:t>P</w:t>
      </w:r>
      <w:r>
        <w:rPr>
          <w:rFonts w:hint="default" w:ascii="Arial" w:hAnsi="Arial" w:cs="Arial"/>
          <w:sz w:val="22"/>
          <w:szCs w:val="22"/>
          <w:highlight w:val="none"/>
        </w:rPr>
        <w:t xml:space="preserve">raticar ato lesivo previsto no </w:t>
      </w:r>
      <w:r>
        <w:rPr>
          <w:rFonts w:hint="default" w:ascii="Arial" w:hAnsi="Arial" w:cs="Arial"/>
          <w:sz w:val="22"/>
          <w:szCs w:val="22"/>
          <w:highlight w:val="none"/>
        </w:rPr>
        <w:fldChar w:fldCharType="begin"/>
      </w:r>
      <w:r>
        <w:rPr>
          <w:rFonts w:hint="default" w:ascii="Arial" w:hAnsi="Arial" w:cs="Arial"/>
          <w:sz w:val="22"/>
          <w:szCs w:val="22"/>
          <w:highlight w:val="none"/>
        </w:rPr>
        <w:instrText xml:space="preserve"> HYPERLINK "https://www.planalto.gov.br/ccivil_03/_ato2011-2014/2013/lei/l12846.htm" \l "art5" </w:instrText>
      </w:r>
      <w:r>
        <w:rPr>
          <w:rFonts w:hint="default" w:ascii="Arial" w:hAnsi="Arial" w:cs="Arial"/>
          <w:sz w:val="22"/>
          <w:szCs w:val="22"/>
          <w:highlight w:val="none"/>
        </w:rPr>
        <w:fldChar w:fldCharType="separate"/>
      </w:r>
      <w:r>
        <w:rPr>
          <w:rStyle w:val="15"/>
          <w:rFonts w:hint="default" w:ascii="Arial" w:hAnsi="Arial" w:cs="Arial"/>
          <w:color w:val="000000"/>
          <w:sz w:val="22"/>
          <w:szCs w:val="22"/>
          <w:highlight w:val="none"/>
          <w:u w:val="none"/>
        </w:rPr>
        <w:t>art. 5º da Lei nº 12.846</w:t>
      </w:r>
      <w:r>
        <w:rPr>
          <w:rStyle w:val="15"/>
          <w:rFonts w:hint="default" w:ascii="Arial" w:hAnsi="Arial" w:cs="Arial"/>
          <w:color w:val="000000"/>
          <w:sz w:val="22"/>
          <w:szCs w:val="22"/>
          <w:highlight w:val="none"/>
          <w:u w:val="none"/>
          <w:lang w:val="pt-BR"/>
        </w:rPr>
        <w:t>/</w:t>
      </w:r>
      <w:r>
        <w:rPr>
          <w:rStyle w:val="15"/>
          <w:rFonts w:hint="default" w:ascii="Arial" w:hAnsi="Arial" w:cs="Arial"/>
          <w:color w:val="000000"/>
          <w:sz w:val="22"/>
          <w:szCs w:val="22"/>
          <w:highlight w:val="none"/>
          <w:u w:val="none"/>
        </w:rPr>
        <w:t>2013</w:t>
      </w:r>
      <w:r>
        <w:rPr>
          <w:rStyle w:val="15"/>
          <w:rFonts w:hint="default" w:ascii="Arial" w:hAnsi="Arial" w:cs="Arial"/>
          <w:color w:val="000000"/>
          <w:sz w:val="22"/>
          <w:szCs w:val="22"/>
          <w:highlight w:val="none"/>
          <w:u w:val="none"/>
        </w:rPr>
        <w:fldChar w:fldCharType="end"/>
      </w:r>
      <w:r>
        <w:rPr>
          <w:rFonts w:hint="default" w:ascii="Arial" w:hAnsi="Arial" w:cs="Arial"/>
          <w:sz w:val="22"/>
          <w:szCs w:val="22"/>
          <w:highlight w:val="none"/>
        </w:rPr>
        <w:t>.</w:t>
      </w:r>
    </w:p>
    <w:p w14:paraId="4B9F3C8C">
      <w:pPr>
        <w:pStyle w:val="134"/>
        <w:numPr>
          <w:ilvl w:val="0"/>
          <w:numId w:val="0"/>
        </w:numPr>
        <w:spacing w:line="360" w:lineRule="auto"/>
        <w:ind w:leftChars="0"/>
        <w:rPr>
          <w:sz w:val="22"/>
          <w:szCs w:val="22"/>
        </w:rPr>
      </w:pPr>
      <w:r>
        <w:rPr>
          <w:rFonts w:hint="default" w:ascii="Arial" w:hAnsi="Arial" w:cs="Arial"/>
          <w:b/>
          <w:bCs/>
          <w:sz w:val="22"/>
          <w:szCs w:val="22"/>
          <w:lang w:val="pt-BR"/>
        </w:rPr>
        <w:t xml:space="preserve">11.2. </w:t>
      </w:r>
      <w:r>
        <w:rPr>
          <w:rFonts w:hint="default" w:ascii="Arial" w:hAnsi="Arial" w:cs="Arial"/>
          <w:sz w:val="22"/>
          <w:szCs w:val="22"/>
        </w:rPr>
        <w:t>Com fulcro n</w:t>
      </w:r>
      <w:r>
        <w:rPr>
          <w:rFonts w:hint="default" w:ascii="Arial" w:hAnsi="Arial" w:cs="Arial"/>
          <w:sz w:val="22"/>
          <w:szCs w:val="22"/>
          <w:lang w:val="pt-BR"/>
        </w:rPr>
        <w:t>o art. 156 da</w:t>
      </w:r>
      <w:r>
        <w:rPr>
          <w:rFonts w:hint="default" w:ascii="Arial" w:hAnsi="Arial" w:cs="Arial"/>
          <w:sz w:val="22"/>
          <w:szCs w:val="22"/>
        </w:rPr>
        <w:t xml:space="preserve"> </w:t>
      </w:r>
      <w:r>
        <w:rPr>
          <w:rFonts w:hint="default" w:ascii="Arial" w:hAnsi="Arial" w:cs="Arial"/>
          <w:b w:val="0"/>
          <w:bCs w:val="0"/>
          <w:color w:val="auto"/>
          <w:sz w:val="22"/>
          <w:szCs w:val="22"/>
          <w:u w:val="none"/>
        </w:rPr>
        <w:fldChar w:fldCharType="begin"/>
      </w:r>
      <w:r>
        <w:rPr>
          <w:rFonts w:hint="default" w:ascii="Arial" w:hAnsi="Arial" w:cs="Arial"/>
          <w:b w:val="0"/>
          <w:bCs w:val="0"/>
          <w:color w:val="auto"/>
          <w:sz w:val="22"/>
          <w:szCs w:val="22"/>
          <w:u w:val="none"/>
        </w:rPr>
        <w:instrText xml:space="preserve"> HYPERLINK "http://www.planalto.gov.br/ccivil_03/_ato2019-2022/2021/lei/L14133.htm" </w:instrText>
      </w:r>
      <w:r>
        <w:rPr>
          <w:rFonts w:hint="default" w:ascii="Arial" w:hAnsi="Arial" w:cs="Arial"/>
          <w:b w:val="0"/>
          <w:bCs w:val="0"/>
          <w:color w:val="auto"/>
          <w:sz w:val="22"/>
          <w:szCs w:val="22"/>
          <w:u w:val="none"/>
        </w:rPr>
        <w:fldChar w:fldCharType="separate"/>
      </w:r>
      <w:r>
        <w:rPr>
          <w:rStyle w:val="15"/>
          <w:rFonts w:hint="default" w:ascii="Arial" w:hAnsi="Arial" w:cs="Arial"/>
          <w:b w:val="0"/>
          <w:bCs w:val="0"/>
          <w:color w:val="auto"/>
          <w:sz w:val="22"/>
          <w:szCs w:val="22"/>
          <w:u w:val="none"/>
        </w:rPr>
        <w:t xml:space="preserve">Lei </w:t>
      </w:r>
      <w:r>
        <w:rPr>
          <w:rStyle w:val="15"/>
          <w:rFonts w:hint="default" w:ascii="Arial" w:hAnsi="Arial" w:cs="Arial"/>
          <w:b w:val="0"/>
          <w:bCs w:val="0"/>
          <w:color w:val="auto"/>
          <w:sz w:val="22"/>
          <w:szCs w:val="22"/>
          <w:u w:val="none"/>
          <w:lang w:val="pt-BR"/>
        </w:rPr>
        <w:t xml:space="preserve">Federal </w:t>
      </w:r>
      <w:r>
        <w:rPr>
          <w:rStyle w:val="15"/>
          <w:rFonts w:hint="default" w:ascii="Arial" w:hAnsi="Arial" w:cs="Arial"/>
          <w:b w:val="0"/>
          <w:bCs w:val="0"/>
          <w:color w:val="auto"/>
          <w:sz w:val="22"/>
          <w:szCs w:val="22"/>
          <w:u w:val="none"/>
        </w:rPr>
        <w:t>nº 14.13</w:t>
      </w:r>
      <w:r>
        <w:rPr>
          <w:rStyle w:val="15"/>
          <w:rFonts w:hint="default" w:ascii="Arial" w:hAnsi="Arial" w:cs="Arial"/>
          <w:b w:val="0"/>
          <w:bCs w:val="0"/>
          <w:color w:val="auto"/>
          <w:sz w:val="22"/>
          <w:szCs w:val="22"/>
          <w:u w:val="none"/>
          <w:lang w:val="pt-BR"/>
        </w:rPr>
        <w:t>/2</w:t>
      </w:r>
      <w:r>
        <w:rPr>
          <w:rStyle w:val="15"/>
          <w:rFonts w:hint="default" w:ascii="Arial" w:hAnsi="Arial" w:cs="Arial"/>
          <w:b w:val="0"/>
          <w:bCs w:val="0"/>
          <w:color w:val="auto"/>
          <w:sz w:val="22"/>
          <w:szCs w:val="22"/>
          <w:u w:val="none"/>
        </w:rPr>
        <w:t>021</w:t>
      </w:r>
      <w:r>
        <w:rPr>
          <w:rStyle w:val="15"/>
          <w:rFonts w:hint="default" w:ascii="Arial" w:hAnsi="Arial" w:cs="Arial"/>
          <w:b w:val="0"/>
          <w:bCs w:val="0"/>
          <w:color w:val="auto"/>
          <w:sz w:val="22"/>
          <w:szCs w:val="22"/>
          <w:u w:val="none"/>
        </w:rPr>
        <w:fldChar w:fldCharType="end"/>
      </w:r>
      <w:r>
        <w:rPr>
          <w:rFonts w:hint="default" w:ascii="Arial" w:hAnsi="Arial" w:cs="Arial"/>
          <w:sz w:val="22"/>
          <w:szCs w:val="22"/>
        </w:rPr>
        <w:t xml:space="preserve">, </w:t>
      </w:r>
      <w:r>
        <w:rPr>
          <w:rFonts w:hint="default" w:ascii="Arial" w:hAnsi="Arial" w:cs="Arial"/>
          <w:sz w:val="22"/>
          <w:szCs w:val="22"/>
          <w:lang w:val="pt-BR"/>
        </w:rPr>
        <w:t>serão aplicadas ao responsável pelas infrações administrativas</w:t>
      </w:r>
      <w:r>
        <w:rPr>
          <w:rFonts w:hint="default" w:ascii="Arial" w:hAnsi="Arial" w:cs="Arial"/>
          <w:sz w:val="22"/>
          <w:szCs w:val="22"/>
        </w:rPr>
        <w:t xml:space="preserve">, garantida a prévia defesa, as seguintes sanções, sem prejuízo das responsabilidades civil e criminal: </w:t>
      </w:r>
    </w:p>
    <w:p w14:paraId="2F8B77F6">
      <w:pPr>
        <w:pStyle w:val="137"/>
        <w:numPr>
          <w:ilvl w:val="0"/>
          <w:numId w:val="0"/>
        </w:numPr>
        <w:spacing w:line="360" w:lineRule="auto"/>
        <w:ind w:left="0" w:leftChars="0" w:firstLine="481" w:firstLineChars="218"/>
        <w:rPr>
          <w:sz w:val="22"/>
          <w:szCs w:val="22"/>
        </w:rPr>
      </w:pPr>
      <w:r>
        <w:rPr>
          <w:rFonts w:hint="default"/>
          <w:b/>
          <w:bCs/>
          <w:sz w:val="22"/>
          <w:szCs w:val="22"/>
          <w:lang w:val="pt-BR"/>
        </w:rPr>
        <w:t xml:space="preserve">11.2.1. </w:t>
      </w:r>
      <w:r>
        <w:rPr>
          <w:rFonts w:hint="default"/>
          <w:sz w:val="22"/>
          <w:szCs w:val="22"/>
          <w:lang w:val="pt-BR"/>
        </w:rPr>
        <w:t>A</w:t>
      </w:r>
      <w:r>
        <w:rPr>
          <w:sz w:val="22"/>
          <w:szCs w:val="22"/>
        </w:rPr>
        <w:t xml:space="preserve">dvertência; </w:t>
      </w:r>
    </w:p>
    <w:p w14:paraId="06505BE2">
      <w:pPr>
        <w:pStyle w:val="137"/>
        <w:numPr>
          <w:ilvl w:val="0"/>
          <w:numId w:val="0"/>
        </w:numPr>
        <w:spacing w:line="360" w:lineRule="auto"/>
        <w:ind w:left="0" w:leftChars="0" w:firstLine="481" w:firstLineChars="218"/>
        <w:rPr>
          <w:sz w:val="22"/>
          <w:szCs w:val="22"/>
        </w:rPr>
      </w:pPr>
      <w:r>
        <w:rPr>
          <w:rFonts w:hint="default"/>
          <w:b/>
          <w:bCs/>
          <w:sz w:val="22"/>
          <w:szCs w:val="22"/>
          <w:lang w:val="pt-BR"/>
        </w:rPr>
        <w:t>11.2.2.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1C0A0727">
      <w:pPr>
        <w:pStyle w:val="137"/>
        <w:numPr>
          <w:ilvl w:val="0"/>
          <w:numId w:val="0"/>
        </w:numPr>
        <w:spacing w:line="360" w:lineRule="auto"/>
        <w:ind w:left="0" w:leftChars="0" w:firstLine="481" w:firstLineChars="218"/>
        <w:rPr>
          <w:sz w:val="22"/>
          <w:szCs w:val="22"/>
        </w:rPr>
      </w:pPr>
      <w:r>
        <w:rPr>
          <w:rFonts w:hint="default"/>
          <w:b/>
          <w:bCs/>
          <w:sz w:val="22"/>
          <w:szCs w:val="22"/>
          <w:lang w:val="pt-BR"/>
        </w:rPr>
        <w:t xml:space="preserve">11.2.3.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0DE5FA8B">
      <w:pPr>
        <w:pStyle w:val="137"/>
        <w:numPr>
          <w:ilvl w:val="0"/>
          <w:numId w:val="0"/>
        </w:numPr>
        <w:spacing w:line="360" w:lineRule="auto"/>
        <w:ind w:left="0" w:leftChars="0" w:firstLine="481" w:firstLineChars="218"/>
        <w:rPr>
          <w:sz w:val="22"/>
          <w:szCs w:val="22"/>
        </w:rPr>
      </w:pPr>
      <w:r>
        <w:rPr>
          <w:rFonts w:hint="default"/>
          <w:b/>
          <w:bCs/>
          <w:sz w:val="22"/>
          <w:szCs w:val="22"/>
          <w:lang w:val="pt-BR"/>
        </w:rPr>
        <w:t>11.2.4.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091DABED">
      <w:pPr>
        <w:pStyle w:val="134"/>
        <w:numPr>
          <w:ilvl w:val="0"/>
          <w:numId w:val="0"/>
        </w:numPr>
        <w:spacing w:line="360" w:lineRule="auto"/>
        <w:ind w:leftChars="0"/>
        <w:rPr>
          <w:sz w:val="22"/>
          <w:szCs w:val="22"/>
        </w:rPr>
      </w:pPr>
      <w:r>
        <w:rPr>
          <w:rFonts w:hint="default"/>
          <w:b/>
          <w:bCs/>
          <w:sz w:val="22"/>
          <w:szCs w:val="22"/>
          <w:lang w:val="pt-BR"/>
        </w:rPr>
        <w:t>11.3.</w:t>
      </w:r>
      <w:r>
        <w:rPr>
          <w:rFonts w:hint="default"/>
          <w:sz w:val="22"/>
          <w:szCs w:val="22"/>
          <w:lang w:val="pt-BR"/>
        </w:rPr>
        <w:t xml:space="preserve"> </w:t>
      </w:r>
      <w:r>
        <w:rPr>
          <w:sz w:val="22"/>
          <w:szCs w:val="22"/>
        </w:rPr>
        <w:t>Na aplicação das sanções serão considerados:</w:t>
      </w:r>
    </w:p>
    <w:p w14:paraId="3ED55E25">
      <w:pPr>
        <w:pStyle w:val="137"/>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11.3.1.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54FC653B">
      <w:pPr>
        <w:pStyle w:val="137"/>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11.3.2. </w:t>
      </w:r>
      <w:r>
        <w:rPr>
          <w:rFonts w:hint="default"/>
          <w:sz w:val="22"/>
          <w:szCs w:val="22"/>
          <w:lang w:val="pt-BR"/>
        </w:rPr>
        <w:t>A</w:t>
      </w:r>
      <w:r>
        <w:rPr>
          <w:sz w:val="22"/>
          <w:szCs w:val="22"/>
        </w:rPr>
        <w:t>s peculiaridades do caso concreto</w:t>
      </w:r>
      <w:r>
        <w:rPr>
          <w:rFonts w:hint="default"/>
          <w:sz w:val="22"/>
          <w:szCs w:val="22"/>
          <w:lang w:val="pt-BR"/>
        </w:rPr>
        <w:t>;</w:t>
      </w:r>
    </w:p>
    <w:p w14:paraId="13258D09">
      <w:pPr>
        <w:pStyle w:val="137"/>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11.3.3.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7DEF086F">
      <w:pPr>
        <w:pStyle w:val="137"/>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11.3.4.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527AC3E7">
      <w:pPr>
        <w:pStyle w:val="137"/>
        <w:numPr>
          <w:ilvl w:val="0"/>
          <w:numId w:val="0"/>
        </w:numPr>
        <w:spacing w:line="360" w:lineRule="auto"/>
        <w:ind w:left="4" w:leftChars="0" w:firstLine="477" w:firstLineChars="216"/>
        <w:rPr>
          <w:sz w:val="22"/>
          <w:szCs w:val="22"/>
        </w:rPr>
      </w:pPr>
      <w:r>
        <w:rPr>
          <w:rFonts w:hint="default"/>
          <w:b/>
          <w:bCs/>
          <w:sz w:val="22"/>
          <w:szCs w:val="22"/>
          <w:lang w:val="pt-BR"/>
        </w:rPr>
        <w:t xml:space="preserve">11.3.5.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36255C37">
      <w:pPr>
        <w:pStyle w:val="134"/>
        <w:numPr>
          <w:ilvl w:val="0"/>
          <w:numId w:val="0"/>
        </w:numPr>
        <w:spacing w:line="360" w:lineRule="auto"/>
        <w:ind w:leftChars="0"/>
        <w:rPr>
          <w:rFonts w:hint="default" w:eastAsia="Arial" w:cs="Arial"/>
          <w:color w:val="auto"/>
          <w:sz w:val="22"/>
          <w:szCs w:val="22"/>
          <w:highlight w:val="none"/>
          <w:lang w:val="pt-BR"/>
        </w:rPr>
      </w:pPr>
      <w:r>
        <w:rPr>
          <w:rFonts w:hint="default"/>
          <w:b/>
          <w:bCs/>
          <w:sz w:val="22"/>
          <w:szCs w:val="22"/>
          <w:lang w:val="pt-BR"/>
        </w:rPr>
        <w:t>11.4.</w:t>
      </w:r>
      <w:r>
        <w:rPr>
          <w:rFonts w:hint="default"/>
          <w:sz w:val="22"/>
          <w:szCs w:val="22"/>
          <w:highlight w:val="none"/>
          <w:lang w:val="pt-BR"/>
        </w:rPr>
        <w:t xml:space="preserve"> </w:t>
      </w:r>
      <w:r>
        <w:rPr>
          <w:sz w:val="22"/>
          <w:szCs w:val="22"/>
          <w:highlight w:val="none"/>
        </w:rPr>
        <w:t>A multa será recolhida em percentual</w:t>
      </w:r>
      <w:r>
        <w:rPr>
          <w:rFonts w:hint="default"/>
          <w:sz w:val="22"/>
          <w:szCs w:val="22"/>
          <w:highlight w:val="none"/>
          <w:lang w:val="pt-BR"/>
        </w:rPr>
        <w:t>,</w:t>
      </w:r>
      <w:r>
        <w:rPr>
          <w:sz w:val="22"/>
          <w:szCs w:val="22"/>
          <w:highlight w:val="none"/>
        </w:rPr>
        <w:t xml:space="preserve"> </w:t>
      </w:r>
      <w:r>
        <w:rPr>
          <w:rFonts w:hint="default"/>
          <w:sz w:val="22"/>
          <w:szCs w:val="22"/>
          <w:highlight w:val="none"/>
          <w:lang w:val="pt-BR"/>
        </w:rPr>
        <w:t>conforme tabelas a seguir,</w:t>
      </w:r>
      <w:r>
        <w:rPr>
          <w:sz w:val="22"/>
          <w:szCs w:val="22"/>
          <w:highlight w:val="none"/>
        </w:rPr>
        <w:t xml:space="preserve"> incidente sobre o valor</w:t>
      </w:r>
      <w:r>
        <w:rPr>
          <w:rFonts w:hint="default"/>
          <w:sz w:val="22"/>
          <w:szCs w:val="22"/>
          <w:highlight w:val="none"/>
          <w:lang w:val="pt-BR"/>
        </w:rPr>
        <w:t xml:space="preserve"> </w:t>
      </w:r>
      <w:r>
        <w:rPr>
          <w:rFonts w:ascii="Arial" w:hAnsi="Arial" w:cs="Arial"/>
          <w:color w:val="000000"/>
          <w:sz w:val="22"/>
          <w:szCs w:val="22"/>
          <w:highlight w:val="none"/>
        </w:rPr>
        <w:t>d</w:t>
      </w:r>
      <w:r>
        <w:rPr>
          <w:rFonts w:hint="default" w:ascii="Arial" w:hAnsi="Arial" w:cs="Arial"/>
          <w:color w:val="auto"/>
          <w:sz w:val="22"/>
          <w:szCs w:val="22"/>
          <w:highlight w:val="none"/>
          <w:lang w:val="pt-BR"/>
        </w:rPr>
        <w:t>o Contrato</w:t>
      </w:r>
      <w:r>
        <w:rPr>
          <w:sz w:val="22"/>
          <w:szCs w:val="22"/>
          <w:highlight w:val="none"/>
        </w:rPr>
        <w:t xml:space="preserve">, recolhida no 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tbl>
      <w:tblPr>
        <w:tblStyle w:val="10"/>
        <w:tblW w:w="5820" w:type="dxa"/>
        <w:jc w:val="center"/>
        <w:tblLayout w:type="autofit"/>
        <w:tblCellMar>
          <w:top w:w="0" w:type="dxa"/>
          <w:left w:w="70" w:type="dxa"/>
          <w:bottom w:w="0" w:type="dxa"/>
          <w:right w:w="70" w:type="dxa"/>
        </w:tblCellMar>
      </w:tblPr>
      <w:tblGrid>
        <w:gridCol w:w="3980"/>
        <w:gridCol w:w="1840"/>
      </w:tblGrid>
      <w:tr w14:paraId="00F3C62F">
        <w:tblPrEx>
          <w:tblCellMar>
            <w:top w:w="0" w:type="dxa"/>
            <w:left w:w="70" w:type="dxa"/>
            <w:bottom w:w="0" w:type="dxa"/>
            <w:right w:w="70" w:type="dxa"/>
          </w:tblCellMar>
        </w:tblPrEx>
        <w:trPr>
          <w:trHeight w:val="330" w:hRule="atLeast"/>
          <w:jc w:val="center"/>
        </w:trPr>
        <w:tc>
          <w:tcPr>
            <w:tcW w:w="5820" w:type="dxa"/>
            <w:gridSpan w:val="2"/>
            <w:tcBorders>
              <w:top w:val="single" w:color="auto" w:sz="4" w:space="0"/>
              <w:left w:val="single" w:color="auto" w:sz="4" w:space="0"/>
              <w:bottom w:val="single" w:color="auto" w:sz="4" w:space="0"/>
              <w:right w:val="single" w:color="auto" w:sz="4" w:space="0"/>
            </w:tcBorders>
            <w:shd w:val="clear" w:color="000000" w:fill="7F7F7F"/>
            <w:noWrap w:val="0"/>
            <w:vAlign w:val="center"/>
          </w:tcPr>
          <w:p w14:paraId="2A1A5E6F">
            <w:pPr>
              <w:spacing w:after="0"/>
              <w:jc w:val="center"/>
              <w:rPr>
                <w:rFonts w:hint="default" w:ascii="Arial" w:hAnsi="Arial" w:eastAsia="Times New Roman" w:cs="Arial"/>
                <w:b/>
                <w:bCs/>
                <w:color w:val="FFFFFF"/>
                <w:sz w:val="22"/>
                <w:szCs w:val="22"/>
                <w:lang w:eastAsia="pt-BR"/>
              </w:rPr>
            </w:pPr>
            <w:r>
              <w:rPr>
                <w:rFonts w:hint="default" w:ascii="Arial" w:hAnsi="Arial" w:eastAsia="Times New Roman" w:cs="Arial"/>
                <w:b/>
                <w:bCs/>
                <w:color w:val="FFFFFF"/>
                <w:sz w:val="22"/>
                <w:szCs w:val="22"/>
                <w:lang w:eastAsia="pt-BR"/>
              </w:rPr>
              <w:t>TABELA 1 - PERCENTAGEM</w:t>
            </w:r>
          </w:p>
        </w:tc>
      </w:tr>
      <w:tr w14:paraId="022CBDC2">
        <w:tblPrEx>
          <w:tblCellMar>
            <w:top w:w="0" w:type="dxa"/>
            <w:left w:w="70" w:type="dxa"/>
            <w:bottom w:w="0" w:type="dxa"/>
            <w:right w:w="70" w:type="dxa"/>
          </w:tblCellMar>
        </w:tblPrEx>
        <w:trPr>
          <w:trHeight w:val="330" w:hRule="atLeast"/>
          <w:jc w:val="center"/>
        </w:trPr>
        <w:tc>
          <w:tcPr>
            <w:tcW w:w="3980" w:type="dxa"/>
            <w:tcBorders>
              <w:top w:val="single" w:color="auto" w:sz="4" w:space="0"/>
              <w:left w:val="single" w:color="auto" w:sz="4" w:space="0"/>
              <w:bottom w:val="single" w:color="auto" w:sz="4" w:space="0"/>
              <w:right w:val="single" w:color="auto" w:sz="4" w:space="0"/>
            </w:tcBorders>
            <w:shd w:val="clear" w:color="000000" w:fill="BFBFBF"/>
            <w:noWrap w:val="0"/>
            <w:vAlign w:val="center"/>
          </w:tcPr>
          <w:p w14:paraId="7704A4C5">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GRAU</w:t>
            </w:r>
          </w:p>
        </w:tc>
        <w:tc>
          <w:tcPr>
            <w:tcW w:w="1840" w:type="dxa"/>
            <w:tcBorders>
              <w:top w:val="single" w:color="auto" w:sz="4" w:space="0"/>
              <w:left w:val="single" w:color="auto" w:sz="4" w:space="0"/>
              <w:bottom w:val="single" w:color="auto" w:sz="4" w:space="0"/>
              <w:right w:val="single" w:color="auto" w:sz="4" w:space="0"/>
            </w:tcBorders>
            <w:shd w:val="clear" w:color="000000" w:fill="BFBFBF"/>
            <w:noWrap w:val="0"/>
            <w:vAlign w:val="center"/>
          </w:tcPr>
          <w:p w14:paraId="05968495">
            <w:pPr>
              <w:spacing w:after="0"/>
              <w:ind w:firstLine="748" w:firstLineChars="34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w:t>
            </w:r>
          </w:p>
        </w:tc>
      </w:tr>
      <w:tr w14:paraId="124AAE59">
        <w:tblPrEx>
          <w:tblCellMar>
            <w:top w:w="0" w:type="dxa"/>
            <w:left w:w="70" w:type="dxa"/>
            <w:bottom w:w="0" w:type="dxa"/>
            <w:right w:w="70" w:type="dxa"/>
          </w:tblCellMar>
        </w:tblPrEx>
        <w:trPr>
          <w:trHeight w:val="330" w:hRule="atLeast"/>
          <w:jc w:val="center"/>
        </w:trPr>
        <w:tc>
          <w:tcPr>
            <w:tcW w:w="3980"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49017E8B">
            <w:pPr>
              <w:spacing w:after="0"/>
              <w:ind w:left="337"/>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1 – BAIXO</w:t>
            </w:r>
          </w:p>
        </w:tc>
        <w:tc>
          <w:tcPr>
            <w:tcW w:w="1840"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5E2C5FAF">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3%</w:t>
            </w:r>
          </w:p>
        </w:tc>
      </w:tr>
      <w:tr w14:paraId="77A91638">
        <w:tblPrEx>
          <w:tblCellMar>
            <w:top w:w="0" w:type="dxa"/>
            <w:left w:w="70" w:type="dxa"/>
            <w:bottom w:w="0" w:type="dxa"/>
            <w:right w:w="70" w:type="dxa"/>
          </w:tblCellMar>
        </w:tblPrEx>
        <w:trPr>
          <w:trHeight w:val="330" w:hRule="atLeast"/>
          <w:jc w:val="center"/>
        </w:trPr>
        <w:tc>
          <w:tcPr>
            <w:tcW w:w="3980"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06C1A819">
            <w:pPr>
              <w:spacing w:after="0"/>
              <w:ind w:left="337"/>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2 – MEDIO</w:t>
            </w:r>
          </w:p>
        </w:tc>
        <w:tc>
          <w:tcPr>
            <w:tcW w:w="1840"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32BA5957">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5%</w:t>
            </w:r>
          </w:p>
        </w:tc>
      </w:tr>
      <w:tr w14:paraId="769D225E">
        <w:tblPrEx>
          <w:tblCellMar>
            <w:top w:w="0" w:type="dxa"/>
            <w:left w:w="70" w:type="dxa"/>
            <w:bottom w:w="0" w:type="dxa"/>
            <w:right w:w="70" w:type="dxa"/>
          </w:tblCellMar>
        </w:tblPrEx>
        <w:trPr>
          <w:trHeight w:val="330" w:hRule="atLeast"/>
          <w:jc w:val="center"/>
        </w:trPr>
        <w:tc>
          <w:tcPr>
            <w:tcW w:w="3980"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49F5299A">
            <w:pPr>
              <w:spacing w:after="0"/>
              <w:ind w:left="337"/>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3 – ALTO</w:t>
            </w:r>
          </w:p>
        </w:tc>
        <w:tc>
          <w:tcPr>
            <w:tcW w:w="1840"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2AC61538">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10%</w:t>
            </w:r>
          </w:p>
        </w:tc>
      </w:tr>
      <w:tr w14:paraId="0B0C08F3">
        <w:tblPrEx>
          <w:tblCellMar>
            <w:top w:w="0" w:type="dxa"/>
            <w:left w:w="70" w:type="dxa"/>
            <w:bottom w:w="0" w:type="dxa"/>
            <w:right w:w="70" w:type="dxa"/>
          </w:tblCellMar>
        </w:tblPrEx>
        <w:trPr>
          <w:trHeight w:val="330" w:hRule="atLeast"/>
          <w:jc w:val="center"/>
        </w:trPr>
        <w:tc>
          <w:tcPr>
            <w:tcW w:w="3980"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6109F393">
            <w:pPr>
              <w:spacing w:after="0"/>
              <w:ind w:left="337"/>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4 –</w:t>
            </w:r>
            <w:r>
              <w:rPr>
                <w:rFonts w:hint="default" w:ascii="Arial" w:hAnsi="Arial" w:eastAsia="Times New Roman" w:cs="Arial"/>
                <w:b/>
                <w:bCs/>
                <w:color w:val="000000"/>
                <w:sz w:val="22"/>
                <w:szCs w:val="22"/>
                <w:lang w:val="en-US" w:eastAsia="pt-BR"/>
              </w:rPr>
              <w:t xml:space="preserve"> </w:t>
            </w:r>
            <w:r>
              <w:rPr>
                <w:rFonts w:hint="default" w:ascii="Arial" w:hAnsi="Arial" w:eastAsia="Times New Roman" w:cs="Arial"/>
                <w:b/>
                <w:bCs/>
                <w:color w:val="000000"/>
                <w:sz w:val="22"/>
                <w:szCs w:val="22"/>
                <w:lang w:eastAsia="pt-BR"/>
              </w:rPr>
              <w:t>ALTÍSSIMO</w:t>
            </w:r>
          </w:p>
        </w:tc>
        <w:tc>
          <w:tcPr>
            <w:tcW w:w="1840"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1C56E81D">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20%</w:t>
            </w:r>
          </w:p>
        </w:tc>
      </w:tr>
    </w:tbl>
    <w:tbl>
      <w:tblPr>
        <w:tblStyle w:val="10"/>
        <w:tblpPr w:leftFromText="180" w:rightFromText="180" w:vertAnchor="text" w:horzAnchor="page" w:tblpX="2224" w:tblpY="493"/>
        <w:tblOverlap w:val="never"/>
        <w:tblW w:w="7796" w:type="dxa"/>
        <w:tblInd w:w="0" w:type="dxa"/>
        <w:tblLayout w:type="autofit"/>
        <w:tblCellMar>
          <w:top w:w="0" w:type="dxa"/>
          <w:left w:w="70" w:type="dxa"/>
          <w:bottom w:w="0" w:type="dxa"/>
          <w:right w:w="70" w:type="dxa"/>
        </w:tblCellMar>
      </w:tblPr>
      <w:tblGrid>
        <w:gridCol w:w="424"/>
        <w:gridCol w:w="6584"/>
        <w:gridCol w:w="788"/>
      </w:tblGrid>
      <w:tr w14:paraId="45FBD255">
        <w:tblPrEx>
          <w:tblCellMar>
            <w:top w:w="0" w:type="dxa"/>
            <w:left w:w="70" w:type="dxa"/>
            <w:bottom w:w="0" w:type="dxa"/>
            <w:right w:w="70" w:type="dxa"/>
          </w:tblCellMar>
        </w:tblPrEx>
        <w:trPr>
          <w:trHeight w:val="330" w:hRule="atLeast"/>
        </w:trPr>
        <w:tc>
          <w:tcPr>
            <w:tcW w:w="7796" w:type="dxa"/>
            <w:gridSpan w:val="3"/>
            <w:tcBorders>
              <w:top w:val="single" w:color="auto" w:sz="4" w:space="0"/>
              <w:left w:val="single" w:color="auto" w:sz="4" w:space="0"/>
              <w:bottom w:val="single" w:color="auto" w:sz="4" w:space="0"/>
              <w:right w:val="single" w:color="auto" w:sz="4" w:space="0"/>
            </w:tcBorders>
            <w:shd w:val="clear" w:color="000000" w:fill="7F7F7F"/>
            <w:noWrap w:val="0"/>
            <w:vAlign w:val="center"/>
          </w:tcPr>
          <w:p w14:paraId="70C6EC12">
            <w:pPr>
              <w:spacing w:after="0"/>
              <w:jc w:val="center"/>
              <w:rPr>
                <w:rFonts w:hint="default" w:ascii="Arial" w:hAnsi="Arial" w:eastAsia="Times New Roman" w:cs="Arial"/>
                <w:b/>
                <w:bCs/>
                <w:color w:val="FFFFFF"/>
                <w:sz w:val="22"/>
                <w:szCs w:val="22"/>
                <w:lang w:eastAsia="pt-BR"/>
              </w:rPr>
            </w:pPr>
            <w:r>
              <w:rPr>
                <w:rFonts w:hint="default" w:ascii="Arial" w:hAnsi="Arial" w:eastAsia="Times New Roman" w:cs="Arial"/>
                <w:b/>
                <w:bCs/>
                <w:color w:val="FFFFFF"/>
                <w:sz w:val="22"/>
                <w:szCs w:val="22"/>
                <w:lang w:eastAsia="pt-BR"/>
              </w:rPr>
              <w:t>TABELA 2 – INFRAÇÃO/GRADUAÇÃO</w:t>
            </w:r>
          </w:p>
        </w:tc>
      </w:tr>
      <w:tr w14:paraId="116C41ED">
        <w:tblPrEx>
          <w:tblCellMar>
            <w:top w:w="0" w:type="dxa"/>
            <w:left w:w="70" w:type="dxa"/>
            <w:bottom w:w="0" w:type="dxa"/>
            <w:right w:w="70" w:type="dxa"/>
          </w:tblCellMar>
        </w:tblPrEx>
        <w:trPr>
          <w:trHeight w:val="330" w:hRule="atLeast"/>
        </w:trPr>
        <w:tc>
          <w:tcPr>
            <w:tcW w:w="424" w:type="dxa"/>
            <w:tcBorders>
              <w:top w:val="single" w:color="auto" w:sz="4" w:space="0"/>
              <w:left w:val="single" w:color="auto" w:sz="4" w:space="0"/>
              <w:bottom w:val="single" w:color="auto" w:sz="4" w:space="0"/>
              <w:right w:val="single" w:color="auto" w:sz="4" w:space="0"/>
            </w:tcBorders>
            <w:shd w:val="clear" w:color="000000" w:fill="BFBFBF"/>
            <w:noWrap w:val="0"/>
            <w:vAlign w:val="center"/>
          </w:tcPr>
          <w:p w14:paraId="20BE77DA">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N</w:t>
            </w:r>
          </w:p>
        </w:tc>
        <w:tc>
          <w:tcPr>
            <w:tcW w:w="6584" w:type="dxa"/>
            <w:tcBorders>
              <w:top w:val="single" w:color="auto" w:sz="4" w:space="0"/>
              <w:left w:val="single" w:color="auto" w:sz="4" w:space="0"/>
              <w:bottom w:val="single" w:color="auto" w:sz="4" w:space="0"/>
              <w:right w:val="single" w:color="auto" w:sz="4" w:space="0"/>
            </w:tcBorders>
            <w:shd w:val="clear" w:color="000000" w:fill="BFBFBF"/>
            <w:noWrap w:val="0"/>
            <w:vAlign w:val="center"/>
          </w:tcPr>
          <w:p w14:paraId="74E4655B">
            <w:pPr>
              <w:spacing w:after="0"/>
              <w:ind w:firstLine="201"/>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INFRAÇÃO</w:t>
            </w:r>
          </w:p>
        </w:tc>
        <w:tc>
          <w:tcPr>
            <w:tcW w:w="788" w:type="dxa"/>
            <w:tcBorders>
              <w:top w:val="single" w:color="auto" w:sz="4" w:space="0"/>
              <w:left w:val="single" w:color="auto" w:sz="4" w:space="0"/>
              <w:bottom w:val="single" w:color="auto" w:sz="4" w:space="0"/>
              <w:right w:val="single" w:color="auto" w:sz="4" w:space="0"/>
            </w:tcBorders>
            <w:shd w:val="clear" w:color="000000" w:fill="BFBFBF"/>
            <w:noWrap w:val="0"/>
            <w:vAlign w:val="center"/>
          </w:tcPr>
          <w:p w14:paraId="5364BD94">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GRAU</w:t>
            </w:r>
          </w:p>
        </w:tc>
      </w:tr>
      <w:tr w14:paraId="3D813777">
        <w:tblPrEx>
          <w:tblCellMar>
            <w:top w:w="0" w:type="dxa"/>
            <w:left w:w="70" w:type="dxa"/>
            <w:bottom w:w="0" w:type="dxa"/>
            <w:right w:w="70" w:type="dxa"/>
          </w:tblCellMar>
        </w:tblPrEx>
        <w:trPr>
          <w:trHeight w:val="630" w:hRule="atLeast"/>
        </w:trPr>
        <w:tc>
          <w:tcPr>
            <w:tcW w:w="424" w:type="dxa"/>
            <w:vMerge w:val="restart"/>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67C0AD1A">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1</w:t>
            </w: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2B98ADDF">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Descrição:</w:t>
            </w:r>
            <w:r>
              <w:rPr>
                <w:rFonts w:hint="default" w:ascii="Arial" w:hAnsi="Arial" w:eastAsia="Times New Roman" w:cs="Arial"/>
                <w:color w:val="000000"/>
                <w:sz w:val="22"/>
                <w:szCs w:val="22"/>
                <w:lang w:eastAsia="pt-BR"/>
              </w:rPr>
              <w:t xml:space="preserve"> Descumprimento do prazo de entrega do projeto executivo estabelecido no item </w:t>
            </w:r>
            <w:r>
              <w:rPr>
                <w:rFonts w:hint="default" w:ascii="Arial" w:hAnsi="Arial" w:eastAsia="Times New Roman" w:cs="Arial"/>
                <w:color w:val="000000"/>
                <w:sz w:val="22"/>
                <w:szCs w:val="22"/>
                <w:highlight w:val="none"/>
                <w:lang w:eastAsia="pt-BR"/>
              </w:rPr>
              <w:t>“</w:t>
            </w:r>
            <w:r>
              <w:rPr>
                <w:rFonts w:hint="default" w:ascii="Arial" w:hAnsi="Arial" w:eastAsia="Times New Roman" w:cs="Arial"/>
                <w:color w:val="000000"/>
                <w:sz w:val="22"/>
                <w:szCs w:val="22"/>
                <w:highlight w:val="none"/>
                <w:lang w:val="en-US" w:eastAsia="pt-BR"/>
              </w:rPr>
              <w:t>6</w:t>
            </w:r>
            <w:r>
              <w:rPr>
                <w:rFonts w:hint="default" w:ascii="Arial" w:hAnsi="Arial" w:eastAsia="Times New Roman" w:cs="Arial"/>
                <w:color w:val="000000"/>
                <w:sz w:val="22"/>
                <w:szCs w:val="22"/>
                <w:highlight w:val="none"/>
                <w:lang w:eastAsia="pt-BR"/>
              </w:rPr>
              <w:t>.3</w:t>
            </w:r>
            <w:r>
              <w:rPr>
                <w:rFonts w:hint="default" w:ascii="Arial" w:hAnsi="Arial" w:eastAsia="Times New Roman" w:cs="Arial"/>
                <w:color w:val="000000"/>
                <w:sz w:val="22"/>
                <w:szCs w:val="22"/>
                <w:lang w:eastAsia="pt-BR"/>
              </w:rPr>
              <w:t xml:space="preserve"> </w:t>
            </w:r>
            <w:r>
              <w:rPr>
                <w:rFonts w:hint="default" w:ascii="Arial" w:hAnsi="Arial" w:eastAsia="Times New Roman" w:cs="Arial"/>
                <w:color w:val="000000"/>
                <w:sz w:val="22"/>
                <w:szCs w:val="22"/>
                <w:lang w:val="en-US" w:eastAsia="pt-BR"/>
              </w:rPr>
              <w:t xml:space="preserve">até 6.3.11 </w:t>
            </w:r>
            <w:r>
              <w:rPr>
                <w:rFonts w:hint="default" w:ascii="Arial" w:hAnsi="Arial" w:eastAsia="Times New Roman" w:cs="Arial"/>
                <w:color w:val="000000"/>
                <w:sz w:val="22"/>
                <w:szCs w:val="22"/>
                <w:lang w:eastAsia="pt-BR"/>
              </w:rPr>
              <w:t>– Prazos e condições”.</w:t>
            </w:r>
          </w:p>
        </w:tc>
        <w:tc>
          <w:tcPr>
            <w:tcW w:w="788" w:type="dxa"/>
            <w:vMerge w:val="restart"/>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5B01CA1D">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4</w:t>
            </w:r>
          </w:p>
        </w:tc>
      </w:tr>
      <w:tr w14:paraId="758CBAE1">
        <w:tblPrEx>
          <w:tblCellMar>
            <w:top w:w="0" w:type="dxa"/>
            <w:left w:w="70" w:type="dxa"/>
            <w:bottom w:w="0" w:type="dxa"/>
            <w:right w:w="70" w:type="dxa"/>
          </w:tblCellMar>
        </w:tblPrEx>
        <w:trPr>
          <w:trHeight w:val="330" w:hRule="atLeast"/>
        </w:trPr>
        <w:tc>
          <w:tcPr>
            <w:tcW w:w="424" w:type="dxa"/>
            <w:vMerge w:val="continue"/>
            <w:tcBorders>
              <w:top w:val="single" w:color="auto" w:sz="4" w:space="0"/>
              <w:left w:val="single" w:color="auto" w:sz="4" w:space="0"/>
              <w:bottom w:val="single" w:color="auto" w:sz="4" w:space="0"/>
              <w:right w:val="single" w:color="auto" w:sz="4" w:space="0"/>
            </w:tcBorders>
            <w:noWrap w:val="0"/>
            <w:vAlign w:val="center"/>
          </w:tcPr>
          <w:p w14:paraId="136D92D2">
            <w:pPr>
              <w:spacing w:after="0"/>
              <w:jc w:val="center"/>
              <w:rPr>
                <w:rFonts w:hint="default" w:ascii="Arial" w:hAnsi="Arial" w:eastAsia="Times New Roman" w:cs="Arial"/>
                <w:b/>
                <w:bCs/>
                <w:color w:val="000000"/>
                <w:sz w:val="22"/>
                <w:szCs w:val="22"/>
                <w:lang w:eastAsia="pt-BR"/>
              </w:rPr>
            </w:pP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50629347">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 xml:space="preserve">Unidade Temporal: </w:t>
            </w:r>
            <w:r>
              <w:rPr>
                <w:rFonts w:hint="default" w:ascii="Arial" w:hAnsi="Arial" w:eastAsia="Times New Roman" w:cs="Arial"/>
                <w:color w:val="000000"/>
                <w:sz w:val="22"/>
                <w:szCs w:val="22"/>
                <w:lang w:eastAsia="pt-BR"/>
              </w:rPr>
              <w:t>% do GRAU de INFRAÇÃO por dia de atraso, limitado a 10%.</w:t>
            </w:r>
          </w:p>
        </w:tc>
        <w:tc>
          <w:tcPr>
            <w:tcW w:w="788" w:type="dxa"/>
            <w:vMerge w:val="continue"/>
            <w:tcBorders>
              <w:top w:val="single" w:color="auto" w:sz="4" w:space="0"/>
              <w:left w:val="single" w:color="auto" w:sz="4" w:space="0"/>
              <w:bottom w:val="single" w:color="auto" w:sz="4" w:space="0"/>
              <w:right w:val="single" w:color="auto" w:sz="4" w:space="0"/>
            </w:tcBorders>
            <w:noWrap w:val="0"/>
            <w:vAlign w:val="center"/>
          </w:tcPr>
          <w:p w14:paraId="53FE2E48">
            <w:pPr>
              <w:spacing w:after="0"/>
              <w:jc w:val="center"/>
              <w:rPr>
                <w:rFonts w:hint="default" w:ascii="Arial" w:hAnsi="Arial" w:eastAsia="Times New Roman" w:cs="Arial"/>
                <w:b/>
                <w:bCs/>
                <w:color w:val="000000"/>
                <w:sz w:val="22"/>
                <w:szCs w:val="22"/>
                <w:lang w:eastAsia="pt-BR"/>
              </w:rPr>
            </w:pPr>
          </w:p>
        </w:tc>
      </w:tr>
      <w:tr w14:paraId="52B312F5">
        <w:tblPrEx>
          <w:tblCellMar>
            <w:top w:w="0" w:type="dxa"/>
            <w:left w:w="70" w:type="dxa"/>
            <w:bottom w:w="0" w:type="dxa"/>
            <w:right w:w="70" w:type="dxa"/>
          </w:tblCellMar>
        </w:tblPrEx>
        <w:trPr>
          <w:trHeight w:val="330" w:hRule="atLeast"/>
        </w:trPr>
        <w:tc>
          <w:tcPr>
            <w:tcW w:w="424" w:type="dxa"/>
            <w:vMerge w:val="continue"/>
            <w:tcBorders>
              <w:top w:val="single" w:color="auto" w:sz="4" w:space="0"/>
              <w:left w:val="single" w:color="auto" w:sz="4" w:space="0"/>
              <w:bottom w:val="single" w:color="auto" w:sz="4" w:space="0"/>
              <w:right w:val="single" w:color="auto" w:sz="4" w:space="0"/>
            </w:tcBorders>
            <w:noWrap w:val="0"/>
            <w:vAlign w:val="center"/>
          </w:tcPr>
          <w:p w14:paraId="20A4E316">
            <w:pPr>
              <w:spacing w:after="0"/>
              <w:jc w:val="center"/>
              <w:rPr>
                <w:rFonts w:hint="default" w:ascii="Arial" w:hAnsi="Arial" w:eastAsia="Times New Roman" w:cs="Arial"/>
                <w:b/>
                <w:bCs/>
                <w:color w:val="000000"/>
                <w:sz w:val="22"/>
                <w:szCs w:val="22"/>
                <w:lang w:eastAsia="pt-BR"/>
              </w:rPr>
            </w:pP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582AB3E9">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 xml:space="preserve">Correspondência: </w:t>
            </w:r>
            <w:r>
              <w:rPr>
                <w:rFonts w:hint="default" w:ascii="Arial" w:hAnsi="Arial" w:eastAsia="Times New Roman" w:cs="Arial"/>
                <w:color w:val="000000"/>
                <w:sz w:val="22"/>
                <w:szCs w:val="22"/>
                <w:lang w:eastAsia="pt-BR"/>
              </w:rPr>
              <w:t>sobre o valor do Item.</w:t>
            </w:r>
          </w:p>
        </w:tc>
        <w:tc>
          <w:tcPr>
            <w:tcW w:w="788" w:type="dxa"/>
            <w:vMerge w:val="continue"/>
            <w:tcBorders>
              <w:top w:val="single" w:color="auto" w:sz="4" w:space="0"/>
              <w:left w:val="single" w:color="auto" w:sz="4" w:space="0"/>
              <w:bottom w:val="single" w:color="auto" w:sz="4" w:space="0"/>
              <w:right w:val="single" w:color="auto" w:sz="4" w:space="0"/>
            </w:tcBorders>
            <w:noWrap w:val="0"/>
            <w:vAlign w:val="center"/>
          </w:tcPr>
          <w:p w14:paraId="1282C1A6">
            <w:pPr>
              <w:spacing w:after="0"/>
              <w:jc w:val="center"/>
              <w:rPr>
                <w:rFonts w:hint="default" w:ascii="Arial" w:hAnsi="Arial" w:eastAsia="Times New Roman" w:cs="Arial"/>
                <w:b/>
                <w:bCs/>
                <w:color w:val="000000"/>
                <w:sz w:val="22"/>
                <w:szCs w:val="22"/>
                <w:lang w:eastAsia="pt-BR"/>
              </w:rPr>
            </w:pPr>
          </w:p>
        </w:tc>
      </w:tr>
      <w:tr w14:paraId="4F0CFCAB">
        <w:tblPrEx>
          <w:tblCellMar>
            <w:top w:w="0" w:type="dxa"/>
            <w:left w:w="70" w:type="dxa"/>
            <w:bottom w:w="0" w:type="dxa"/>
            <w:right w:w="70" w:type="dxa"/>
          </w:tblCellMar>
        </w:tblPrEx>
        <w:trPr>
          <w:trHeight w:val="930" w:hRule="atLeast"/>
        </w:trPr>
        <w:tc>
          <w:tcPr>
            <w:tcW w:w="424" w:type="dxa"/>
            <w:vMerge w:val="restart"/>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3592AED4">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2</w:t>
            </w: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76CC16C5">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Descrição:</w:t>
            </w:r>
            <w:r>
              <w:rPr>
                <w:rFonts w:hint="default" w:ascii="Arial" w:hAnsi="Arial" w:eastAsia="Times New Roman" w:cs="Arial"/>
                <w:color w:val="000000"/>
                <w:sz w:val="22"/>
                <w:szCs w:val="22"/>
                <w:lang w:eastAsia="pt-BR"/>
              </w:rPr>
              <w:t xml:space="preserve"> Descumprimento do prazo de reunião inicial com a PREFEITURA afim de levantar as necessidades de projeto para subsidiar a elaboração do projeto executivo, conforme prazo estabelecido no item “</w:t>
            </w:r>
            <w:r>
              <w:rPr>
                <w:rFonts w:hint="default" w:ascii="Arial" w:hAnsi="Arial" w:eastAsia="Times New Roman" w:cs="Arial"/>
                <w:color w:val="000000"/>
                <w:sz w:val="22"/>
                <w:szCs w:val="22"/>
                <w:highlight w:val="none"/>
                <w:lang w:val="en-US" w:eastAsia="pt-BR"/>
              </w:rPr>
              <w:t>6</w:t>
            </w:r>
            <w:r>
              <w:rPr>
                <w:rFonts w:hint="default" w:ascii="Arial" w:hAnsi="Arial" w:eastAsia="Times New Roman" w:cs="Arial"/>
                <w:color w:val="000000"/>
                <w:sz w:val="22"/>
                <w:szCs w:val="22"/>
                <w:highlight w:val="none"/>
                <w:lang w:eastAsia="pt-BR"/>
              </w:rPr>
              <w:t>.3</w:t>
            </w:r>
            <w:r>
              <w:rPr>
                <w:rFonts w:hint="default" w:ascii="Arial" w:hAnsi="Arial" w:eastAsia="Times New Roman" w:cs="Arial"/>
                <w:color w:val="000000"/>
                <w:sz w:val="22"/>
                <w:szCs w:val="22"/>
                <w:lang w:eastAsia="pt-BR"/>
              </w:rPr>
              <w:t xml:space="preserve"> </w:t>
            </w:r>
            <w:r>
              <w:rPr>
                <w:rFonts w:hint="default" w:ascii="Arial" w:hAnsi="Arial" w:eastAsia="Times New Roman" w:cs="Arial"/>
                <w:color w:val="000000"/>
                <w:sz w:val="22"/>
                <w:szCs w:val="22"/>
                <w:lang w:val="en-US" w:eastAsia="pt-BR"/>
              </w:rPr>
              <w:t>até 6.3.11</w:t>
            </w:r>
            <w:r>
              <w:rPr>
                <w:rFonts w:hint="default" w:ascii="Arial" w:hAnsi="Arial" w:eastAsia="Times New Roman" w:cs="Arial"/>
                <w:color w:val="000000"/>
                <w:sz w:val="22"/>
                <w:szCs w:val="22"/>
                <w:lang w:eastAsia="pt-BR"/>
              </w:rPr>
              <w:t xml:space="preserve"> – Prazos e condições”.</w:t>
            </w:r>
          </w:p>
        </w:tc>
        <w:tc>
          <w:tcPr>
            <w:tcW w:w="788" w:type="dxa"/>
            <w:vMerge w:val="restart"/>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0A8DE019">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2</w:t>
            </w:r>
          </w:p>
        </w:tc>
      </w:tr>
      <w:tr w14:paraId="4E73E25F">
        <w:tblPrEx>
          <w:tblCellMar>
            <w:top w:w="0" w:type="dxa"/>
            <w:left w:w="70" w:type="dxa"/>
            <w:bottom w:w="0" w:type="dxa"/>
            <w:right w:w="70" w:type="dxa"/>
          </w:tblCellMar>
        </w:tblPrEx>
        <w:trPr>
          <w:trHeight w:val="330" w:hRule="atLeast"/>
        </w:trPr>
        <w:tc>
          <w:tcPr>
            <w:tcW w:w="424" w:type="dxa"/>
            <w:vMerge w:val="continue"/>
            <w:tcBorders>
              <w:top w:val="single" w:color="auto" w:sz="4" w:space="0"/>
              <w:left w:val="single" w:color="auto" w:sz="4" w:space="0"/>
              <w:bottom w:val="single" w:color="auto" w:sz="4" w:space="0"/>
              <w:right w:val="single" w:color="auto" w:sz="4" w:space="0"/>
            </w:tcBorders>
            <w:noWrap w:val="0"/>
            <w:vAlign w:val="center"/>
          </w:tcPr>
          <w:p w14:paraId="715CACDD">
            <w:pPr>
              <w:spacing w:after="0"/>
              <w:jc w:val="both"/>
              <w:rPr>
                <w:rFonts w:hint="default" w:ascii="Arial" w:hAnsi="Arial" w:eastAsia="Times New Roman" w:cs="Arial"/>
                <w:b/>
                <w:bCs/>
                <w:color w:val="000000"/>
                <w:sz w:val="22"/>
                <w:szCs w:val="22"/>
                <w:lang w:eastAsia="pt-BR"/>
              </w:rPr>
            </w:pP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55E14E19">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 xml:space="preserve">Unidade Temporal: </w:t>
            </w:r>
            <w:r>
              <w:rPr>
                <w:rFonts w:hint="default" w:ascii="Arial" w:hAnsi="Arial" w:eastAsia="Times New Roman" w:cs="Arial"/>
                <w:color w:val="000000"/>
                <w:sz w:val="22"/>
                <w:szCs w:val="22"/>
                <w:lang w:eastAsia="pt-BR"/>
              </w:rPr>
              <w:t>% do GRAU de INFRAÇÃO por dia de atraso, limitado a 1,25%.</w:t>
            </w:r>
          </w:p>
        </w:tc>
        <w:tc>
          <w:tcPr>
            <w:tcW w:w="788" w:type="dxa"/>
            <w:vMerge w:val="continue"/>
            <w:tcBorders>
              <w:top w:val="single" w:color="auto" w:sz="4" w:space="0"/>
              <w:left w:val="single" w:color="auto" w:sz="4" w:space="0"/>
              <w:bottom w:val="single" w:color="auto" w:sz="4" w:space="0"/>
              <w:right w:val="single" w:color="auto" w:sz="4" w:space="0"/>
            </w:tcBorders>
            <w:noWrap w:val="0"/>
            <w:vAlign w:val="center"/>
          </w:tcPr>
          <w:p w14:paraId="5AB4DA66">
            <w:pPr>
              <w:spacing w:after="0"/>
              <w:jc w:val="center"/>
              <w:rPr>
                <w:rFonts w:hint="default" w:ascii="Arial" w:hAnsi="Arial" w:eastAsia="Times New Roman" w:cs="Arial"/>
                <w:b/>
                <w:bCs/>
                <w:color w:val="000000"/>
                <w:sz w:val="22"/>
                <w:szCs w:val="22"/>
                <w:lang w:eastAsia="pt-BR"/>
              </w:rPr>
            </w:pPr>
          </w:p>
        </w:tc>
      </w:tr>
      <w:tr w14:paraId="08003B8F">
        <w:tblPrEx>
          <w:tblCellMar>
            <w:top w:w="0" w:type="dxa"/>
            <w:left w:w="70" w:type="dxa"/>
            <w:bottom w:w="0" w:type="dxa"/>
            <w:right w:w="70" w:type="dxa"/>
          </w:tblCellMar>
        </w:tblPrEx>
        <w:trPr>
          <w:trHeight w:val="330" w:hRule="atLeast"/>
        </w:trPr>
        <w:tc>
          <w:tcPr>
            <w:tcW w:w="424" w:type="dxa"/>
            <w:vMerge w:val="continue"/>
            <w:tcBorders>
              <w:top w:val="single" w:color="auto" w:sz="4" w:space="0"/>
              <w:left w:val="single" w:color="auto" w:sz="4" w:space="0"/>
              <w:bottom w:val="single" w:color="auto" w:sz="4" w:space="0"/>
              <w:right w:val="single" w:color="auto" w:sz="4" w:space="0"/>
            </w:tcBorders>
            <w:noWrap w:val="0"/>
            <w:vAlign w:val="center"/>
          </w:tcPr>
          <w:p w14:paraId="0A986685">
            <w:pPr>
              <w:spacing w:after="0"/>
              <w:jc w:val="both"/>
              <w:rPr>
                <w:rFonts w:hint="default" w:ascii="Arial" w:hAnsi="Arial" w:eastAsia="Times New Roman" w:cs="Arial"/>
                <w:b/>
                <w:bCs/>
                <w:color w:val="000000"/>
                <w:sz w:val="22"/>
                <w:szCs w:val="22"/>
                <w:lang w:eastAsia="pt-BR"/>
              </w:rPr>
            </w:pP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37E227B8">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 xml:space="preserve">Correspondência: </w:t>
            </w:r>
            <w:r>
              <w:rPr>
                <w:rFonts w:hint="default" w:ascii="Arial" w:hAnsi="Arial" w:eastAsia="Times New Roman" w:cs="Arial"/>
                <w:color w:val="000000"/>
                <w:sz w:val="22"/>
                <w:szCs w:val="22"/>
                <w:lang w:eastAsia="pt-BR"/>
              </w:rPr>
              <w:t>sobre o valor do Item.</w:t>
            </w:r>
          </w:p>
        </w:tc>
        <w:tc>
          <w:tcPr>
            <w:tcW w:w="788" w:type="dxa"/>
            <w:vMerge w:val="continue"/>
            <w:tcBorders>
              <w:top w:val="single" w:color="auto" w:sz="4" w:space="0"/>
              <w:left w:val="single" w:color="auto" w:sz="4" w:space="0"/>
              <w:bottom w:val="single" w:color="auto" w:sz="4" w:space="0"/>
              <w:right w:val="single" w:color="auto" w:sz="4" w:space="0"/>
            </w:tcBorders>
            <w:noWrap w:val="0"/>
            <w:vAlign w:val="center"/>
          </w:tcPr>
          <w:p w14:paraId="0CD4924B">
            <w:pPr>
              <w:spacing w:after="0"/>
              <w:jc w:val="center"/>
              <w:rPr>
                <w:rFonts w:hint="default" w:ascii="Arial" w:hAnsi="Arial" w:eastAsia="Times New Roman" w:cs="Arial"/>
                <w:b/>
                <w:bCs/>
                <w:color w:val="000000"/>
                <w:sz w:val="22"/>
                <w:szCs w:val="22"/>
                <w:lang w:eastAsia="pt-BR"/>
              </w:rPr>
            </w:pPr>
          </w:p>
        </w:tc>
      </w:tr>
      <w:tr w14:paraId="5F96A3B0">
        <w:tblPrEx>
          <w:tblCellMar>
            <w:top w:w="0" w:type="dxa"/>
            <w:left w:w="70" w:type="dxa"/>
            <w:bottom w:w="0" w:type="dxa"/>
            <w:right w:w="70" w:type="dxa"/>
          </w:tblCellMar>
        </w:tblPrEx>
        <w:trPr>
          <w:trHeight w:val="630" w:hRule="atLeast"/>
        </w:trPr>
        <w:tc>
          <w:tcPr>
            <w:tcW w:w="424" w:type="dxa"/>
            <w:vMerge w:val="restart"/>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7542CE3F">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3</w:t>
            </w: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1F83CFE2">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Descrição:</w:t>
            </w:r>
            <w:r>
              <w:rPr>
                <w:rFonts w:hint="default" w:ascii="Arial" w:hAnsi="Arial" w:eastAsia="Times New Roman" w:cs="Arial"/>
                <w:color w:val="000000"/>
                <w:sz w:val="22"/>
                <w:szCs w:val="22"/>
                <w:lang w:eastAsia="pt-BR"/>
              </w:rPr>
              <w:t xml:space="preserve"> Descumprimento do prazo de entrega do projeto executivo, conforme prazo estabelecido no item “</w:t>
            </w:r>
            <w:r>
              <w:rPr>
                <w:rFonts w:hint="default" w:ascii="Arial" w:hAnsi="Arial" w:eastAsia="Times New Roman" w:cs="Arial"/>
                <w:color w:val="000000"/>
                <w:sz w:val="22"/>
                <w:szCs w:val="22"/>
                <w:highlight w:val="none"/>
                <w:lang w:val="en-US" w:eastAsia="pt-BR"/>
              </w:rPr>
              <w:t>6</w:t>
            </w:r>
            <w:r>
              <w:rPr>
                <w:rFonts w:hint="default" w:ascii="Arial" w:hAnsi="Arial" w:eastAsia="Times New Roman" w:cs="Arial"/>
                <w:color w:val="000000"/>
                <w:sz w:val="22"/>
                <w:szCs w:val="22"/>
                <w:highlight w:val="none"/>
                <w:lang w:eastAsia="pt-BR"/>
              </w:rPr>
              <w:t>.3</w:t>
            </w:r>
            <w:r>
              <w:rPr>
                <w:rFonts w:hint="default" w:ascii="Arial" w:hAnsi="Arial" w:eastAsia="Times New Roman" w:cs="Arial"/>
                <w:color w:val="000000"/>
                <w:sz w:val="22"/>
                <w:szCs w:val="22"/>
                <w:lang w:eastAsia="pt-BR"/>
              </w:rPr>
              <w:t xml:space="preserve"> </w:t>
            </w:r>
            <w:r>
              <w:rPr>
                <w:rFonts w:hint="default" w:ascii="Arial" w:hAnsi="Arial" w:eastAsia="Times New Roman" w:cs="Arial"/>
                <w:color w:val="000000"/>
                <w:sz w:val="22"/>
                <w:szCs w:val="22"/>
                <w:lang w:val="en-US" w:eastAsia="pt-BR"/>
              </w:rPr>
              <w:t>até 6.3.11</w:t>
            </w:r>
            <w:r>
              <w:rPr>
                <w:rFonts w:hint="default" w:ascii="Arial" w:hAnsi="Arial" w:eastAsia="Times New Roman" w:cs="Arial"/>
                <w:color w:val="000000"/>
                <w:sz w:val="22"/>
                <w:szCs w:val="22"/>
                <w:lang w:eastAsia="pt-BR"/>
              </w:rPr>
              <w:t xml:space="preserve"> – Prazos e condições”.</w:t>
            </w:r>
          </w:p>
        </w:tc>
        <w:tc>
          <w:tcPr>
            <w:tcW w:w="788" w:type="dxa"/>
            <w:vMerge w:val="restart"/>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56DC39E8">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3</w:t>
            </w:r>
          </w:p>
        </w:tc>
      </w:tr>
      <w:tr w14:paraId="4F5D94DE">
        <w:tblPrEx>
          <w:tblCellMar>
            <w:top w:w="0" w:type="dxa"/>
            <w:left w:w="70" w:type="dxa"/>
            <w:bottom w:w="0" w:type="dxa"/>
            <w:right w:w="70" w:type="dxa"/>
          </w:tblCellMar>
        </w:tblPrEx>
        <w:trPr>
          <w:trHeight w:val="330" w:hRule="atLeast"/>
        </w:trPr>
        <w:tc>
          <w:tcPr>
            <w:tcW w:w="424" w:type="dxa"/>
            <w:vMerge w:val="continue"/>
            <w:tcBorders>
              <w:top w:val="single" w:color="auto" w:sz="4" w:space="0"/>
              <w:left w:val="single" w:color="auto" w:sz="4" w:space="0"/>
              <w:bottom w:val="single" w:color="auto" w:sz="4" w:space="0"/>
              <w:right w:val="single" w:color="auto" w:sz="4" w:space="0"/>
            </w:tcBorders>
            <w:noWrap w:val="0"/>
            <w:vAlign w:val="center"/>
          </w:tcPr>
          <w:p w14:paraId="0BFB9EA6">
            <w:pPr>
              <w:spacing w:after="0"/>
              <w:jc w:val="center"/>
              <w:rPr>
                <w:rFonts w:hint="default" w:ascii="Arial" w:hAnsi="Arial" w:eastAsia="Times New Roman" w:cs="Arial"/>
                <w:b/>
                <w:bCs/>
                <w:color w:val="000000"/>
                <w:sz w:val="22"/>
                <w:szCs w:val="22"/>
                <w:lang w:eastAsia="pt-BR"/>
              </w:rPr>
            </w:pP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520E37B6">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 xml:space="preserve">Unidade Temporal: </w:t>
            </w:r>
            <w:r>
              <w:rPr>
                <w:rFonts w:hint="default" w:ascii="Arial" w:hAnsi="Arial" w:eastAsia="Times New Roman" w:cs="Arial"/>
                <w:color w:val="000000"/>
                <w:sz w:val="22"/>
                <w:szCs w:val="22"/>
                <w:lang w:eastAsia="pt-BR"/>
              </w:rPr>
              <w:t>% do GRAU de INFRAÇÃO por dia de atraso, limitado a 2,5%.</w:t>
            </w:r>
          </w:p>
        </w:tc>
        <w:tc>
          <w:tcPr>
            <w:tcW w:w="788" w:type="dxa"/>
            <w:vMerge w:val="continue"/>
            <w:tcBorders>
              <w:top w:val="single" w:color="auto" w:sz="4" w:space="0"/>
              <w:left w:val="single" w:color="auto" w:sz="4" w:space="0"/>
              <w:bottom w:val="single" w:color="auto" w:sz="4" w:space="0"/>
              <w:right w:val="single" w:color="auto" w:sz="4" w:space="0"/>
            </w:tcBorders>
            <w:noWrap w:val="0"/>
            <w:vAlign w:val="center"/>
          </w:tcPr>
          <w:p w14:paraId="76D89D76">
            <w:pPr>
              <w:spacing w:after="0"/>
              <w:jc w:val="both"/>
              <w:rPr>
                <w:rFonts w:hint="default" w:ascii="Arial" w:hAnsi="Arial" w:eastAsia="Times New Roman" w:cs="Arial"/>
                <w:b/>
                <w:bCs/>
                <w:color w:val="000000"/>
                <w:sz w:val="22"/>
                <w:szCs w:val="22"/>
                <w:lang w:eastAsia="pt-BR"/>
              </w:rPr>
            </w:pPr>
          </w:p>
        </w:tc>
      </w:tr>
      <w:tr w14:paraId="0798CF8A">
        <w:tblPrEx>
          <w:tblCellMar>
            <w:top w:w="0" w:type="dxa"/>
            <w:left w:w="70" w:type="dxa"/>
            <w:bottom w:w="0" w:type="dxa"/>
            <w:right w:w="70" w:type="dxa"/>
          </w:tblCellMar>
        </w:tblPrEx>
        <w:trPr>
          <w:trHeight w:val="330" w:hRule="atLeast"/>
        </w:trPr>
        <w:tc>
          <w:tcPr>
            <w:tcW w:w="424" w:type="dxa"/>
            <w:vMerge w:val="continue"/>
            <w:tcBorders>
              <w:top w:val="single" w:color="auto" w:sz="4" w:space="0"/>
              <w:left w:val="single" w:color="auto" w:sz="4" w:space="0"/>
              <w:bottom w:val="single" w:color="auto" w:sz="4" w:space="0"/>
              <w:right w:val="single" w:color="auto" w:sz="4" w:space="0"/>
            </w:tcBorders>
            <w:noWrap w:val="0"/>
            <w:vAlign w:val="center"/>
          </w:tcPr>
          <w:p w14:paraId="51B05EF8">
            <w:pPr>
              <w:spacing w:after="0"/>
              <w:jc w:val="center"/>
              <w:rPr>
                <w:rFonts w:hint="default" w:ascii="Arial" w:hAnsi="Arial" w:eastAsia="Times New Roman" w:cs="Arial"/>
                <w:b/>
                <w:bCs/>
                <w:color w:val="000000"/>
                <w:sz w:val="22"/>
                <w:szCs w:val="22"/>
                <w:lang w:eastAsia="pt-BR"/>
              </w:rPr>
            </w:pP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3F38B786">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 xml:space="preserve">Correspondência: </w:t>
            </w:r>
            <w:r>
              <w:rPr>
                <w:rFonts w:hint="default" w:ascii="Arial" w:hAnsi="Arial" w:eastAsia="Times New Roman" w:cs="Arial"/>
                <w:color w:val="000000"/>
                <w:sz w:val="22"/>
                <w:szCs w:val="22"/>
                <w:lang w:eastAsia="pt-BR"/>
              </w:rPr>
              <w:t>sobre o valor do Item.</w:t>
            </w:r>
          </w:p>
        </w:tc>
        <w:tc>
          <w:tcPr>
            <w:tcW w:w="788" w:type="dxa"/>
            <w:vMerge w:val="continue"/>
            <w:tcBorders>
              <w:top w:val="single" w:color="auto" w:sz="4" w:space="0"/>
              <w:left w:val="single" w:color="auto" w:sz="4" w:space="0"/>
              <w:bottom w:val="single" w:color="auto" w:sz="4" w:space="0"/>
              <w:right w:val="single" w:color="auto" w:sz="4" w:space="0"/>
            </w:tcBorders>
            <w:noWrap w:val="0"/>
            <w:vAlign w:val="center"/>
          </w:tcPr>
          <w:p w14:paraId="711514C6">
            <w:pPr>
              <w:spacing w:after="0"/>
              <w:jc w:val="both"/>
              <w:rPr>
                <w:rFonts w:hint="default" w:ascii="Arial" w:hAnsi="Arial" w:eastAsia="Times New Roman" w:cs="Arial"/>
                <w:b/>
                <w:bCs/>
                <w:color w:val="000000"/>
                <w:sz w:val="22"/>
                <w:szCs w:val="22"/>
                <w:lang w:eastAsia="pt-BR"/>
              </w:rPr>
            </w:pPr>
          </w:p>
        </w:tc>
      </w:tr>
      <w:tr w14:paraId="3F4AA309">
        <w:tblPrEx>
          <w:tblCellMar>
            <w:top w:w="0" w:type="dxa"/>
            <w:left w:w="70" w:type="dxa"/>
            <w:bottom w:w="0" w:type="dxa"/>
            <w:right w:w="70" w:type="dxa"/>
          </w:tblCellMar>
        </w:tblPrEx>
        <w:trPr>
          <w:trHeight w:val="630" w:hRule="atLeast"/>
        </w:trPr>
        <w:tc>
          <w:tcPr>
            <w:tcW w:w="424" w:type="dxa"/>
            <w:vMerge w:val="restart"/>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2FCF9590">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4</w:t>
            </w: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4D24BC04">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Descrição:</w:t>
            </w:r>
            <w:r>
              <w:rPr>
                <w:rFonts w:hint="default" w:ascii="Arial" w:hAnsi="Arial" w:eastAsia="Times New Roman" w:cs="Arial"/>
                <w:color w:val="000000"/>
                <w:sz w:val="22"/>
                <w:szCs w:val="22"/>
                <w:lang w:eastAsia="pt-BR"/>
              </w:rPr>
              <w:t xml:space="preserve"> Descumprimento do prazo de entrega do documento final do tipo </w:t>
            </w:r>
            <w:r>
              <w:rPr>
                <w:rFonts w:hint="default" w:ascii="Arial" w:hAnsi="Arial" w:eastAsia="Times New Roman" w:cs="Arial"/>
                <w:i/>
                <w:iCs/>
                <w:color w:val="000000"/>
                <w:sz w:val="22"/>
                <w:szCs w:val="22"/>
                <w:lang w:eastAsia="pt-BR"/>
              </w:rPr>
              <w:t>as-built</w:t>
            </w:r>
            <w:r>
              <w:rPr>
                <w:rFonts w:hint="default" w:ascii="Arial" w:hAnsi="Arial" w:eastAsia="Times New Roman" w:cs="Arial"/>
                <w:color w:val="000000"/>
                <w:sz w:val="22"/>
                <w:szCs w:val="22"/>
                <w:lang w:eastAsia="pt-BR"/>
              </w:rPr>
              <w:t>, conforme prazo estabelecido no item “</w:t>
            </w:r>
            <w:r>
              <w:rPr>
                <w:rFonts w:hint="default" w:ascii="Arial" w:hAnsi="Arial" w:eastAsia="Times New Roman" w:cs="Arial"/>
                <w:color w:val="000000"/>
                <w:sz w:val="22"/>
                <w:szCs w:val="22"/>
                <w:highlight w:val="none"/>
                <w:lang w:val="en-US" w:eastAsia="pt-BR"/>
              </w:rPr>
              <w:t>6</w:t>
            </w:r>
            <w:r>
              <w:rPr>
                <w:rFonts w:hint="default" w:ascii="Arial" w:hAnsi="Arial" w:eastAsia="Times New Roman" w:cs="Arial"/>
                <w:color w:val="000000"/>
                <w:sz w:val="22"/>
                <w:szCs w:val="22"/>
                <w:highlight w:val="none"/>
                <w:lang w:eastAsia="pt-BR"/>
              </w:rPr>
              <w:t>.3</w:t>
            </w:r>
            <w:r>
              <w:rPr>
                <w:rFonts w:hint="default" w:ascii="Arial" w:hAnsi="Arial" w:eastAsia="Times New Roman" w:cs="Arial"/>
                <w:color w:val="000000"/>
                <w:sz w:val="22"/>
                <w:szCs w:val="22"/>
                <w:lang w:eastAsia="pt-BR"/>
              </w:rPr>
              <w:t xml:space="preserve"> </w:t>
            </w:r>
            <w:r>
              <w:rPr>
                <w:rFonts w:hint="default" w:ascii="Arial" w:hAnsi="Arial" w:eastAsia="Times New Roman" w:cs="Arial"/>
                <w:color w:val="000000"/>
                <w:sz w:val="22"/>
                <w:szCs w:val="22"/>
                <w:lang w:val="en-US" w:eastAsia="pt-BR"/>
              </w:rPr>
              <w:t xml:space="preserve">até 6.3.11 </w:t>
            </w:r>
            <w:r>
              <w:rPr>
                <w:rFonts w:hint="default" w:ascii="Arial" w:hAnsi="Arial" w:eastAsia="Times New Roman" w:cs="Arial"/>
                <w:color w:val="000000"/>
                <w:sz w:val="22"/>
                <w:szCs w:val="22"/>
                <w:lang w:eastAsia="pt-BR"/>
              </w:rPr>
              <w:t>– Prazos e condições”;</w:t>
            </w:r>
          </w:p>
        </w:tc>
        <w:tc>
          <w:tcPr>
            <w:tcW w:w="788" w:type="dxa"/>
            <w:vMerge w:val="restart"/>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455EFA03">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3</w:t>
            </w:r>
          </w:p>
        </w:tc>
      </w:tr>
      <w:tr w14:paraId="5B41371B">
        <w:tblPrEx>
          <w:tblCellMar>
            <w:top w:w="0" w:type="dxa"/>
            <w:left w:w="70" w:type="dxa"/>
            <w:bottom w:w="0" w:type="dxa"/>
            <w:right w:w="70" w:type="dxa"/>
          </w:tblCellMar>
        </w:tblPrEx>
        <w:trPr>
          <w:trHeight w:val="330" w:hRule="atLeast"/>
        </w:trPr>
        <w:tc>
          <w:tcPr>
            <w:tcW w:w="424" w:type="dxa"/>
            <w:vMerge w:val="continue"/>
            <w:tcBorders>
              <w:top w:val="single" w:color="auto" w:sz="4" w:space="0"/>
              <w:left w:val="single" w:color="auto" w:sz="4" w:space="0"/>
              <w:bottom w:val="single" w:color="auto" w:sz="4" w:space="0"/>
              <w:right w:val="single" w:color="auto" w:sz="4" w:space="0"/>
            </w:tcBorders>
            <w:noWrap w:val="0"/>
            <w:vAlign w:val="center"/>
          </w:tcPr>
          <w:p w14:paraId="2095E88E">
            <w:pPr>
              <w:spacing w:after="0"/>
              <w:jc w:val="center"/>
              <w:rPr>
                <w:rFonts w:hint="default" w:ascii="Arial" w:hAnsi="Arial" w:eastAsia="Times New Roman" w:cs="Arial"/>
                <w:b/>
                <w:bCs/>
                <w:color w:val="000000"/>
                <w:sz w:val="22"/>
                <w:szCs w:val="22"/>
                <w:lang w:eastAsia="pt-BR"/>
              </w:rPr>
            </w:pP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290EE831">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 xml:space="preserve">Unidade Temporal: </w:t>
            </w:r>
            <w:r>
              <w:rPr>
                <w:rFonts w:hint="default" w:ascii="Arial" w:hAnsi="Arial" w:eastAsia="Times New Roman" w:cs="Arial"/>
                <w:color w:val="000000"/>
                <w:sz w:val="22"/>
                <w:szCs w:val="22"/>
                <w:lang w:eastAsia="pt-BR"/>
              </w:rPr>
              <w:t>% do GRAU de INFRAÇÃO por dia de atraso, limitado a 2,5%.</w:t>
            </w:r>
          </w:p>
        </w:tc>
        <w:tc>
          <w:tcPr>
            <w:tcW w:w="788" w:type="dxa"/>
            <w:vMerge w:val="continue"/>
            <w:tcBorders>
              <w:top w:val="single" w:color="auto" w:sz="4" w:space="0"/>
              <w:left w:val="single" w:color="auto" w:sz="4" w:space="0"/>
              <w:bottom w:val="single" w:color="auto" w:sz="4" w:space="0"/>
              <w:right w:val="single" w:color="auto" w:sz="4" w:space="0"/>
            </w:tcBorders>
            <w:noWrap w:val="0"/>
            <w:vAlign w:val="center"/>
          </w:tcPr>
          <w:p w14:paraId="52B1BE6C">
            <w:pPr>
              <w:spacing w:after="0"/>
              <w:jc w:val="center"/>
              <w:rPr>
                <w:rFonts w:hint="default" w:ascii="Arial" w:hAnsi="Arial" w:eastAsia="Times New Roman" w:cs="Arial"/>
                <w:b/>
                <w:bCs/>
                <w:color w:val="000000"/>
                <w:sz w:val="22"/>
                <w:szCs w:val="22"/>
                <w:lang w:eastAsia="pt-BR"/>
              </w:rPr>
            </w:pPr>
          </w:p>
        </w:tc>
      </w:tr>
      <w:tr w14:paraId="6C1C8609">
        <w:tblPrEx>
          <w:tblCellMar>
            <w:top w:w="0" w:type="dxa"/>
            <w:left w:w="70" w:type="dxa"/>
            <w:bottom w:w="0" w:type="dxa"/>
            <w:right w:w="70" w:type="dxa"/>
          </w:tblCellMar>
        </w:tblPrEx>
        <w:trPr>
          <w:trHeight w:val="330" w:hRule="atLeast"/>
        </w:trPr>
        <w:tc>
          <w:tcPr>
            <w:tcW w:w="424" w:type="dxa"/>
            <w:vMerge w:val="continue"/>
            <w:tcBorders>
              <w:top w:val="single" w:color="auto" w:sz="4" w:space="0"/>
              <w:left w:val="single" w:color="auto" w:sz="4" w:space="0"/>
              <w:bottom w:val="single" w:color="auto" w:sz="4" w:space="0"/>
              <w:right w:val="single" w:color="auto" w:sz="4" w:space="0"/>
            </w:tcBorders>
            <w:noWrap w:val="0"/>
            <w:vAlign w:val="center"/>
          </w:tcPr>
          <w:p w14:paraId="3869B21B">
            <w:pPr>
              <w:spacing w:after="0"/>
              <w:jc w:val="center"/>
              <w:rPr>
                <w:rFonts w:hint="default" w:ascii="Arial" w:hAnsi="Arial" w:eastAsia="Times New Roman" w:cs="Arial"/>
                <w:b/>
                <w:bCs/>
                <w:color w:val="000000"/>
                <w:sz w:val="22"/>
                <w:szCs w:val="22"/>
                <w:lang w:eastAsia="pt-BR"/>
              </w:rPr>
            </w:pP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01CCBF62">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 xml:space="preserve">Correspondência: </w:t>
            </w:r>
            <w:r>
              <w:rPr>
                <w:rFonts w:hint="default" w:ascii="Arial" w:hAnsi="Arial" w:eastAsia="Times New Roman" w:cs="Arial"/>
                <w:color w:val="000000"/>
                <w:sz w:val="22"/>
                <w:szCs w:val="22"/>
                <w:lang w:eastAsia="pt-BR"/>
              </w:rPr>
              <w:t>sobre o valor do Item.</w:t>
            </w:r>
          </w:p>
        </w:tc>
        <w:tc>
          <w:tcPr>
            <w:tcW w:w="788" w:type="dxa"/>
            <w:vMerge w:val="continue"/>
            <w:tcBorders>
              <w:top w:val="single" w:color="auto" w:sz="4" w:space="0"/>
              <w:left w:val="single" w:color="auto" w:sz="4" w:space="0"/>
              <w:bottom w:val="single" w:color="auto" w:sz="4" w:space="0"/>
              <w:right w:val="single" w:color="auto" w:sz="4" w:space="0"/>
            </w:tcBorders>
            <w:noWrap w:val="0"/>
            <w:vAlign w:val="center"/>
          </w:tcPr>
          <w:p w14:paraId="766D998C">
            <w:pPr>
              <w:spacing w:after="0"/>
              <w:jc w:val="center"/>
              <w:rPr>
                <w:rFonts w:hint="default" w:ascii="Arial" w:hAnsi="Arial" w:eastAsia="Times New Roman" w:cs="Arial"/>
                <w:b/>
                <w:bCs/>
                <w:color w:val="000000"/>
                <w:sz w:val="22"/>
                <w:szCs w:val="22"/>
                <w:lang w:eastAsia="pt-BR"/>
              </w:rPr>
            </w:pPr>
          </w:p>
        </w:tc>
      </w:tr>
      <w:tr w14:paraId="6E84B3F6">
        <w:tblPrEx>
          <w:tblCellMar>
            <w:top w:w="0" w:type="dxa"/>
            <w:left w:w="70" w:type="dxa"/>
            <w:bottom w:w="0" w:type="dxa"/>
            <w:right w:w="70" w:type="dxa"/>
          </w:tblCellMar>
        </w:tblPrEx>
        <w:trPr>
          <w:trHeight w:val="930" w:hRule="atLeast"/>
        </w:trPr>
        <w:tc>
          <w:tcPr>
            <w:tcW w:w="424" w:type="dxa"/>
            <w:vMerge w:val="restart"/>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55D02FBF">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5</w:t>
            </w: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6CF55A3A">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Descrição:</w:t>
            </w:r>
            <w:r>
              <w:rPr>
                <w:rFonts w:hint="default" w:ascii="Arial" w:hAnsi="Arial" w:eastAsia="Times New Roman" w:cs="Arial"/>
                <w:color w:val="000000"/>
                <w:sz w:val="22"/>
                <w:szCs w:val="22"/>
                <w:lang w:eastAsia="pt-BR"/>
              </w:rPr>
              <w:t xml:space="preserve"> Descumprimento do prazo de entrega dos documentos (atas, projeto executivo, </w:t>
            </w:r>
            <w:r>
              <w:rPr>
                <w:rFonts w:hint="default" w:ascii="Arial" w:hAnsi="Arial" w:eastAsia="Times New Roman" w:cs="Arial"/>
                <w:i/>
                <w:iCs/>
                <w:color w:val="000000"/>
                <w:sz w:val="22"/>
                <w:szCs w:val="22"/>
                <w:lang w:eastAsia="pt-BR"/>
              </w:rPr>
              <w:t>as-built</w:t>
            </w:r>
            <w:r>
              <w:rPr>
                <w:rFonts w:hint="default" w:ascii="Arial" w:hAnsi="Arial" w:eastAsia="Times New Roman" w:cs="Arial"/>
                <w:color w:val="000000"/>
                <w:sz w:val="22"/>
                <w:szCs w:val="22"/>
                <w:lang w:eastAsia="pt-BR"/>
              </w:rPr>
              <w:t xml:space="preserve"> etc.) com a qualidade, justificadamente, inaceitável pela equipe técnica da PREFEITURA.</w:t>
            </w:r>
          </w:p>
        </w:tc>
        <w:tc>
          <w:tcPr>
            <w:tcW w:w="788" w:type="dxa"/>
            <w:vMerge w:val="restart"/>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20162B64">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1</w:t>
            </w:r>
          </w:p>
        </w:tc>
      </w:tr>
      <w:tr w14:paraId="604C39F7">
        <w:tblPrEx>
          <w:tblCellMar>
            <w:top w:w="0" w:type="dxa"/>
            <w:left w:w="70" w:type="dxa"/>
            <w:bottom w:w="0" w:type="dxa"/>
            <w:right w:w="70" w:type="dxa"/>
          </w:tblCellMar>
        </w:tblPrEx>
        <w:trPr>
          <w:trHeight w:val="630" w:hRule="atLeast"/>
        </w:trPr>
        <w:tc>
          <w:tcPr>
            <w:tcW w:w="424" w:type="dxa"/>
            <w:vMerge w:val="continue"/>
            <w:tcBorders>
              <w:top w:val="single" w:color="auto" w:sz="4" w:space="0"/>
              <w:left w:val="single" w:color="auto" w:sz="4" w:space="0"/>
              <w:bottom w:val="single" w:color="auto" w:sz="4" w:space="0"/>
              <w:right w:val="single" w:color="auto" w:sz="4" w:space="0"/>
            </w:tcBorders>
            <w:noWrap w:val="0"/>
            <w:vAlign w:val="center"/>
          </w:tcPr>
          <w:p w14:paraId="0443FAB5">
            <w:pPr>
              <w:spacing w:after="0"/>
              <w:jc w:val="center"/>
              <w:rPr>
                <w:rFonts w:hint="default" w:ascii="Arial" w:hAnsi="Arial" w:eastAsia="Times New Roman" w:cs="Arial"/>
                <w:b/>
                <w:bCs/>
                <w:color w:val="000000"/>
                <w:sz w:val="22"/>
                <w:szCs w:val="22"/>
                <w:lang w:eastAsia="pt-BR"/>
              </w:rPr>
            </w:pP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4E1B3841">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Unidade Temporal:</w:t>
            </w:r>
            <w:r>
              <w:rPr>
                <w:rFonts w:hint="default" w:ascii="Arial" w:hAnsi="Arial" w:eastAsia="Times New Roman" w:cs="Arial"/>
                <w:color w:val="000000"/>
                <w:sz w:val="22"/>
                <w:szCs w:val="22"/>
                <w:lang w:eastAsia="pt-BR"/>
              </w:rPr>
              <w:t xml:space="preserve"> % do GRAU de INFRAÇÃO por dia de retrabalho da CONTRATADA, limitado a 1,25%.</w:t>
            </w:r>
          </w:p>
        </w:tc>
        <w:tc>
          <w:tcPr>
            <w:tcW w:w="788" w:type="dxa"/>
            <w:vMerge w:val="continue"/>
            <w:tcBorders>
              <w:top w:val="single" w:color="auto" w:sz="4" w:space="0"/>
              <w:left w:val="single" w:color="auto" w:sz="4" w:space="0"/>
              <w:bottom w:val="single" w:color="auto" w:sz="4" w:space="0"/>
              <w:right w:val="single" w:color="auto" w:sz="4" w:space="0"/>
            </w:tcBorders>
            <w:noWrap w:val="0"/>
            <w:vAlign w:val="center"/>
          </w:tcPr>
          <w:p w14:paraId="42086462">
            <w:pPr>
              <w:spacing w:after="0"/>
              <w:jc w:val="center"/>
              <w:rPr>
                <w:rFonts w:hint="default" w:ascii="Arial" w:hAnsi="Arial" w:eastAsia="Times New Roman" w:cs="Arial"/>
                <w:b/>
                <w:bCs/>
                <w:color w:val="000000"/>
                <w:sz w:val="22"/>
                <w:szCs w:val="22"/>
                <w:lang w:eastAsia="pt-BR"/>
              </w:rPr>
            </w:pPr>
          </w:p>
        </w:tc>
      </w:tr>
      <w:tr w14:paraId="0379B11F">
        <w:tblPrEx>
          <w:tblCellMar>
            <w:top w:w="0" w:type="dxa"/>
            <w:left w:w="70" w:type="dxa"/>
            <w:bottom w:w="0" w:type="dxa"/>
            <w:right w:w="70" w:type="dxa"/>
          </w:tblCellMar>
        </w:tblPrEx>
        <w:trPr>
          <w:trHeight w:val="330" w:hRule="atLeast"/>
        </w:trPr>
        <w:tc>
          <w:tcPr>
            <w:tcW w:w="424" w:type="dxa"/>
            <w:vMerge w:val="continue"/>
            <w:tcBorders>
              <w:top w:val="single" w:color="auto" w:sz="4" w:space="0"/>
              <w:left w:val="single" w:color="auto" w:sz="4" w:space="0"/>
              <w:bottom w:val="single" w:color="auto" w:sz="4" w:space="0"/>
              <w:right w:val="single" w:color="auto" w:sz="4" w:space="0"/>
            </w:tcBorders>
            <w:noWrap w:val="0"/>
            <w:vAlign w:val="center"/>
          </w:tcPr>
          <w:p w14:paraId="23C089A7">
            <w:pPr>
              <w:spacing w:after="0"/>
              <w:jc w:val="center"/>
              <w:rPr>
                <w:rFonts w:hint="default" w:ascii="Arial" w:hAnsi="Arial" w:eastAsia="Times New Roman" w:cs="Arial"/>
                <w:b/>
                <w:bCs/>
                <w:color w:val="000000"/>
                <w:sz w:val="22"/>
                <w:szCs w:val="22"/>
                <w:lang w:eastAsia="pt-BR"/>
              </w:rPr>
            </w:pP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2F999E7C">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Correspondência:</w:t>
            </w:r>
            <w:r>
              <w:rPr>
                <w:rFonts w:hint="default" w:ascii="Arial" w:hAnsi="Arial" w:eastAsia="Times New Roman" w:cs="Arial"/>
                <w:color w:val="000000"/>
                <w:sz w:val="22"/>
                <w:szCs w:val="22"/>
                <w:lang w:eastAsia="pt-BR"/>
              </w:rPr>
              <w:t xml:space="preserve"> sobre o valor do Item.</w:t>
            </w:r>
          </w:p>
        </w:tc>
        <w:tc>
          <w:tcPr>
            <w:tcW w:w="788" w:type="dxa"/>
            <w:vMerge w:val="continue"/>
            <w:tcBorders>
              <w:top w:val="single" w:color="auto" w:sz="4" w:space="0"/>
              <w:left w:val="single" w:color="auto" w:sz="4" w:space="0"/>
              <w:bottom w:val="single" w:color="auto" w:sz="4" w:space="0"/>
              <w:right w:val="single" w:color="auto" w:sz="4" w:space="0"/>
            </w:tcBorders>
            <w:noWrap w:val="0"/>
            <w:vAlign w:val="center"/>
          </w:tcPr>
          <w:p w14:paraId="5E9C89D7">
            <w:pPr>
              <w:spacing w:after="0"/>
              <w:jc w:val="center"/>
              <w:rPr>
                <w:rFonts w:hint="default" w:ascii="Arial" w:hAnsi="Arial" w:eastAsia="Times New Roman" w:cs="Arial"/>
                <w:b/>
                <w:bCs/>
                <w:color w:val="000000"/>
                <w:sz w:val="22"/>
                <w:szCs w:val="22"/>
                <w:lang w:eastAsia="pt-BR"/>
              </w:rPr>
            </w:pPr>
          </w:p>
        </w:tc>
      </w:tr>
      <w:tr w14:paraId="7A976A38">
        <w:tblPrEx>
          <w:tblCellMar>
            <w:top w:w="0" w:type="dxa"/>
            <w:left w:w="70" w:type="dxa"/>
            <w:bottom w:w="0" w:type="dxa"/>
            <w:right w:w="70" w:type="dxa"/>
          </w:tblCellMar>
        </w:tblPrEx>
        <w:trPr>
          <w:trHeight w:val="630" w:hRule="atLeast"/>
        </w:trPr>
        <w:tc>
          <w:tcPr>
            <w:tcW w:w="424" w:type="dxa"/>
            <w:vMerge w:val="restart"/>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023DF4DC">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6</w:t>
            </w: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3E46BBA0">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 xml:space="preserve">Descrição: </w:t>
            </w:r>
            <w:r>
              <w:rPr>
                <w:rFonts w:hint="default" w:ascii="Arial" w:hAnsi="Arial" w:eastAsia="Times New Roman" w:cs="Arial"/>
                <w:color w:val="000000"/>
                <w:sz w:val="22"/>
                <w:szCs w:val="22"/>
                <w:lang w:eastAsia="pt-BR"/>
              </w:rPr>
              <w:t>Descumprimento do prazo de atendimento de suporte técnico, conforme estabelecido no ite</w:t>
            </w:r>
            <w:r>
              <w:rPr>
                <w:rFonts w:hint="default" w:ascii="Arial" w:hAnsi="Arial" w:eastAsia="Times New Roman" w:cs="Arial"/>
                <w:color w:val="000000"/>
                <w:sz w:val="22"/>
                <w:szCs w:val="22"/>
                <w:lang w:val="en-US" w:eastAsia="pt-BR"/>
              </w:rPr>
              <w:t>m 6.6.3</w:t>
            </w:r>
            <w:r>
              <w:rPr>
                <w:rFonts w:hint="default" w:ascii="Arial" w:hAnsi="Arial" w:eastAsia="Times New Roman" w:cs="Arial"/>
                <w:color w:val="000000"/>
                <w:sz w:val="22"/>
                <w:szCs w:val="22"/>
                <w:lang w:eastAsia="pt-BR"/>
              </w:rPr>
              <w:t xml:space="preserve"> na resolução do problema.</w:t>
            </w:r>
          </w:p>
        </w:tc>
        <w:tc>
          <w:tcPr>
            <w:tcW w:w="788" w:type="dxa"/>
            <w:vMerge w:val="restart"/>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18C17D97">
            <w:pPr>
              <w:spacing w:after="0"/>
              <w:jc w:val="center"/>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1</w:t>
            </w:r>
          </w:p>
        </w:tc>
      </w:tr>
      <w:tr w14:paraId="56BD2E7A">
        <w:tblPrEx>
          <w:tblCellMar>
            <w:top w:w="0" w:type="dxa"/>
            <w:left w:w="70" w:type="dxa"/>
            <w:bottom w:w="0" w:type="dxa"/>
            <w:right w:w="70" w:type="dxa"/>
          </w:tblCellMar>
        </w:tblPrEx>
        <w:trPr>
          <w:trHeight w:val="330" w:hRule="atLeast"/>
        </w:trPr>
        <w:tc>
          <w:tcPr>
            <w:tcW w:w="424" w:type="dxa"/>
            <w:vMerge w:val="continue"/>
            <w:tcBorders>
              <w:top w:val="single" w:color="auto" w:sz="4" w:space="0"/>
              <w:left w:val="single" w:color="auto" w:sz="4" w:space="0"/>
              <w:bottom w:val="single" w:color="auto" w:sz="4" w:space="0"/>
              <w:right w:val="single" w:color="auto" w:sz="4" w:space="0"/>
            </w:tcBorders>
            <w:noWrap w:val="0"/>
            <w:vAlign w:val="center"/>
          </w:tcPr>
          <w:p w14:paraId="327731DA">
            <w:pPr>
              <w:spacing w:after="0"/>
              <w:jc w:val="both"/>
              <w:rPr>
                <w:rFonts w:hint="default" w:ascii="Arial" w:hAnsi="Arial" w:eastAsia="Times New Roman" w:cs="Arial"/>
                <w:b/>
                <w:bCs/>
                <w:color w:val="000000"/>
                <w:sz w:val="22"/>
                <w:szCs w:val="22"/>
                <w:lang w:eastAsia="pt-BR"/>
              </w:rPr>
            </w:pP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2D8AB718">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Unidade Temporal:</w:t>
            </w:r>
            <w:r>
              <w:rPr>
                <w:rFonts w:hint="default" w:ascii="Arial" w:hAnsi="Arial" w:eastAsia="Times New Roman" w:cs="Arial"/>
                <w:color w:val="000000"/>
                <w:sz w:val="22"/>
                <w:szCs w:val="22"/>
                <w:lang w:eastAsia="pt-BR"/>
              </w:rPr>
              <w:t xml:space="preserve"> % do GRAU de INFRAÇÃO por hora de atraso, limitado a 1%.</w:t>
            </w:r>
          </w:p>
        </w:tc>
        <w:tc>
          <w:tcPr>
            <w:tcW w:w="788" w:type="dxa"/>
            <w:vMerge w:val="continue"/>
            <w:tcBorders>
              <w:top w:val="single" w:color="auto" w:sz="4" w:space="0"/>
              <w:left w:val="single" w:color="auto" w:sz="4" w:space="0"/>
              <w:bottom w:val="single" w:color="auto" w:sz="4" w:space="0"/>
              <w:right w:val="single" w:color="auto" w:sz="4" w:space="0"/>
            </w:tcBorders>
            <w:noWrap w:val="0"/>
            <w:vAlign w:val="center"/>
          </w:tcPr>
          <w:p w14:paraId="00986B8F">
            <w:pPr>
              <w:spacing w:after="0"/>
              <w:jc w:val="both"/>
              <w:rPr>
                <w:rFonts w:hint="default" w:ascii="Arial" w:hAnsi="Arial" w:eastAsia="Times New Roman" w:cs="Arial"/>
                <w:b/>
                <w:bCs/>
                <w:color w:val="000000"/>
                <w:sz w:val="22"/>
                <w:szCs w:val="22"/>
                <w:lang w:eastAsia="pt-BR"/>
              </w:rPr>
            </w:pPr>
          </w:p>
        </w:tc>
      </w:tr>
      <w:tr w14:paraId="5B237A8F">
        <w:tblPrEx>
          <w:tblCellMar>
            <w:top w:w="0" w:type="dxa"/>
            <w:left w:w="70" w:type="dxa"/>
            <w:bottom w:w="0" w:type="dxa"/>
            <w:right w:w="70" w:type="dxa"/>
          </w:tblCellMar>
        </w:tblPrEx>
        <w:trPr>
          <w:trHeight w:val="330" w:hRule="atLeast"/>
        </w:trPr>
        <w:tc>
          <w:tcPr>
            <w:tcW w:w="424" w:type="dxa"/>
            <w:vMerge w:val="continue"/>
            <w:tcBorders>
              <w:top w:val="single" w:color="auto" w:sz="4" w:space="0"/>
              <w:left w:val="single" w:color="auto" w:sz="4" w:space="0"/>
              <w:bottom w:val="single" w:color="auto" w:sz="4" w:space="0"/>
              <w:right w:val="single" w:color="auto" w:sz="4" w:space="0"/>
            </w:tcBorders>
            <w:noWrap w:val="0"/>
            <w:vAlign w:val="center"/>
          </w:tcPr>
          <w:p w14:paraId="2D9A86BD">
            <w:pPr>
              <w:spacing w:after="0"/>
              <w:jc w:val="both"/>
              <w:rPr>
                <w:rFonts w:hint="default" w:ascii="Arial" w:hAnsi="Arial" w:eastAsia="Times New Roman" w:cs="Arial"/>
                <w:b/>
                <w:bCs/>
                <w:color w:val="000000"/>
                <w:sz w:val="22"/>
                <w:szCs w:val="22"/>
                <w:lang w:eastAsia="pt-BR"/>
              </w:rPr>
            </w:pPr>
          </w:p>
        </w:tc>
        <w:tc>
          <w:tcPr>
            <w:tcW w:w="6584" w:type="dxa"/>
            <w:tcBorders>
              <w:top w:val="single" w:color="auto" w:sz="4" w:space="0"/>
              <w:left w:val="single" w:color="auto" w:sz="4" w:space="0"/>
              <w:bottom w:val="single" w:color="auto" w:sz="4" w:space="0"/>
              <w:right w:val="single" w:color="auto" w:sz="4" w:space="0"/>
            </w:tcBorders>
            <w:shd w:val="clear" w:color="000000" w:fill="F2F2F2"/>
            <w:noWrap w:val="0"/>
            <w:vAlign w:val="center"/>
          </w:tcPr>
          <w:p w14:paraId="2F1D52C8">
            <w:pPr>
              <w:spacing w:after="0"/>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Correspondência:</w:t>
            </w:r>
            <w:r>
              <w:rPr>
                <w:rFonts w:hint="default" w:ascii="Arial" w:hAnsi="Arial" w:eastAsia="Times New Roman" w:cs="Arial"/>
                <w:color w:val="000000"/>
                <w:sz w:val="22"/>
                <w:szCs w:val="22"/>
                <w:lang w:eastAsia="pt-BR"/>
              </w:rPr>
              <w:t xml:space="preserve"> sobre o valor do serviço.</w:t>
            </w:r>
          </w:p>
        </w:tc>
        <w:tc>
          <w:tcPr>
            <w:tcW w:w="788" w:type="dxa"/>
            <w:vMerge w:val="continue"/>
            <w:tcBorders>
              <w:top w:val="single" w:color="auto" w:sz="4" w:space="0"/>
              <w:left w:val="single" w:color="auto" w:sz="4" w:space="0"/>
              <w:bottom w:val="single" w:color="auto" w:sz="4" w:space="0"/>
              <w:right w:val="single" w:color="auto" w:sz="4" w:space="0"/>
            </w:tcBorders>
            <w:noWrap w:val="0"/>
            <w:vAlign w:val="center"/>
          </w:tcPr>
          <w:p w14:paraId="3CE3D932">
            <w:pPr>
              <w:spacing w:after="0"/>
              <w:jc w:val="both"/>
              <w:rPr>
                <w:rFonts w:hint="default" w:ascii="Arial" w:hAnsi="Arial" w:eastAsia="Times New Roman" w:cs="Arial"/>
                <w:b/>
                <w:bCs/>
                <w:color w:val="000000"/>
                <w:sz w:val="22"/>
                <w:szCs w:val="22"/>
                <w:lang w:eastAsia="pt-BR"/>
              </w:rPr>
            </w:pPr>
          </w:p>
        </w:tc>
      </w:tr>
    </w:tbl>
    <w:p w14:paraId="12503ED3">
      <w:pPr>
        <w:pStyle w:val="134"/>
        <w:numPr>
          <w:ilvl w:val="0"/>
          <w:numId w:val="0"/>
        </w:numPr>
        <w:spacing w:line="360" w:lineRule="auto"/>
        <w:ind w:leftChars="0"/>
        <w:rPr>
          <w:rFonts w:hint="default" w:eastAsia="Arial" w:cs="Arial"/>
          <w:color w:val="auto"/>
          <w:sz w:val="22"/>
          <w:szCs w:val="22"/>
          <w:highlight w:val="none"/>
          <w:lang w:val="pt-BR"/>
        </w:rPr>
      </w:pPr>
    </w:p>
    <w:p w14:paraId="00CC20CF">
      <w:pPr>
        <w:pStyle w:val="134"/>
        <w:numPr>
          <w:ilvl w:val="0"/>
          <w:numId w:val="0"/>
        </w:numPr>
        <w:spacing w:line="360" w:lineRule="auto"/>
        <w:ind w:leftChars="0"/>
        <w:rPr>
          <w:rFonts w:hint="default" w:eastAsia="Arial" w:cs="Arial"/>
          <w:color w:val="auto"/>
          <w:sz w:val="22"/>
          <w:szCs w:val="22"/>
          <w:highlight w:val="none"/>
          <w:lang w:val="pt-BR"/>
        </w:rPr>
      </w:pPr>
    </w:p>
    <w:p w14:paraId="40A2AB18">
      <w:pPr>
        <w:pStyle w:val="134"/>
        <w:numPr>
          <w:ilvl w:val="0"/>
          <w:numId w:val="0"/>
        </w:numPr>
        <w:spacing w:line="360" w:lineRule="auto"/>
        <w:ind w:leftChars="0"/>
        <w:rPr>
          <w:rFonts w:hint="default" w:eastAsia="Arial" w:cs="Arial"/>
          <w:color w:val="auto"/>
          <w:sz w:val="22"/>
          <w:szCs w:val="22"/>
          <w:highlight w:val="none"/>
          <w:lang w:val="pt-BR"/>
        </w:rPr>
      </w:pPr>
    </w:p>
    <w:p w14:paraId="6CCD0C2D">
      <w:pPr>
        <w:pStyle w:val="134"/>
        <w:numPr>
          <w:ilvl w:val="0"/>
          <w:numId w:val="0"/>
        </w:numPr>
        <w:spacing w:line="360" w:lineRule="auto"/>
        <w:ind w:leftChars="0"/>
        <w:rPr>
          <w:rFonts w:hint="default" w:eastAsia="Arial" w:cs="Arial"/>
          <w:color w:val="auto"/>
          <w:sz w:val="22"/>
          <w:szCs w:val="22"/>
          <w:highlight w:val="none"/>
          <w:lang w:val="pt-BR"/>
        </w:rPr>
      </w:pPr>
    </w:p>
    <w:p w14:paraId="36CEF098">
      <w:pPr>
        <w:pStyle w:val="134"/>
        <w:numPr>
          <w:ilvl w:val="0"/>
          <w:numId w:val="0"/>
        </w:numPr>
        <w:spacing w:line="360" w:lineRule="auto"/>
        <w:ind w:leftChars="0"/>
        <w:rPr>
          <w:rFonts w:hint="default" w:eastAsia="Arial" w:cs="Arial"/>
          <w:color w:val="auto"/>
          <w:sz w:val="22"/>
          <w:szCs w:val="22"/>
          <w:highlight w:val="none"/>
          <w:lang w:val="pt-BR"/>
        </w:rPr>
      </w:pPr>
    </w:p>
    <w:p w14:paraId="466ACC1C">
      <w:pPr>
        <w:pStyle w:val="134"/>
        <w:numPr>
          <w:ilvl w:val="0"/>
          <w:numId w:val="0"/>
        </w:numPr>
        <w:spacing w:line="360" w:lineRule="auto"/>
        <w:ind w:leftChars="0"/>
        <w:rPr>
          <w:rFonts w:hint="default" w:eastAsia="Arial" w:cs="Arial"/>
          <w:color w:val="auto"/>
          <w:sz w:val="22"/>
          <w:szCs w:val="22"/>
          <w:highlight w:val="none"/>
          <w:lang w:val="pt-BR"/>
        </w:rPr>
      </w:pPr>
    </w:p>
    <w:p w14:paraId="7EE965A3">
      <w:pPr>
        <w:pStyle w:val="134"/>
        <w:numPr>
          <w:ilvl w:val="0"/>
          <w:numId w:val="0"/>
        </w:numPr>
        <w:spacing w:line="360" w:lineRule="auto"/>
        <w:ind w:leftChars="0"/>
        <w:rPr>
          <w:rFonts w:hint="default" w:eastAsia="Arial" w:cs="Arial"/>
          <w:color w:val="auto"/>
          <w:sz w:val="22"/>
          <w:szCs w:val="22"/>
          <w:highlight w:val="none"/>
          <w:lang w:val="pt-BR"/>
        </w:rPr>
      </w:pPr>
    </w:p>
    <w:p w14:paraId="0F876E0C">
      <w:pPr>
        <w:pStyle w:val="134"/>
        <w:numPr>
          <w:ilvl w:val="0"/>
          <w:numId w:val="0"/>
        </w:numPr>
        <w:spacing w:line="360" w:lineRule="auto"/>
        <w:ind w:leftChars="0"/>
        <w:rPr>
          <w:rFonts w:hint="default" w:eastAsia="Arial" w:cs="Arial"/>
          <w:color w:val="auto"/>
          <w:sz w:val="22"/>
          <w:szCs w:val="22"/>
          <w:highlight w:val="none"/>
          <w:lang w:val="pt-BR"/>
        </w:rPr>
      </w:pPr>
    </w:p>
    <w:p w14:paraId="604D931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highlight w:val="none"/>
        </w:rPr>
        <w:t>1</w:t>
      </w:r>
      <w:r>
        <w:rPr>
          <w:rFonts w:hint="default" w:ascii="Arial" w:hAnsi="Arial" w:cs="Arial"/>
          <w:b/>
          <w:bCs/>
          <w:sz w:val="22"/>
          <w:szCs w:val="22"/>
          <w:highlight w:val="none"/>
          <w:lang w:val="pt-BR"/>
        </w:rPr>
        <w:t>1</w:t>
      </w:r>
      <w:r>
        <w:rPr>
          <w:rFonts w:hint="default" w:ascii="Arial" w:hAnsi="Arial" w:cs="Arial"/>
          <w:b/>
          <w:bCs/>
          <w:sz w:val="22"/>
          <w:szCs w:val="22"/>
          <w:highlight w:val="none"/>
        </w:rPr>
        <w:t>.</w:t>
      </w:r>
      <w:r>
        <w:rPr>
          <w:rFonts w:hint="default" w:ascii="Arial" w:hAnsi="Arial" w:cs="Arial"/>
          <w:b/>
          <w:bCs/>
          <w:sz w:val="22"/>
          <w:szCs w:val="22"/>
          <w:highlight w:val="none"/>
          <w:lang w:val="pt-BR"/>
        </w:rPr>
        <w:t>4</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rPr>
        <w:t>Entende-se por dia de retrabalho, aqueles dias em que o documento ou atividade desaprovada pela CONTRATANTE ficou em re-execução pela CONTRATADA até a aprovação pela comissão gestora do contrato, diante da qualidade dos trabalhos.</w:t>
      </w:r>
    </w:p>
    <w:p w14:paraId="6E8D1D2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11.4.2.</w:t>
      </w:r>
      <w:r>
        <w:rPr>
          <w:rFonts w:hint="default" w:ascii="Arial" w:hAnsi="Arial" w:cs="Arial"/>
          <w:sz w:val="22"/>
          <w:szCs w:val="22"/>
          <w:lang w:val="pt-BR"/>
        </w:rPr>
        <w:t xml:space="preserve"> </w:t>
      </w:r>
      <w:r>
        <w:rPr>
          <w:rFonts w:hint="default" w:ascii="Arial" w:hAnsi="Arial" w:cs="Arial"/>
          <w:sz w:val="22"/>
          <w:szCs w:val="22"/>
        </w:rPr>
        <w:t>Para fins de comprovação de tempo para aplicação das multas referente às infrações do item anterior, considera-se como 1 (uma) hora inteira a fração igual ou superior 30 minutos;</w:t>
      </w:r>
    </w:p>
    <w:p w14:paraId="5E0E128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11.4.3. </w:t>
      </w:r>
      <w:r>
        <w:rPr>
          <w:rFonts w:hint="default" w:ascii="Arial" w:hAnsi="Arial" w:cs="Arial"/>
          <w:sz w:val="22"/>
          <w:szCs w:val="22"/>
        </w:rPr>
        <w:t xml:space="preserve">Caso a CONTRATADA não cumpra integralmente as obrigações assumidas, garantida a prévia defesa, fica sujeita as sanções previstas no Decreto nº </w:t>
      </w:r>
      <w:r>
        <w:rPr>
          <w:rFonts w:hint="default" w:ascii="Arial" w:hAnsi="Arial" w:cs="Arial"/>
          <w:sz w:val="22"/>
          <w:szCs w:val="22"/>
          <w:lang w:val="pt-BR"/>
        </w:rPr>
        <w:t xml:space="preserve">360/2023 e </w:t>
      </w:r>
      <w:r>
        <w:rPr>
          <w:rFonts w:hint="default" w:ascii="Arial" w:hAnsi="Arial" w:cs="Arial"/>
          <w:b w:val="0"/>
          <w:bCs/>
          <w:sz w:val="22"/>
          <w:szCs w:val="22"/>
          <w:highlight w:val="none"/>
          <w:lang w:val="pt-BR"/>
        </w:rPr>
        <w:t>descritas nos Art. 155 a 163 da Lei 14.133/2021</w:t>
      </w:r>
      <w:r>
        <w:rPr>
          <w:rFonts w:hint="default" w:ascii="Arial" w:hAnsi="Arial" w:cs="Arial"/>
          <w:sz w:val="22"/>
          <w:szCs w:val="22"/>
        </w:rPr>
        <w:t>.</w:t>
      </w:r>
    </w:p>
    <w:p w14:paraId="4908CC1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lang w:val="pt-BR"/>
        </w:rPr>
      </w:pPr>
      <w:r>
        <w:rPr>
          <w:rFonts w:hint="default" w:ascii="Arial" w:hAnsi="Arial" w:cs="Arial"/>
          <w:b/>
          <w:bCs/>
          <w:sz w:val="22"/>
          <w:szCs w:val="22"/>
          <w:lang w:val="pt-BR"/>
        </w:rPr>
        <w:t>11.4.4.</w:t>
      </w:r>
      <w:r>
        <w:rPr>
          <w:rFonts w:hint="default" w:ascii="Arial" w:hAnsi="Arial" w:cs="Arial"/>
          <w:sz w:val="22"/>
          <w:szCs w:val="22"/>
          <w:lang w:val="pt-BR"/>
        </w:rPr>
        <w:t xml:space="preserve"> </w:t>
      </w:r>
      <w:r>
        <w:rPr>
          <w:rFonts w:hint="default" w:ascii="Arial" w:hAnsi="Arial" w:cs="Arial"/>
          <w:sz w:val="22"/>
          <w:szCs w:val="22"/>
        </w:rPr>
        <w:t>Advertência por escrito quando do descumprimento de qualquer um dos r</w:t>
      </w:r>
      <w:r>
        <w:rPr>
          <w:rFonts w:hint="default" w:ascii="Arial" w:hAnsi="Arial" w:cs="Arial"/>
          <w:sz w:val="22"/>
          <w:szCs w:val="22"/>
          <w:highlight w:val="none"/>
        </w:rPr>
        <w:t>equisitos constantes deste termo de referência;</w:t>
      </w:r>
    </w:p>
    <w:p w14:paraId="316A202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3"/>
          <w:rFonts w:hint="default" w:ascii="Arial" w:hAnsi="Arial" w:eastAsia="Calibri" w:cs="Arial"/>
          <w:sz w:val="22"/>
          <w:szCs w:val="22"/>
          <w:highlight w:val="none"/>
        </w:rPr>
      </w:pPr>
      <w:r>
        <w:rPr>
          <w:rStyle w:val="153"/>
          <w:rFonts w:hint="default" w:ascii="Arial" w:hAnsi="Arial" w:eastAsia="Calibri" w:cs="Arial"/>
          <w:b/>
          <w:bCs/>
          <w:sz w:val="22"/>
          <w:szCs w:val="22"/>
          <w:highlight w:val="none"/>
        </w:rPr>
        <w:t>1</w:t>
      </w:r>
      <w:r>
        <w:rPr>
          <w:rStyle w:val="153"/>
          <w:rFonts w:hint="default" w:ascii="Arial" w:hAnsi="Arial" w:eastAsia="Calibri" w:cs="Arial"/>
          <w:b/>
          <w:bCs/>
          <w:sz w:val="22"/>
          <w:szCs w:val="22"/>
          <w:highlight w:val="none"/>
          <w:lang w:val="pt-BR"/>
        </w:rPr>
        <w:t>1</w:t>
      </w:r>
      <w:r>
        <w:rPr>
          <w:rStyle w:val="153"/>
          <w:rFonts w:hint="default" w:ascii="Arial" w:hAnsi="Arial" w:eastAsia="Calibri" w:cs="Arial"/>
          <w:b/>
          <w:bCs/>
          <w:sz w:val="22"/>
          <w:szCs w:val="22"/>
          <w:highlight w:val="none"/>
        </w:rPr>
        <w:t>.</w:t>
      </w:r>
      <w:r>
        <w:rPr>
          <w:rStyle w:val="153"/>
          <w:rFonts w:hint="default" w:ascii="Arial" w:hAnsi="Arial" w:eastAsia="Calibri" w:cs="Arial"/>
          <w:b/>
          <w:bCs/>
          <w:sz w:val="22"/>
          <w:szCs w:val="22"/>
          <w:highlight w:val="none"/>
          <w:lang w:val="pt-BR"/>
        </w:rPr>
        <w:t>5.</w:t>
      </w:r>
      <w:r>
        <w:rPr>
          <w:rStyle w:val="153"/>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3"/>
          <w:rFonts w:hint="default" w:ascii="Arial" w:hAnsi="Arial" w:eastAsia="Calibri" w:cs="Arial"/>
          <w:sz w:val="22"/>
          <w:szCs w:val="22"/>
          <w:highlight w:val="none"/>
          <w:lang w:val="pt-BR"/>
        </w:rPr>
        <w:t>2 (dois)</w:t>
      </w:r>
      <w:r>
        <w:rPr>
          <w:rStyle w:val="153"/>
          <w:rFonts w:hint="default" w:ascii="Arial" w:hAnsi="Arial" w:eastAsia="Calibri" w:cs="Arial"/>
          <w:sz w:val="22"/>
          <w:szCs w:val="22"/>
          <w:highlight w:val="none"/>
        </w:rPr>
        <w:t xml:space="preserve"> anos, quando não se justificar a imposição de penalidade mais grave, </w:t>
      </w:r>
      <w:r>
        <w:rPr>
          <w:rStyle w:val="153"/>
          <w:rFonts w:hint="default" w:ascii="Arial" w:hAnsi="Arial" w:eastAsia="Calibri" w:cs="Arial"/>
          <w:color w:val="auto"/>
          <w:sz w:val="22"/>
          <w:szCs w:val="22"/>
          <w:highlight w:val="none"/>
        </w:rPr>
        <w:t xml:space="preserve">conforme </w:t>
      </w:r>
      <w:r>
        <w:rPr>
          <w:rStyle w:val="153"/>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3"/>
          <w:rFonts w:hint="default" w:ascii="Arial" w:hAnsi="Arial" w:eastAsia="Calibri" w:cs="Arial"/>
          <w:color w:val="auto"/>
          <w:sz w:val="22"/>
          <w:szCs w:val="22"/>
          <w:highlight w:val="none"/>
        </w:rPr>
        <w:t>.</w:t>
      </w:r>
      <w:r>
        <w:rPr>
          <w:rStyle w:val="153"/>
          <w:rFonts w:hint="default" w:ascii="Arial" w:hAnsi="Arial" w:eastAsia="Calibri" w:cs="Arial"/>
          <w:sz w:val="22"/>
          <w:szCs w:val="22"/>
          <w:highlight w:val="none"/>
        </w:rPr>
        <w:t xml:space="preserve"> </w:t>
      </w:r>
    </w:p>
    <w:p w14:paraId="23B1E6F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3"/>
          <w:rFonts w:hint="default" w:ascii="Arial" w:hAnsi="Arial" w:eastAsia="Calibri" w:cs="Arial"/>
          <w:sz w:val="22"/>
          <w:szCs w:val="22"/>
          <w:highlight w:val="none"/>
        </w:rPr>
      </w:pPr>
      <w:r>
        <w:rPr>
          <w:rStyle w:val="153"/>
          <w:rFonts w:hint="default" w:ascii="Arial" w:hAnsi="Arial" w:eastAsia="Calibri" w:cs="Arial"/>
          <w:b/>
          <w:bCs/>
          <w:sz w:val="22"/>
          <w:szCs w:val="22"/>
          <w:highlight w:val="none"/>
        </w:rPr>
        <w:t>1</w:t>
      </w:r>
      <w:r>
        <w:rPr>
          <w:rStyle w:val="153"/>
          <w:rFonts w:hint="default" w:ascii="Arial" w:hAnsi="Arial" w:eastAsia="Calibri" w:cs="Arial"/>
          <w:b/>
          <w:bCs/>
          <w:sz w:val="22"/>
          <w:szCs w:val="22"/>
          <w:highlight w:val="none"/>
          <w:lang w:val="pt-BR"/>
        </w:rPr>
        <w:t>1</w:t>
      </w:r>
      <w:r>
        <w:rPr>
          <w:rStyle w:val="153"/>
          <w:rFonts w:hint="default" w:ascii="Arial" w:hAnsi="Arial" w:eastAsia="Calibri" w:cs="Arial"/>
          <w:b/>
          <w:bCs/>
          <w:sz w:val="22"/>
          <w:szCs w:val="22"/>
          <w:highlight w:val="none"/>
        </w:rPr>
        <w:t>.</w:t>
      </w:r>
      <w:r>
        <w:rPr>
          <w:rStyle w:val="153"/>
          <w:rFonts w:hint="default" w:ascii="Arial" w:hAnsi="Arial" w:eastAsia="Calibri" w:cs="Arial"/>
          <w:b/>
          <w:bCs/>
          <w:sz w:val="22"/>
          <w:szCs w:val="22"/>
          <w:highlight w:val="none"/>
          <w:lang w:val="pt-BR"/>
        </w:rPr>
        <w:t>6.</w:t>
      </w:r>
      <w:r>
        <w:rPr>
          <w:rStyle w:val="153"/>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3"/>
          <w:rFonts w:hint="default" w:ascii="Arial" w:hAnsi="Arial" w:eastAsia="Calibri" w:cs="Arial"/>
          <w:sz w:val="22"/>
          <w:szCs w:val="22"/>
          <w:highlight w:val="none"/>
        </w:rPr>
        <w:t xml:space="preserve">pelo prazo mínimo de </w:t>
      </w:r>
      <w:r>
        <w:rPr>
          <w:rStyle w:val="153"/>
          <w:rFonts w:hint="default" w:ascii="Arial" w:hAnsi="Arial" w:eastAsia="Calibri" w:cs="Arial"/>
          <w:sz w:val="22"/>
          <w:szCs w:val="22"/>
          <w:highlight w:val="none"/>
          <w:lang w:val="pt-BR"/>
        </w:rPr>
        <w:t>3 (</w:t>
      </w:r>
      <w:r>
        <w:rPr>
          <w:rStyle w:val="153"/>
          <w:rFonts w:hint="default" w:ascii="Arial" w:hAnsi="Arial" w:eastAsia="Calibri" w:cs="Arial"/>
          <w:sz w:val="22"/>
          <w:szCs w:val="22"/>
          <w:highlight w:val="none"/>
        </w:rPr>
        <w:t>três</w:t>
      </w:r>
      <w:r>
        <w:rPr>
          <w:rStyle w:val="153"/>
          <w:rFonts w:hint="default" w:ascii="Arial" w:hAnsi="Arial" w:eastAsia="Calibri" w:cs="Arial"/>
          <w:sz w:val="22"/>
          <w:szCs w:val="22"/>
          <w:highlight w:val="none"/>
          <w:lang w:val="pt-BR"/>
        </w:rPr>
        <w:t>)</w:t>
      </w:r>
      <w:r>
        <w:rPr>
          <w:rStyle w:val="153"/>
          <w:rFonts w:hint="default" w:ascii="Arial" w:hAnsi="Arial" w:eastAsia="Calibri" w:cs="Arial"/>
          <w:sz w:val="22"/>
          <w:szCs w:val="22"/>
          <w:highlight w:val="none"/>
        </w:rPr>
        <w:t xml:space="preserve"> anos e máximo de </w:t>
      </w:r>
      <w:r>
        <w:rPr>
          <w:rStyle w:val="153"/>
          <w:rFonts w:hint="default" w:ascii="Arial" w:hAnsi="Arial" w:eastAsia="Calibri" w:cs="Arial"/>
          <w:sz w:val="22"/>
          <w:szCs w:val="22"/>
          <w:highlight w:val="none"/>
          <w:lang w:val="pt-BR"/>
        </w:rPr>
        <w:t>6 (</w:t>
      </w:r>
      <w:r>
        <w:rPr>
          <w:rStyle w:val="153"/>
          <w:rFonts w:hint="default" w:ascii="Arial" w:hAnsi="Arial" w:eastAsia="Calibri" w:cs="Arial"/>
          <w:sz w:val="22"/>
          <w:szCs w:val="22"/>
          <w:highlight w:val="none"/>
        </w:rPr>
        <w:t>seis</w:t>
      </w:r>
      <w:r>
        <w:rPr>
          <w:rStyle w:val="153"/>
          <w:rFonts w:hint="default" w:ascii="Arial" w:hAnsi="Arial" w:eastAsia="Calibri" w:cs="Arial"/>
          <w:sz w:val="22"/>
          <w:szCs w:val="22"/>
          <w:highlight w:val="none"/>
          <w:lang w:val="pt-BR"/>
        </w:rPr>
        <w:t>)</w:t>
      </w:r>
      <w:r>
        <w:rPr>
          <w:rStyle w:val="153"/>
          <w:rFonts w:hint="default" w:ascii="Arial" w:hAnsi="Arial" w:eastAsia="Calibri" w:cs="Arial"/>
          <w:sz w:val="22"/>
          <w:szCs w:val="22"/>
          <w:highlight w:val="none"/>
        </w:rPr>
        <w:t xml:space="preserve"> anos, </w:t>
      </w:r>
      <w:r>
        <w:rPr>
          <w:rStyle w:val="153"/>
          <w:rFonts w:hint="default" w:ascii="Arial" w:hAnsi="Arial" w:eastAsia="Calibri" w:cs="Arial"/>
          <w:color w:val="auto"/>
          <w:sz w:val="22"/>
          <w:szCs w:val="22"/>
          <w:highlight w:val="none"/>
        </w:rPr>
        <w:t xml:space="preserve">conforme </w:t>
      </w:r>
      <w:r>
        <w:rPr>
          <w:rStyle w:val="153"/>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3"/>
          <w:rFonts w:hint="default" w:ascii="Arial" w:hAnsi="Arial" w:eastAsia="Calibri" w:cs="Arial"/>
          <w:color w:val="auto"/>
          <w:sz w:val="22"/>
          <w:szCs w:val="22"/>
          <w:highlight w:val="none"/>
        </w:rPr>
        <w:t>.</w:t>
      </w:r>
      <w:r>
        <w:rPr>
          <w:rStyle w:val="153"/>
          <w:rFonts w:hint="default" w:ascii="Arial" w:hAnsi="Arial" w:eastAsia="Calibri" w:cs="Arial"/>
          <w:sz w:val="22"/>
          <w:szCs w:val="22"/>
          <w:highlight w:val="none"/>
        </w:rPr>
        <w:t xml:space="preserve"> </w:t>
      </w:r>
    </w:p>
    <w:p w14:paraId="6C41D46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1</w:t>
      </w:r>
      <w:r>
        <w:rPr>
          <w:rFonts w:hint="default" w:ascii="Arial" w:hAnsi="Arial" w:cs="Arial"/>
          <w:b/>
          <w:bCs/>
          <w:sz w:val="22"/>
          <w:szCs w:val="22"/>
          <w:highlight w:val="none"/>
        </w:rPr>
        <w:t>.</w:t>
      </w:r>
      <w:r>
        <w:rPr>
          <w:rFonts w:hint="default" w:ascii="Arial" w:hAnsi="Arial" w:cs="Arial"/>
          <w:b/>
          <w:bCs/>
          <w:sz w:val="22"/>
          <w:szCs w:val="22"/>
          <w:highlight w:val="none"/>
          <w:lang w:val="pt-BR"/>
        </w:rPr>
        <w:t>7.</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3"/>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3"/>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0FEF1B9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1</w:t>
      </w:r>
      <w:r>
        <w:rPr>
          <w:rFonts w:hint="default" w:ascii="Arial" w:hAnsi="Arial" w:eastAsia="Arial" w:cs="Arial"/>
          <w:b/>
          <w:bCs/>
          <w:color w:val="000000"/>
          <w:sz w:val="22"/>
          <w:szCs w:val="22"/>
          <w:highlight w:val="none"/>
        </w:rPr>
        <w:t>.</w:t>
      </w:r>
      <w:r>
        <w:rPr>
          <w:rFonts w:hint="default" w:ascii="Arial" w:hAnsi="Arial" w:eastAsia="Arial" w:cs="Arial"/>
          <w:b/>
          <w:bCs/>
          <w:color w:val="000000"/>
          <w:sz w:val="22"/>
          <w:szCs w:val="22"/>
          <w:highlight w:val="none"/>
          <w:lang w:val="pt-BR"/>
        </w:rPr>
        <w:t>9.</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2CB0D57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1</w:t>
      </w: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0FAB360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1</w:t>
      </w:r>
      <w:r>
        <w:rPr>
          <w:rFonts w:hint="default" w:ascii="Arial" w:hAnsi="Arial" w:cs="Arial"/>
          <w:b/>
          <w:bCs/>
          <w:sz w:val="22"/>
          <w:szCs w:val="22"/>
          <w:highlight w:val="none"/>
        </w:rPr>
        <w:t>.1</w:t>
      </w:r>
      <w:r>
        <w:rPr>
          <w:rFonts w:hint="default" w:ascii="Arial" w:hAnsi="Arial" w:cs="Arial"/>
          <w:b/>
          <w:bCs/>
          <w:sz w:val="22"/>
          <w:szCs w:val="22"/>
          <w:highlight w:val="none"/>
          <w:lang w:val="pt-BR"/>
        </w:rPr>
        <w:t>1.</w:t>
      </w:r>
      <w:r>
        <w:rPr>
          <w:rFonts w:hint="default" w:ascii="Arial" w:hAnsi="Arial" w:cs="Arial"/>
          <w:sz w:val="22"/>
          <w:szCs w:val="22"/>
          <w:highlight w:val="none"/>
        </w:rPr>
        <w:t xml:space="preserve"> A aplicação das sanções previstas no item 1</w:t>
      </w:r>
      <w:r>
        <w:rPr>
          <w:rFonts w:hint="default" w:ascii="Arial" w:hAnsi="Arial" w:cs="Arial"/>
          <w:sz w:val="22"/>
          <w:szCs w:val="22"/>
          <w:highlight w:val="none"/>
          <w:lang w:val="pt-BR"/>
        </w:rPr>
        <w:t>1</w:t>
      </w:r>
      <w:r>
        <w:rPr>
          <w:rFonts w:hint="default" w:ascii="Arial" w:hAnsi="Arial" w:cs="Arial"/>
          <w:sz w:val="22"/>
          <w:szCs w:val="22"/>
          <w:highlight w:val="none"/>
        </w:rPr>
        <w:t>.</w:t>
      </w:r>
      <w:r>
        <w:rPr>
          <w:rFonts w:hint="default" w:ascii="Arial" w:hAnsi="Arial" w:cs="Arial"/>
          <w:sz w:val="22"/>
          <w:szCs w:val="22"/>
          <w:highlight w:val="none"/>
          <w:lang w:val="pt-BR"/>
        </w:rPr>
        <w:t>4., 11.5., e 11.6.</w:t>
      </w:r>
      <w:r>
        <w:rPr>
          <w:rFonts w:hint="default" w:ascii="Arial" w:hAnsi="Arial" w:cs="Arial"/>
          <w:sz w:val="22"/>
          <w:szCs w:val="22"/>
          <w:highlight w:val="none"/>
        </w:rPr>
        <w:t xml:space="preserve"> admitem a reabilitação da licitante/contratada perante a própria autoridade que aplicou a penalidade, exigidos e poderá ser requerida pela parte, quando couber:</w:t>
      </w:r>
    </w:p>
    <w:p w14:paraId="36E6C87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1CB7C34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42D9056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5D794C7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7BC9653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eastAsia="Arial" w:cs="Arial"/>
          <w:color w:val="auto"/>
          <w:sz w:val="22"/>
          <w:szCs w:val="22"/>
          <w:highlight w:val="none"/>
          <w:lang w:val="pt-BR"/>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w:t>
      </w:r>
    </w:p>
    <w:p w14:paraId="6E86C08A">
      <w:pPr>
        <w:pBdr>
          <w:top w:val="double" w:color="auto" w:sz="4" w:space="1"/>
          <w:left w:val="double" w:color="auto" w:sz="4" w:space="4"/>
          <w:bottom w:val="double" w:color="auto" w:sz="4" w:space="1"/>
          <w:right w:val="double" w:color="auto" w:sz="4" w:space="4"/>
        </w:pBdr>
        <w:shd w:val="clear" w:color="auto" w:fill="D9D9D9"/>
        <w:tabs>
          <w:tab w:val="left" w:pos="1080"/>
        </w:tabs>
        <w:spacing w:line="360" w:lineRule="auto"/>
        <w:jc w:val="center"/>
        <w:rPr>
          <w:rFonts w:ascii="Arial" w:hAnsi="Arial" w:cs="Arial"/>
          <w:b/>
          <w:sz w:val="22"/>
          <w:szCs w:val="22"/>
        </w:rPr>
      </w:pPr>
      <w:r>
        <w:rPr>
          <w:rFonts w:ascii="Arial" w:hAnsi="Arial" w:cs="Arial"/>
          <w:b/>
          <w:sz w:val="22"/>
          <w:szCs w:val="22"/>
        </w:rPr>
        <w:t>Cláusula Décima Segunda</w:t>
      </w:r>
    </w:p>
    <w:p w14:paraId="51F60D8E">
      <w:pPr>
        <w:pBdr>
          <w:top w:val="double" w:color="auto" w:sz="4" w:space="1"/>
          <w:left w:val="double" w:color="auto" w:sz="4" w:space="4"/>
          <w:bottom w:val="double" w:color="auto" w:sz="4" w:space="1"/>
          <w:right w:val="double" w:color="auto" w:sz="4" w:space="4"/>
        </w:pBdr>
        <w:shd w:val="clear" w:color="auto" w:fill="D9D9D9"/>
        <w:tabs>
          <w:tab w:val="left" w:pos="1080"/>
        </w:tabs>
        <w:spacing w:line="360" w:lineRule="auto"/>
        <w:jc w:val="center"/>
        <w:rPr>
          <w:rFonts w:ascii="Arial" w:hAnsi="Arial" w:cs="Arial"/>
          <w:b/>
          <w:sz w:val="22"/>
          <w:szCs w:val="22"/>
        </w:rPr>
      </w:pPr>
      <w:r>
        <w:rPr>
          <w:rFonts w:ascii="Arial" w:hAnsi="Arial" w:cs="Arial"/>
          <w:b/>
          <w:sz w:val="22"/>
          <w:szCs w:val="22"/>
        </w:rPr>
        <w:t>DOS CASOS OMISSOS</w:t>
      </w:r>
    </w:p>
    <w:p w14:paraId="312D08D8">
      <w:pPr>
        <w:pStyle w:val="134"/>
        <w:numPr>
          <w:ilvl w:val="0"/>
          <w:numId w:val="0"/>
        </w:numPr>
        <w:spacing w:line="360" w:lineRule="auto"/>
        <w:ind w:leftChars="0"/>
        <w:rPr>
          <w:rFonts w:hint="default" w:ascii="Arial" w:hAnsi="Arial" w:cs="Arial"/>
          <w:color w:val="auto"/>
          <w:sz w:val="22"/>
          <w:szCs w:val="22"/>
          <w:u w:val="none"/>
          <w:lang w:val="pt-BR"/>
        </w:rPr>
      </w:pPr>
      <w:r>
        <w:rPr>
          <w:rFonts w:ascii="Arial" w:hAnsi="Arial" w:eastAsia="Calibri" w:cs="Arial"/>
          <w:b/>
          <w:kern w:val="1"/>
          <w:sz w:val="22"/>
          <w:szCs w:val="22"/>
          <w:lang w:eastAsia="ar-SA"/>
        </w:rPr>
        <w:t>1</w:t>
      </w:r>
      <w:r>
        <w:rPr>
          <w:rFonts w:hint="default" w:eastAsia="Calibri" w:cs="Arial"/>
          <w:b/>
          <w:kern w:val="1"/>
          <w:sz w:val="22"/>
          <w:szCs w:val="22"/>
          <w:lang w:val="pt-BR" w:eastAsia="ar-SA"/>
        </w:rPr>
        <w:t>2</w:t>
      </w:r>
      <w:r>
        <w:rPr>
          <w:rFonts w:ascii="Arial" w:hAnsi="Arial" w:eastAsia="Calibri" w:cs="Arial"/>
          <w:b/>
          <w:kern w:val="1"/>
          <w:sz w:val="22"/>
          <w:szCs w:val="22"/>
          <w:lang w:eastAsia="ar-SA"/>
        </w:rPr>
        <w:t>.1</w:t>
      </w:r>
      <w:r>
        <w:rPr>
          <w:rFonts w:ascii="Arial" w:hAnsi="Arial" w:eastAsia="Calibri" w:cs="Arial"/>
          <w:b/>
          <w:bCs/>
          <w:kern w:val="1"/>
          <w:sz w:val="22"/>
          <w:szCs w:val="22"/>
          <w:lang w:eastAsia="ar-SA"/>
        </w:rPr>
        <w:t>.</w:t>
      </w:r>
      <w:r>
        <w:rPr>
          <w:rFonts w:hint="default" w:eastAsia="Calibri" w:cs="Arial"/>
          <w:b/>
          <w:bCs/>
          <w:kern w:val="1"/>
          <w:sz w:val="22"/>
          <w:szCs w:val="22"/>
          <w:lang w:val="pt-BR" w:eastAsia="ar-SA"/>
        </w:rPr>
        <w:t xml:space="preserve"> </w:t>
      </w:r>
      <w:r>
        <w:rPr>
          <w:rFonts w:hint="default" w:ascii="Arial" w:hAnsi="Arial" w:cs="Arial"/>
          <w:sz w:val="22"/>
          <w:szCs w:val="22"/>
        </w:rPr>
        <w:t>Os casos omissos serão decididos pel</w:t>
      </w:r>
      <w:r>
        <w:rPr>
          <w:rFonts w:hint="default" w:ascii="Arial" w:hAnsi="Arial" w:cs="Arial"/>
          <w:sz w:val="22"/>
          <w:szCs w:val="22"/>
          <w:lang w:val="pt-BR"/>
        </w:rPr>
        <w:t>a</w:t>
      </w:r>
      <w:r>
        <w:rPr>
          <w:rFonts w:hint="default" w:ascii="Arial" w:hAnsi="Arial" w:cs="Arial"/>
          <w:sz w:val="22"/>
          <w:szCs w:val="22"/>
        </w:rPr>
        <w:t xml:space="preserve"> </w:t>
      </w:r>
      <w:r>
        <w:rPr>
          <w:rFonts w:hint="default" w:ascii="Arial" w:hAnsi="Arial" w:cs="Arial"/>
          <w:sz w:val="22"/>
          <w:szCs w:val="22"/>
          <w:lang w:val="pt-BR"/>
        </w:rPr>
        <w:t>C</w:t>
      </w:r>
      <w:r>
        <w:rPr>
          <w:rFonts w:hint="default" w:ascii="Arial" w:hAnsi="Arial" w:cs="Arial"/>
          <w:sz w:val="22"/>
          <w:szCs w:val="22"/>
        </w:rPr>
        <w:t xml:space="preserve">ontratante, segundo as disposições contidas na Lei </w:t>
      </w:r>
      <w:r>
        <w:rPr>
          <w:rFonts w:hint="default" w:ascii="Arial" w:hAnsi="Arial" w:cs="Arial"/>
          <w:sz w:val="22"/>
          <w:szCs w:val="22"/>
          <w:lang w:val="pt-BR"/>
        </w:rPr>
        <w:t xml:space="preserve">Federal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w:instrText>
      </w:r>
      <w:r>
        <w:rPr>
          <w:rFonts w:hint="default" w:ascii="Arial" w:hAnsi="Arial" w:cs="Arial"/>
          <w:color w:val="auto"/>
          <w:sz w:val="22"/>
          <w:szCs w:val="22"/>
          <w:u w:val="none"/>
        </w:rPr>
        <w:fldChar w:fldCharType="separate"/>
      </w:r>
      <w:r>
        <w:rPr>
          <w:rStyle w:val="15"/>
          <w:rFonts w:hint="default" w:ascii="Arial" w:hAnsi="Arial" w:cs="Arial"/>
          <w:color w:val="auto"/>
          <w:sz w:val="22"/>
          <w:szCs w:val="22"/>
          <w:u w:val="none"/>
        </w:rPr>
        <w:t>nº 14.133</w:t>
      </w:r>
      <w:r>
        <w:rPr>
          <w:rStyle w:val="15"/>
          <w:rFonts w:hint="default" w:ascii="Arial" w:hAnsi="Arial" w:cs="Arial"/>
          <w:color w:val="auto"/>
          <w:sz w:val="22"/>
          <w:szCs w:val="22"/>
          <w:u w:val="none"/>
          <w:lang w:val="pt-BR"/>
        </w:rPr>
        <w:t>/</w:t>
      </w:r>
      <w:r>
        <w:rPr>
          <w:rStyle w:val="15"/>
          <w:rFonts w:hint="default" w:ascii="Arial" w:hAnsi="Arial" w:cs="Arial"/>
          <w:color w:val="auto"/>
          <w:sz w:val="22"/>
          <w:szCs w:val="22"/>
          <w:u w:val="none"/>
        </w:rPr>
        <w:t>2021</w:t>
      </w:r>
      <w:r>
        <w:rPr>
          <w:rStyle w:val="15"/>
          <w:rFonts w:hint="default" w:ascii="Arial" w:hAnsi="Arial" w:cs="Arial"/>
          <w:color w:val="auto"/>
          <w:sz w:val="22"/>
          <w:szCs w:val="22"/>
          <w:u w:val="none"/>
        </w:rPr>
        <w:fldChar w:fldCharType="end"/>
      </w:r>
      <w:r>
        <w:rPr>
          <w:rFonts w:hint="default" w:ascii="Arial" w:hAnsi="Arial" w:cs="Arial"/>
          <w:color w:val="auto"/>
          <w:sz w:val="22"/>
          <w:szCs w:val="22"/>
          <w:u w:val="none"/>
        </w:rPr>
        <w:t xml:space="preserve">, e demais normas federais aplicáveis e, subsidiariamente, segundo as disposições contidas na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"https://www.planalto.gov.br/ccivil_03/leis/l8078compilado.htm" </w:instrText>
      </w:r>
      <w:r>
        <w:rPr>
          <w:rFonts w:hint="default" w:ascii="Arial" w:hAnsi="Arial" w:cs="Arial"/>
          <w:color w:val="auto"/>
          <w:sz w:val="22"/>
          <w:szCs w:val="22"/>
          <w:u w:val="none"/>
        </w:rPr>
        <w:fldChar w:fldCharType="separate"/>
      </w:r>
      <w:r>
        <w:rPr>
          <w:rStyle w:val="15"/>
          <w:rFonts w:hint="default" w:ascii="Arial" w:hAnsi="Arial" w:cs="Arial"/>
          <w:color w:val="auto"/>
          <w:sz w:val="22"/>
          <w:szCs w:val="22"/>
          <w:u w:val="none"/>
        </w:rPr>
        <w:t xml:space="preserve">Lei </w:t>
      </w:r>
      <w:r>
        <w:rPr>
          <w:rStyle w:val="15"/>
          <w:rFonts w:hint="default" w:ascii="Arial" w:hAnsi="Arial" w:cs="Arial"/>
          <w:color w:val="auto"/>
          <w:sz w:val="22"/>
          <w:szCs w:val="22"/>
          <w:u w:val="none"/>
          <w:lang w:val="pt-BR"/>
        </w:rPr>
        <w:t xml:space="preserve">Federal </w:t>
      </w:r>
      <w:r>
        <w:rPr>
          <w:rStyle w:val="15"/>
          <w:rFonts w:hint="default" w:ascii="Arial" w:hAnsi="Arial" w:cs="Arial"/>
          <w:color w:val="auto"/>
          <w:sz w:val="22"/>
          <w:szCs w:val="22"/>
          <w:u w:val="none"/>
        </w:rPr>
        <w:t>nº 8.078</w:t>
      </w:r>
      <w:r>
        <w:rPr>
          <w:rStyle w:val="15"/>
          <w:rFonts w:hint="default" w:ascii="Arial" w:hAnsi="Arial" w:cs="Arial"/>
          <w:color w:val="auto"/>
          <w:sz w:val="22"/>
          <w:szCs w:val="22"/>
          <w:u w:val="none"/>
          <w:lang w:val="pt-BR"/>
        </w:rPr>
        <w:t>/</w:t>
      </w:r>
      <w:r>
        <w:rPr>
          <w:rStyle w:val="15"/>
          <w:rFonts w:hint="default" w:ascii="Arial" w:hAnsi="Arial" w:cs="Arial"/>
          <w:color w:val="auto"/>
          <w:sz w:val="22"/>
          <w:szCs w:val="22"/>
          <w:u w:val="none"/>
        </w:rPr>
        <w:t>1990 – Código de Defesa do Consumidor</w:t>
      </w:r>
      <w:r>
        <w:rPr>
          <w:rStyle w:val="15"/>
          <w:rFonts w:hint="default" w:ascii="Arial" w:hAnsi="Arial" w:cs="Arial"/>
          <w:color w:val="auto"/>
          <w:sz w:val="22"/>
          <w:szCs w:val="22"/>
          <w:u w:val="none"/>
        </w:rPr>
        <w:fldChar w:fldCharType="end"/>
      </w:r>
      <w:r>
        <w:rPr>
          <w:rFonts w:hint="default" w:ascii="Arial" w:hAnsi="Arial" w:cs="Arial"/>
          <w:color w:val="auto"/>
          <w:sz w:val="22"/>
          <w:szCs w:val="22"/>
          <w:u w:val="none"/>
        </w:rPr>
        <w:t xml:space="preserve"> – e</w:t>
      </w:r>
      <w:r>
        <w:rPr>
          <w:rFonts w:hint="default" w:ascii="Arial" w:hAnsi="Arial" w:cs="Arial"/>
          <w:color w:val="auto"/>
          <w:sz w:val="22"/>
          <w:szCs w:val="22"/>
          <w:u w:val="none"/>
          <w:lang w:val="pt-BR"/>
        </w:rPr>
        <w:t xml:space="preserve"> nas</w:t>
      </w:r>
      <w:r>
        <w:rPr>
          <w:rFonts w:hint="default" w:ascii="Arial" w:hAnsi="Arial" w:cs="Arial"/>
          <w:color w:val="auto"/>
          <w:sz w:val="22"/>
          <w:szCs w:val="22"/>
          <w:u w:val="none"/>
        </w:rPr>
        <w:t xml:space="preserve"> normas e </w:t>
      </w:r>
      <w:r>
        <w:rPr>
          <w:rFonts w:hint="default" w:ascii="Arial" w:hAnsi="Arial" w:cs="Arial"/>
          <w:color w:val="auto"/>
          <w:sz w:val="22"/>
          <w:szCs w:val="22"/>
          <w:u w:val="none"/>
          <w:lang w:val="pt-BR"/>
        </w:rPr>
        <w:t>nos P</w:t>
      </w:r>
      <w:r>
        <w:rPr>
          <w:rFonts w:hint="default" w:ascii="Arial" w:hAnsi="Arial" w:cs="Arial"/>
          <w:color w:val="auto"/>
          <w:sz w:val="22"/>
          <w:szCs w:val="22"/>
          <w:u w:val="none"/>
        </w:rPr>
        <w:t xml:space="preserve">rincípios </w:t>
      </w:r>
      <w:r>
        <w:rPr>
          <w:rFonts w:hint="default" w:ascii="Arial" w:hAnsi="Arial" w:cs="Arial"/>
          <w:color w:val="auto"/>
          <w:sz w:val="22"/>
          <w:szCs w:val="22"/>
          <w:u w:val="none"/>
          <w:lang w:val="pt-BR"/>
        </w:rPr>
        <w:t>G</w:t>
      </w:r>
      <w:r>
        <w:rPr>
          <w:rFonts w:hint="default" w:ascii="Arial" w:hAnsi="Arial" w:cs="Arial"/>
          <w:color w:val="auto"/>
          <w:sz w:val="22"/>
          <w:szCs w:val="22"/>
          <w:u w:val="none"/>
        </w:rPr>
        <w:t xml:space="preserve">erais dos </w:t>
      </w:r>
      <w:r>
        <w:rPr>
          <w:rFonts w:hint="default" w:ascii="Arial" w:hAnsi="Arial" w:cs="Arial"/>
          <w:color w:val="auto"/>
          <w:sz w:val="22"/>
          <w:szCs w:val="22"/>
          <w:u w:val="none"/>
          <w:lang w:val="pt-BR"/>
        </w:rPr>
        <w:t>C</w:t>
      </w:r>
      <w:r>
        <w:rPr>
          <w:rFonts w:hint="default" w:ascii="Arial" w:hAnsi="Arial" w:cs="Arial"/>
          <w:color w:val="auto"/>
          <w:sz w:val="22"/>
          <w:szCs w:val="22"/>
          <w:u w:val="none"/>
        </w:rPr>
        <w:t>ontratos.</w:t>
      </w:r>
    </w:p>
    <w:p w14:paraId="5952324F">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00" w:beforeAutospacing="1" w:after="100" w:afterAutospacing="1" w:line="360" w:lineRule="auto"/>
        <w:jc w:val="both"/>
        <w:rPr>
          <w:rFonts w:hint="default" w:ascii="Arial" w:hAnsi="Arial" w:eastAsia="Calibri" w:cs="Arial"/>
          <w:kern w:val="1"/>
          <w:sz w:val="22"/>
          <w:szCs w:val="22"/>
          <w:lang w:eastAsia="ar-SA"/>
        </w:rPr>
      </w:pPr>
      <w:r>
        <w:rPr>
          <w:rFonts w:hint="default" w:ascii="Arial" w:hAnsi="Arial" w:eastAsia="Calibri" w:cs="Arial"/>
          <w:b/>
          <w:kern w:val="1"/>
          <w:sz w:val="22"/>
          <w:szCs w:val="22"/>
          <w:lang w:eastAsia="ar-SA"/>
        </w:rPr>
        <w:t>1</w:t>
      </w:r>
      <w:r>
        <w:rPr>
          <w:rFonts w:hint="default" w:ascii="Arial" w:hAnsi="Arial" w:eastAsia="Calibri" w:cs="Arial"/>
          <w:b/>
          <w:kern w:val="1"/>
          <w:sz w:val="22"/>
          <w:szCs w:val="22"/>
          <w:lang w:val="pt-BR" w:eastAsia="ar-SA"/>
        </w:rPr>
        <w:t>2</w:t>
      </w:r>
      <w:r>
        <w:rPr>
          <w:rFonts w:hint="default" w:ascii="Arial" w:hAnsi="Arial" w:eastAsia="Calibri" w:cs="Arial"/>
          <w:b/>
          <w:kern w:val="1"/>
          <w:sz w:val="22"/>
          <w:szCs w:val="22"/>
          <w:lang w:eastAsia="ar-SA"/>
        </w:rPr>
        <w:t>.2</w:t>
      </w:r>
      <w:r>
        <w:rPr>
          <w:rFonts w:hint="default" w:ascii="Arial" w:hAnsi="Arial" w:eastAsia="Calibri" w:cs="Arial"/>
          <w:kern w:val="1"/>
          <w:sz w:val="22"/>
          <w:szCs w:val="22"/>
          <w:lang w:eastAsia="ar-SA"/>
        </w:rPr>
        <w:t>. A abstenção por parte d</w:t>
      </w:r>
      <w:r>
        <w:rPr>
          <w:rFonts w:hint="default" w:ascii="Arial" w:hAnsi="Arial" w:eastAsia="Calibri" w:cs="Arial"/>
          <w:kern w:val="1"/>
          <w:sz w:val="22"/>
          <w:szCs w:val="22"/>
          <w:lang w:val="pt-BR" w:eastAsia="ar-SA"/>
        </w:rPr>
        <w:t>a</w:t>
      </w:r>
      <w:r>
        <w:rPr>
          <w:rFonts w:hint="default" w:ascii="Arial" w:hAnsi="Arial" w:eastAsia="Calibri" w:cs="Arial"/>
          <w:kern w:val="1"/>
          <w:sz w:val="22"/>
          <w:szCs w:val="22"/>
          <w:lang w:eastAsia="ar-SA"/>
        </w:rPr>
        <w:t xml:space="preserve"> Contratante da utilização de quaisquer direitos ou faculdades que lhe assistam, em razão deste Contrato ou de leis, não importará em renúncia destes mesmos direitos ou faculdades, que poderão ser exercidos a qualquer tempo, a seu exclusivo juízo, sem gerar precedendo invocável.</w:t>
      </w:r>
    </w:p>
    <w:p w14:paraId="769949E5">
      <w:pPr>
        <w:suppressAutoHyphens/>
        <w:spacing w:before="100" w:beforeAutospacing="1" w:after="100" w:afterAutospacing="1" w:line="360" w:lineRule="auto"/>
        <w:jc w:val="both"/>
        <w:rPr>
          <w:rFonts w:hint="default" w:ascii="Arial" w:hAnsi="Arial" w:cs="Arial"/>
          <w:kern w:val="1"/>
          <w:sz w:val="22"/>
          <w:szCs w:val="22"/>
          <w:lang w:eastAsia="ar-SA"/>
        </w:rPr>
      </w:pPr>
      <w:r>
        <w:rPr>
          <w:rFonts w:hint="default" w:ascii="Arial" w:hAnsi="Arial" w:cs="Arial"/>
          <w:b/>
          <w:kern w:val="1"/>
          <w:sz w:val="22"/>
          <w:szCs w:val="22"/>
          <w:lang w:eastAsia="ar-SA"/>
        </w:rPr>
        <w:t>1</w:t>
      </w:r>
      <w:r>
        <w:rPr>
          <w:rFonts w:hint="default" w:ascii="Arial" w:hAnsi="Arial" w:cs="Arial"/>
          <w:b/>
          <w:kern w:val="1"/>
          <w:sz w:val="22"/>
          <w:szCs w:val="22"/>
          <w:lang w:val="pt-BR" w:eastAsia="ar-SA"/>
        </w:rPr>
        <w:t>2</w:t>
      </w:r>
      <w:r>
        <w:rPr>
          <w:rFonts w:hint="default" w:ascii="Arial" w:hAnsi="Arial" w:cs="Arial"/>
          <w:b/>
          <w:kern w:val="1"/>
          <w:sz w:val="22"/>
          <w:szCs w:val="22"/>
          <w:lang w:eastAsia="ar-SA"/>
        </w:rPr>
        <w:t>.3.</w:t>
      </w:r>
      <w:r>
        <w:rPr>
          <w:rFonts w:hint="default" w:ascii="Arial" w:hAnsi="Arial" w:cs="Arial"/>
          <w:kern w:val="1"/>
          <w:sz w:val="22"/>
          <w:szCs w:val="22"/>
          <w:lang w:eastAsia="ar-SA"/>
        </w:rPr>
        <w:t xml:space="preserve"> O </w:t>
      </w:r>
      <w:r>
        <w:rPr>
          <w:rFonts w:hint="default" w:ascii="Arial" w:hAnsi="Arial" w:cs="Arial"/>
          <w:kern w:val="1"/>
          <w:sz w:val="22"/>
          <w:szCs w:val="22"/>
          <w:lang w:val="pt-BR" w:eastAsia="ar-SA"/>
        </w:rPr>
        <w:t>p</w:t>
      </w:r>
      <w:r>
        <w:rPr>
          <w:rFonts w:hint="default" w:ascii="Arial" w:hAnsi="Arial" w:cs="Arial"/>
          <w:kern w:val="1"/>
          <w:sz w:val="22"/>
          <w:szCs w:val="22"/>
          <w:lang w:eastAsia="ar-SA"/>
        </w:rPr>
        <w:t xml:space="preserve">resente Contrato regula-se pelas suas cláusulas e pelos preceitos do Direito Público, aplicando-se, supletivamente, os princípios da Teoria Geral dos Contratos e as disposições do Direito privado, obrigando as partes ao seu fiel cumprimento e, em especial, ao das normas da Lei Federal nº </w:t>
      </w:r>
      <w:r>
        <w:rPr>
          <w:rFonts w:hint="default" w:ascii="Arial" w:hAnsi="Arial" w:cs="Arial"/>
          <w:kern w:val="1"/>
          <w:sz w:val="22"/>
          <w:szCs w:val="22"/>
          <w:lang w:val="pt-BR" w:eastAsia="ar-SA"/>
        </w:rPr>
        <w:t>14.133/2021</w:t>
      </w:r>
      <w:r>
        <w:rPr>
          <w:rFonts w:hint="default" w:ascii="Arial" w:hAnsi="Arial" w:cs="Arial"/>
          <w:kern w:val="1"/>
          <w:sz w:val="22"/>
          <w:szCs w:val="22"/>
          <w:lang w:eastAsia="ar-SA"/>
        </w:rPr>
        <w:t>, respondendo cada uma pelas consequências de sua inexecução total ou parcial.</w:t>
      </w:r>
    </w:p>
    <w:p w14:paraId="08891893">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color w:val="000000"/>
          <w:sz w:val="22"/>
          <w:szCs w:val="22"/>
        </w:rPr>
      </w:pPr>
      <w:r>
        <w:rPr>
          <w:rFonts w:ascii="Arial" w:hAnsi="Arial" w:cs="Arial"/>
          <w:b/>
          <w:color w:val="000000"/>
          <w:sz w:val="22"/>
          <w:szCs w:val="22"/>
        </w:rPr>
        <w:t xml:space="preserve">Cláusula Décima Terceira </w:t>
      </w:r>
    </w:p>
    <w:p w14:paraId="1CFEDA0B">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color w:val="000000"/>
          <w:sz w:val="22"/>
          <w:szCs w:val="22"/>
        </w:rPr>
      </w:pPr>
      <w:r>
        <w:rPr>
          <w:rFonts w:ascii="Arial" w:hAnsi="Arial" w:cs="Arial"/>
          <w:b/>
          <w:color w:val="000000"/>
          <w:sz w:val="22"/>
          <w:szCs w:val="22"/>
        </w:rPr>
        <w:t xml:space="preserve"> DA FISCALIZAÇÃO</w:t>
      </w:r>
    </w:p>
    <w:p w14:paraId="33792786">
      <w:pPr>
        <w:spacing w:line="360" w:lineRule="auto"/>
        <w:ind w:right="48" w:rightChars="20"/>
        <w:jc w:val="both"/>
        <w:rPr>
          <w:rFonts w:hint="default" w:ascii="Arial" w:hAnsi="Arial" w:cs="Arial"/>
          <w:b/>
          <w:sz w:val="22"/>
          <w:szCs w:val="22"/>
          <w:highlight w:val="none"/>
        </w:rPr>
      </w:pPr>
      <w:r>
        <w:rPr>
          <w:rFonts w:hint="default" w:ascii="Arial" w:hAnsi="Arial" w:cs="Arial"/>
          <w:b/>
          <w:bCs/>
          <w:sz w:val="22"/>
          <w:szCs w:val="22"/>
          <w:highlight w:val="none"/>
          <w:lang w:val="pt-BR"/>
        </w:rPr>
        <w:t>13.1</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w:t>
      </w:r>
      <w:r>
        <w:rPr>
          <w:rFonts w:hint="default" w:ascii="Arial" w:hAnsi="Arial" w:cs="Arial"/>
          <w:sz w:val="22"/>
          <w:szCs w:val="22"/>
          <w:highlight w:val="none"/>
          <w:lang w:val="pt-BR"/>
        </w:rPr>
        <w:t xml:space="preserve">do </w:t>
      </w:r>
      <w:r>
        <w:rPr>
          <w:rFonts w:hint="default" w:ascii="Arial" w:hAnsi="Arial" w:cs="Arial"/>
          <w:color w:val="auto"/>
          <w:sz w:val="22"/>
          <w:szCs w:val="22"/>
          <w:highlight w:val="none"/>
        </w:rPr>
        <w:t xml:space="preserve"> </w:t>
      </w:r>
      <w:r>
        <w:rPr>
          <w:rFonts w:hint="default" w:ascii="Arial" w:hAnsi="Arial" w:cs="Arial"/>
          <w:i w:val="0"/>
          <w:iCs w:val="0"/>
          <w:caps w:val="0"/>
          <w:color w:val="auto"/>
          <w:spacing w:val="0"/>
          <w:sz w:val="22"/>
          <w:szCs w:val="22"/>
          <w:highlight w:val="none"/>
        </w:rPr>
        <w:t>Art. 117</w:t>
      </w:r>
      <w:r>
        <w:rPr>
          <w:rFonts w:hint="default" w:ascii="Arial" w:hAnsi="Arial" w:cs="Arial"/>
          <w:i w:val="0"/>
          <w:iCs w:val="0"/>
          <w:caps w:val="0"/>
          <w:color w:val="auto"/>
          <w:spacing w:val="0"/>
          <w:sz w:val="22"/>
          <w:szCs w:val="22"/>
          <w:highlight w:val="none"/>
          <w:lang w:val="pt-BR"/>
        </w:rPr>
        <w:t xml:space="preserve"> da lei 14.133/2021</w:t>
      </w:r>
      <w:r>
        <w:rPr>
          <w:rFonts w:hint="default" w:ascii="Arial" w:hAnsi="Arial" w:cs="Arial"/>
          <w:sz w:val="22"/>
          <w:szCs w:val="22"/>
          <w:highlight w:val="none"/>
        </w:rPr>
        <w:t>;</w:t>
      </w:r>
    </w:p>
    <w:p w14:paraId="373F7856">
      <w:pPr>
        <w:pStyle w:val="128"/>
        <w:numPr>
          <w:ilvl w:val="0"/>
          <w:numId w:val="0"/>
        </w:numPr>
        <w:spacing w:line="360" w:lineRule="auto"/>
        <w:ind w:leftChars="0" w:right="0" w:rightChars="0"/>
        <w:contextualSpacing w:val="0"/>
        <w:jc w:val="both"/>
        <w:rPr>
          <w:rFonts w:hint="default" w:ascii="Arial" w:hAnsi="Arial" w:cs="Arial"/>
          <w:color w:val="000000"/>
          <w:sz w:val="22"/>
          <w:szCs w:val="22"/>
          <w:highlight w:val="none"/>
        </w:rPr>
      </w:pPr>
      <w:r>
        <w:rPr>
          <w:rFonts w:hint="default" w:ascii="Arial" w:hAnsi="Arial" w:cs="Arial"/>
          <w:b/>
          <w:bCs/>
          <w:sz w:val="22"/>
          <w:szCs w:val="22"/>
          <w:highlight w:val="none"/>
          <w:lang w:val="pt-BR"/>
        </w:rPr>
        <w:t>13.2</w:t>
      </w:r>
      <w:r>
        <w:rPr>
          <w:rFonts w:hint="default" w:ascii="Arial" w:hAnsi="Arial" w:cs="Arial"/>
          <w:sz w:val="22"/>
          <w:szCs w:val="22"/>
          <w:highlight w:val="none"/>
          <w:lang w:val="pt-BR"/>
        </w:rPr>
        <w:t xml:space="preserve"> </w:t>
      </w:r>
      <w:r>
        <w:rPr>
          <w:rFonts w:hint="default" w:ascii="Arial" w:hAnsi="Arial" w:cs="Arial"/>
          <w:sz w:val="22"/>
          <w:szCs w:val="22"/>
          <w:highlight w:val="none"/>
        </w:rPr>
        <w:t>O representante da CONTRATANTE deverá ter a qualificação necessária para o acompanhamento e controle da execução dos serviços e do contrato;</w:t>
      </w:r>
    </w:p>
    <w:p w14:paraId="27E89AFB">
      <w:pPr>
        <w:pStyle w:val="128"/>
        <w:numPr>
          <w:ilvl w:val="0"/>
          <w:numId w:val="0"/>
        </w:numPr>
        <w:spacing w:line="360" w:lineRule="auto"/>
        <w:ind w:leftChars="0" w:right="0" w:rightChars="0"/>
        <w:contextualSpacing w:val="0"/>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13.3 </w:t>
      </w:r>
      <w:r>
        <w:rPr>
          <w:rFonts w:hint="default" w:ascii="Arial" w:hAnsi="Arial" w:cs="Arial"/>
          <w:sz w:val="22"/>
          <w:szCs w:val="22"/>
          <w:highlight w:val="none"/>
        </w:rPr>
        <w:t>A verificação da adequação da prestação do serviço deverá ser realizada com base nos critérios previstos neste Termo de Referência;</w:t>
      </w:r>
    </w:p>
    <w:p w14:paraId="27AF8F1E">
      <w:pPr>
        <w:pStyle w:val="128"/>
        <w:numPr>
          <w:ilvl w:val="0"/>
          <w:numId w:val="0"/>
        </w:numPr>
        <w:spacing w:line="360" w:lineRule="auto"/>
        <w:ind w:leftChars="0" w:right="0" w:rightChars="0"/>
        <w:contextualSpacing w:val="0"/>
        <w:jc w:val="both"/>
        <w:rPr>
          <w:rFonts w:hint="default" w:ascii="Arial" w:hAnsi="Arial" w:cs="Arial"/>
          <w:sz w:val="22"/>
          <w:szCs w:val="22"/>
          <w:highlight w:val="none"/>
          <w:lang w:val="pt-BR"/>
        </w:rPr>
      </w:pPr>
      <w:r>
        <w:rPr>
          <w:rFonts w:hint="default" w:ascii="Arial" w:hAnsi="Arial" w:cs="Arial"/>
          <w:b/>
          <w:bCs/>
          <w:sz w:val="22"/>
          <w:szCs w:val="22"/>
          <w:highlight w:val="none"/>
          <w:lang w:val="pt-BR"/>
        </w:rPr>
        <w:t>13.4</w:t>
      </w:r>
      <w:r>
        <w:rPr>
          <w:rFonts w:hint="default" w:ascii="Arial" w:hAnsi="Arial" w:cs="Arial"/>
          <w:sz w:val="22"/>
          <w:szCs w:val="22"/>
          <w:highlight w:val="none"/>
          <w:lang w:val="pt-BR"/>
        </w:rPr>
        <w:t xml:space="preserve"> </w:t>
      </w:r>
      <w:r>
        <w:rPr>
          <w:rFonts w:hint="default" w:ascii="Arial" w:hAnsi="Arial" w:cs="Arial"/>
          <w:sz w:val="22"/>
          <w:szCs w:val="22"/>
        </w:rPr>
        <w:t>A conformidade do material a ser utilizado na execução dos serviços deverá ser verificada juntamente com a Contratada que contenha a relação detalhada dos mesmos, de acordo com o estabelecido neste Termo de Referência e na proposta, informando as respectivas quantidades e especificações técnicas, tais como: marca, qualidade e forma de uso.</w:t>
      </w:r>
    </w:p>
    <w:p w14:paraId="606401E1">
      <w:pPr>
        <w:pStyle w:val="128"/>
        <w:numPr>
          <w:ilvl w:val="0"/>
          <w:numId w:val="0"/>
        </w:numPr>
        <w:spacing w:line="360" w:lineRule="auto"/>
        <w:ind w:leftChars="0" w:right="0" w:rightChars="0"/>
        <w:contextualSpacing w:val="0"/>
        <w:jc w:val="both"/>
        <w:rPr>
          <w:rFonts w:hint="default" w:ascii="Arial" w:hAnsi="Arial" w:cs="Arial"/>
          <w:sz w:val="22"/>
          <w:szCs w:val="22"/>
          <w:highlight w:val="none"/>
        </w:rPr>
      </w:pPr>
      <w:r>
        <w:rPr>
          <w:rFonts w:hint="default" w:ascii="Arial" w:hAnsi="Arial" w:cs="Arial"/>
          <w:b/>
          <w:bCs/>
          <w:sz w:val="22"/>
          <w:szCs w:val="22"/>
          <w:highlight w:val="none"/>
          <w:lang w:val="pt-BR"/>
        </w:rPr>
        <w:t>13.5</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O representante da Contratante deverá promover o registro das ocorrências verificadas, adotando as providências necessárias ao fiel cumprimento das cláusulas contratuais, conforme o disposto </w:t>
      </w:r>
      <w:r>
        <w:rPr>
          <w:rFonts w:hint="default" w:ascii="Arial" w:hAnsi="Arial" w:cs="Arial"/>
          <w:sz w:val="22"/>
          <w:szCs w:val="22"/>
          <w:highlight w:val="none"/>
          <w:lang w:val="pt-BR"/>
        </w:rPr>
        <w:t>nos §§ 1° e 2º do art. 117 da Lei nº 14.133/2021</w:t>
      </w:r>
      <w:r>
        <w:rPr>
          <w:rFonts w:hint="default" w:ascii="Arial" w:hAnsi="Arial" w:cs="Arial"/>
          <w:sz w:val="22"/>
          <w:szCs w:val="22"/>
          <w:highlight w:val="none"/>
        </w:rPr>
        <w:t>;</w:t>
      </w:r>
    </w:p>
    <w:p w14:paraId="006E5B29">
      <w:pPr>
        <w:pStyle w:val="128"/>
        <w:numPr>
          <w:ilvl w:val="0"/>
          <w:numId w:val="0"/>
        </w:numPr>
        <w:spacing w:line="360" w:lineRule="auto"/>
        <w:ind w:leftChars="0" w:right="0" w:rightChars="0"/>
        <w:contextualSpacing w:val="0"/>
        <w:jc w:val="both"/>
        <w:rPr>
          <w:rFonts w:hint="default" w:ascii="Arial" w:hAnsi="Arial" w:cs="Arial"/>
          <w:sz w:val="22"/>
          <w:szCs w:val="22"/>
          <w:highlight w:val="none"/>
        </w:rPr>
      </w:pPr>
      <w:r>
        <w:rPr>
          <w:rFonts w:hint="default" w:ascii="Arial" w:hAnsi="Arial" w:cs="Arial"/>
          <w:b/>
          <w:bCs/>
          <w:sz w:val="22"/>
          <w:szCs w:val="22"/>
          <w:highlight w:val="none"/>
          <w:lang w:val="pt-BR"/>
        </w:rPr>
        <w:t>13.6</w:t>
      </w:r>
      <w:r>
        <w:rPr>
          <w:rFonts w:hint="default" w:ascii="Arial" w:hAnsi="Arial" w:cs="Arial"/>
          <w:sz w:val="22"/>
          <w:szCs w:val="22"/>
          <w:highlight w:val="none"/>
          <w:lang w:val="pt-BR"/>
        </w:rPr>
        <w:t xml:space="preserve"> </w:t>
      </w:r>
      <w:r>
        <w:rPr>
          <w:rFonts w:hint="default" w:ascii="Arial" w:hAnsi="Arial" w:cs="Arial"/>
          <w:sz w:val="22"/>
          <w:szCs w:val="22"/>
          <w:highlight w:val="none"/>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w:t>
      </w:r>
      <w:r>
        <w:rPr>
          <w:rFonts w:hint="default" w:ascii="Arial" w:hAnsi="Arial" w:cs="Arial"/>
          <w:sz w:val="22"/>
          <w:szCs w:val="22"/>
          <w:highlight w:val="none"/>
          <w:lang w:val="pt-BR"/>
        </w:rPr>
        <w:t xml:space="preserve"> inferior e, na ocorrência desta, não implica em corresponsabilidade da CONTRATANTE ou de seus agentes e prepostos, de conformidade com o art. 120 da Lei nº 14.133/2021.</w:t>
      </w:r>
    </w:p>
    <w:p w14:paraId="4871AD6F">
      <w:pPr>
        <w:pStyle w:val="128"/>
        <w:numPr>
          <w:ilvl w:val="0"/>
          <w:numId w:val="0"/>
        </w:numPr>
        <w:spacing w:line="360" w:lineRule="auto"/>
        <w:ind w:leftChars="0" w:right="0" w:rightChars="0"/>
        <w:contextualSpacing w:val="0"/>
        <w:jc w:val="both"/>
        <w:rPr>
          <w:rFonts w:hint="default" w:ascii="Arial" w:hAnsi="Arial" w:cs="Arial"/>
          <w:sz w:val="22"/>
          <w:szCs w:val="22"/>
          <w:highlight w:val="none"/>
        </w:rPr>
      </w:pPr>
      <w:r>
        <w:rPr>
          <w:rFonts w:hint="default" w:ascii="Arial" w:hAnsi="Arial" w:cs="Arial"/>
          <w:b/>
          <w:bCs/>
          <w:color w:val="000000"/>
          <w:sz w:val="22"/>
          <w:szCs w:val="22"/>
          <w:highlight w:val="none"/>
          <w:lang w:val="pt-BR"/>
        </w:rPr>
        <w:t>13.7</w:t>
      </w:r>
      <w:r>
        <w:rPr>
          <w:rFonts w:hint="default" w:ascii="Arial" w:hAnsi="Arial" w:cs="Arial"/>
          <w:color w:val="000000"/>
          <w:sz w:val="22"/>
          <w:szCs w:val="22"/>
          <w:highlight w:val="none"/>
          <w:lang w:val="pt-BR"/>
        </w:rPr>
        <w:t xml:space="preserve"> </w:t>
      </w:r>
      <w:r>
        <w:rPr>
          <w:rFonts w:hint="default" w:ascii="Arial" w:hAnsi="Arial" w:cs="Arial"/>
          <w:sz w:val="22"/>
          <w:szCs w:val="22"/>
          <w:highlight w:val="none"/>
        </w:rPr>
        <w:t>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p>
    <w:p w14:paraId="3AC92E76">
      <w:pPr>
        <w:pStyle w:val="154"/>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highlight w:val="none"/>
          <w:lang w:val="pt-BR"/>
        </w:rPr>
        <w:t xml:space="preserve">13.8 </w:t>
      </w:r>
      <w:r>
        <w:rPr>
          <w:rFonts w:hint="default" w:ascii="Arial" w:hAnsi="Arial" w:cs="Arial"/>
          <w:sz w:val="22"/>
          <w:szCs w:val="22"/>
          <w:lang w:val="pt-BR"/>
        </w:rPr>
        <w:t xml:space="preserve">A </w:t>
      </w:r>
      <w:r>
        <w:rPr>
          <w:rFonts w:hint="default" w:ascii="Arial" w:hAnsi="Arial" w:cs="Arial"/>
          <w:sz w:val="22"/>
          <w:szCs w:val="22"/>
        </w:rPr>
        <w:t>gestão e acompanhamento da entrega do objeto serão feitos pela Secretaria Municipal solicitante, através do servidor responsável pelo recebimento do mesmo, bem como o Termo de Aceite e posterior atesto em Nota Fiscal que será remetida para pagamento.</w:t>
      </w:r>
    </w:p>
    <w:p w14:paraId="4FA0ABF8">
      <w:pPr>
        <w:pStyle w:val="154"/>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 xml:space="preserve">13.9 </w:t>
      </w:r>
      <w:r>
        <w:rPr>
          <w:rFonts w:hint="default" w:ascii="Arial" w:hAnsi="Arial" w:cs="Arial"/>
          <w:sz w:val="22"/>
          <w:szCs w:val="22"/>
          <w:lang w:val="pt-BR"/>
        </w:rPr>
        <w:t xml:space="preserve">A </w:t>
      </w:r>
      <w:r>
        <w:rPr>
          <w:rFonts w:hint="default" w:ascii="Arial" w:hAnsi="Arial" w:cs="Arial"/>
          <w:sz w:val="22"/>
          <w:szCs w:val="22"/>
        </w:rPr>
        <w:t>Contratante deverá monitorar constantemente o nível de qualidade dos serviços para evitar a sua degeneração, devendo intervir para corrigir ou aplicar sanções quando verificar desconformidades da prestação do serviço com a qualidade exigida.</w:t>
      </w:r>
    </w:p>
    <w:p w14:paraId="1D9A1EF5">
      <w:pPr>
        <w:pStyle w:val="154"/>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sz w:val="22"/>
          <w:szCs w:val="22"/>
        </w:rPr>
      </w:pPr>
      <w:r>
        <w:rPr>
          <w:rFonts w:hint="default" w:ascii="Arial" w:hAnsi="Arial" w:cs="Arial"/>
          <w:b/>
          <w:bCs/>
          <w:sz w:val="22"/>
          <w:szCs w:val="22"/>
        </w:rPr>
        <w:t>A fiscalização da execução dos serviços abrange, ainda, as seguintes rotinas:</w:t>
      </w:r>
    </w:p>
    <w:p w14:paraId="26879FC3">
      <w:pPr>
        <w:pStyle w:val="165"/>
        <w:keepNext w:val="0"/>
        <w:keepLines w:val="0"/>
        <w:pageBreakBefore w:val="0"/>
        <w:widowControl/>
        <w:numPr>
          <w:ilvl w:val="0"/>
          <w:numId w:val="0"/>
        </w:numPr>
        <w:tabs>
          <w:tab w:val="left" w:pos="1276"/>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13.10</w:t>
      </w:r>
      <w:r>
        <w:rPr>
          <w:rFonts w:hint="default" w:ascii="Arial" w:hAnsi="Arial" w:cs="Arial"/>
          <w:sz w:val="22"/>
          <w:szCs w:val="22"/>
          <w:lang w:val="pt-BR"/>
        </w:rPr>
        <w:t xml:space="preserve"> </w:t>
      </w:r>
      <w:r>
        <w:rPr>
          <w:rFonts w:hint="default" w:ascii="Arial" w:hAnsi="Arial" w:cs="Arial"/>
          <w:sz w:val="22"/>
          <w:szCs w:val="22"/>
        </w:rPr>
        <w:t>Após a assinatura do contrato, será realizada uma reunião inicial entre a CONTRATANTE e a CONTRATADA com o objetivo de identificar as expectativas, nivelar os entendimentos acerca das condições estabelecidas neste Termo de Referência e no Contrato, e esclarecer possíveis dúvidas acerca da entrega, instalação e configuração do sistema de infraestrutura de alta eficiência e disponibilidade. A CONTRATADA deverá fornecer nesta reunião os seguintes documentos:</w:t>
      </w:r>
    </w:p>
    <w:p w14:paraId="16D628E8">
      <w:pPr>
        <w:pStyle w:val="165"/>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13.10.1</w:t>
      </w:r>
      <w:r>
        <w:rPr>
          <w:rFonts w:hint="default" w:ascii="Arial" w:hAnsi="Arial" w:cs="Arial"/>
          <w:sz w:val="22"/>
          <w:szCs w:val="22"/>
          <w:lang w:val="pt-BR"/>
        </w:rPr>
        <w:t xml:space="preserve"> </w:t>
      </w:r>
      <w:r>
        <w:rPr>
          <w:rFonts w:hint="default" w:ascii="Arial" w:hAnsi="Arial" w:cs="Arial"/>
          <w:sz w:val="22"/>
          <w:szCs w:val="22"/>
        </w:rPr>
        <w:t>Carta de apresentação do Preposto, contendo no mínimo o nome completo e CPF do funcionário da empresa designado para acompanhar a execução do contrato e atuar como interlocutor principal junto à contratante, incumbido de receber, diligenciar, encaminhar e responder as principais questões técnicas, legais e administrativas referentes ao andamento contratual;</w:t>
      </w:r>
    </w:p>
    <w:p w14:paraId="20FA1C55">
      <w:pPr>
        <w:pStyle w:val="165"/>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13.10.2</w:t>
      </w:r>
      <w:r>
        <w:rPr>
          <w:rFonts w:hint="default" w:ascii="Arial" w:hAnsi="Arial" w:cs="Arial"/>
          <w:sz w:val="22"/>
          <w:szCs w:val="22"/>
          <w:lang w:val="pt-BR"/>
        </w:rPr>
        <w:t xml:space="preserve"> </w:t>
      </w:r>
      <w:r>
        <w:rPr>
          <w:rFonts w:hint="default" w:ascii="Arial" w:hAnsi="Arial" w:cs="Arial"/>
          <w:sz w:val="22"/>
          <w:szCs w:val="22"/>
        </w:rPr>
        <w:t>Termo de Manutenção de Ciência da Declaração de Manutenção de Sigilo e das Normas de Segurança Vigentes no Órgão.</w:t>
      </w:r>
    </w:p>
    <w:p w14:paraId="43532F9E">
      <w:pPr>
        <w:pStyle w:val="165"/>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13.10.3</w:t>
      </w:r>
      <w:r>
        <w:rPr>
          <w:rFonts w:hint="default" w:ascii="Arial" w:hAnsi="Arial" w:cs="Arial"/>
          <w:sz w:val="22"/>
          <w:szCs w:val="22"/>
          <w:lang w:val="pt-BR"/>
        </w:rPr>
        <w:t xml:space="preserve"> </w:t>
      </w:r>
      <w:r>
        <w:rPr>
          <w:rFonts w:hint="default" w:ascii="Arial" w:hAnsi="Arial" w:cs="Arial"/>
          <w:sz w:val="22"/>
          <w:szCs w:val="22"/>
        </w:rPr>
        <w:t>Deverão participar principalmente da reunião inicial o Gestor e Fiscal da contratação e o Preposto da CONTRATADA.</w:t>
      </w:r>
    </w:p>
    <w:p w14:paraId="640D3417">
      <w:pPr>
        <w:pStyle w:val="165"/>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13.10.4</w:t>
      </w:r>
      <w:r>
        <w:rPr>
          <w:rFonts w:hint="default" w:ascii="Arial" w:hAnsi="Arial" w:cs="Arial"/>
          <w:sz w:val="22"/>
          <w:szCs w:val="22"/>
          <w:lang w:val="pt-BR"/>
        </w:rPr>
        <w:t xml:space="preserve"> </w:t>
      </w:r>
      <w:r>
        <w:rPr>
          <w:rFonts w:hint="default" w:ascii="Arial" w:hAnsi="Arial" w:cs="Arial"/>
          <w:sz w:val="22"/>
          <w:szCs w:val="22"/>
        </w:rPr>
        <w:t>A ata da reunião inicial contendo o detalhamento das informações e esclarecimentos expostos nesta reunião deverá ser assinado pelos representantes da CONTRATANTE e da CONTRATADA.</w:t>
      </w:r>
    </w:p>
    <w:p w14:paraId="4776CE80">
      <w:pPr>
        <w:pStyle w:val="165"/>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13.10.5</w:t>
      </w:r>
      <w:r>
        <w:rPr>
          <w:rFonts w:hint="default" w:ascii="Arial" w:hAnsi="Arial" w:cs="Arial"/>
          <w:sz w:val="22"/>
          <w:szCs w:val="22"/>
          <w:lang w:val="pt-BR"/>
        </w:rPr>
        <w:t xml:space="preserve"> </w:t>
      </w:r>
      <w:r>
        <w:rPr>
          <w:rFonts w:hint="default" w:ascii="Arial" w:hAnsi="Arial" w:cs="Arial"/>
          <w:sz w:val="22"/>
          <w:szCs w:val="22"/>
        </w:rPr>
        <w:t>As etapas de execução do objeto deste Termo de Referência serão definidas pela CONTRATANTE e serão demandas via Ordem de Serviço pelo Gestor do Contrato ao Preposto da CONTRATADA.</w:t>
      </w:r>
    </w:p>
    <w:p w14:paraId="38443424">
      <w:pPr>
        <w:pStyle w:val="165"/>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13.10.6</w:t>
      </w:r>
      <w:r>
        <w:rPr>
          <w:rFonts w:hint="default" w:ascii="Arial" w:hAnsi="Arial" w:cs="Arial"/>
          <w:sz w:val="22"/>
          <w:szCs w:val="22"/>
          <w:lang w:val="pt-BR"/>
        </w:rPr>
        <w:t xml:space="preserve"> </w:t>
      </w:r>
      <w:r>
        <w:rPr>
          <w:rFonts w:hint="default" w:ascii="Arial" w:hAnsi="Arial" w:cs="Arial"/>
          <w:sz w:val="22"/>
          <w:szCs w:val="22"/>
        </w:rPr>
        <w:t>O transporte dos materiais e equipamentos ofertados deverá ser realizado pela CONTRATADA ou por serviço de transporte especializado, a cargo da CONTRATADA.</w:t>
      </w:r>
    </w:p>
    <w:p w14:paraId="01EEEE9B">
      <w:pPr>
        <w:pStyle w:val="165"/>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13.10.7</w:t>
      </w:r>
      <w:r>
        <w:rPr>
          <w:rFonts w:hint="default" w:ascii="Arial" w:hAnsi="Arial" w:cs="Arial"/>
          <w:sz w:val="22"/>
          <w:szCs w:val="22"/>
          <w:lang w:val="pt-BR"/>
        </w:rPr>
        <w:t xml:space="preserve"> </w:t>
      </w:r>
      <w:r>
        <w:rPr>
          <w:rFonts w:hint="default" w:ascii="Arial" w:hAnsi="Arial" w:cs="Arial"/>
          <w:sz w:val="22"/>
          <w:szCs w:val="22"/>
        </w:rPr>
        <w:t>No momento da entrega de equipamentos o representante da CONTRATANTE receberá os produtos e recolherá uma via da Guia de Transporte ou similar.</w:t>
      </w:r>
    </w:p>
    <w:p w14:paraId="02A09B3F">
      <w:pPr>
        <w:pStyle w:val="165"/>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13.10.8</w:t>
      </w:r>
      <w:r>
        <w:rPr>
          <w:rFonts w:hint="default" w:ascii="Arial" w:hAnsi="Arial" w:cs="Arial"/>
          <w:sz w:val="22"/>
          <w:szCs w:val="22"/>
          <w:lang w:val="pt-BR"/>
        </w:rPr>
        <w:t xml:space="preserve"> </w:t>
      </w:r>
      <w:r>
        <w:rPr>
          <w:rFonts w:hint="default" w:ascii="Arial" w:hAnsi="Arial" w:cs="Arial"/>
          <w:sz w:val="22"/>
          <w:szCs w:val="22"/>
        </w:rPr>
        <w:t>No ato de fornecimento do objeto, a CONTRATADA deverá entregar a seguinte documentação mínima:</w:t>
      </w:r>
    </w:p>
    <w:p w14:paraId="2BA28AE2">
      <w:pPr>
        <w:pStyle w:val="165"/>
        <w:keepNext w:val="0"/>
        <w:keepLines w:val="0"/>
        <w:pageBreakBefore w:val="0"/>
        <w:widowControl/>
        <w:numPr>
          <w:ilvl w:val="0"/>
          <w:numId w:val="14"/>
        </w:numPr>
        <w:tabs>
          <w:tab w:val="clear" w:pos="420"/>
        </w:tabs>
        <w:kinsoku/>
        <w:wordWrap/>
        <w:overflowPunct/>
        <w:topLinePunct w:val="0"/>
        <w:autoSpaceDE/>
        <w:autoSpaceDN/>
        <w:bidi w:val="0"/>
        <w:adjustRightInd/>
        <w:snapToGrid/>
        <w:spacing w:line="360" w:lineRule="auto"/>
        <w:ind w:left="420" w:leftChars="0" w:firstLine="60" w:firstLineChars="0"/>
        <w:jc w:val="both"/>
        <w:textAlignment w:val="auto"/>
        <w:rPr>
          <w:rFonts w:hint="default" w:ascii="Arial" w:hAnsi="Arial" w:cs="Arial"/>
          <w:sz w:val="22"/>
          <w:szCs w:val="22"/>
        </w:rPr>
      </w:pPr>
      <w:r>
        <w:rPr>
          <w:rFonts w:hint="default" w:ascii="Arial" w:hAnsi="Arial" w:cs="Arial"/>
          <w:sz w:val="22"/>
          <w:szCs w:val="22"/>
        </w:rPr>
        <w:t>O manual do usuário do equipamento, que contemple no mínimo o uso das funcionalidades constantes do prospecto do fabricante.</w:t>
      </w:r>
    </w:p>
    <w:p w14:paraId="3EE24EF0">
      <w:pPr>
        <w:pStyle w:val="165"/>
        <w:keepNext w:val="0"/>
        <w:keepLines w:val="0"/>
        <w:pageBreakBefore w:val="0"/>
        <w:widowControl/>
        <w:numPr>
          <w:ilvl w:val="0"/>
          <w:numId w:val="15"/>
        </w:numPr>
        <w:tabs>
          <w:tab w:val="clear" w:pos="420"/>
        </w:tabs>
        <w:kinsoku/>
        <w:wordWrap/>
        <w:overflowPunct/>
        <w:topLinePunct w:val="0"/>
        <w:autoSpaceDE/>
        <w:autoSpaceDN/>
        <w:bidi w:val="0"/>
        <w:adjustRightInd/>
        <w:snapToGrid/>
        <w:spacing w:line="360" w:lineRule="auto"/>
        <w:ind w:left="420" w:leftChars="0" w:firstLine="60" w:firstLineChars="0"/>
        <w:jc w:val="both"/>
        <w:textAlignment w:val="auto"/>
        <w:rPr>
          <w:rFonts w:hint="default" w:ascii="Arial" w:hAnsi="Arial" w:cs="Arial"/>
          <w:sz w:val="22"/>
          <w:szCs w:val="22"/>
        </w:rPr>
      </w:pPr>
      <w:r>
        <w:rPr>
          <w:rFonts w:hint="default" w:ascii="Arial" w:hAnsi="Arial" w:cs="Arial"/>
          <w:sz w:val="22"/>
          <w:szCs w:val="22"/>
        </w:rPr>
        <w:t>O termo de garantia, que deve esclarecer, de maneira adequada em que consiste a mesma garantia, bem como a forma, o prazo e o lugar em que pode ser exercitada e os ônus a cargo da CONTRATANTE, nos termos do art. 50 da Lei nº 8.078, de 11 de setembro de 1990.</w:t>
      </w:r>
    </w:p>
    <w:p w14:paraId="0AB79748">
      <w:pPr>
        <w:pStyle w:val="165"/>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13.10.9</w:t>
      </w:r>
      <w:r>
        <w:rPr>
          <w:rFonts w:hint="default" w:ascii="Arial" w:hAnsi="Arial" w:cs="Arial"/>
          <w:sz w:val="22"/>
          <w:szCs w:val="22"/>
          <w:lang w:val="pt-BR"/>
        </w:rPr>
        <w:t xml:space="preserve"> </w:t>
      </w:r>
      <w:r>
        <w:rPr>
          <w:rFonts w:hint="default" w:ascii="Arial" w:hAnsi="Arial" w:cs="Arial"/>
          <w:sz w:val="22"/>
          <w:szCs w:val="22"/>
        </w:rPr>
        <w:t>Em casos de identificação de não conformidade com os termos contratuais, os Fiscais da CONTRATANTE encaminharão ao Gestor do Contrato para que ele, por sua vez, tome as medidas pertinentes.</w:t>
      </w:r>
    </w:p>
    <w:p w14:paraId="1F9C5717">
      <w:pPr>
        <w:pStyle w:val="165"/>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13.10.10</w:t>
      </w:r>
      <w:r>
        <w:rPr>
          <w:rFonts w:hint="default" w:ascii="Arial" w:hAnsi="Arial" w:cs="Arial"/>
          <w:sz w:val="22"/>
          <w:szCs w:val="22"/>
          <w:lang w:val="pt-BR"/>
        </w:rPr>
        <w:t xml:space="preserve"> </w:t>
      </w:r>
      <w:r>
        <w:rPr>
          <w:rFonts w:hint="default" w:ascii="Arial" w:hAnsi="Arial" w:cs="Arial"/>
          <w:sz w:val="22"/>
          <w:szCs w:val="22"/>
        </w:rPr>
        <w:t>Após a emissão do Termo de Recebimento Definitivo, o Gestor autorizará, por escrito, a emissão da nota fiscal do produto pela CONTRATADA após a constatação de entrega efetiva da solução e apuração dos indicadores de níveis mínimos de qualidade.</w:t>
      </w:r>
    </w:p>
    <w:p w14:paraId="5A0BA054">
      <w:pPr>
        <w:pStyle w:val="165"/>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13.10.11</w:t>
      </w:r>
      <w:r>
        <w:rPr>
          <w:rFonts w:hint="default" w:ascii="Arial" w:hAnsi="Arial" w:cs="Arial"/>
          <w:sz w:val="22"/>
          <w:szCs w:val="22"/>
          <w:lang w:val="pt-BR"/>
        </w:rPr>
        <w:t xml:space="preserve"> </w:t>
      </w:r>
      <w:r>
        <w:rPr>
          <w:rFonts w:hint="default" w:ascii="Arial" w:hAnsi="Arial" w:cs="Arial"/>
          <w:sz w:val="22"/>
          <w:szCs w:val="22"/>
        </w:rPr>
        <w:t>Após emissão da nota fiscal, a área administrativa realizará a verificação das regularidades fiscais, trabalhistas e previdenciárias para fins de pagamento.</w:t>
      </w:r>
    </w:p>
    <w:p w14:paraId="6CB74DA7">
      <w:pPr>
        <w:pStyle w:val="165"/>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13.10.12</w:t>
      </w:r>
      <w:r>
        <w:rPr>
          <w:rFonts w:hint="default" w:ascii="Arial" w:hAnsi="Arial" w:cs="Arial"/>
          <w:sz w:val="22"/>
          <w:szCs w:val="22"/>
          <w:lang w:val="pt-BR"/>
        </w:rPr>
        <w:t xml:space="preserve"> </w:t>
      </w:r>
      <w:r>
        <w:rPr>
          <w:rFonts w:hint="default" w:ascii="Arial" w:hAnsi="Arial" w:cs="Arial"/>
          <w:sz w:val="22"/>
          <w:szCs w:val="22"/>
        </w:rPr>
        <w:t>Durante a vigência do contrato existirão os seguintes papéis:</w:t>
      </w:r>
    </w:p>
    <w:p w14:paraId="0A755DBF">
      <w:pPr>
        <w:pStyle w:val="165"/>
        <w:keepNext w:val="0"/>
        <w:keepLines w:val="0"/>
        <w:pageBreakBefore w:val="0"/>
        <w:widowControl/>
        <w:numPr>
          <w:ilvl w:val="0"/>
          <w:numId w:val="16"/>
        </w:numPr>
        <w:tabs>
          <w:tab w:val="left" w:pos="1276"/>
          <w:tab w:val="clear" w:pos="420"/>
        </w:tabs>
        <w:kinsoku/>
        <w:wordWrap/>
        <w:overflowPunct/>
        <w:topLinePunct w:val="0"/>
        <w:autoSpaceDE/>
        <w:autoSpaceDN/>
        <w:bidi w:val="0"/>
        <w:adjustRightInd/>
        <w:snapToGrid/>
        <w:spacing w:line="360" w:lineRule="auto"/>
        <w:ind w:left="420" w:leftChars="0" w:hanging="420" w:firstLineChars="0"/>
        <w:jc w:val="both"/>
        <w:textAlignment w:val="auto"/>
        <w:rPr>
          <w:rFonts w:hint="default" w:ascii="Arial" w:hAnsi="Arial" w:cs="Arial"/>
          <w:sz w:val="22"/>
          <w:szCs w:val="22"/>
        </w:rPr>
      </w:pPr>
      <w:r>
        <w:rPr>
          <w:rFonts w:hint="default" w:ascii="Arial" w:hAnsi="Arial" w:cs="Arial"/>
          <w:sz w:val="22"/>
          <w:szCs w:val="22"/>
        </w:rPr>
        <w:t>Preposto: representante da contratada, responsável por acompanhar a execução do contrato e atuar como interlocutor principal junto à contratante, incumbido de receber, diligenciar, encaminhar e responder as principais questões técnicas, legais e administrativas referentes ao andamento contratual;</w:t>
      </w:r>
    </w:p>
    <w:p w14:paraId="3A62E244">
      <w:pPr>
        <w:pStyle w:val="165"/>
        <w:keepNext w:val="0"/>
        <w:keepLines w:val="0"/>
        <w:pageBreakBefore w:val="0"/>
        <w:widowControl/>
        <w:numPr>
          <w:ilvl w:val="0"/>
          <w:numId w:val="16"/>
        </w:numPr>
        <w:tabs>
          <w:tab w:val="left" w:pos="1276"/>
          <w:tab w:val="clear" w:pos="420"/>
        </w:tabs>
        <w:kinsoku/>
        <w:wordWrap/>
        <w:overflowPunct/>
        <w:topLinePunct w:val="0"/>
        <w:autoSpaceDE/>
        <w:autoSpaceDN/>
        <w:bidi w:val="0"/>
        <w:adjustRightInd/>
        <w:snapToGrid/>
        <w:spacing w:line="360" w:lineRule="auto"/>
        <w:ind w:left="420" w:leftChars="0" w:hanging="420" w:firstLineChars="0"/>
        <w:jc w:val="both"/>
        <w:textAlignment w:val="auto"/>
        <w:rPr>
          <w:rFonts w:hint="default" w:ascii="Arial" w:hAnsi="Arial" w:cs="Arial"/>
          <w:sz w:val="22"/>
          <w:szCs w:val="22"/>
        </w:rPr>
      </w:pPr>
      <w:r>
        <w:rPr>
          <w:rFonts w:hint="default" w:ascii="Arial" w:hAnsi="Arial" w:cs="Arial"/>
          <w:sz w:val="22"/>
          <w:szCs w:val="22"/>
        </w:rPr>
        <w:t>Fiscal Requisitante do Contrato: servidor representante da Área Requisitante da Solução, indicado pela autoridade competente dessa área para fiscalizar o contrato do ponto de vista funcional da Solução de Tecnologia da Informação;</w:t>
      </w:r>
    </w:p>
    <w:p w14:paraId="5E4E7D1F">
      <w:pPr>
        <w:pStyle w:val="165"/>
        <w:keepNext w:val="0"/>
        <w:keepLines w:val="0"/>
        <w:pageBreakBefore w:val="0"/>
        <w:widowControl/>
        <w:numPr>
          <w:ilvl w:val="0"/>
          <w:numId w:val="16"/>
        </w:numPr>
        <w:tabs>
          <w:tab w:val="left" w:pos="1276"/>
          <w:tab w:val="clear" w:pos="420"/>
        </w:tabs>
        <w:kinsoku/>
        <w:wordWrap/>
        <w:overflowPunct/>
        <w:topLinePunct w:val="0"/>
        <w:autoSpaceDE/>
        <w:autoSpaceDN/>
        <w:bidi w:val="0"/>
        <w:adjustRightInd/>
        <w:snapToGrid/>
        <w:spacing w:line="360" w:lineRule="auto"/>
        <w:ind w:left="420" w:leftChars="0" w:hanging="420" w:firstLineChars="0"/>
        <w:jc w:val="both"/>
        <w:textAlignment w:val="auto"/>
        <w:rPr>
          <w:rFonts w:hint="default" w:ascii="Arial" w:hAnsi="Arial" w:cs="Arial"/>
          <w:sz w:val="22"/>
          <w:szCs w:val="22"/>
        </w:rPr>
      </w:pPr>
      <w:r>
        <w:rPr>
          <w:rFonts w:hint="default" w:ascii="Arial" w:hAnsi="Arial" w:cs="Arial"/>
          <w:sz w:val="22"/>
          <w:szCs w:val="22"/>
        </w:rPr>
        <w:t>Fiscal Administrativo do Contrato: servidor representante da Área Administrativa, indicado pela autoridade competente dessa área para fiscalizar o contrato quanto aos aspectos administrativos;</w:t>
      </w:r>
    </w:p>
    <w:p w14:paraId="002AB1C8">
      <w:pPr>
        <w:pStyle w:val="165"/>
        <w:keepNext w:val="0"/>
        <w:keepLines w:val="0"/>
        <w:pageBreakBefore w:val="0"/>
        <w:widowControl/>
        <w:numPr>
          <w:ilvl w:val="0"/>
          <w:numId w:val="16"/>
        </w:numPr>
        <w:tabs>
          <w:tab w:val="left" w:pos="1276"/>
          <w:tab w:val="clear" w:pos="420"/>
        </w:tabs>
        <w:kinsoku/>
        <w:wordWrap/>
        <w:overflowPunct/>
        <w:topLinePunct w:val="0"/>
        <w:autoSpaceDE/>
        <w:autoSpaceDN/>
        <w:bidi w:val="0"/>
        <w:adjustRightInd/>
        <w:snapToGrid/>
        <w:spacing w:line="360" w:lineRule="auto"/>
        <w:ind w:left="420" w:leftChars="0" w:hanging="420" w:firstLineChars="0"/>
        <w:jc w:val="both"/>
        <w:textAlignment w:val="auto"/>
        <w:rPr>
          <w:rFonts w:hint="default" w:ascii="Arial" w:hAnsi="Arial" w:cs="Arial"/>
          <w:sz w:val="22"/>
          <w:szCs w:val="22"/>
        </w:rPr>
      </w:pPr>
      <w:r>
        <w:rPr>
          <w:rFonts w:hint="default" w:ascii="Arial" w:hAnsi="Arial" w:cs="Arial"/>
          <w:sz w:val="22"/>
          <w:szCs w:val="22"/>
        </w:rPr>
        <w:t>Fiscal Técnico do Contrato: servidor representante da Área de Tecnologia da Informação, indicado pela autoridade competente dessa área para fiscalizar tecnicamente o contrato;</w:t>
      </w:r>
    </w:p>
    <w:p w14:paraId="3C011AA8">
      <w:pPr>
        <w:pStyle w:val="165"/>
        <w:keepNext w:val="0"/>
        <w:keepLines w:val="0"/>
        <w:pageBreakBefore w:val="0"/>
        <w:widowControl/>
        <w:numPr>
          <w:ilvl w:val="0"/>
          <w:numId w:val="16"/>
        </w:numPr>
        <w:tabs>
          <w:tab w:val="left" w:pos="1276"/>
          <w:tab w:val="clear" w:pos="420"/>
        </w:tabs>
        <w:kinsoku/>
        <w:wordWrap/>
        <w:overflowPunct/>
        <w:topLinePunct w:val="0"/>
        <w:autoSpaceDE/>
        <w:autoSpaceDN/>
        <w:bidi w:val="0"/>
        <w:adjustRightInd/>
        <w:snapToGrid/>
        <w:spacing w:line="360" w:lineRule="auto"/>
        <w:ind w:left="420" w:leftChars="0" w:hanging="420" w:firstLineChars="0"/>
        <w:jc w:val="both"/>
        <w:textAlignment w:val="auto"/>
        <w:rPr>
          <w:rFonts w:hint="default" w:ascii="Arial" w:hAnsi="Arial" w:cs="Arial"/>
          <w:sz w:val="22"/>
          <w:szCs w:val="22"/>
        </w:rPr>
      </w:pPr>
      <w:r>
        <w:rPr>
          <w:rFonts w:hint="default" w:ascii="Arial" w:hAnsi="Arial" w:cs="Arial"/>
          <w:sz w:val="22"/>
          <w:szCs w:val="22"/>
        </w:rPr>
        <w:t>Gestor do Contrato: servidor com atribuições gerenciais, designado para coordenar e comandar o processo de gestão e fiscalização da execução contratual, indicado por autoridade competente;</w:t>
      </w:r>
    </w:p>
    <w:p w14:paraId="386AF56D">
      <w:pPr>
        <w:pStyle w:val="165"/>
        <w:keepNext w:val="0"/>
        <w:keepLines w:val="0"/>
        <w:pageBreakBefore w:val="0"/>
        <w:widowControl/>
        <w:numPr>
          <w:ilvl w:val="0"/>
          <w:numId w:val="16"/>
        </w:numPr>
        <w:tabs>
          <w:tab w:val="left" w:pos="1276"/>
          <w:tab w:val="clear" w:pos="420"/>
        </w:tabs>
        <w:kinsoku/>
        <w:wordWrap/>
        <w:overflowPunct/>
        <w:topLinePunct w:val="0"/>
        <w:autoSpaceDE/>
        <w:autoSpaceDN/>
        <w:bidi w:val="0"/>
        <w:adjustRightInd/>
        <w:snapToGrid/>
        <w:spacing w:line="360" w:lineRule="auto"/>
        <w:ind w:left="420" w:leftChars="0" w:hanging="420" w:firstLineChars="0"/>
        <w:jc w:val="both"/>
        <w:textAlignment w:val="auto"/>
        <w:rPr>
          <w:rFonts w:hint="default" w:ascii="Arial" w:hAnsi="Arial" w:cs="Arial"/>
          <w:b/>
          <w:bCs w:val="0"/>
          <w:sz w:val="22"/>
          <w:szCs w:val="22"/>
          <w:highlight w:val="yellow"/>
          <w:lang w:val="pt-BR"/>
        </w:rPr>
      </w:pPr>
      <w:r>
        <w:rPr>
          <w:rFonts w:hint="default" w:ascii="Arial" w:hAnsi="Arial" w:cs="Arial"/>
          <w:color w:val="auto"/>
          <w:sz w:val="22"/>
          <w:szCs w:val="22"/>
          <w:highlight w:val="none"/>
        </w:rPr>
        <w:t xml:space="preserve">Autoridade competente da área administrativa da PREFEITURA: Servidor superior hierarquicamente ao gestor da contratação, a qual cabe tomar decisões e providências que ultrapassem a competência do responsável, de acordo com o art. </w:t>
      </w:r>
      <w:r>
        <w:rPr>
          <w:rFonts w:hint="default" w:ascii="Arial" w:hAnsi="Arial" w:cs="Arial"/>
          <w:color w:val="auto"/>
          <w:sz w:val="22"/>
          <w:szCs w:val="22"/>
          <w:highlight w:val="none"/>
          <w:lang w:val="pt-BR"/>
        </w:rPr>
        <w:t>117</w:t>
      </w:r>
      <w:r>
        <w:rPr>
          <w:rFonts w:hint="default" w:ascii="Arial" w:hAnsi="Arial" w:cs="Arial"/>
          <w:color w:val="auto"/>
          <w:sz w:val="22"/>
          <w:szCs w:val="22"/>
          <w:highlight w:val="none"/>
        </w:rPr>
        <w:t xml:space="preserve">, §2°, da Lei </w:t>
      </w:r>
      <w:r>
        <w:rPr>
          <w:rFonts w:hint="default" w:ascii="Arial" w:hAnsi="Arial" w:cs="Arial"/>
          <w:color w:val="auto"/>
          <w:sz w:val="22"/>
          <w:szCs w:val="22"/>
          <w:highlight w:val="none"/>
          <w:lang w:val="pt-BR"/>
        </w:rPr>
        <w:t>14.133/21</w:t>
      </w:r>
      <w:r>
        <w:rPr>
          <w:rFonts w:hint="default" w:ascii="Arial" w:hAnsi="Arial" w:cs="Arial"/>
          <w:color w:val="auto"/>
          <w:sz w:val="22"/>
          <w:szCs w:val="22"/>
          <w:highlight w:val="none"/>
        </w:rPr>
        <w:t>.</w:t>
      </w:r>
    </w:p>
    <w:p w14:paraId="1C64FDBC">
      <w:pPr>
        <w:pStyle w:val="155"/>
        <w:spacing w:line="275" w:lineRule="exact"/>
        <w:ind w:left="414"/>
        <w:jc w:val="center"/>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DO FISCAL DO CONTRATO</w:t>
      </w:r>
    </w:p>
    <w:p w14:paraId="09A04724">
      <w:pPr>
        <w:numPr>
          <w:ilvl w:val="0"/>
          <w:numId w:val="0"/>
        </w:numPr>
        <w:ind w:leftChars="0"/>
        <w:jc w:val="center"/>
        <w:rPr>
          <w:rFonts w:hint="default" w:ascii="Arial" w:hAnsi="Arial" w:cs="Arial"/>
          <w:color w:val="000000"/>
          <w:sz w:val="22"/>
          <w:szCs w:val="22"/>
          <w:highlight w:val="green"/>
          <w:lang w:val="pt-BR"/>
        </w:rPr>
      </w:pP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2"/>
        <w:gridCol w:w="3204"/>
        <w:gridCol w:w="3165"/>
      </w:tblGrid>
      <w:tr w14:paraId="7C490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20234927">
            <w:pPr>
              <w:numPr>
                <w:ilvl w:val="0"/>
                <w:numId w:val="0"/>
              </w:numPr>
              <w:jc w:val="center"/>
              <w:rPr>
                <w:rFonts w:hint="default" w:ascii="Arial" w:hAnsi="Arial" w:cs="Arial"/>
                <w:b/>
                <w:bCs/>
                <w:color w:val="000000" w:themeColor="text1"/>
                <w:sz w:val="22"/>
                <w:szCs w:val="22"/>
                <w:highlight w:val="none"/>
                <w:vertAlign w:val="baseline"/>
                <w:lang w:val="pt-BR"/>
                <w14:textFill>
                  <w14:solidFill>
                    <w14:schemeClr w14:val="tx1"/>
                  </w14:solidFill>
                </w14:textFill>
              </w:rPr>
            </w:pPr>
            <w:r>
              <w:rPr>
                <w:rFonts w:hint="default" w:ascii="Arial" w:hAnsi="Arial" w:cs="Arial"/>
                <w:b/>
                <w:bCs/>
                <w:color w:val="000000" w:themeColor="text1"/>
                <w:sz w:val="22"/>
                <w:szCs w:val="22"/>
                <w:highlight w:val="none"/>
                <w:vertAlign w:val="baseline"/>
                <w:lang w:val="pt-BR"/>
                <w14:textFill>
                  <w14:solidFill>
                    <w14:schemeClr w14:val="tx1"/>
                  </w14:solidFill>
                </w14:textFill>
              </w:rPr>
              <w:t>SECRETARIA</w:t>
            </w:r>
          </w:p>
        </w:tc>
        <w:tc>
          <w:tcPr>
            <w:tcW w:w="3204" w:type="dxa"/>
            <w:vAlign w:val="center"/>
          </w:tcPr>
          <w:p w14:paraId="3F458897">
            <w:pPr>
              <w:numPr>
                <w:ilvl w:val="0"/>
                <w:numId w:val="0"/>
              </w:numPr>
              <w:jc w:val="center"/>
              <w:rPr>
                <w:rFonts w:hint="default" w:ascii="Arial" w:hAnsi="Arial" w:cs="Arial"/>
                <w:b/>
                <w:bCs/>
                <w:color w:val="000000" w:themeColor="text1"/>
                <w:sz w:val="22"/>
                <w:szCs w:val="22"/>
                <w:highlight w:val="none"/>
                <w:vertAlign w:val="baseline"/>
                <w:lang w:val="pt-BR"/>
                <w14:textFill>
                  <w14:solidFill>
                    <w14:schemeClr w14:val="tx1"/>
                  </w14:solidFill>
                </w14:textFill>
              </w:rPr>
            </w:pPr>
            <w:r>
              <w:rPr>
                <w:rFonts w:hint="default" w:ascii="Arial" w:hAnsi="Arial" w:cs="Arial"/>
                <w:b/>
                <w:bCs/>
                <w:color w:val="000000" w:themeColor="text1"/>
                <w:sz w:val="22"/>
                <w:szCs w:val="22"/>
                <w:highlight w:val="none"/>
                <w:vertAlign w:val="baseline"/>
                <w:lang w:val="pt-BR"/>
                <w14:textFill>
                  <w14:solidFill>
                    <w14:schemeClr w14:val="tx1"/>
                  </w14:solidFill>
                </w14:textFill>
              </w:rPr>
              <w:t>FISCAL DO CONTRATO</w:t>
            </w:r>
          </w:p>
        </w:tc>
        <w:tc>
          <w:tcPr>
            <w:tcW w:w="3165" w:type="dxa"/>
            <w:vAlign w:val="center"/>
          </w:tcPr>
          <w:p w14:paraId="6DA568B4">
            <w:pPr>
              <w:numPr>
                <w:ilvl w:val="0"/>
                <w:numId w:val="0"/>
              </w:numPr>
              <w:jc w:val="center"/>
              <w:rPr>
                <w:rFonts w:hint="default" w:ascii="Arial" w:hAnsi="Arial" w:cs="Arial"/>
                <w:b/>
                <w:bCs/>
                <w:color w:val="000000" w:themeColor="text1"/>
                <w:sz w:val="22"/>
                <w:szCs w:val="22"/>
                <w:highlight w:val="none"/>
                <w:vertAlign w:val="baseline"/>
                <w:lang w:val="pt-BR"/>
                <w14:textFill>
                  <w14:solidFill>
                    <w14:schemeClr w14:val="tx1"/>
                  </w14:solidFill>
                </w14:textFill>
              </w:rPr>
            </w:pPr>
            <w:r>
              <w:rPr>
                <w:rFonts w:hint="default" w:ascii="Arial" w:hAnsi="Arial" w:cs="Arial"/>
                <w:b/>
                <w:bCs/>
                <w:color w:val="000000" w:themeColor="text1"/>
                <w:sz w:val="22"/>
                <w:szCs w:val="22"/>
                <w:highlight w:val="none"/>
                <w:vertAlign w:val="baseline"/>
                <w:lang w:val="pt-BR"/>
                <w14:textFill>
                  <w14:solidFill>
                    <w14:schemeClr w14:val="tx1"/>
                  </w14:solidFill>
                </w14:textFill>
              </w:rPr>
              <w:t>SUPLENTE</w:t>
            </w:r>
          </w:p>
        </w:tc>
      </w:tr>
      <w:tr w14:paraId="3C7AC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5" w:hRule="atLeast"/>
        </w:trPr>
        <w:tc>
          <w:tcPr>
            <w:tcW w:w="2872" w:type="dxa"/>
            <w:vAlign w:val="center"/>
          </w:tcPr>
          <w:p w14:paraId="7486D036">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lang w:val="pt-BR" w:eastAsia="zh-CN" w:bidi="ar-SA"/>
                <w14:textFill>
                  <w14:solidFill>
                    <w14:schemeClr w14:val="tx1"/>
                  </w14:solidFill>
                </w14:textFill>
              </w:rPr>
              <w:t>SECRETARIA DE ADMINISTRAÇÃO E MODERNIZAÇÃO</w:t>
            </w:r>
          </w:p>
        </w:tc>
        <w:tc>
          <w:tcPr>
            <w:tcW w:w="3204" w:type="dxa"/>
            <w:vAlign w:val="center"/>
          </w:tcPr>
          <w:p w14:paraId="1210255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auto"/>
                <w:sz w:val="22"/>
                <w:szCs w:val="22"/>
                <w:highlight w:val="none"/>
              </w:rPr>
            </w:pPr>
            <w:r>
              <w:rPr>
                <w:rFonts w:hint="default" w:ascii="Arial" w:hAnsi="Arial" w:cs="Arial"/>
                <w:b w:val="0"/>
                <w:bCs/>
                <w:color w:val="auto"/>
                <w:sz w:val="22"/>
                <w:szCs w:val="22"/>
                <w:highlight w:val="none"/>
                <w:lang w:val="pt-BR"/>
              </w:rPr>
              <w:t>Fiscal</w:t>
            </w:r>
            <w:r>
              <w:rPr>
                <w:rFonts w:hint="default" w:ascii="Arial" w:hAnsi="Arial" w:cs="Arial"/>
                <w:b w:val="0"/>
                <w:bCs/>
                <w:color w:val="auto"/>
                <w:sz w:val="22"/>
                <w:szCs w:val="22"/>
                <w:highlight w:val="none"/>
              </w:rPr>
              <w:t xml:space="preserve">: </w:t>
            </w:r>
            <w:r>
              <w:rPr>
                <w:rFonts w:hint="default" w:ascii="Arial" w:hAnsi="Arial" w:cs="Arial"/>
                <w:b w:val="0"/>
                <w:bCs/>
                <w:color w:val="auto"/>
                <w:sz w:val="22"/>
                <w:szCs w:val="22"/>
                <w:highlight w:val="none"/>
                <w:lang w:val="pt-BR"/>
              </w:rPr>
              <w:t>Daniel José Sepi de Lima</w:t>
            </w:r>
            <w:r>
              <w:rPr>
                <w:rFonts w:hint="default" w:ascii="Arial" w:hAnsi="Arial" w:eastAsia="Times New Roman" w:cs="Arial"/>
                <w:b w:val="0"/>
                <w:bCs/>
                <w:color w:val="auto"/>
                <w:sz w:val="22"/>
                <w:szCs w:val="22"/>
                <w:highlight w:val="none"/>
              </w:rPr>
              <w:t xml:space="preserve"> </w:t>
            </w:r>
          </w:p>
          <w:p w14:paraId="7183136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auto"/>
                <w:sz w:val="22"/>
                <w:szCs w:val="22"/>
                <w:highlight w:val="none"/>
                <w:lang w:val="pt-BR"/>
              </w:rPr>
            </w:pPr>
            <w:r>
              <w:rPr>
                <w:rFonts w:hint="default" w:ascii="Arial" w:hAnsi="Arial" w:cs="Arial"/>
                <w:b w:val="0"/>
                <w:bCs/>
                <w:color w:val="auto"/>
                <w:sz w:val="22"/>
                <w:szCs w:val="22"/>
                <w:highlight w:val="none"/>
              </w:rPr>
              <w:t>Cargo:</w:t>
            </w:r>
            <w:r>
              <w:rPr>
                <w:rFonts w:hint="default" w:ascii="Arial" w:hAnsi="Arial" w:cs="Arial"/>
                <w:b w:val="0"/>
                <w:bCs/>
                <w:color w:val="auto"/>
                <w:sz w:val="22"/>
                <w:szCs w:val="22"/>
                <w:highlight w:val="none"/>
                <w:lang w:val="pt-BR"/>
              </w:rPr>
              <w:t xml:space="preserve"> Diretor de Gestão Digital</w:t>
            </w:r>
          </w:p>
          <w:p w14:paraId="4AA0A7B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color w:val="auto"/>
                <w:sz w:val="22"/>
                <w:szCs w:val="22"/>
                <w:highlight w:val="none"/>
                <w:vertAlign w:val="baseline"/>
                <w:lang w:val="pt-BR"/>
              </w:rPr>
            </w:pPr>
            <w:r>
              <w:rPr>
                <w:rFonts w:hint="default" w:ascii="Arial" w:hAnsi="Arial" w:cs="Arial"/>
                <w:b w:val="0"/>
                <w:bCs/>
                <w:color w:val="auto"/>
                <w:sz w:val="22"/>
                <w:szCs w:val="22"/>
                <w:highlight w:val="none"/>
              </w:rPr>
              <w:t xml:space="preserve">Matrícula: </w:t>
            </w:r>
            <w:r>
              <w:rPr>
                <w:rFonts w:hint="default" w:ascii="Arial" w:hAnsi="Arial" w:cs="Arial"/>
                <w:b w:val="0"/>
                <w:bCs/>
                <w:color w:val="auto"/>
                <w:sz w:val="22"/>
                <w:szCs w:val="22"/>
                <w:highlight w:val="none"/>
                <w:lang w:val="pt-BR"/>
              </w:rPr>
              <w:t>7230-1</w:t>
            </w:r>
          </w:p>
        </w:tc>
        <w:tc>
          <w:tcPr>
            <w:tcW w:w="3165" w:type="dxa"/>
            <w:vAlign w:val="center"/>
          </w:tcPr>
          <w:p w14:paraId="54B295F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auto"/>
                <w:sz w:val="22"/>
                <w:szCs w:val="22"/>
                <w:highlight w:val="none"/>
                <w:lang w:val="pt-BR"/>
              </w:rPr>
            </w:pPr>
            <w:r>
              <w:rPr>
                <w:rFonts w:hint="default" w:ascii="Arial" w:hAnsi="Arial" w:cs="Arial"/>
                <w:b w:val="0"/>
                <w:bCs/>
                <w:color w:val="auto"/>
                <w:sz w:val="22"/>
                <w:szCs w:val="22"/>
                <w:highlight w:val="none"/>
                <w:lang w:val="pt-BR"/>
              </w:rPr>
              <w:t>Suplente</w:t>
            </w:r>
            <w:r>
              <w:rPr>
                <w:rFonts w:hint="default" w:ascii="Arial" w:hAnsi="Arial" w:cs="Arial"/>
                <w:b w:val="0"/>
                <w:bCs/>
                <w:color w:val="auto"/>
                <w:sz w:val="22"/>
                <w:szCs w:val="22"/>
                <w:highlight w:val="none"/>
              </w:rPr>
              <w:t xml:space="preserve">: </w:t>
            </w:r>
            <w:r>
              <w:rPr>
                <w:rFonts w:hint="default" w:ascii="Arial" w:hAnsi="Arial" w:cs="Arial"/>
                <w:b w:val="0"/>
                <w:bCs/>
                <w:color w:val="auto"/>
                <w:sz w:val="22"/>
                <w:szCs w:val="22"/>
                <w:highlight w:val="none"/>
                <w:lang w:val="pt-BR"/>
              </w:rPr>
              <w:t>Luis Fernando de Oliveira Gomes</w:t>
            </w:r>
          </w:p>
          <w:p w14:paraId="3AE7CE2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auto"/>
                <w:sz w:val="22"/>
                <w:szCs w:val="22"/>
                <w:highlight w:val="none"/>
                <w:lang w:val="pt-BR"/>
              </w:rPr>
            </w:pPr>
            <w:r>
              <w:rPr>
                <w:rFonts w:hint="default" w:ascii="Arial" w:hAnsi="Arial" w:cs="Arial"/>
                <w:b w:val="0"/>
                <w:bCs/>
                <w:color w:val="auto"/>
                <w:sz w:val="22"/>
                <w:szCs w:val="22"/>
                <w:highlight w:val="none"/>
              </w:rPr>
              <w:t>Cargo:</w:t>
            </w:r>
            <w:r>
              <w:rPr>
                <w:rFonts w:hint="default" w:ascii="Arial" w:hAnsi="Arial" w:cs="Arial"/>
                <w:b w:val="0"/>
                <w:bCs/>
                <w:color w:val="auto"/>
                <w:sz w:val="22"/>
                <w:szCs w:val="22"/>
                <w:highlight w:val="none"/>
                <w:lang w:val="pt-BR"/>
              </w:rPr>
              <w:t xml:space="preserve"> Gerente II</w:t>
            </w:r>
          </w:p>
          <w:p w14:paraId="5F913C0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color w:val="auto"/>
                <w:sz w:val="22"/>
                <w:szCs w:val="22"/>
                <w:highlight w:val="none"/>
                <w:vertAlign w:val="baseline"/>
                <w:lang w:val="pt-BR"/>
              </w:rPr>
            </w:pPr>
            <w:r>
              <w:rPr>
                <w:rFonts w:hint="default" w:ascii="Arial" w:hAnsi="Arial" w:cs="Arial"/>
                <w:b w:val="0"/>
                <w:bCs/>
                <w:color w:val="auto"/>
                <w:sz w:val="22"/>
                <w:szCs w:val="22"/>
                <w:highlight w:val="none"/>
              </w:rPr>
              <w:t xml:space="preserve">Matrícula: </w:t>
            </w:r>
            <w:r>
              <w:rPr>
                <w:rFonts w:hint="default" w:ascii="Arial" w:hAnsi="Arial" w:cs="Arial"/>
                <w:b w:val="0"/>
                <w:bCs/>
                <w:color w:val="auto"/>
                <w:sz w:val="22"/>
                <w:szCs w:val="22"/>
                <w:highlight w:val="none"/>
                <w:lang w:val="pt-BR"/>
              </w:rPr>
              <w:t>15831-1</w:t>
            </w:r>
          </w:p>
        </w:tc>
      </w:tr>
    </w:tbl>
    <w:p w14:paraId="34B8F03B">
      <w:pPr>
        <w:spacing w:line="240" w:lineRule="auto"/>
        <w:ind w:right="48" w:rightChars="20"/>
        <w:jc w:val="both"/>
        <w:rPr>
          <w:rFonts w:hint="default" w:ascii="Arial" w:hAnsi="Arial" w:cs="Arial"/>
          <w:sz w:val="22"/>
          <w:szCs w:val="22"/>
          <w:highlight w:val="none"/>
          <w:lang w:val="pt-BR"/>
        </w:rPr>
      </w:pPr>
    </w:p>
    <w:p w14:paraId="3166660F">
      <w:pPr>
        <w:spacing w:line="240" w:lineRule="auto"/>
        <w:ind w:right="48" w:rightChars="20"/>
        <w:jc w:val="both"/>
        <w:rPr>
          <w:rFonts w:hint="default" w:ascii="Arial" w:hAnsi="Arial" w:cs="Arial"/>
          <w:sz w:val="22"/>
          <w:szCs w:val="22"/>
          <w:highlight w:val="none"/>
          <w:lang w:val="pt-BR"/>
        </w:rPr>
      </w:pPr>
    </w:p>
    <w:p w14:paraId="1AB4FC39">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eastAsia="Calibri" w:cs="Arial"/>
          <w:b/>
          <w:bCs/>
          <w:kern w:val="1"/>
          <w:sz w:val="22"/>
          <w:szCs w:val="22"/>
          <w:lang w:eastAsia="ar-SA"/>
        </w:rPr>
      </w:pPr>
      <w:r>
        <w:rPr>
          <w:rFonts w:ascii="Arial" w:hAnsi="Arial" w:cs="Arial"/>
          <w:b/>
          <w:kern w:val="1"/>
          <w:sz w:val="22"/>
          <w:szCs w:val="22"/>
          <w:lang w:eastAsia="ar-SA"/>
        </w:rPr>
        <w:t xml:space="preserve">Cláusula </w:t>
      </w:r>
      <w:r>
        <w:rPr>
          <w:rFonts w:hint="default" w:ascii="Arial" w:hAnsi="Arial" w:cs="Arial"/>
          <w:b/>
          <w:kern w:val="1"/>
          <w:sz w:val="22"/>
          <w:szCs w:val="22"/>
          <w:lang w:val="pt-BR" w:eastAsia="ar-SA"/>
        </w:rPr>
        <w:t>Décim</w:t>
      </w:r>
      <w:r>
        <w:rPr>
          <w:rFonts w:ascii="Arial" w:hAnsi="Arial" w:cs="Arial"/>
          <w:b/>
          <w:kern w:val="1"/>
          <w:sz w:val="22"/>
          <w:szCs w:val="22"/>
          <w:lang w:eastAsia="ar-SA"/>
        </w:rPr>
        <w:t xml:space="preserve">a </w:t>
      </w:r>
      <w:r>
        <w:rPr>
          <w:rFonts w:hint="default" w:ascii="Arial" w:hAnsi="Arial" w:cs="Arial"/>
          <w:b/>
          <w:kern w:val="1"/>
          <w:sz w:val="22"/>
          <w:szCs w:val="22"/>
          <w:lang w:val="pt-BR" w:eastAsia="ar-SA"/>
        </w:rPr>
        <w:t xml:space="preserve">Quarta </w:t>
      </w:r>
    </w:p>
    <w:p w14:paraId="13AB4D41">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hint="default" w:ascii="Arial" w:hAnsi="Arial" w:cs="Arial"/>
          <w:b/>
          <w:kern w:val="1"/>
          <w:sz w:val="22"/>
          <w:szCs w:val="22"/>
          <w:lang w:val="pt-BR" w:eastAsia="ar-SA"/>
        </w:rPr>
      </w:pPr>
      <w:r>
        <w:rPr>
          <w:rFonts w:hint="default" w:ascii="Arial" w:hAnsi="Arial" w:eastAsia="Calibri" w:cs="Arial"/>
          <w:b/>
          <w:bCs/>
          <w:kern w:val="1"/>
          <w:sz w:val="22"/>
          <w:szCs w:val="22"/>
          <w:lang w:val="pt-BR" w:eastAsia="ar-SA"/>
        </w:rPr>
        <w:t>D</w:t>
      </w:r>
      <w:r>
        <w:rPr>
          <w:rFonts w:ascii="Arial" w:hAnsi="Arial" w:eastAsia="Calibri" w:cs="Arial"/>
          <w:b/>
          <w:bCs/>
          <w:kern w:val="1"/>
          <w:sz w:val="22"/>
          <w:szCs w:val="22"/>
          <w:lang w:eastAsia="ar-SA"/>
        </w:rPr>
        <w:t>A TRANSMISSÃO DE DOCUMENTOS</w:t>
      </w:r>
    </w:p>
    <w:p w14:paraId="0D8C7BD6">
      <w:pPr>
        <w:tabs>
          <w:tab w:val="left" w:pos="0"/>
        </w:tabs>
        <w:suppressAutoHyphens/>
        <w:autoSpaceDE w:val="0"/>
        <w:spacing w:before="100" w:beforeAutospacing="1" w:after="100" w:afterAutospacing="1" w:line="360" w:lineRule="auto"/>
        <w:jc w:val="both"/>
        <w:rPr>
          <w:rFonts w:hint="default" w:ascii="Arial" w:hAnsi="Arial" w:cs="Arial"/>
          <w:b/>
          <w:bCs/>
          <w:color w:val="000000"/>
          <w:sz w:val="22"/>
          <w:szCs w:val="22"/>
        </w:rPr>
      </w:pPr>
      <w:r>
        <w:rPr>
          <w:rFonts w:hint="default" w:ascii="Arial" w:hAnsi="Arial" w:eastAsia="Calibri" w:cs="Arial"/>
          <w:b/>
          <w:kern w:val="1"/>
          <w:sz w:val="22"/>
          <w:szCs w:val="22"/>
          <w:lang w:val="pt-BR" w:eastAsia="ar-SA"/>
        </w:rPr>
        <w:t>14</w:t>
      </w:r>
      <w:r>
        <w:rPr>
          <w:rFonts w:ascii="Arial" w:hAnsi="Arial" w:eastAsia="Calibri" w:cs="Arial"/>
          <w:b/>
          <w:kern w:val="1"/>
          <w:sz w:val="22"/>
          <w:szCs w:val="22"/>
          <w:lang w:eastAsia="ar-SA"/>
        </w:rPr>
        <w:t>.1.</w:t>
      </w:r>
      <w:r>
        <w:rPr>
          <w:rFonts w:hint="default" w:ascii="Arial" w:hAnsi="Arial" w:eastAsia="Calibri" w:cs="Arial"/>
          <w:b/>
          <w:kern w:val="1"/>
          <w:sz w:val="22"/>
          <w:szCs w:val="22"/>
          <w:lang w:val="pt-BR" w:eastAsia="ar-SA"/>
        </w:rPr>
        <w:t xml:space="preserve"> </w:t>
      </w:r>
      <w:r>
        <w:rPr>
          <w:rFonts w:hint="default" w:ascii="Arial" w:hAnsi="Arial" w:cs="Arial"/>
          <w:b/>
          <w:bCs/>
          <w:color w:val="000000"/>
          <w:sz w:val="22"/>
          <w:szCs w:val="22"/>
        </w:rPr>
        <w:t>Mecanismos formais de comunicação entre a CONTRATADA e a CONTRATANTE</w:t>
      </w:r>
    </w:p>
    <w:p w14:paraId="28181FD2">
      <w:pPr>
        <w:pStyle w:val="165"/>
        <w:keepNext w:val="0"/>
        <w:keepLines w:val="0"/>
        <w:pageBreakBefore w:val="0"/>
        <w:tabs>
          <w:tab w:val="left" w:pos="1276"/>
        </w:tabs>
        <w:kinsoku/>
        <w:wordWrap/>
        <w:overflowPunct/>
        <w:topLinePunct w:val="0"/>
        <w:autoSpaceDE/>
        <w:autoSpaceDN/>
        <w:bidi w:val="0"/>
        <w:snapToGrid/>
        <w:spacing w:line="360" w:lineRule="auto"/>
        <w:ind w:left="0" w:firstLine="0"/>
        <w:jc w:val="both"/>
        <w:rPr>
          <w:rFonts w:hint="default" w:ascii="Arial" w:hAnsi="Arial" w:cs="Arial"/>
          <w:sz w:val="22"/>
          <w:szCs w:val="22"/>
        </w:rPr>
      </w:pPr>
      <w:r>
        <w:rPr>
          <w:rFonts w:hint="default" w:ascii="Arial" w:hAnsi="Arial" w:cs="Arial"/>
          <w:b/>
          <w:bCs/>
          <w:sz w:val="22"/>
          <w:szCs w:val="22"/>
          <w:lang w:val="pt-BR"/>
        </w:rPr>
        <w:t>14.1.1</w:t>
      </w:r>
      <w:r>
        <w:rPr>
          <w:rFonts w:hint="default" w:ascii="Arial" w:hAnsi="Arial" w:cs="Arial"/>
          <w:sz w:val="22"/>
          <w:szCs w:val="22"/>
          <w:lang w:val="pt-BR"/>
        </w:rPr>
        <w:t xml:space="preserve"> </w:t>
      </w:r>
      <w:r>
        <w:rPr>
          <w:rFonts w:hint="default" w:ascii="Arial" w:hAnsi="Arial" w:cs="Arial"/>
          <w:sz w:val="22"/>
          <w:szCs w:val="22"/>
        </w:rPr>
        <w:t>Quaisquer questões administrativas durante a execução do contrato, de cunho mais formal:</w:t>
      </w:r>
    </w:p>
    <w:p w14:paraId="735A6C11">
      <w:pPr>
        <w:pStyle w:val="165"/>
        <w:keepNext w:val="0"/>
        <w:keepLines w:val="0"/>
        <w:pageBreakBefore w:val="0"/>
        <w:numPr>
          <w:ilvl w:val="0"/>
          <w:numId w:val="0"/>
        </w:numPr>
        <w:tabs>
          <w:tab w:val="left" w:pos="1276"/>
        </w:tabs>
        <w:kinsoku/>
        <w:wordWrap/>
        <w:overflowPunct/>
        <w:topLinePunct w:val="0"/>
        <w:autoSpaceDE/>
        <w:autoSpaceDN/>
        <w:bidi w:val="0"/>
        <w:snapToGrid/>
        <w:spacing w:line="360" w:lineRule="auto"/>
        <w:ind w:leftChars="0"/>
        <w:jc w:val="both"/>
        <w:rPr>
          <w:rFonts w:hint="default" w:ascii="Arial" w:hAnsi="Arial" w:cs="Arial"/>
          <w:sz w:val="22"/>
          <w:szCs w:val="22"/>
        </w:rPr>
      </w:pPr>
      <w:r>
        <w:rPr>
          <w:rFonts w:hint="default" w:ascii="Arial" w:hAnsi="Arial" w:cs="Arial"/>
          <w:sz w:val="22"/>
          <w:szCs w:val="22"/>
        </w:rPr>
        <w:t>Emissor: PREFEITURA / Empresa CONTRATADA.</w:t>
      </w:r>
    </w:p>
    <w:p w14:paraId="06A42DBF">
      <w:pPr>
        <w:pStyle w:val="165"/>
        <w:keepNext w:val="0"/>
        <w:keepLines w:val="0"/>
        <w:pageBreakBefore w:val="0"/>
        <w:numPr>
          <w:ilvl w:val="0"/>
          <w:numId w:val="0"/>
        </w:numPr>
        <w:tabs>
          <w:tab w:val="left" w:pos="1276"/>
        </w:tabs>
        <w:kinsoku/>
        <w:wordWrap/>
        <w:overflowPunct/>
        <w:topLinePunct w:val="0"/>
        <w:autoSpaceDE/>
        <w:autoSpaceDN/>
        <w:bidi w:val="0"/>
        <w:snapToGrid/>
        <w:spacing w:line="360" w:lineRule="auto"/>
        <w:ind w:leftChars="0"/>
        <w:jc w:val="both"/>
        <w:rPr>
          <w:rFonts w:hint="default" w:ascii="Arial" w:hAnsi="Arial" w:cs="Arial"/>
          <w:sz w:val="22"/>
          <w:szCs w:val="22"/>
        </w:rPr>
      </w:pPr>
      <w:r>
        <w:rPr>
          <w:rFonts w:hint="default" w:ascii="Arial" w:hAnsi="Arial" w:cs="Arial"/>
          <w:sz w:val="22"/>
          <w:szCs w:val="22"/>
        </w:rPr>
        <w:t>Destinatário: PREFEITURA / Empresa CONTRATADA.</w:t>
      </w:r>
    </w:p>
    <w:p w14:paraId="2FE300A5">
      <w:pPr>
        <w:pStyle w:val="165"/>
        <w:keepNext w:val="0"/>
        <w:keepLines w:val="0"/>
        <w:pageBreakBefore w:val="0"/>
        <w:numPr>
          <w:ilvl w:val="0"/>
          <w:numId w:val="0"/>
        </w:numPr>
        <w:tabs>
          <w:tab w:val="left" w:pos="1276"/>
        </w:tabs>
        <w:kinsoku/>
        <w:wordWrap/>
        <w:overflowPunct/>
        <w:topLinePunct w:val="0"/>
        <w:autoSpaceDE/>
        <w:autoSpaceDN/>
        <w:bidi w:val="0"/>
        <w:snapToGrid/>
        <w:spacing w:line="360" w:lineRule="auto"/>
        <w:ind w:leftChars="0"/>
        <w:jc w:val="both"/>
        <w:rPr>
          <w:rFonts w:hint="default" w:ascii="Arial" w:hAnsi="Arial" w:cs="Arial"/>
          <w:sz w:val="22"/>
          <w:szCs w:val="22"/>
        </w:rPr>
      </w:pPr>
      <w:r>
        <w:rPr>
          <w:rFonts w:hint="default" w:ascii="Arial" w:hAnsi="Arial" w:cs="Arial"/>
          <w:sz w:val="22"/>
          <w:szCs w:val="22"/>
        </w:rPr>
        <w:t>Forma de Comunicação: Correio.</w:t>
      </w:r>
    </w:p>
    <w:p w14:paraId="6F1C2E9A">
      <w:pPr>
        <w:pStyle w:val="165"/>
        <w:keepNext w:val="0"/>
        <w:keepLines w:val="0"/>
        <w:pageBreakBefore w:val="0"/>
        <w:numPr>
          <w:ilvl w:val="0"/>
          <w:numId w:val="0"/>
        </w:numPr>
        <w:tabs>
          <w:tab w:val="left" w:pos="1276"/>
        </w:tabs>
        <w:kinsoku/>
        <w:wordWrap/>
        <w:overflowPunct/>
        <w:topLinePunct w:val="0"/>
        <w:autoSpaceDE/>
        <w:autoSpaceDN/>
        <w:bidi w:val="0"/>
        <w:snapToGrid/>
        <w:spacing w:line="360" w:lineRule="auto"/>
        <w:ind w:leftChars="0"/>
        <w:jc w:val="both"/>
        <w:rPr>
          <w:rFonts w:hint="default" w:ascii="Arial" w:hAnsi="Arial" w:cs="Arial"/>
          <w:sz w:val="22"/>
          <w:szCs w:val="22"/>
        </w:rPr>
      </w:pPr>
      <w:r>
        <w:rPr>
          <w:rFonts w:hint="default" w:ascii="Arial" w:hAnsi="Arial" w:cs="Arial"/>
          <w:sz w:val="22"/>
          <w:szCs w:val="22"/>
        </w:rPr>
        <w:t>Documento: Ofício.</w:t>
      </w:r>
    </w:p>
    <w:p w14:paraId="6CCD567C">
      <w:pPr>
        <w:pStyle w:val="165"/>
        <w:keepNext w:val="0"/>
        <w:keepLines w:val="0"/>
        <w:pageBreakBefore w:val="0"/>
        <w:numPr>
          <w:ilvl w:val="0"/>
          <w:numId w:val="0"/>
        </w:numPr>
        <w:tabs>
          <w:tab w:val="left" w:pos="1276"/>
        </w:tabs>
        <w:kinsoku/>
        <w:wordWrap/>
        <w:overflowPunct/>
        <w:topLinePunct w:val="0"/>
        <w:autoSpaceDE/>
        <w:autoSpaceDN/>
        <w:bidi w:val="0"/>
        <w:snapToGrid/>
        <w:spacing w:line="360" w:lineRule="auto"/>
        <w:ind w:leftChars="0"/>
        <w:jc w:val="both"/>
        <w:rPr>
          <w:rFonts w:hint="default" w:ascii="Arial" w:hAnsi="Arial" w:cs="Arial"/>
          <w:sz w:val="22"/>
          <w:szCs w:val="22"/>
        </w:rPr>
      </w:pPr>
      <w:r>
        <w:rPr>
          <w:rFonts w:hint="default" w:ascii="Arial" w:hAnsi="Arial" w:cs="Arial"/>
          <w:sz w:val="22"/>
          <w:szCs w:val="22"/>
        </w:rPr>
        <w:t>Periodicidade: Eventual.</w:t>
      </w:r>
    </w:p>
    <w:p w14:paraId="3D2FA1D1">
      <w:pPr>
        <w:pStyle w:val="165"/>
        <w:keepNext w:val="0"/>
        <w:keepLines w:val="0"/>
        <w:pageBreakBefore w:val="0"/>
        <w:numPr>
          <w:ilvl w:val="0"/>
          <w:numId w:val="0"/>
        </w:numPr>
        <w:tabs>
          <w:tab w:val="left" w:pos="1276"/>
        </w:tabs>
        <w:kinsoku/>
        <w:wordWrap/>
        <w:overflowPunct/>
        <w:topLinePunct w:val="0"/>
        <w:autoSpaceDE/>
        <w:autoSpaceDN/>
        <w:bidi w:val="0"/>
        <w:snapToGrid/>
        <w:spacing w:line="360" w:lineRule="auto"/>
        <w:ind w:leftChars="0"/>
        <w:jc w:val="both"/>
        <w:rPr>
          <w:rFonts w:hint="default" w:ascii="Arial" w:hAnsi="Arial" w:cs="Arial"/>
          <w:sz w:val="22"/>
          <w:szCs w:val="22"/>
          <w:lang w:val="pt-BR"/>
        </w:rPr>
      </w:pPr>
    </w:p>
    <w:p w14:paraId="75605A56">
      <w:pPr>
        <w:pStyle w:val="165"/>
        <w:keepNext w:val="0"/>
        <w:keepLines w:val="0"/>
        <w:pageBreakBefore w:val="0"/>
        <w:numPr>
          <w:ilvl w:val="0"/>
          <w:numId w:val="0"/>
        </w:numPr>
        <w:tabs>
          <w:tab w:val="left" w:pos="1276"/>
        </w:tabs>
        <w:kinsoku/>
        <w:wordWrap/>
        <w:overflowPunct/>
        <w:topLinePunct w:val="0"/>
        <w:autoSpaceDE/>
        <w:autoSpaceDN/>
        <w:bidi w:val="0"/>
        <w:snapToGrid/>
        <w:spacing w:line="360" w:lineRule="auto"/>
        <w:ind w:leftChars="0"/>
        <w:jc w:val="both"/>
        <w:rPr>
          <w:rFonts w:hint="default" w:ascii="Arial" w:hAnsi="Arial" w:cs="Arial"/>
          <w:sz w:val="22"/>
          <w:szCs w:val="22"/>
        </w:rPr>
      </w:pPr>
      <w:r>
        <w:rPr>
          <w:rFonts w:hint="default" w:ascii="Arial" w:hAnsi="Arial" w:cs="Arial"/>
          <w:b/>
          <w:bCs/>
          <w:sz w:val="22"/>
          <w:szCs w:val="22"/>
          <w:lang w:val="pt-BR"/>
        </w:rPr>
        <w:t>14.1.2</w:t>
      </w:r>
      <w:r>
        <w:rPr>
          <w:rFonts w:hint="default" w:ascii="Arial" w:hAnsi="Arial" w:cs="Arial"/>
          <w:sz w:val="22"/>
          <w:szCs w:val="22"/>
          <w:lang w:val="pt-BR"/>
        </w:rPr>
        <w:t xml:space="preserve"> </w:t>
      </w:r>
      <w:r>
        <w:rPr>
          <w:rFonts w:hint="default" w:ascii="Arial" w:hAnsi="Arial" w:cs="Arial"/>
          <w:sz w:val="22"/>
          <w:szCs w:val="22"/>
        </w:rPr>
        <w:t>Questões administrativas cotidianas durante a execução do contrato:</w:t>
      </w:r>
    </w:p>
    <w:p w14:paraId="1E560A7D">
      <w:pPr>
        <w:pStyle w:val="165"/>
        <w:keepNext w:val="0"/>
        <w:keepLines w:val="0"/>
        <w:pageBreakBefore w:val="0"/>
        <w:numPr>
          <w:ilvl w:val="0"/>
          <w:numId w:val="0"/>
        </w:numPr>
        <w:tabs>
          <w:tab w:val="left" w:pos="1276"/>
        </w:tabs>
        <w:kinsoku/>
        <w:wordWrap/>
        <w:overflowPunct/>
        <w:topLinePunct w:val="0"/>
        <w:autoSpaceDE/>
        <w:autoSpaceDN/>
        <w:bidi w:val="0"/>
        <w:snapToGrid/>
        <w:spacing w:line="360" w:lineRule="auto"/>
        <w:ind w:leftChars="0"/>
        <w:jc w:val="both"/>
        <w:rPr>
          <w:rFonts w:hint="default" w:ascii="Arial" w:hAnsi="Arial" w:cs="Arial"/>
          <w:sz w:val="22"/>
          <w:szCs w:val="22"/>
        </w:rPr>
      </w:pPr>
      <w:r>
        <w:rPr>
          <w:rFonts w:hint="default" w:ascii="Arial" w:hAnsi="Arial" w:cs="Arial"/>
          <w:sz w:val="22"/>
          <w:szCs w:val="22"/>
        </w:rPr>
        <w:t>Emissor: PREFEITURA / Empresa CONTRATADA.</w:t>
      </w:r>
    </w:p>
    <w:p w14:paraId="5E00F633">
      <w:pPr>
        <w:pStyle w:val="165"/>
        <w:keepNext w:val="0"/>
        <w:keepLines w:val="0"/>
        <w:pageBreakBefore w:val="0"/>
        <w:numPr>
          <w:ilvl w:val="0"/>
          <w:numId w:val="0"/>
        </w:numPr>
        <w:tabs>
          <w:tab w:val="left" w:pos="1276"/>
        </w:tabs>
        <w:kinsoku/>
        <w:wordWrap/>
        <w:overflowPunct/>
        <w:topLinePunct w:val="0"/>
        <w:autoSpaceDE/>
        <w:autoSpaceDN/>
        <w:bidi w:val="0"/>
        <w:snapToGrid/>
        <w:spacing w:line="360" w:lineRule="auto"/>
        <w:ind w:leftChars="0"/>
        <w:jc w:val="both"/>
        <w:rPr>
          <w:rFonts w:hint="default" w:ascii="Arial" w:hAnsi="Arial" w:cs="Arial"/>
          <w:sz w:val="22"/>
          <w:szCs w:val="22"/>
        </w:rPr>
      </w:pPr>
      <w:r>
        <w:rPr>
          <w:rFonts w:hint="default" w:ascii="Arial" w:hAnsi="Arial" w:cs="Arial"/>
          <w:sz w:val="22"/>
          <w:szCs w:val="22"/>
        </w:rPr>
        <w:t>Destinatário: PREFEITURA / Empresa CONTRATADA.</w:t>
      </w:r>
    </w:p>
    <w:p w14:paraId="3E407698">
      <w:pPr>
        <w:pStyle w:val="165"/>
        <w:keepNext w:val="0"/>
        <w:keepLines w:val="0"/>
        <w:pageBreakBefore w:val="0"/>
        <w:numPr>
          <w:ilvl w:val="0"/>
          <w:numId w:val="0"/>
        </w:numPr>
        <w:tabs>
          <w:tab w:val="left" w:pos="1276"/>
        </w:tabs>
        <w:kinsoku/>
        <w:wordWrap/>
        <w:overflowPunct/>
        <w:topLinePunct w:val="0"/>
        <w:autoSpaceDE/>
        <w:autoSpaceDN/>
        <w:bidi w:val="0"/>
        <w:snapToGrid/>
        <w:spacing w:line="360" w:lineRule="auto"/>
        <w:ind w:leftChars="0"/>
        <w:jc w:val="both"/>
        <w:rPr>
          <w:rFonts w:hint="default" w:ascii="Arial" w:hAnsi="Arial" w:cs="Arial"/>
          <w:sz w:val="22"/>
          <w:szCs w:val="22"/>
        </w:rPr>
      </w:pPr>
      <w:r>
        <w:rPr>
          <w:rFonts w:hint="default" w:ascii="Arial" w:hAnsi="Arial" w:cs="Arial"/>
          <w:sz w:val="22"/>
          <w:szCs w:val="22"/>
        </w:rPr>
        <w:t>Forma de Comunicação: E-mail, telefone, ofício, correspondência oficial, fax ou qualquer outra forma acordada.</w:t>
      </w:r>
    </w:p>
    <w:p w14:paraId="33E80991">
      <w:pPr>
        <w:pStyle w:val="165"/>
        <w:keepNext w:val="0"/>
        <w:keepLines w:val="0"/>
        <w:pageBreakBefore w:val="0"/>
        <w:numPr>
          <w:ilvl w:val="0"/>
          <w:numId w:val="0"/>
        </w:numPr>
        <w:tabs>
          <w:tab w:val="left" w:pos="1276"/>
        </w:tabs>
        <w:kinsoku/>
        <w:wordWrap/>
        <w:overflowPunct/>
        <w:topLinePunct w:val="0"/>
        <w:autoSpaceDE/>
        <w:autoSpaceDN/>
        <w:bidi w:val="0"/>
        <w:snapToGrid/>
        <w:spacing w:line="360" w:lineRule="auto"/>
        <w:ind w:leftChars="0"/>
        <w:jc w:val="both"/>
        <w:rPr>
          <w:rFonts w:hint="default" w:ascii="Arial" w:hAnsi="Arial" w:cs="Arial"/>
          <w:sz w:val="22"/>
          <w:szCs w:val="22"/>
        </w:rPr>
      </w:pPr>
      <w:r>
        <w:rPr>
          <w:rFonts w:hint="default" w:ascii="Arial" w:hAnsi="Arial" w:cs="Arial"/>
          <w:sz w:val="22"/>
          <w:szCs w:val="22"/>
        </w:rPr>
        <w:t>Periodicidade: Sempre disponível em horário comercial.</w:t>
      </w:r>
    </w:p>
    <w:p w14:paraId="72DE7460">
      <w:pPr>
        <w:pStyle w:val="165"/>
        <w:keepNext w:val="0"/>
        <w:keepLines w:val="0"/>
        <w:pageBreakBefore w:val="0"/>
        <w:numPr>
          <w:ilvl w:val="0"/>
          <w:numId w:val="0"/>
        </w:numPr>
        <w:tabs>
          <w:tab w:val="left" w:pos="1276"/>
        </w:tabs>
        <w:kinsoku/>
        <w:wordWrap/>
        <w:overflowPunct/>
        <w:topLinePunct w:val="0"/>
        <w:autoSpaceDE/>
        <w:autoSpaceDN/>
        <w:bidi w:val="0"/>
        <w:snapToGrid/>
        <w:spacing w:line="360" w:lineRule="auto"/>
        <w:ind w:leftChars="0"/>
        <w:jc w:val="both"/>
        <w:rPr>
          <w:rFonts w:hint="default" w:ascii="Arial" w:hAnsi="Arial" w:cs="Arial"/>
          <w:sz w:val="22"/>
          <w:szCs w:val="22"/>
        </w:rPr>
      </w:pPr>
    </w:p>
    <w:p w14:paraId="4C15D5D7">
      <w:pPr>
        <w:pStyle w:val="165"/>
        <w:keepNext w:val="0"/>
        <w:keepLines w:val="0"/>
        <w:pageBreakBefore w:val="0"/>
        <w:numPr>
          <w:ilvl w:val="0"/>
          <w:numId w:val="0"/>
        </w:numPr>
        <w:tabs>
          <w:tab w:val="left" w:pos="1276"/>
        </w:tabs>
        <w:kinsoku/>
        <w:wordWrap/>
        <w:overflowPunct/>
        <w:topLinePunct w:val="0"/>
        <w:autoSpaceDE/>
        <w:autoSpaceDN/>
        <w:bidi w:val="0"/>
        <w:snapToGrid/>
        <w:spacing w:line="360" w:lineRule="auto"/>
        <w:ind w:leftChars="0"/>
        <w:jc w:val="both"/>
        <w:rPr>
          <w:rFonts w:hint="default" w:ascii="Arial" w:hAnsi="Arial" w:cs="Arial"/>
          <w:sz w:val="22"/>
          <w:szCs w:val="22"/>
        </w:rPr>
      </w:pPr>
      <w:r>
        <w:rPr>
          <w:rFonts w:hint="default" w:ascii="Arial" w:hAnsi="Arial" w:cs="Arial"/>
          <w:b/>
          <w:bCs/>
          <w:sz w:val="22"/>
          <w:szCs w:val="22"/>
          <w:lang w:val="pt-BR"/>
        </w:rPr>
        <w:t>14.1.3</w:t>
      </w:r>
      <w:r>
        <w:rPr>
          <w:rFonts w:hint="default" w:ascii="Arial" w:hAnsi="Arial" w:cs="Arial"/>
          <w:sz w:val="22"/>
          <w:szCs w:val="22"/>
          <w:lang w:val="pt-BR"/>
        </w:rPr>
        <w:t xml:space="preserve"> </w:t>
      </w:r>
      <w:r>
        <w:rPr>
          <w:rFonts w:hint="default" w:ascii="Arial" w:hAnsi="Arial" w:cs="Arial"/>
          <w:sz w:val="22"/>
          <w:szCs w:val="22"/>
        </w:rPr>
        <w:t>Suporte Técnico:</w:t>
      </w:r>
    </w:p>
    <w:p w14:paraId="29A78ADA">
      <w:pPr>
        <w:pStyle w:val="165"/>
        <w:keepNext w:val="0"/>
        <w:keepLines w:val="0"/>
        <w:pageBreakBefore w:val="0"/>
        <w:numPr>
          <w:ilvl w:val="0"/>
          <w:numId w:val="0"/>
        </w:numPr>
        <w:tabs>
          <w:tab w:val="left" w:pos="1276"/>
        </w:tabs>
        <w:kinsoku/>
        <w:wordWrap/>
        <w:overflowPunct/>
        <w:topLinePunct w:val="0"/>
        <w:autoSpaceDE/>
        <w:autoSpaceDN/>
        <w:bidi w:val="0"/>
        <w:snapToGrid/>
        <w:spacing w:line="360" w:lineRule="auto"/>
        <w:ind w:leftChars="0"/>
        <w:jc w:val="both"/>
        <w:rPr>
          <w:rFonts w:hint="default" w:ascii="Arial" w:hAnsi="Arial" w:cs="Arial"/>
          <w:sz w:val="22"/>
          <w:szCs w:val="22"/>
        </w:rPr>
      </w:pPr>
      <w:r>
        <w:rPr>
          <w:rFonts w:hint="default" w:ascii="Arial" w:hAnsi="Arial" w:cs="Arial"/>
          <w:sz w:val="22"/>
          <w:szCs w:val="22"/>
        </w:rPr>
        <w:t>Emissor: PREFEITURA / Empresa CONTRATADA.</w:t>
      </w:r>
    </w:p>
    <w:p w14:paraId="3647E359">
      <w:pPr>
        <w:pStyle w:val="165"/>
        <w:keepNext w:val="0"/>
        <w:keepLines w:val="0"/>
        <w:pageBreakBefore w:val="0"/>
        <w:numPr>
          <w:ilvl w:val="0"/>
          <w:numId w:val="0"/>
        </w:numPr>
        <w:tabs>
          <w:tab w:val="left" w:pos="1276"/>
        </w:tabs>
        <w:kinsoku/>
        <w:wordWrap/>
        <w:overflowPunct/>
        <w:topLinePunct w:val="0"/>
        <w:autoSpaceDE/>
        <w:autoSpaceDN/>
        <w:bidi w:val="0"/>
        <w:snapToGrid/>
        <w:spacing w:line="360" w:lineRule="auto"/>
        <w:ind w:leftChars="0"/>
        <w:jc w:val="both"/>
        <w:rPr>
          <w:rFonts w:hint="default" w:ascii="Arial" w:hAnsi="Arial" w:cs="Arial"/>
          <w:sz w:val="22"/>
          <w:szCs w:val="22"/>
        </w:rPr>
      </w:pPr>
      <w:r>
        <w:rPr>
          <w:rFonts w:hint="default" w:ascii="Arial" w:hAnsi="Arial" w:cs="Arial"/>
          <w:sz w:val="22"/>
          <w:szCs w:val="22"/>
        </w:rPr>
        <w:t>Destinatário: PREFEITURA / Empresa CONTRATADA.</w:t>
      </w:r>
    </w:p>
    <w:p w14:paraId="582CE07D">
      <w:pPr>
        <w:pStyle w:val="165"/>
        <w:keepNext w:val="0"/>
        <w:keepLines w:val="0"/>
        <w:pageBreakBefore w:val="0"/>
        <w:numPr>
          <w:ilvl w:val="0"/>
          <w:numId w:val="0"/>
        </w:numPr>
        <w:tabs>
          <w:tab w:val="left" w:pos="1276"/>
        </w:tabs>
        <w:kinsoku/>
        <w:wordWrap/>
        <w:overflowPunct/>
        <w:topLinePunct w:val="0"/>
        <w:autoSpaceDE/>
        <w:autoSpaceDN/>
        <w:bidi w:val="0"/>
        <w:snapToGrid/>
        <w:spacing w:line="360" w:lineRule="auto"/>
        <w:ind w:leftChars="0"/>
        <w:jc w:val="both"/>
        <w:rPr>
          <w:rFonts w:hint="default" w:ascii="Arial" w:hAnsi="Arial" w:cs="Arial"/>
          <w:sz w:val="22"/>
          <w:szCs w:val="22"/>
        </w:rPr>
      </w:pPr>
      <w:r>
        <w:rPr>
          <w:rFonts w:hint="default" w:ascii="Arial" w:hAnsi="Arial" w:cs="Arial"/>
          <w:sz w:val="22"/>
          <w:szCs w:val="22"/>
        </w:rPr>
        <w:t>Forma de Comunicação: Página web, e-mail ou telefone com custo de ligação local.</w:t>
      </w:r>
    </w:p>
    <w:p w14:paraId="22A1E58E">
      <w:pPr>
        <w:pStyle w:val="165"/>
        <w:keepNext w:val="0"/>
        <w:keepLines w:val="0"/>
        <w:pageBreakBefore w:val="0"/>
        <w:numPr>
          <w:ilvl w:val="0"/>
          <w:numId w:val="0"/>
        </w:numPr>
        <w:tabs>
          <w:tab w:val="left" w:pos="1276"/>
        </w:tabs>
        <w:kinsoku/>
        <w:wordWrap/>
        <w:overflowPunct/>
        <w:topLinePunct w:val="0"/>
        <w:autoSpaceDE/>
        <w:autoSpaceDN/>
        <w:bidi w:val="0"/>
        <w:snapToGrid/>
        <w:spacing w:line="360" w:lineRule="auto"/>
        <w:ind w:leftChars="0"/>
        <w:jc w:val="both"/>
        <w:rPr>
          <w:rFonts w:hint="default" w:ascii="Arial" w:hAnsi="Arial" w:cs="Arial"/>
          <w:sz w:val="22"/>
          <w:szCs w:val="22"/>
        </w:rPr>
      </w:pPr>
      <w:r>
        <w:rPr>
          <w:rFonts w:hint="default" w:ascii="Arial" w:hAnsi="Arial" w:cs="Arial"/>
          <w:sz w:val="22"/>
          <w:szCs w:val="22"/>
        </w:rPr>
        <w:t>Periodicidade: Tempo integral (24 horas por dia X 7 dias por semana).</w:t>
      </w:r>
    </w:p>
    <w:p w14:paraId="0F9337AD">
      <w:pPr>
        <w:tabs>
          <w:tab w:val="left" w:pos="0"/>
        </w:tabs>
        <w:suppressAutoHyphens/>
        <w:autoSpaceDE w:val="0"/>
        <w:spacing w:before="100" w:beforeAutospacing="1" w:after="100" w:afterAutospacing="1" w:line="360" w:lineRule="auto"/>
        <w:jc w:val="both"/>
        <w:rPr>
          <w:rFonts w:ascii="Arial" w:hAnsi="Arial" w:eastAsia="Calibri" w:cs="Arial"/>
          <w:kern w:val="1"/>
          <w:sz w:val="22"/>
          <w:szCs w:val="22"/>
          <w:lang w:eastAsia="ar-SA"/>
        </w:rPr>
      </w:pPr>
      <w:r>
        <w:rPr>
          <w:rFonts w:hint="default" w:ascii="Arial" w:hAnsi="Arial" w:cs="Arial"/>
          <w:b/>
          <w:bCs/>
          <w:sz w:val="22"/>
          <w:szCs w:val="22"/>
          <w:lang w:val="pt-BR"/>
        </w:rPr>
        <w:t>14.1.4</w:t>
      </w:r>
      <w:r>
        <w:rPr>
          <w:rFonts w:hint="default" w:ascii="Arial" w:hAnsi="Arial" w:cs="Arial"/>
          <w:sz w:val="22"/>
          <w:szCs w:val="22"/>
          <w:lang w:val="pt-BR"/>
        </w:rPr>
        <w:t xml:space="preserve"> </w:t>
      </w:r>
      <w:r>
        <w:rPr>
          <w:rFonts w:hint="default" w:ascii="Arial" w:hAnsi="Arial" w:cs="Arial"/>
          <w:sz w:val="22"/>
          <w:szCs w:val="22"/>
        </w:rPr>
        <w:t>CONTRATADA deverá protocolar qualquer documento entregue à PREFEITURA no Protocolo geral, localizado na Rua das Avencas, 1481, centro, Sinop-MT (Secretaria de Administração);</w:t>
      </w:r>
    </w:p>
    <w:p w14:paraId="0D8FD0A3">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Décima </w:t>
      </w:r>
      <w:r>
        <w:rPr>
          <w:rFonts w:hint="default" w:ascii="Arial" w:hAnsi="Arial" w:eastAsia="Calibri" w:cs="Arial"/>
          <w:b/>
          <w:bCs/>
          <w:kern w:val="1"/>
          <w:sz w:val="22"/>
          <w:szCs w:val="22"/>
          <w:lang w:val="pt-BR" w:eastAsia="ar-SA"/>
        </w:rPr>
        <w:t>Quinta</w:t>
      </w:r>
      <w:r>
        <w:rPr>
          <w:rFonts w:ascii="Arial" w:hAnsi="Arial" w:eastAsia="Calibri" w:cs="Arial"/>
          <w:b/>
          <w:bCs/>
          <w:kern w:val="1"/>
          <w:sz w:val="22"/>
          <w:szCs w:val="22"/>
          <w:lang w:eastAsia="ar-SA"/>
        </w:rPr>
        <w:t xml:space="preserve"> </w:t>
      </w:r>
    </w:p>
    <w:p w14:paraId="6FD8AE6E">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AS ALTERAÇÕES</w:t>
      </w:r>
    </w:p>
    <w:p w14:paraId="097AE326">
      <w:pPr>
        <w:pStyle w:val="134"/>
        <w:numPr>
          <w:ilvl w:val="0"/>
          <w:numId w:val="0"/>
        </w:numPr>
        <w:spacing w:line="360" w:lineRule="auto"/>
        <w:ind w:leftChars="0"/>
        <w:rPr>
          <w:rFonts w:hint="default" w:ascii="Arial" w:hAnsi="Arial" w:cs="Arial"/>
          <w:color w:val="auto"/>
          <w:sz w:val="22"/>
          <w:szCs w:val="22"/>
          <w:highlight w:val="none"/>
          <w:u w:val="none"/>
        </w:rPr>
      </w:pPr>
      <w:r>
        <w:rPr>
          <w:rFonts w:hint="default"/>
          <w:b/>
          <w:bCs/>
          <w:color w:val="auto"/>
          <w:sz w:val="22"/>
          <w:szCs w:val="22"/>
          <w:highlight w:val="none"/>
          <w:u w:val="none"/>
          <w:lang w:val="pt-BR"/>
        </w:rPr>
        <w:t>15.1.</w:t>
      </w:r>
      <w:r>
        <w:rPr>
          <w:rFonts w:hint="default"/>
          <w:color w:val="auto"/>
          <w:sz w:val="22"/>
          <w:szCs w:val="22"/>
          <w:highlight w:val="none"/>
          <w:u w:val="none"/>
          <w:lang w:val="pt-BR"/>
        </w:rPr>
        <w:t xml:space="preserve"> </w:t>
      </w:r>
      <w:r>
        <w:rPr>
          <w:rFonts w:hint="default" w:ascii="Arial" w:hAnsi="Arial" w:cs="Arial"/>
          <w:color w:val="auto"/>
          <w:sz w:val="22"/>
          <w:szCs w:val="22"/>
          <w:highlight w:val="none"/>
          <w:u w:val="none"/>
        </w:rPr>
        <w:t xml:space="preserve">Eventuais alterações contratuais reger-se-ão pela disciplina dos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"http://www.planalto.gov.br/ccivil_03/_ato2019-2022/2021/lei/L14133.htm" \l "art124" </w:instrText>
      </w:r>
      <w:r>
        <w:rPr>
          <w:rFonts w:hint="default" w:ascii="Arial" w:hAnsi="Arial" w:cs="Arial"/>
          <w:color w:val="auto"/>
          <w:sz w:val="22"/>
          <w:szCs w:val="22"/>
          <w:highlight w:val="none"/>
          <w:u w:val="none"/>
        </w:rPr>
        <w:fldChar w:fldCharType="separate"/>
      </w:r>
      <w:r>
        <w:rPr>
          <w:rStyle w:val="15"/>
          <w:rFonts w:hint="default" w:ascii="Arial" w:hAnsi="Arial" w:cs="Arial"/>
          <w:color w:val="auto"/>
          <w:sz w:val="22"/>
          <w:szCs w:val="22"/>
          <w:highlight w:val="none"/>
          <w:u w:val="none"/>
        </w:rPr>
        <w:t xml:space="preserve">arts. 124 e seguintes da Lei </w:t>
      </w:r>
      <w:r>
        <w:rPr>
          <w:rStyle w:val="15"/>
          <w:rFonts w:hint="default" w:ascii="Arial" w:hAnsi="Arial" w:cs="Arial"/>
          <w:color w:val="auto"/>
          <w:sz w:val="22"/>
          <w:szCs w:val="22"/>
          <w:highlight w:val="none"/>
          <w:u w:val="none"/>
          <w:lang w:val="pt-BR"/>
        </w:rPr>
        <w:t xml:space="preserve">Federal </w:t>
      </w:r>
      <w:r>
        <w:rPr>
          <w:rStyle w:val="15"/>
          <w:rFonts w:hint="default" w:ascii="Arial" w:hAnsi="Arial" w:cs="Arial"/>
          <w:color w:val="auto"/>
          <w:sz w:val="22"/>
          <w:szCs w:val="22"/>
          <w:highlight w:val="none"/>
          <w:u w:val="none"/>
        </w:rPr>
        <w:t>nº 14.133</w:t>
      </w:r>
      <w:r>
        <w:rPr>
          <w:rStyle w:val="15"/>
          <w:rFonts w:hint="default" w:ascii="Arial" w:hAnsi="Arial" w:cs="Arial"/>
          <w:color w:val="auto"/>
          <w:sz w:val="22"/>
          <w:szCs w:val="22"/>
          <w:highlight w:val="none"/>
          <w:u w:val="none"/>
          <w:lang w:val="pt-BR"/>
        </w:rPr>
        <w:t>/</w:t>
      </w:r>
      <w:r>
        <w:rPr>
          <w:rStyle w:val="15"/>
          <w:rFonts w:hint="default" w:ascii="Arial" w:hAnsi="Arial" w:cs="Arial"/>
          <w:color w:val="auto"/>
          <w:sz w:val="22"/>
          <w:szCs w:val="22"/>
          <w:highlight w:val="none"/>
          <w:u w:val="none"/>
        </w:rPr>
        <w:t>2021</w:t>
      </w:r>
      <w:r>
        <w:rPr>
          <w:rStyle w:val="15"/>
          <w:rFonts w:hint="default" w:ascii="Arial" w:hAnsi="Arial" w:cs="Arial"/>
          <w:color w:val="auto"/>
          <w:sz w:val="22"/>
          <w:szCs w:val="22"/>
          <w:highlight w:val="none"/>
          <w:u w:val="none"/>
        </w:rPr>
        <w:fldChar w:fldCharType="end"/>
      </w:r>
      <w:r>
        <w:rPr>
          <w:rFonts w:hint="default" w:ascii="Arial" w:hAnsi="Arial" w:cs="Arial"/>
          <w:color w:val="auto"/>
          <w:sz w:val="22"/>
          <w:szCs w:val="22"/>
          <w:highlight w:val="none"/>
          <w:u w:val="none"/>
        </w:rPr>
        <w:t>.</w:t>
      </w:r>
    </w:p>
    <w:p w14:paraId="02630F41">
      <w:pPr>
        <w:pStyle w:val="134"/>
        <w:numPr>
          <w:ilvl w:val="0"/>
          <w:numId w:val="0"/>
        </w:numPr>
        <w:spacing w:line="360" w:lineRule="auto"/>
        <w:ind w:leftChars="0"/>
        <w:rPr>
          <w:rFonts w:hint="default" w:ascii="Arial" w:hAnsi="Arial" w:cs="Arial"/>
          <w:color w:val="auto"/>
          <w:sz w:val="22"/>
          <w:szCs w:val="22"/>
          <w:highlight w:val="none"/>
          <w:u w:val="none"/>
        </w:rPr>
      </w:pPr>
      <w:r>
        <w:rPr>
          <w:rFonts w:hint="default" w:ascii="Arial" w:hAnsi="Arial" w:cs="Arial"/>
          <w:b/>
          <w:bCs/>
          <w:color w:val="auto"/>
          <w:sz w:val="22"/>
          <w:szCs w:val="22"/>
          <w:highlight w:val="none"/>
          <w:u w:val="none"/>
          <w:lang w:val="pt-BR"/>
        </w:rPr>
        <w:t>15.2.</w:t>
      </w:r>
      <w:r>
        <w:rPr>
          <w:rFonts w:hint="default" w:ascii="Arial" w:hAnsi="Arial" w:cs="Arial"/>
          <w:color w:val="auto"/>
          <w:sz w:val="22"/>
          <w:szCs w:val="22"/>
          <w:highlight w:val="none"/>
          <w:u w:val="none"/>
          <w:lang w:val="pt-BR"/>
        </w:rPr>
        <w:t xml:space="preserve"> A</w:t>
      </w:r>
      <w:r>
        <w:rPr>
          <w:rFonts w:hint="default" w:ascii="Arial" w:hAnsi="Arial" w:cs="Arial"/>
          <w:color w:val="auto"/>
          <w:sz w:val="22"/>
          <w:szCs w:val="22"/>
          <w:highlight w:val="none"/>
          <w:u w:val="none"/>
        </w:rPr>
        <w:t xml:space="preserve"> </w:t>
      </w:r>
      <w:r>
        <w:rPr>
          <w:rFonts w:hint="default" w:ascii="Arial" w:hAnsi="Arial" w:cs="Arial"/>
          <w:color w:val="auto"/>
          <w:sz w:val="22"/>
          <w:szCs w:val="22"/>
          <w:highlight w:val="none"/>
          <w:u w:val="none"/>
          <w:lang w:val="pt-BR"/>
        </w:rPr>
        <w:t>C</w:t>
      </w:r>
      <w:r>
        <w:rPr>
          <w:rFonts w:hint="default" w:ascii="Arial" w:hAnsi="Arial" w:cs="Arial"/>
          <w:color w:val="auto"/>
          <w:sz w:val="22"/>
          <w:szCs w:val="22"/>
          <w:highlight w:val="none"/>
          <w:u w:val="none"/>
        </w:rPr>
        <w:t>ontratad</w:t>
      </w:r>
      <w:r>
        <w:rPr>
          <w:rFonts w:hint="default" w:ascii="Arial" w:hAnsi="Arial" w:cs="Arial"/>
          <w:color w:val="auto"/>
          <w:sz w:val="22"/>
          <w:szCs w:val="22"/>
          <w:highlight w:val="none"/>
          <w:u w:val="none"/>
          <w:lang w:val="pt-BR"/>
        </w:rPr>
        <w:t>a</w:t>
      </w:r>
      <w:r>
        <w:rPr>
          <w:rFonts w:hint="default" w:ascii="Arial" w:hAnsi="Arial" w:cs="Arial"/>
          <w:color w:val="auto"/>
          <w:sz w:val="22"/>
          <w:szCs w:val="22"/>
          <w:highlight w:val="none"/>
          <w:u w:val="none"/>
        </w:rPr>
        <w:t xml:space="preserve"> é obrigad</w:t>
      </w:r>
      <w:r>
        <w:rPr>
          <w:rFonts w:hint="default" w:ascii="Arial" w:hAnsi="Arial" w:cs="Arial"/>
          <w:color w:val="auto"/>
          <w:sz w:val="22"/>
          <w:szCs w:val="22"/>
          <w:highlight w:val="none"/>
          <w:u w:val="none"/>
          <w:lang w:val="pt-BR"/>
        </w:rPr>
        <w:t>a</w:t>
      </w:r>
      <w:r>
        <w:rPr>
          <w:rFonts w:hint="default" w:ascii="Arial" w:hAnsi="Arial" w:cs="Arial"/>
          <w:color w:val="auto"/>
          <w:sz w:val="22"/>
          <w:szCs w:val="22"/>
          <w:highlight w:val="none"/>
          <w:u w:val="none"/>
        </w:rPr>
        <w:t xml:space="preserve"> a aceitar, nas mesmas condições contratuais, os acréscimos ou supressões que se fizerem necessários, até o limite de 25% (vinte e cinco por cento) do valor inicial atualizado do contrato.</w:t>
      </w:r>
    </w:p>
    <w:p w14:paraId="07744282">
      <w:pPr>
        <w:pStyle w:val="134"/>
        <w:numPr>
          <w:ilvl w:val="0"/>
          <w:numId w:val="0"/>
        </w:numPr>
        <w:spacing w:line="360" w:lineRule="auto"/>
        <w:ind w:leftChars="0"/>
        <w:rPr>
          <w:rFonts w:hint="default" w:ascii="Arial" w:hAnsi="Arial" w:cs="Arial"/>
          <w:color w:val="auto"/>
          <w:sz w:val="22"/>
          <w:szCs w:val="22"/>
          <w:highlight w:val="none"/>
          <w:u w:val="none"/>
        </w:rPr>
      </w:pPr>
      <w:r>
        <w:rPr>
          <w:rFonts w:hint="default" w:ascii="Arial" w:hAnsi="Arial" w:cs="Arial"/>
          <w:b/>
          <w:bCs/>
          <w:color w:val="auto"/>
          <w:sz w:val="22"/>
          <w:szCs w:val="22"/>
          <w:highlight w:val="none"/>
          <w:u w:val="none"/>
          <w:lang w:val="pt-BR"/>
        </w:rPr>
        <w:t>15.3.</w:t>
      </w:r>
      <w:r>
        <w:rPr>
          <w:rFonts w:hint="default" w:ascii="Arial" w:hAnsi="Arial" w:cs="Arial"/>
          <w:color w:val="auto"/>
          <w:sz w:val="22"/>
          <w:szCs w:val="22"/>
          <w:highlight w:val="none"/>
          <w:u w:val="none"/>
          <w:lang w:val="pt-BR"/>
        </w:rPr>
        <w:t xml:space="preserve"> </w:t>
      </w:r>
      <w:r>
        <w:rPr>
          <w:rFonts w:hint="default" w:ascii="Arial" w:hAnsi="Arial" w:cs="Arial"/>
          <w:color w:val="auto"/>
          <w:sz w:val="22"/>
          <w:szCs w:val="22"/>
          <w:highlight w:val="none"/>
          <w:u w:val="none"/>
        </w:rPr>
        <w:t xml:space="preserve">As alterações contratuais deverão ser promovidas mediante celebração de </w:t>
      </w:r>
      <w:r>
        <w:rPr>
          <w:rFonts w:hint="default" w:ascii="Arial" w:hAnsi="Arial" w:cs="Arial"/>
          <w:color w:val="auto"/>
          <w:sz w:val="22"/>
          <w:szCs w:val="22"/>
          <w:highlight w:val="none"/>
          <w:u w:val="none"/>
          <w:lang w:val="pt-BR"/>
        </w:rPr>
        <w:t>T</w:t>
      </w:r>
      <w:r>
        <w:rPr>
          <w:rFonts w:hint="default" w:ascii="Arial" w:hAnsi="Arial" w:cs="Arial"/>
          <w:color w:val="auto"/>
          <w:sz w:val="22"/>
          <w:szCs w:val="22"/>
          <w:highlight w:val="none"/>
          <w:u w:val="none"/>
        </w:rPr>
        <w:t xml:space="preserve">ermo </w:t>
      </w:r>
      <w:r>
        <w:rPr>
          <w:rFonts w:hint="default" w:ascii="Arial" w:hAnsi="Arial" w:cs="Arial"/>
          <w:color w:val="auto"/>
          <w:sz w:val="22"/>
          <w:szCs w:val="22"/>
          <w:highlight w:val="none"/>
          <w:u w:val="none"/>
          <w:lang w:val="pt-BR"/>
        </w:rPr>
        <w:t>A</w:t>
      </w:r>
      <w:r>
        <w:rPr>
          <w:rFonts w:hint="default" w:ascii="Arial" w:hAnsi="Arial" w:cs="Arial"/>
          <w:color w:val="auto"/>
          <w:sz w:val="22"/>
          <w:szCs w:val="22"/>
          <w:highlight w:val="none"/>
          <w:u w:val="none"/>
        </w:rPr>
        <w:t xml:space="preserve">ditivo, submetido à prévia aprovação da </w:t>
      </w:r>
      <w:r>
        <w:rPr>
          <w:rFonts w:hint="default" w:ascii="Arial" w:hAnsi="Arial" w:cs="Arial"/>
          <w:color w:val="auto"/>
          <w:sz w:val="22"/>
          <w:szCs w:val="22"/>
          <w:highlight w:val="none"/>
          <w:u w:val="none"/>
          <w:lang w:val="pt-BR"/>
        </w:rPr>
        <w:t>Procuradoria Jurídica do Município</w:t>
      </w:r>
      <w:r>
        <w:rPr>
          <w:rFonts w:hint="default" w:ascii="Arial" w:hAnsi="Arial" w:cs="Arial"/>
          <w:color w:val="auto"/>
          <w:sz w:val="22"/>
          <w:szCs w:val="22"/>
          <w:highlight w:val="none"/>
          <w:u w:val="none"/>
        </w:rPr>
        <w:t xml:space="preserve"> d</w:t>
      </w:r>
      <w:r>
        <w:rPr>
          <w:rFonts w:hint="default" w:ascii="Arial" w:hAnsi="Arial" w:cs="Arial"/>
          <w:color w:val="auto"/>
          <w:sz w:val="22"/>
          <w:szCs w:val="22"/>
          <w:highlight w:val="none"/>
          <w:u w:val="none"/>
          <w:lang w:val="pt-BR"/>
        </w:rPr>
        <w:t>a</w:t>
      </w:r>
      <w:r>
        <w:rPr>
          <w:rFonts w:hint="default" w:ascii="Arial" w:hAnsi="Arial" w:cs="Arial"/>
          <w:color w:val="auto"/>
          <w:sz w:val="22"/>
          <w:szCs w:val="22"/>
          <w:highlight w:val="none"/>
          <w:u w:val="none"/>
        </w:rPr>
        <w:t xml:space="preserve"> </w:t>
      </w:r>
      <w:r>
        <w:rPr>
          <w:rFonts w:hint="default" w:ascii="Arial" w:hAnsi="Arial" w:cs="Arial"/>
          <w:color w:val="auto"/>
          <w:sz w:val="22"/>
          <w:szCs w:val="22"/>
          <w:highlight w:val="none"/>
          <w:u w:val="none"/>
          <w:lang w:val="pt-BR"/>
        </w:rPr>
        <w:t>C</w:t>
      </w:r>
      <w:r>
        <w:rPr>
          <w:rFonts w:hint="default" w:ascii="Arial" w:hAnsi="Arial" w:cs="Arial"/>
          <w:color w:val="auto"/>
          <w:sz w:val="22"/>
          <w:szCs w:val="22"/>
          <w:highlight w:val="none"/>
          <w:u w:val="none"/>
        </w:rPr>
        <w:t xml:space="preserve">ontratante, salvo nos casos de justificada necessidade de antecipação de seus efeitos, hipótese em que a formalização do aditivo deverá ocorrer no prazo máximo de 1 (um) mês (art. 132 da Lei </w:t>
      </w:r>
      <w:r>
        <w:rPr>
          <w:rFonts w:hint="default" w:ascii="Arial" w:hAnsi="Arial" w:cs="Arial"/>
          <w:color w:val="auto"/>
          <w:sz w:val="22"/>
          <w:szCs w:val="22"/>
          <w:highlight w:val="none"/>
          <w:u w:val="none"/>
          <w:lang w:val="pt-BR"/>
        </w:rPr>
        <w:t xml:space="preserve">Federal </w:t>
      </w:r>
      <w:r>
        <w:rPr>
          <w:rFonts w:hint="default" w:ascii="Arial" w:hAnsi="Arial" w:cs="Arial"/>
          <w:color w:val="auto"/>
          <w:sz w:val="22"/>
          <w:szCs w:val="22"/>
          <w:highlight w:val="none"/>
          <w:u w:val="none"/>
        </w:rPr>
        <w:t>nº 14.133</w:t>
      </w:r>
      <w:r>
        <w:rPr>
          <w:rFonts w:hint="default" w:ascii="Arial" w:hAnsi="Arial" w:cs="Arial"/>
          <w:color w:val="auto"/>
          <w:sz w:val="22"/>
          <w:szCs w:val="22"/>
          <w:highlight w:val="none"/>
          <w:u w:val="none"/>
          <w:lang w:val="pt-BR"/>
        </w:rPr>
        <w:t>/</w:t>
      </w:r>
      <w:r>
        <w:rPr>
          <w:rFonts w:hint="default" w:ascii="Arial" w:hAnsi="Arial" w:cs="Arial"/>
          <w:color w:val="auto"/>
          <w:sz w:val="22"/>
          <w:szCs w:val="22"/>
          <w:highlight w:val="none"/>
          <w:u w:val="none"/>
        </w:rPr>
        <w:t>2021).</w:t>
      </w:r>
    </w:p>
    <w:p w14:paraId="24C6344B">
      <w:pPr>
        <w:pStyle w:val="134"/>
        <w:numPr>
          <w:ilvl w:val="0"/>
          <w:numId w:val="0"/>
        </w:numPr>
        <w:spacing w:line="360" w:lineRule="auto"/>
        <w:ind w:leftChars="0"/>
        <w:rPr>
          <w:rFonts w:hint="default" w:ascii="Arial" w:hAnsi="Arial" w:cs="Arial"/>
          <w:color w:val="auto"/>
          <w:sz w:val="22"/>
          <w:szCs w:val="22"/>
          <w:highlight w:val="none"/>
          <w:u w:val="none"/>
        </w:rPr>
      </w:pPr>
      <w:r>
        <w:rPr>
          <w:rFonts w:hint="default" w:ascii="Arial" w:hAnsi="Arial" w:cs="Arial"/>
          <w:b/>
          <w:bCs/>
          <w:color w:val="auto"/>
          <w:sz w:val="22"/>
          <w:szCs w:val="22"/>
          <w:highlight w:val="none"/>
          <w:u w:val="none"/>
          <w:lang w:val="pt-BR"/>
        </w:rPr>
        <w:t xml:space="preserve">15.4. </w:t>
      </w:r>
      <w:r>
        <w:rPr>
          <w:rFonts w:hint="default" w:ascii="Arial" w:hAnsi="Arial" w:cs="Arial"/>
          <w:color w:val="auto"/>
          <w:sz w:val="22"/>
          <w:szCs w:val="22"/>
          <w:highlight w:val="none"/>
          <w:u w:val="none"/>
        </w:rPr>
        <w:t xml:space="preserve">Registros que não caracterizam alteração do </w:t>
      </w:r>
      <w:r>
        <w:rPr>
          <w:rFonts w:hint="default" w:ascii="Arial" w:hAnsi="Arial" w:cs="Arial"/>
          <w:color w:val="auto"/>
          <w:sz w:val="22"/>
          <w:szCs w:val="22"/>
          <w:highlight w:val="none"/>
          <w:u w:val="none"/>
          <w:lang w:val="pt-BR"/>
        </w:rPr>
        <w:t>C</w:t>
      </w:r>
      <w:r>
        <w:rPr>
          <w:rFonts w:hint="default" w:ascii="Arial" w:hAnsi="Arial" w:cs="Arial"/>
          <w:color w:val="auto"/>
          <w:sz w:val="22"/>
          <w:szCs w:val="22"/>
          <w:highlight w:val="none"/>
          <w:u w:val="none"/>
        </w:rPr>
        <w:t xml:space="preserve">ontrato podem ser realizados por simples </w:t>
      </w:r>
      <w:r>
        <w:rPr>
          <w:rFonts w:hint="default" w:ascii="Arial" w:hAnsi="Arial" w:cs="Arial"/>
          <w:color w:val="auto"/>
          <w:sz w:val="22"/>
          <w:szCs w:val="22"/>
          <w:highlight w:val="none"/>
          <w:u w:val="none"/>
          <w:lang w:val="pt-BR"/>
        </w:rPr>
        <w:t>A</w:t>
      </w:r>
      <w:r>
        <w:rPr>
          <w:rFonts w:hint="default" w:ascii="Arial" w:hAnsi="Arial" w:cs="Arial"/>
          <w:color w:val="auto"/>
          <w:sz w:val="22"/>
          <w:szCs w:val="22"/>
          <w:highlight w:val="none"/>
          <w:u w:val="none"/>
        </w:rPr>
        <w:t>postila</w:t>
      </w:r>
      <w:r>
        <w:rPr>
          <w:rFonts w:hint="default" w:ascii="Arial" w:hAnsi="Arial" w:cs="Arial"/>
          <w:color w:val="auto"/>
          <w:sz w:val="22"/>
          <w:szCs w:val="22"/>
          <w:highlight w:val="none"/>
          <w:u w:val="none"/>
          <w:lang w:val="pt-BR"/>
        </w:rPr>
        <w:t>mento</w:t>
      </w:r>
      <w:r>
        <w:rPr>
          <w:rFonts w:hint="default" w:ascii="Arial" w:hAnsi="Arial" w:cs="Arial"/>
          <w:color w:val="auto"/>
          <w:sz w:val="22"/>
          <w:szCs w:val="22"/>
          <w:highlight w:val="none"/>
          <w:u w:val="none"/>
        </w:rPr>
        <w:t xml:space="preserve">, dispensada a celebração de </w:t>
      </w:r>
      <w:r>
        <w:rPr>
          <w:rFonts w:hint="default" w:ascii="Arial" w:hAnsi="Arial" w:cs="Arial"/>
          <w:color w:val="auto"/>
          <w:sz w:val="22"/>
          <w:szCs w:val="22"/>
          <w:highlight w:val="none"/>
          <w:u w:val="none"/>
          <w:lang w:val="pt-BR"/>
        </w:rPr>
        <w:t>T</w:t>
      </w:r>
      <w:r>
        <w:rPr>
          <w:rFonts w:hint="default" w:ascii="Arial" w:hAnsi="Arial" w:cs="Arial"/>
          <w:color w:val="auto"/>
          <w:sz w:val="22"/>
          <w:szCs w:val="22"/>
          <w:highlight w:val="none"/>
          <w:u w:val="none"/>
        </w:rPr>
        <w:t xml:space="preserve">ermo </w:t>
      </w:r>
      <w:r>
        <w:rPr>
          <w:rFonts w:hint="default" w:ascii="Arial" w:hAnsi="Arial" w:cs="Arial"/>
          <w:color w:val="auto"/>
          <w:sz w:val="22"/>
          <w:szCs w:val="22"/>
          <w:highlight w:val="none"/>
          <w:u w:val="none"/>
          <w:lang w:val="pt-BR"/>
        </w:rPr>
        <w:t>A</w:t>
      </w:r>
      <w:r>
        <w:rPr>
          <w:rFonts w:hint="default" w:ascii="Arial" w:hAnsi="Arial" w:cs="Arial"/>
          <w:color w:val="auto"/>
          <w:sz w:val="22"/>
          <w:szCs w:val="22"/>
          <w:highlight w:val="none"/>
          <w:u w:val="none"/>
        </w:rPr>
        <w:t xml:space="preserve">ditivo, na forma do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"http://www.planalto.gov.br/ccivil_03/_ato2019-2022/2021/lei/L14133.htm" \l "art136" </w:instrText>
      </w:r>
      <w:r>
        <w:rPr>
          <w:rFonts w:hint="default" w:ascii="Arial" w:hAnsi="Arial" w:cs="Arial"/>
          <w:color w:val="auto"/>
          <w:sz w:val="22"/>
          <w:szCs w:val="22"/>
          <w:highlight w:val="none"/>
          <w:u w:val="none"/>
        </w:rPr>
        <w:fldChar w:fldCharType="separate"/>
      </w:r>
      <w:r>
        <w:rPr>
          <w:rStyle w:val="15"/>
          <w:rFonts w:hint="default" w:ascii="Arial" w:hAnsi="Arial" w:cs="Arial"/>
          <w:color w:val="auto"/>
          <w:sz w:val="22"/>
          <w:szCs w:val="22"/>
          <w:highlight w:val="none"/>
          <w:u w:val="none"/>
        </w:rPr>
        <w:t xml:space="preserve">art. 136 da Lei </w:t>
      </w:r>
      <w:r>
        <w:rPr>
          <w:rStyle w:val="15"/>
          <w:rFonts w:hint="default" w:ascii="Arial" w:hAnsi="Arial" w:cs="Arial"/>
          <w:color w:val="auto"/>
          <w:sz w:val="22"/>
          <w:szCs w:val="22"/>
          <w:highlight w:val="none"/>
          <w:u w:val="none"/>
          <w:lang w:val="pt-BR"/>
        </w:rPr>
        <w:t xml:space="preserve">Federal </w:t>
      </w:r>
      <w:r>
        <w:rPr>
          <w:rStyle w:val="15"/>
          <w:rFonts w:hint="default" w:ascii="Arial" w:hAnsi="Arial" w:cs="Arial"/>
          <w:color w:val="auto"/>
          <w:sz w:val="22"/>
          <w:szCs w:val="22"/>
          <w:highlight w:val="none"/>
          <w:u w:val="none"/>
        </w:rPr>
        <w:t>nº 14.133</w:t>
      </w:r>
      <w:r>
        <w:rPr>
          <w:rStyle w:val="15"/>
          <w:rFonts w:hint="default" w:ascii="Arial" w:hAnsi="Arial" w:cs="Arial"/>
          <w:color w:val="auto"/>
          <w:sz w:val="22"/>
          <w:szCs w:val="22"/>
          <w:highlight w:val="none"/>
          <w:u w:val="none"/>
          <w:lang w:val="pt-BR"/>
        </w:rPr>
        <w:t>/</w:t>
      </w:r>
      <w:r>
        <w:rPr>
          <w:rStyle w:val="15"/>
          <w:rFonts w:hint="default" w:ascii="Arial" w:hAnsi="Arial" w:cs="Arial"/>
          <w:color w:val="auto"/>
          <w:sz w:val="22"/>
          <w:szCs w:val="22"/>
          <w:highlight w:val="none"/>
          <w:u w:val="none"/>
        </w:rPr>
        <w:t>2021</w:t>
      </w:r>
      <w:r>
        <w:rPr>
          <w:rStyle w:val="15"/>
          <w:rFonts w:hint="default" w:ascii="Arial" w:hAnsi="Arial" w:cs="Arial"/>
          <w:color w:val="auto"/>
          <w:sz w:val="22"/>
          <w:szCs w:val="22"/>
          <w:highlight w:val="none"/>
          <w:u w:val="none"/>
        </w:rPr>
        <w:fldChar w:fldCharType="end"/>
      </w:r>
      <w:r>
        <w:rPr>
          <w:rFonts w:hint="default" w:ascii="Arial" w:hAnsi="Arial" w:cs="Arial"/>
          <w:color w:val="auto"/>
          <w:sz w:val="22"/>
          <w:szCs w:val="22"/>
          <w:highlight w:val="none"/>
          <w:u w:val="none"/>
        </w:rPr>
        <w:t>.</w:t>
      </w:r>
    </w:p>
    <w:p w14:paraId="444C787D">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Cláusula Décima </w:t>
      </w:r>
      <w:r>
        <w:rPr>
          <w:rFonts w:hint="default" w:ascii="Arial" w:hAnsi="Arial" w:eastAsia="Calibri" w:cs="Arial"/>
          <w:b/>
          <w:bCs/>
          <w:kern w:val="1"/>
          <w:sz w:val="22"/>
          <w:szCs w:val="22"/>
          <w:lang w:val="pt-BR" w:eastAsia="ar-SA"/>
        </w:rPr>
        <w:t>Sexta</w:t>
      </w:r>
    </w:p>
    <w:p w14:paraId="08EB9334">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 PUBLICAÇÃO</w:t>
      </w:r>
    </w:p>
    <w:p w14:paraId="5EC9F42C">
      <w:pPr>
        <w:pStyle w:val="134"/>
        <w:numPr>
          <w:ilvl w:val="0"/>
          <w:numId w:val="0"/>
        </w:numPr>
        <w:spacing w:line="360" w:lineRule="auto"/>
        <w:rPr>
          <w:rFonts w:hint="default" w:ascii="Arial" w:hAnsi="Arial" w:cs="Arial"/>
          <w:color w:val="auto"/>
          <w:sz w:val="22"/>
          <w:szCs w:val="22"/>
          <w:highlight w:val="none"/>
          <w:u w:val="none"/>
          <w:lang w:val="pt-BR"/>
        </w:rPr>
      </w:pPr>
      <w:r>
        <w:rPr>
          <w:rFonts w:hint="default"/>
          <w:b/>
          <w:bCs/>
          <w:sz w:val="22"/>
          <w:szCs w:val="22"/>
          <w:lang w:val="pt-BR"/>
        </w:rPr>
        <w:t>16.1.</w:t>
      </w:r>
      <w:r>
        <w:rPr>
          <w:rFonts w:hint="default" w:ascii="Arial" w:hAnsi="Arial" w:cs="Arial"/>
          <w:sz w:val="22"/>
          <w:szCs w:val="22"/>
          <w:lang w:val="pt-BR"/>
        </w:rPr>
        <w:t xml:space="preserve"> </w:t>
      </w:r>
      <w:r>
        <w:rPr>
          <w:rFonts w:hint="default" w:ascii="Arial" w:hAnsi="Arial" w:cs="Arial"/>
          <w:sz w:val="22"/>
          <w:szCs w:val="22"/>
        </w:rPr>
        <w:t xml:space="preserve">Incumbirá </w:t>
      </w:r>
      <w:r>
        <w:rPr>
          <w:rFonts w:hint="default" w:ascii="Arial" w:hAnsi="Arial" w:cs="Arial"/>
          <w:sz w:val="22"/>
          <w:szCs w:val="22"/>
          <w:lang w:val="pt-BR"/>
        </w:rPr>
        <w:t>à</w:t>
      </w:r>
      <w:r>
        <w:rPr>
          <w:rFonts w:hint="default" w:ascii="Arial" w:hAnsi="Arial" w:cs="Arial"/>
          <w:sz w:val="22"/>
          <w:szCs w:val="22"/>
        </w:rPr>
        <w:t xml:space="preserve"> </w:t>
      </w:r>
      <w:r>
        <w:rPr>
          <w:rFonts w:hint="default" w:ascii="Arial" w:hAnsi="Arial" w:cs="Arial"/>
          <w:sz w:val="22"/>
          <w:szCs w:val="22"/>
          <w:lang w:val="pt-BR"/>
        </w:rPr>
        <w:t>C</w:t>
      </w:r>
      <w:r>
        <w:rPr>
          <w:rFonts w:hint="default" w:ascii="Arial" w:hAnsi="Arial" w:cs="Arial"/>
          <w:sz w:val="22"/>
          <w:szCs w:val="22"/>
        </w:rPr>
        <w:t xml:space="preserve">ontratante divulgar o presente instrumento no Portal Nacional de Contratações Públicas (PNCP), na forma prevista no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"http://www.planalto.gov.br/ccivil_03/_ato2019-2022/2021/lei/L14133.htm" \l "art94" </w:instrText>
      </w:r>
      <w:r>
        <w:rPr>
          <w:rFonts w:hint="default" w:ascii="Arial" w:hAnsi="Arial" w:cs="Arial"/>
          <w:color w:val="auto"/>
          <w:sz w:val="22"/>
          <w:szCs w:val="22"/>
          <w:highlight w:val="none"/>
          <w:u w:val="none"/>
        </w:rPr>
        <w:fldChar w:fldCharType="separate"/>
      </w:r>
      <w:r>
        <w:rPr>
          <w:rStyle w:val="15"/>
          <w:rFonts w:hint="default" w:ascii="Arial" w:hAnsi="Arial" w:cs="Arial"/>
          <w:color w:val="auto"/>
          <w:sz w:val="22"/>
          <w:szCs w:val="22"/>
          <w:highlight w:val="none"/>
          <w:u w:val="none"/>
        </w:rPr>
        <w:t xml:space="preserve">art. 94 da Lei </w:t>
      </w:r>
      <w:r>
        <w:rPr>
          <w:rStyle w:val="15"/>
          <w:rFonts w:hint="default" w:ascii="Arial" w:hAnsi="Arial" w:cs="Arial"/>
          <w:color w:val="auto"/>
          <w:sz w:val="22"/>
          <w:szCs w:val="22"/>
          <w:highlight w:val="none"/>
          <w:u w:val="none"/>
          <w:lang w:val="pt-BR"/>
        </w:rPr>
        <w:t xml:space="preserve">Federal </w:t>
      </w:r>
      <w:r>
        <w:rPr>
          <w:rStyle w:val="15"/>
          <w:rFonts w:hint="default" w:ascii="Arial" w:hAnsi="Arial" w:cs="Arial"/>
          <w:color w:val="auto"/>
          <w:sz w:val="22"/>
          <w:szCs w:val="22"/>
          <w:highlight w:val="none"/>
          <w:u w:val="none"/>
        </w:rPr>
        <w:t>14.133</w:t>
      </w:r>
      <w:r>
        <w:rPr>
          <w:rStyle w:val="15"/>
          <w:rFonts w:hint="default" w:ascii="Arial" w:hAnsi="Arial" w:cs="Arial"/>
          <w:color w:val="auto"/>
          <w:sz w:val="22"/>
          <w:szCs w:val="22"/>
          <w:highlight w:val="none"/>
          <w:u w:val="none"/>
          <w:lang w:val="pt-BR"/>
        </w:rPr>
        <w:t>/</w:t>
      </w:r>
      <w:r>
        <w:rPr>
          <w:rStyle w:val="15"/>
          <w:rFonts w:hint="default" w:ascii="Arial" w:hAnsi="Arial" w:cs="Arial"/>
          <w:color w:val="auto"/>
          <w:sz w:val="22"/>
          <w:szCs w:val="22"/>
          <w:highlight w:val="none"/>
          <w:u w:val="none"/>
        </w:rPr>
        <w:t>2021</w:t>
      </w:r>
      <w:r>
        <w:rPr>
          <w:rStyle w:val="15"/>
          <w:rFonts w:hint="default" w:ascii="Arial" w:hAnsi="Arial" w:cs="Arial"/>
          <w:color w:val="auto"/>
          <w:sz w:val="22"/>
          <w:szCs w:val="22"/>
          <w:highlight w:val="none"/>
          <w:u w:val="none"/>
        </w:rPr>
        <w:fldChar w:fldCharType="end"/>
      </w:r>
      <w:r>
        <w:rPr>
          <w:rFonts w:hint="default" w:ascii="Arial" w:hAnsi="Arial" w:cs="Arial"/>
          <w:color w:val="auto"/>
          <w:sz w:val="22"/>
          <w:szCs w:val="22"/>
          <w:highlight w:val="none"/>
          <w:u w:val="none"/>
        </w:rPr>
        <w:t xml:space="preserve">, bem como no respectivo sítio oficial na Internet, em atenção ao art. 91, </w:t>
      </w:r>
      <w:r>
        <w:rPr>
          <w:rFonts w:hint="default" w:ascii="Arial" w:hAnsi="Arial" w:cs="Arial"/>
          <w:i/>
          <w:color w:val="auto"/>
          <w:sz w:val="22"/>
          <w:szCs w:val="22"/>
          <w:highlight w:val="none"/>
          <w:u w:val="none"/>
        </w:rPr>
        <w:t>caput,</w:t>
      </w:r>
      <w:r>
        <w:rPr>
          <w:rFonts w:hint="default" w:ascii="Arial" w:hAnsi="Arial" w:cs="Arial"/>
          <w:color w:val="auto"/>
          <w:sz w:val="22"/>
          <w:szCs w:val="22"/>
          <w:highlight w:val="none"/>
          <w:u w:val="none"/>
        </w:rPr>
        <w:t xml:space="preserve"> da Lei </w:t>
      </w:r>
      <w:r>
        <w:rPr>
          <w:rFonts w:hint="default" w:ascii="Arial" w:hAnsi="Arial" w:cs="Arial"/>
          <w:color w:val="auto"/>
          <w:sz w:val="22"/>
          <w:szCs w:val="22"/>
          <w:highlight w:val="none"/>
          <w:u w:val="none"/>
          <w:lang w:val="pt-BR"/>
        </w:rPr>
        <w:t xml:space="preserve">Federal </w:t>
      </w:r>
      <w:r>
        <w:rPr>
          <w:rFonts w:hint="default" w:ascii="Arial" w:hAnsi="Arial" w:cs="Arial"/>
          <w:color w:val="auto"/>
          <w:sz w:val="22"/>
          <w:szCs w:val="22"/>
          <w:highlight w:val="none"/>
          <w:u w:val="none"/>
        </w:rPr>
        <w:t>nº 14.133</w:t>
      </w:r>
      <w:r>
        <w:rPr>
          <w:rFonts w:hint="default" w:ascii="Arial" w:hAnsi="Arial" w:cs="Arial"/>
          <w:color w:val="auto"/>
          <w:sz w:val="22"/>
          <w:szCs w:val="22"/>
          <w:highlight w:val="none"/>
          <w:u w:val="none"/>
          <w:lang w:val="pt-BR"/>
        </w:rPr>
        <w:t>/</w:t>
      </w:r>
      <w:r>
        <w:rPr>
          <w:rFonts w:hint="default" w:ascii="Arial" w:hAnsi="Arial" w:cs="Arial"/>
          <w:color w:val="auto"/>
          <w:sz w:val="22"/>
          <w:szCs w:val="22"/>
          <w:highlight w:val="none"/>
          <w:u w:val="none"/>
        </w:rPr>
        <w:t>2021</w:t>
      </w:r>
      <w:r>
        <w:rPr>
          <w:rFonts w:hint="default" w:ascii="Arial" w:hAnsi="Arial" w:cs="Arial"/>
          <w:color w:val="auto"/>
          <w:sz w:val="22"/>
          <w:szCs w:val="22"/>
          <w:highlight w:val="none"/>
          <w:u w:val="none"/>
          <w:lang w:val="pt-BR"/>
        </w:rPr>
        <w:t>.</w:t>
      </w:r>
    </w:p>
    <w:p w14:paraId="75B1778C">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color w:val="000000"/>
          <w:sz w:val="22"/>
          <w:szCs w:val="22"/>
          <w:lang w:val="pt-BR"/>
        </w:rPr>
      </w:pPr>
      <w:r>
        <w:rPr>
          <w:rFonts w:ascii="Arial" w:hAnsi="Arial" w:cs="Arial"/>
          <w:b/>
          <w:color w:val="000000"/>
          <w:sz w:val="22"/>
          <w:szCs w:val="22"/>
        </w:rPr>
        <w:t xml:space="preserve">Cláusula Décima </w:t>
      </w:r>
      <w:r>
        <w:rPr>
          <w:rFonts w:hint="default" w:ascii="Arial" w:hAnsi="Arial" w:cs="Arial"/>
          <w:b/>
          <w:color w:val="000000"/>
          <w:sz w:val="22"/>
          <w:szCs w:val="22"/>
          <w:lang w:val="pt-BR"/>
        </w:rPr>
        <w:t>Sétima</w:t>
      </w:r>
    </w:p>
    <w:p w14:paraId="7A3106A8">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color w:val="000000"/>
          <w:sz w:val="22"/>
          <w:szCs w:val="22"/>
        </w:rPr>
      </w:pPr>
      <w:r>
        <w:rPr>
          <w:rFonts w:ascii="Arial" w:hAnsi="Arial" w:cs="Arial"/>
          <w:b/>
          <w:color w:val="000000"/>
          <w:sz w:val="22"/>
          <w:szCs w:val="22"/>
        </w:rPr>
        <w:t xml:space="preserve"> DO FORO</w:t>
      </w:r>
    </w:p>
    <w:p w14:paraId="61F60C8C">
      <w:pPr>
        <w:spacing w:before="240" w:after="240" w:line="360" w:lineRule="auto"/>
        <w:jc w:val="both"/>
        <w:rPr>
          <w:rFonts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7</w:t>
      </w:r>
      <w:r>
        <w:rPr>
          <w:rFonts w:ascii="Arial" w:hAnsi="Arial" w:cs="Arial"/>
          <w:b/>
          <w:color w:val="000000"/>
          <w:sz w:val="22"/>
          <w:szCs w:val="22"/>
        </w:rPr>
        <w:t>.1.</w:t>
      </w:r>
      <w:r>
        <w:rPr>
          <w:rFonts w:ascii="Arial" w:hAnsi="Arial" w:cs="Arial"/>
          <w:color w:val="000000"/>
          <w:sz w:val="22"/>
          <w:szCs w:val="22"/>
        </w:rPr>
        <w:t xml:space="preserve"> As partes elegem, de comum acordo, com renúncia a qualquer outro, por mais privilegiado que seja, o foro da comarca de Sinop/MT para dirimir as questões decorrentes do presente Contrato.</w:t>
      </w:r>
    </w:p>
    <w:p w14:paraId="2F9DEA9B">
      <w:pPr>
        <w:keepNext w:val="0"/>
        <w:keepLines w:val="0"/>
        <w:pageBreakBefore w:val="0"/>
        <w:widowControl/>
        <w:kinsoku/>
        <w:wordWrap/>
        <w:overflowPunct/>
        <w:topLinePunct w:val="0"/>
        <w:autoSpaceDE/>
        <w:autoSpaceDN/>
        <w:bidi w:val="0"/>
        <w:adjustRightInd/>
        <w:snapToGrid/>
        <w:spacing w:before="240" w:line="360" w:lineRule="auto"/>
        <w:jc w:val="both"/>
        <w:textAlignment w:val="auto"/>
        <w:rPr>
          <w:rFonts w:ascii="Arial" w:hAnsi="Arial" w:cs="Arial"/>
          <w:color w:val="000000"/>
          <w:sz w:val="22"/>
          <w:szCs w:val="22"/>
        </w:rPr>
      </w:pPr>
      <w:r>
        <w:rPr>
          <w:rFonts w:ascii="Arial" w:hAnsi="Arial" w:cs="Arial"/>
          <w:color w:val="000000"/>
          <w:sz w:val="22"/>
          <w:szCs w:val="22"/>
        </w:rPr>
        <w:t>E por assim estarem justos e contratados,</w:t>
      </w:r>
      <w:r>
        <w:rPr>
          <w:rFonts w:ascii="Arial" w:hAnsi="Arial" w:cs="Arial"/>
          <w:b/>
          <w:color w:val="000000"/>
          <w:sz w:val="22"/>
          <w:szCs w:val="22"/>
        </w:rPr>
        <w:t xml:space="preserve"> </w:t>
      </w:r>
      <w:r>
        <w:rPr>
          <w:rFonts w:ascii="Arial" w:hAnsi="Arial" w:cs="Arial"/>
          <w:color w:val="000000"/>
          <w:sz w:val="22"/>
          <w:szCs w:val="22"/>
        </w:rPr>
        <w:t>assinam o presente instrumento, por si e seus sucessores, em 03 (três) vias de igual forma e teor, rubricadas em presença de 02 (duas) testemunhas.</w:t>
      </w:r>
    </w:p>
    <w:p w14:paraId="1EBE9D6F">
      <w:pPr>
        <w:tabs>
          <w:tab w:val="left" w:pos="288"/>
          <w:tab w:val="left" w:pos="1008"/>
          <w:tab w:val="left" w:pos="1728"/>
          <w:tab w:val="left" w:pos="2448"/>
          <w:tab w:val="left" w:pos="3168"/>
          <w:tab w:val="left" w:pos="3888"/>
          <w:tab w:val="left" w:pos="4608"/>
          <w:tab w:val="left" w:pos="5328"/>
          <w:tab w:val="left" w:pos="6048"/>
          <w:tab w:val="left" w:pos="6768"/>
        </w:tabs>
        <w:suppressAutoHyphens/>
        <w:jc w:val="both"/>
        <w:rPr>
          <w:rFonts w:ascii="Arial" w:hAnsi="Arial" w:eastAsia="Calibri" w:cs="Arial"/>
          <w:kern w:val="1"/>
          <w:sz w:val="22"/>
          <w:szCs w:val="22"/>
          <w:lang w:eastAsia="ar-SA"/>
        </w:rPr>
      </w:pPr>
      <w:r>
        <w:rPr>
          <w:rFonts w:ascii="Arial" w:hAnsi="Arial" w:eastAsia="Calibri" w:cs="Arial"/>
          <w:kern w:val="1"/>
          <w:sz w:val="22"/>
          <w:szCs w:val="22"/>
          <w:lang w:eastAsia="ar-SA"/>
        </w:rPr>
        <w:t xml:space="preserve">Sinop/MT, </w:t>
      </w:r>
      <w:r>
        <w:rPr>
          <w:rFonts w:hint="default" w:ascii="Arial" w:hAnsi="Arial" w:eastAsia="Calibri" w:cs="Arial"/>
          <w:kern w:val="1"/>
          <w:sz w:val="22"/>
          <w:szCs w:val="22"/>
          <w:lang w:val="pt-BR" w:eastAsia="ar-SA"/>
        </w:rPr>
        <w:t>____</w:t>
      </w:r>
      <w:r>
        <w:rPr>
          <w:rFonts w:ascii="Arial" w:hAnsi="Arial" w:eastAsia="Calibri" w:cs="Arial"/>
          <w:kern w:val="1"/>
          <w:sz w:val="22"/>
          <w:szCs w:val="22"/>
          <w:lang w:eastAsia="ar-SA"/>
        </w:rPr>
        <w:t xml:space="preserve"> de </w:t>
      </w:r>
      <w:r>
        <w:rPr>
          <w:rFonts w:hint="default" w:ascii="Arial" w:hAnsi="Arial" w:eastAsia="Calibri" w:cs="Arial"/>
          <w:kern w:val="1"/>
          <w:sz w:val="22"/>
          <w:szCs w:val="22"/>
          <w:lang w:val="pt-BR" w:eastAsia="ar-SA"/>
        </w:rPr>
        <w:t>____________</w:t>
      </w:r>
      <w:r>
        <w:rPr>
          <w:rFonts w:ascii="Arial" w:hAnsi="Arial" w:eastAsia="Calibri" w:cs="Arial"/>
          <w:kern w:val="1"/>
          <w:sz w:val="22"/>
          <w:szCs w:val="22"/>
          <w:lang w:eastAsia="ar-SA"/>
        </w:rPr>
        <w:t xml:space="preserve"> de </w:t>
      </w:r>
      <w:r>
        <w:rPr>
          <w:rFonts w:ascii="Arial" w:hAnsi="Arial" w:eastAsia="Calibri" w:cs="Arial"/>
          <w:kern w:val="1"/>
          <w:sz w:val="22"/>
          <w:szCs w:val="22"/>
          <w:lang w:val="pt-BR" w:eastAsia="ar-SA"/>
        </w:rPr>
        <w:t>202</w:t>
      </w:r>
      <w:r>
        <w:rPr>
          <w:rFonts w:hint="default" w:ascii="Arial" w:hAnsi="Arial" w:eastAsia="Calibri" w:cs="Arial"/>
          <w:kern w:val="1"/>
          <w:sz w:val="22"/>
          <w:szCs w:val="22"/>
          <w:lang w:val="pt-BR" w:eastAsia="ar-SA"/>
        </w:rPr>
        <w:t>4</w:t>
      </w:r>
      <w:r>
        <w:rPr>
          <w:rFonts w:ascii="Arial" w:hAnsi="Arial" w:eastAsia="Calibri" w:cs="Arial"/>
          <w:kern w:val="1"/>
          <w:sz w:val="22"/>
          <w:szCs w:val="22"/>
          <w:lang w:eastAsia="ar-SA"/>
        </w:rPr>
        <w:t>.</w:t>
      </w:r>
    </w:p>
    <w:p w14:paraId="5D12E8F8">
      <w:pPr>
        <w:tabs>
          <w:tab w:val="left" w:pos="288"/>
          <w:tab w:val="left" w:pos="1008"/>
          <w:tab w:val="left" w:pos="1728"/>
          <w:tab w:val="left" w:pos="2448"/>
          <w:tab w:val="left" w:pos="3168"/>
          <w:tab w:val="left" w:pos="3888"/>
          <w:tab w:val="left" w:pos="4608"/>
          <w:tab w:val="left" w:pos="5328"/>
          <w:tab w:val="left" w:pos="6048"/>
          <w:tab w:val="left" w:pos="6768"/>
        </w:tabs>
        <w:suppressAutoHyphens/>
        <w:jc w:val="both"/>
        <w:rPr>
          <w:rFonts w:ascii="Arial" w:hAnsi="Arial" w:eastAsia="Calibri" w:cs="Arial"/>
          <w:b/>
          <w:kern w:val="1"/>
          <w:sz w:val="22"/>
          <w:szCs w:val="22"/>
          <w:lang w:eastAsia="ar-SA"/>
        </w:rPr>
      </w:pPr>
    </w:p>
    <w:p w14:paraId="6305D56B">
      <w:pPr>
        <w:tabs>
          <w:tab w:val="left" w:pos="288"/>
          <w:tab w:val="left" w:pos="1008"/>
          <w:tab w:val="left" w:pos="1728"/>
          <w:tab w:val="left" w:pos="2448"/>
          <w:tab w:val="left" w:pos="3168"/>
          <w:tab w:val="left" w:pos="3888"/>
          <w:tab w:val="left" w:pos="4608"/>
          <w:tab w:val="left" w:pos="5328"/>
          <w:tab w:val="left" w:pos="6048"/>
          <w:tab w:val="left" w:pos="6768"/>
        </w:tabs>
        <w:suppressAutoHyphens/>
        <w:jc w:val="both"/>
        <w:rPr>
          <w:rFonts w:ascii="Arial" w:hAnsi="Arial" w:eastAsia="Calibri" w:cs="Arial"/>
          <w:b/>
          <w:kern w:val="1"/>
          <w:sz w:val="22"/>
          <w:szCs w:val="22"/>
          <w:lang w:eastAsia="ar-SA"/>
        </w:rPr>
      </w:pPr>
    </w:p>
    <w:p w14:paraId="22BF74E0">
      <w:pPr>
        <w:tabs>
          <w:tab w:val="left" w:pos="288"/>
          <w:tab w:val="left" w:pos="1008"/>
          <w:tab w:val="left" w:pos="1416"/>
          <w:tab w:val="left" w:pos="2124"/>
        </w:tabs>
        <w:suppressAutoHyphens/>
        <w:jc w:val="both"/>
        <w:rPr>
          <w:rFonts w:ascii="Arial" w:hAnsi="Arial" w:cs="Arial"/>
          <w:b/>
          <w:sz w:val="22"/>
          <w:szCs w:val="22"/>
          <w:lang w:eastAsia="en-US" w:bidi="en-US"/>
        </w:rPr>
      </w:pPr>
    </w:p>
    <w:p w14:paraId="48013B2C">
      <w:pPr>
        <w:jc w:val="center"/>
        <w:rPr>
          <w:rFonts w:ascii="Arial" w:hAnsi="Arial" w:cs="Arial"/>
          <w:b/>
          <w:bCs/>
          <w:sz w:val="22"/>
          <w:szCs w:val="22"/>
        </w:rPr>
      </w:pPr>
      <w:r>
        <w:rPr>
          <w:rFonts w:ascii="Arial" w:hAnsi="Arial" w:cs="Arial"/>
          <w:b/>
          <w:bCs/>
          <w:sz w:val="22"/>
          <w:szCs w:val="22"/>
        </w:rPr>
        <w:t>MUNIC</w:t>
      </w:r>
      <w:r>
        <w:rPr>
          <w:rFonts w:hint="default" w:ascii="Arial" w:hAnsi="Arial" w:cs="Arial"/>
          <w:b/>
          <w:bCs/>
          <w:sz w:val="22"/>
          <w:szCs w:val="22"/>
          <w:lang w:val="pt-BR"/>
        </w:rPr>
        <w:t>Í</w:t>
      </w:r>
      <w:r>
        <w:rPr>
          <w:rFonts w:ascii="Arial" w:hAnsi="Arial" w:cs="Arial"/>
          <w:b/>
          <w:bCs/>
          <w:sz w:val="22"/>
          <w:szCs w:val="22"/>
        </w:rPr>
        <w:t>P</w:t>
      </w:r>
      <w:r>
        <w:rPr>
          <w:rFonts w:hint="default" w:ascii="Arial" w:hAnsi="Arial" w:cs="Arial"/>
          <w:b/>
          <w:bCs/>
          <w:sz w:val="22"/>
          <w:szCs w:val="22"/>
          <w:lang w:val="pt-BR"/>
        </w:rPr>
        <w:t>IO</w:t>
      </w:r>
      <w:r>
        <w:rPr>
          <w:rFonts w:ascii="Arial" w:hAnsi="Arial" w:cs="Arial"/>
          <w:b/>
          <w:bCs/>
          <w:sz w:val="22"/>
          <w:szCs w:val="22"/>
        </w:rPr>
        <w:t xml:space="preserve"> DE SINOP</w:t>
      </w:r>
    </w:p>
    <w:p w14:paraId="168086EC">
      <w:pPr>
        <w:jc w:val="center"/>
        <w:rPr>
          <w:rFonts w:ascii="Arial" w:hAnsi="Arial" w:cs="Arial"/>
          <w:b/>
          <w:bCs/>
          <w:sz w:val="22"/>
          <w:szCs w:val="22"/>
          <w:lang w:bidi="en-US"/>
        </w:rPr>
      </w:pPr>
      <w:r>
        <w:rPr>
          <w:rFonts w:ascii="Arial" w:hAnsi="Arial" w:cs="Arial"/>
          <w:b/>
          <w:bCs/>
          <w:sz w:val="22"/>
          <w:szCs w:val="22"/>
          <w:lang w:bidi="en-US"/>
        </w:rPr>
        <w:t>Roberto Dorner</w:t>
      </w:r>
    </w:p>
    <w:p w14:paraId="0D1F2028">
      <w:pPr>
        <w:jc w:val="center"/>
        <w:rPr>
          <w:rFonts w:ascii="Arial" w:hAnsi="Arial" w:cs="Arial"/>
          <w:b/>
          <w:bCs/>
          <w:sz w:val="22"/>
          <w:szCs w:val="22"/>
          <w:lang w:bidi="en-US"/>
        </w:rPr>
      </w:pPr>
      <w:r>
        <w:rPr>
          <w:rFonts w:ascii="Arial" w:hAnsi="Arial" w:cs="Arial"/>
          <w:b/>
          <w:bCs/>
          <w:sz w:val="22"/>
          <w:szCs w:val="22"/>
          <w:lang w:bidi="en-US"/>
        </w:rPr>
        <w:t>Prefeito Municipal</w:t>
      </w:r>
    </w:p>
    <w:p w14:paraId="6FF212D0">
      <w:pPr>
        <w:jc w:val="center"/>
        <w:rPr>
          <w:rFonts w:ascii="Arial" w:hAnsi="Arial" w:cs="Arial"/>
          <w:b/>
          <w:sz w:val="22"/>
          <w:szCs w:val="22"/>
          <w:lang w:bidi="en-US"/>
        </w:rPr>
      </w:pPr>
      <w:r>
        <w:rPr>
          <w:rFonts w:ascii="Arial" w:hAnsi="Arial" w:cs="Arial"/>
          <w:b/>
          <w:sz w:val="22"/>
          <w:szCs w:val="22"/>
          <w:lang w:bidi="en-US"/>
        </w:rPr>
        <w:t>CONTRATANTE</w:t>
      </w:r>
    </w:p>
    <w:p w14:paraId="5795F83A">
      <w:pPr>
        <w:jc w:val="center"/>
        <w:rPr>
          <w:rFonts w:ascii="Arial" w:hAnsi="Arial" w:cs="Arial"/>
          <w:b/>
          <w:sz w:val="22"/>
          <w:szCs w:val="22"/>
          <w:lang w:eastAsia="en-US" w:bidi="en-US"/>
        </w:rPr>
      </w:pPr>
    </w:p>
    <w:p w14:paraId="24E4E56E">
      <w:pPr>
        <w:tabs>
          <w:tab w:val="left" w:pos="4155"/>
        </w:tabs>
        <w:rPr>
          <w:rFonts w:ascii="Arial" w:hAnsi="Arial" w:cs="Arial"/>
          <w:b/>
          <w:sz w:val="22"/>
          <w:szCs w:val="22"/>
          <w:lang w:eastAsia="en-US" w:bidi="en-US"/>
        </w:rPr>
      </w:pPr>
      <w:r>
        <w:rPr>
          <w:rFonts w:ascii="Arial" w:hAnsi="Arial" w:cs="Arial"/>
          <w:b/>
          <w:sz w:val="22"/>
          <w:szCs w:val="22"/>
          <w:lang w:eastAsia="en-US" w:bidi="en-US"/>
        </w:rPr>
        <w:tab/>
      </w:r>
    </w:p>
    <w:p w14:paraId="3B0101C3">
      <w:pPr>
        <w:jc w:val="center"/>
        <w:rPr>
          <w:rFonts w:hint="default" w:ascii="Arial" w:hAnsi="Arial" w:cs="Arial"/>
          <w:b/>
          <w:bCs w:val="0"/>
          <w:sz w:val="22"/>
          <w:szCs w:val="22"/>
          <w:lang w:val="pt-BR"/>
        </w:rPr>
      </w:pPr>
      <w:r>
        <w:rPr>
          <w:rFonts w:hint="default" w:ascii="Arial" w:hAnsi="Arial" w:cs="Arial"/>
          <w:b/>
          <w:bCs w:val="0"/>
          <w:sz w:val="22"/>
          <w:szCs w:val="22"/>
          <w:lang w:val="pt-BR"/>
        </w:rPr>
        <w:t>XXXXXXXXXXX</w:t>
      </w:r>
    </w:p>
    <w:p w14:paraId="074D91E2">
      <w:pPr>
        <w:jc w:val="center"/>
      </w:pPr>
      <w:r>
        <w:rPr>
          <w:rFonts w:hint="default" w:ascii="Arial" w:hAnsi="Arial" w:cs="Arial"/>
          <w:b/>
          <w:bCs w:val="0"/>
          <w:sz w:val="22"/>
          <w:szCs w:val="22"/>
          <w:lang w:val="pt-BR"/>
        </w:rPr>
        <w:t>XXXXXXXXXXX</w:t>
      </w:r>
    </w:p>
    <w:p w14:paraId="65AEF5FB">
      <w:pPr>
        <w:contextualSpacing/>
        <w:jc w:val="center"/>
        <w:rPr>
          <w:rFonts w:hint="default" w:ascii="Arial" w:hAnsi="Arial" w:cs="Arial"/>
          <w:b/>
          <w:sz w:val="22"/>
          <w:szCs w:val="22"/>
          <w:lang w:val="pt-BR"/>
        </w:rPr>
      </w:pPr>
      <w:r>
        <w:rPr>
          <w:rFonts w:hint="default" w:ascii="Arial" w:hAnsi="Arial" w:cs="Arial"/>
          <w:b/>
          <w:sz w:val="22"/>
          <w:szCs w:val="22"/>
          <w:lang w:val="pt-BR"/>
        </w:rPr>
        <w:t>Proprietário</w:t>
      </w:r>
    </w:p>
    <w:p w14:paraId="7DD90936">
      <w:pPr>
        <w:contextualSpacing/>
        <w:jc w:val="center"/>
        <w:rPr>
          <w:rFonts w:ascii="Arial" w:hAnsi="Arial" w:cs="Arial"/>
          <w:b/>
          <w:sz w:val="22"/>
          <w:szCs w:val="22"/>
          <w:lang w:eastAsia="en-US" w:bidi="en-US"/>
        </w:rPr>
      </w:pPr>
      <w:r>
        <w:rPr>
          <w:rFonts w:ascii="Arial" w:hAnsi="Arial" w:cs="Arial"/>
          <w:b/>
          <w:sz w:val="22"/>
          <w:szCs w:val="22"/>
          <w:lang w:eastAsia="en-US" w:bidi="en-US"/>
        </w:rPr>
        <w:t>CONTRATADA</w:t>
      </w:r>
    </w:p>
    <w:p w14:paraId="569891CB">
      <w:pPr>
        <w:tabs>
          <w:tab w:val="left" w:pos="2115"/>
          <w:tab w:val="left" w:pos="4155"/>
        </w:tabs>
        <w:contextualSpacing/>
        <w:jc w:val="both"/>
        <w:rPr>
          <w:rFonts w:ascii="Arial" w:hAnsi="Arial" w:cs="Arial"/>
          <w:b/>
          <w:sz w:val="22"/>
          <w:szCs w:val="22"/>
          <w:lang w:eastAsia="en-US" w:bidi="en-US"/>
        </w:rPr>
      </w:pPr>
    </w:p>
    <w:p w14:paraId="185C3FD1">
      <w:pPr>
        <w:tabs>
          <w:tab w:val="left" w:pos="2115"/>
          <w:tab w:val="left" w:pos="4155"/>
        </w:tabs>
        <w:contextualSpacing/>
        <w:jc w:val="both"/>
        <w:rPr>
          <w:rFonts w:ascii="Arial" w:hAnsi="Arial" w:cs="Arial"/>
          <w:b/>
          <w:sz w:val="22"/>
          <w:szCs w:val="22"/>
          <w:lang w:eastAsia="en-US" w:bidi="en-US"/>
        </w:rPr>
      </w:pPr>
    </w:p>
    <w:p w14:paraId="155D5666">
      <w:pPr>
        <w:tabs>
          <w:tab w:val="left" w:pos="2115"/>
          <w:tab w:val="left" w:pos="4155"/>
        </w:tabs>
        <w:contextualSpacing/>
        <w:jc w:val="both"/>
        <w:rPr>
          <w:rFonts w:ascii="Arial" w:hAnsi="Arial" w:cs="Arial"/>
          <w:sz w:val="22"/>
          <w:szCs w:val="22"/>
          <w:lang w:eastAsia="en-US" w:bidi="en-US"/>
        </w:rPr>
      </w:pPr>
      <w:r>
        <w:rPr>
          <w:rFonts w:ascii="Arial" w:hAnsi="Arial" w:cs="Arial"/>
          <w:b/>
          <w:sz w:val="22"/>
          <w:szCs w:val="22"/>
          <w:lang w:eastAsia="en-US" w:bidi="en-US"/>
        </w:rPr>
        <w:t>TESTEMUNHAS:</w:t>
      </w:r>
    </w:p>
    <w:p w14:paraId="060790B8">
      <w:pPr>
        <w:tabs>
          <w:tab w:val="left" w:pos="5103"/>
        </w:tabs>
        <w:jc w:val="both"/>
        <w:rPr>
          <w:rFonts w:ascii="Arial" w:hAnsi="Arial" w:cs="Arial"/>
          <w:b/>
          <w:sz w:val="22"/>
          <w:szCs w:val="22"/>
          <w:lang w:eastAsia="en-US" w:bidi="en-US"/>
        </w:rPr>
      </w:pPr>
    </w:p>
    <w:p w14:paraId="2B740D11">
      <w:pPr>
        <w:tabs>
          <w:tab w:val="left" w:pos="5103"/>
        </w:tabs>
        <w:jc w:val="both"/>
        <w:rPr>
          <w:rFonts w:ascii="Arial" w:hAnsi="Arial" w:cs="Arial"/>
          <w:b/>
          <w:sz w:val="22"/>
          <w:szCs w:val="22"/>
          <w:lang w:eastAsia="en-US" w:bidi="en-US"/>
        </w:rPr>
      </w:pPr>
    </w:p>
    <w:p w14:paraId="24782851">
      <w:pPr>
        <w:jc w:val="both"/>
        <w:rPr>
          <w:rFonts w:ascii="Arial" w:hAnsi="Arial" w:cs="Arial"/>
          <w:sz w:val="22"/>
          <w:szCs w:val="22"/>
        </w:rPr>
      </w:pPr>
    </w:p>
    <w:p w14:paraId="1336C688">
      <w:pPr>
        <w:tabs>
          <w:tab w:val="left" w:pos="6240"/>
        </w:tabs>
        <w:rPr>
          <w:rFonts w:ascii="Arial" w:hAnsi="Arial" w:cs="Arial"/>
          <w:b/>
          <w:bCs/>
          <w:sz w:val="22"/>
          <w:szCs w:val="22"/>
        </w:rPr>
      </w:pPr>
      <w:r>
        <w:rPr>
          <w:rFonts w:ascii="Arial" w:hAnsi="Arial" w:eastAsia="Calibri" w:cs="Arial"/>
          <w:b/>
          <w:bCs/>
          <w:sz w:val="22"/>
          <w:szCs w:val="22"/>
        </w:rPr>
        <w:t>KELY CRISTINE DE OLIVEIRA</w:t>
      </w:r>
      <w:r>
        <w:rPr>
          <w:rFonts w:hint="default" w:ascii="Arial" w:hAnsi="Arial" w:eastAsia="Calibri" w:cs="Arial"/>
          <w:b/>
          <w:bCs/>
          <w:sz w:val="22"/>
          <w:szCs w:val="22"/>
          <w:lang w:val="pt-BR"/>
        </w:rPr>
        <w:tab/>
      </w:r>
      <w:r>
        <w:rPr>
          <w:rFonts w:hint="default" w:ascii="Arial" w:hAnsi="Arial" w:eastAsia="Calibri" w:cs="Arial"/>
          <w:b/>
          <w:bCs/>
          <w:sz w:val="22"/>
          <w:szCs w:val="22"/>
        </w:rPr>
        <w:t>RICARDO MOLIN DEPINÉ</w:t>
      </w:r>
    </w:p>
    <w:p w14:paraId="012E1A3E">
      <w:pPr>
        <w:tabs>
          <w:tab w:val="left" w:pos="6240"/>
        </w:tabs>
        <w:rPr>
          <w:rFonts w:ascii="Arial" w:hAnsi="Arial" w:cs="Arial"/>
          <w:b/>
          <w:szCs w:val="22"/>
        </w:rPr>
      </w:pPr>
      <w:r>
        <w:rPr>
          <w:rFonts w:ascii="Arial" w:hAnsi="Arial" w:eastAsia="Calibri" w:cs="Arial"/>
          <w:b/>
          <w:bCs/>
          <w:sz w:val="22"/>
          <w:szCs w:val="22"/>
        </w:rPr>
        <w:t>CPF: 982.853.511-49</w:t>
      </w:r>
      <w:r>
        <w:rPr>
          <w:rFonts w:hint="default" w:ascii="Arial" w:hAnsi="Arial" w:eastAsia="Calibri" w:cs="Arial"/>
          <w:b/>
          <w:bCs/>
          <w:sz w:val="22"/>
          <w:szCs w:val="22"/>
          <w:lang w:val="pt-BR"/>
        </w:rPr>
        <w:tab/>
      </w:r>
      <w:r>
        <w:rPr>
          <w:rFonts w:ascii="Arial" w:hAnsi="Arial" w:eastAsia="Calibri" w:cs="Arial"/>
          <w:b/>
          <w:bCs/>
          <w:sz w:val="22"/>
          <w:szCs w:val="22"/>
        </w:rPr>
        <w:t xml:space="preserve">CPF: </w:t>
      </w:r>
      <w:r>
        <w:rPr>
          <w:rFonts w:hint="default" w:ascii="Arial" w:hAnsi="Arial" w:eastAsia="Calibri" w:cs="Arial"/>
          <w:b/>
          <w:bCs w:val="0"/>
          <w:sz w:val="22"/>
          <w:szCs w:val="22"/>
        </w:rPr>
        <w:t>040.653.939-14</w:t>
      </w:r>
    </w:p>
    <w:sectPr>
      <w:headerReference r:id="rId5" w:type="default"/>
      <w:footerReference r:id="rId6" w:type="default"/>
      <w:footerReference r:id="rId7" w:type="even"/>
      <w:pgSz w:w="11906" w:h="16838"/>
      <w:pgMar w:top="1984" w:right="1418" w:bottom="992" w:left="1418" w:header="180" w:footer="187" w:gutter="0"/>
      <w:pgBorders>
        <w:top w:val="none" w:sz="0" w:space="0"/>
        <w:left w:val="none" w:sz="0" w:space="0"/>
        <w:bottom w:val="none" w:sz="0" w:space="0"/>
        <w:right w:val="none" w:sz="0" w:space="0"/>
      </w:pgBorders>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80"/>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auto"/>
    <w:pitch w:val="default"/>
    <w:sig w:usb0="E00002FF" w:usb1="6AC7FDFB" w:usb2="08000012" w:usb3="00000000" w:csb0="4002009F" w:csb1="DFD70000"/>
  </w:font>
  <w:font w:name="Ecofont_Spranq_eco_Sans">
    <w:altName w:val="Calibri"/>
    <w:panose1 w:val="00000000000000000000"/>
    <w:charset w:val="00"/>
    <w:family w:val="swiss"/>
    <w:pitch w:val="default"/>
    <w:sig w:usb0="00000000" w:usb1="00000000" w:usb2="00000000" w:usb3="00000000" w:csb0="00000001" w:csb1="00000000"/>
  </w:font>
  <w:font w:name="WenQuanYi Micro Hei">
    <w:altName w:val="Segoe Print"/>
    <w:panose1 w:val="00000000000000000000"/>
    <w:charset w:val="00"/>
    <w:family w:val="roman"/>
    <w:pitch w:val="default"/>
    <w:sig w:usb0="00000000" w:usb1="00000000" w:usb2="00000000" w:usb3="00000000" w:csb0="00040001" w:csb1="00000000"/>
  </w:font>
  <w:font w:name="Lohit Hindi">
    <w:altName w:val="Times New Roman"/>
    <w:panose1 w:val="00000000000000000000"/>
    <w:charset w:val="00"/>
    <w:family w:val="roman"/>
    <w:pitch w:val="default"/>
    <w:sig w:usb0="00000000" w:usb1="00000000" w:usb2="00000000" w:usb3="00000000" w:csb0="00040001" w:csb1="00000000"/>
  </w:font>
  <w:font w:name="TimesNewRomanPS-BoldMT">
    <w:altName w:val="Times New Roman"/>
    <w:panose1 w:val="00000000000000000000"/>
    <w:charset w:val="00"/>
    <w:family w:val="roman"/>
    <w:pitch w:val="default"/>
    <w:sig w:usb0="00000000" w:usb1="00000000" w:usb2="00000000" w:usb3="00000000" w:csb0="00000000" w:csb1="00000000"/>
  </w:font>
  <w:font w:name="Cambria Math">
    <w:panose1 w:val="02040503050406030204"/>
    <w:charset w:val="01"/>
    <w:family w:val="roman"/>
    <w:pitch w:val="default"/>
    <w:sig w:usb0="E00006FF" w:usb1="420024FF" w:usb2="02000000" w:usb3="00000000" w:csb0="2000019F" w:csb1="00000000"/>
  </w:font>
  <w:font w:name="Wingdings">
    <w:panose1 w:val="05000000000000000000"/>
    <w:charset w:val="02"/>
    <w:family w:val="auto"/>
    <w:pitch w:val="default"/>
    <w:sig w:usb0="00000000" w:usb1="00000000" w:usb2="00000000" w:usb3="00000000" w:csb0="80000000"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4FD5A1">
    <w:pPr>
      <w:pStyle w:val="131"/>
      <w:jc w:val="center"/>
      <w:rPr>
        <w:rFonts w:hint="default" w:ascii="Times New Roman" w:hAnsi="Times New Roman" w:cs="Times New Roman"/>
        <w:b w:val="0"/>
        <w:bCs/>
        <w:sz w:val="20"/>
        <w:szCs w:val="20"/>
      </w:rPr>
    </w:pPr>
    <w:r>
      <w:rPr>
        <w:rFonts w:hint="default" w:ascii="Times New Roman" w:hAnsi="Times New Roman" w:cs="Times New Roman"/>
        <w:b w:val="0"/>
        <w:bCs/>
        <w:sz w:val="20"/>
        <w:szCs w:val="20"/>
      </w:rPr>
      <w:t>Av. das Embaúbas, nº 1386, Setor Comercial, Sinop/MT, CEP 78550-206, Caixa Postal 500</w:t>
    </w:r>
  </w:p>
  <w:p w14:paraId="7776C800">
    <w:pPr>
      <w:pStyle w:val="131"/>
      <w:jc w:val="center"/>
      <w:rPr>
        <w:rFonts w:hint="default" w:ascii="Times New Roman" w:hAnsi="Times New Roman" w:cs="Times New Roman"/>
        <w:b w:val="0"/>
        <w:bCs/>
        <w:sz w:val="20"/>
        <w:szCs w:val="20"/>
      </w:rPr>
    </w:pPr>
    <w:r>
      <w:rPr>
        <w:rFonts w:hint="default" w:ascii="Times New Roman" w:hAnsi="Times New Roman" w:cs="Times New Roman"/>
        <w:b w:val="0"/>
        <w:bCs/>
        <w:sz w:val="20"/>
        <w:szCs w:val="20"/>
      </w:rPr>
      <w:t>Telefones: (066)3517-5298/3520-7272/3520-7523/3520-7267</w:t>
    </w:r>
  </w:p>
  <w:p w14:paraId="59B22D63">
    <w:pPr>
      <w:pStyle w:val="25"/>
      <w:jc w:val="center"/>
      <w:rPr>
        <w:rFonts w:hint="default" w:ascii="Times New Roman" w:hAnsi="Times New Roman" w:cs="Times New Roman"/>
        <w:sz w:val="20"/>
        <w:szCs w:val="20"/>
      </w:rPr>
    </w:pPr>
    <w:r>
      <w:rPr>
        <w:rFonts w:hint="default" w:ascii="Times New Roman" w:hAnsi="Times New Roman" w:cs="Times New Roman"/>
        <w:b w:val="0"/>
        <w:bCs/>
        <w:sz w:val="20"/>
        <w:szCs w:val="20"/>
      </w:rPr>
      <w:t xml:space="preserve">E-mail: </w:t>
    </w:r>
    <w:r>
      <w:rPr>
        <w:rFonts w:hint="default" w:ascii="Times New Roman" w:hAnsi="Times New Roman" w:cs="Times New Roman"/>
        <w:b w:val="0"/>
        <w:bCs/>
        <w:sz w:val="20"/>
        <w:szCs w:val="20"/>
      </w:rPr>
      <w:fldChar w:fldCharType="begin"/>
    </w:r>
    <w:r>
      <w:rPr>
        <w:rFonts w:hint="default" w:ascii="Times New Roman" w:hAnsi="Times New Roman" w:cs="Times New Roman"/>
        <w:b w:val="0"/>
        <w:bCs/>
        <w:sz w:val="20"/>
        <w:szCs w:val="20"/>
      </w:rPr>
      <w:instrText xml:space="preserve">HYPERLINK "mailto:licitacao@sinop.mt.gov.br"</w:instrText>
    </w:r>
    <w:r>
      <w:rPr>
        <w:rFonts w:hint="default" w:ascii="Times New Roman" w:hAnsi="Times New Roman" w:cs="Times New Roman"/>
        <w:b w:val="0"/>
        <w:bCs/>
        <w:sz w:val="20"/>
        <w:szCs w:val="20"/>
      </w:rPr>
      <w:fldChar w:fldCharType="separate"/>
    </w:r>
    <w:r>
      <w:rPr>
        <w:rStyle w:val="15"/>
        <w:rFonts w:hint="default" w:ascii="Times New Roman" w:hAnsi="Times New Roman" w:cs="Times New Roman"/>
        <w:b w:val="0"/>
        <w:bCs/>
        <w:sz w:val="20"/>
        <w:szCs w:val="20"/>
      </w:rPr>
      <w:t>licitacao@sinop.mt.gov.br</w:t>
    </w:r>
    <w:r>
      <w:rPr>
        <w:rFonts w:hint="default" w:ascii="Times New Roman" w:hAnsi="Times New Roman" w:cs="Times New Roman"/>
        <w:b w:val="0"/>
        <w:bCs/>
        <w:sz w:val="20"/>
        <w:szCs w:val="20"/>
      </w:rPr>
      <w:fldChar w:fldCharType="end"/>
    </w:r>
    <w:r>
      <w:rPr>
        <w:rFonts w:hint="default" w:ascii="Times New Roman" w:hAnsi="Times New Roman" w:cs="Times New Roman"/>
        <w:sz w:val="20"/>
        <w:szCs w:val="20"/>
      </w:rPr>
      <mc:AlternateContent>
        <mc:Choice Requires="wps">
          <w:drawing>
            <wp:anchor distT="0" distB="0" distL="114300" distR="114300" simplePos="0" relativeHeight="251663360" behindDoc="0" locked="0" layoutInCell="1" allowOverlap="1">
              <wp:simplePos x="0" y="0"/>
              <wp:positionH relativeFrom="margin">
                <wp:align>right</wp:align>
              </wp:positionH>
              <wp:positionV relativeFrom="paragraph">
                <wp:posOffset>0</wp:posOffset>
              </wp:positionV>
              <wp:extent cx="1828800" cy="1828800"/>
              <wp:effectExtent l="0" t="0" r="0" b="0"/>
              <wp:wrapNone/>
              <wp:docPr id="21" name="Caixa de Texto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230490">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s0lY7tAA&#10;AAAFAQAADwAAAAAAAAABACAAAAAiAAAAZHJzL2Rvd25yZXYueG1sUEsBAhQAFAAAAAgAh07iQBJg&#10;vZQnAgAAaAQAAA4AAAAAAAAAAQAgAAAAHwEAAGRycy9lMm9Eb2MueG1sUEsFBgAAAAAGAAYAWQEA&#10;ALgFAAAAAA==&#10;">
              <v:fill on="f" focussize="0,0"/>
              <v:stroke on="f" weight="0.5pt"/>
              <v:imagedata o:title=""/>
              <o:lock v:ext="edit" aspectratio="f"/>
              <v:textbox inset="0mm,0mm,0mm,0mm" style="mso-fit-shape-to-text:t;">
                <w:txbxContent>
                  <w:p w14:paraId="50230490">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DCA542">
    <w:pPr>
      <w:pStyle w:val="131"/>
      <w:jc w:val="center"/>
      <w:rPr>
        <w:rFonts w:hint="default" w:ascii="Times New Roman" w:hAnsi="Times New Roman" w:cs="Times New Roman"/>
        <w:b w:val="0"/>
        <w:bCs/>
        <w:sz w:val="20"/>
        <w:szCs w:val="20"/>
      </w:rPr>
    </w:pPr>
    <w:r>
      <w:rPr>
        <w:sz w:val="20"/>
      </w:rPr>
      <mc:AlternateContent>
        <mc:Choice Requires="wps">
          <w:drawing>
            <wp:anchor distT="0" distB="0" distL="114300" distR="114300" simplePos="0" relativeHeight="251664384" behindDoc="0" locked="0" layoutInCell="1" allowOverlap="1">
              <wp:simplePos x="0" y="0"/>
              <wp:positionH relativeFrom="margin">
                <wp:align>right</wp:align>
              </wp:positionH>
              <wp:positionV relativeFrom="paragraph">
                <wp:posOffset>0</wp:posOffset>
              </wp:positionV>
              <wp:extent cx="1828800" cy="1828800"/>
              <wp:effectExtent l="0" t="0" r="0" b="0"/>
              <wp:wrapNone/>
              <wp:docPr id="22" name="Caixa de Texto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7DD3BA">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LNJWO7Q&#10;AAAABQEAAA8AAAAAAAAAAQAgAAAAIgAAAGRycy9kb3ducmV2LnhtbFBLAQIUABQAAAAIAIdO4kDI&#10;+KfXKAIAAGgEAAAOAAAAAAAAAAEAIAAAAB8BAABkcnMvZTJvRG9jLnhtbFBLBQYAAAAABgAGAFkB&#10;AAC5BQAAAAA=&#10;">
              <v:fill on="f" focussize="0,0"/>
              <v:stroke on="f" weight="0.5pt"/>
              <v:imagedata o:title=""/>
              <o:lock v:ext="edit" aspectratio="f"/>
              <v:textbox inset="0mm,0mm,0mm,0mm" style="mso-fit-shape-to-text:t;">
                <w:txbxContent>
                  <w:p w14:paraId="2F7DD3BA">
                    <w:pPr>
                      <w:pStyle w:val="25"/>
                    </w:pPr>
                    <w:r>
                      <w:fldChar w:fldCharType="begin"/>
                    </w:r>
                    <w:r>
                      <w:instrText xml:space="preserve"> PAGE  \* MERGEFORMAT </w:instrText>
                    </w:r>
                    <w:r>
                      <w:fldChar w:fldCharType="separate"/>
                    </w:r>
                    <w:r>
                      <w:t>1</w:t>
                    </w:r>
                    <w:r>
                      <w:fldChar w:fldCharType="end"/>
                    </w:r>
                  </w:p>
                </w:txbxContent>
              </v:textbox>
            </v:shape>
          </w:pict>
        </mc:Fallback>
      </mc:AlternateContent>
    </w:r>
    <w:r>
      <w:rPr>
        <w:rFonts w:hint="default" w:ascii="Times New Roman" w:hAnsi="Times New Roman" w:cs="Times New Roman"/>
        <w:b w:val="0"/>
        <w:bCs/>
        <w:sz w:val="20"/>
        <w:szCs w:val="20"/>
      </w:rPr>
      <w:t>Av. das Embaúbas, nº 1386, Setor Comercial, Sinop/MT, CEP 78550-206, Caixa Postal 500</w:t>
    </w:r>
  </w:p>
  <w:p w14:paraId="73847FCC">
    <w:pPr>
      <w:pStyle w:val="131"/>
      <w:jc w:val="center"/>
      <w:rPr>
        <w:rFonts w:hint="default" w:ascii="Times New Roman" w:hAnsi="Times New Roman" w:cs="Times New Roman"/>
        <w:b w:val="0"/>
        <w:bCs/>
        <w:sz w:val="20"/>
        <w:szCs w:val="20"/>
      </w:rPr>
    </w:pPr>
    <w:r>
      <w:rPr>
        <w:rFonts w:hint="default" w:ascii="Times New Roman" w:hAnsi="Times New Roman" w:cs="Times New Roman"/>
        <w:b w:val="0"/>
        <w:bCs/>
        <w:sz w:val="20"/>
        <w:szCs w:val="20"/>
      </w:rPr>
      <w:t>Telefones: (066)</w:t>
    </w:r>
    <w:r>
      <w:rPr>
        <w:rFonts w:hint="default" w:ascii="Times New Roman" w:hAnsi="Times New Roman" w:cs="Times New Roman"/>
        <w:b w:val="0"/>
        <w:bCs/>
        <w:sz w:val="20"/>
        <w:szCs w:val="20"/>
        <w:lang w:val="pt-BR"/>
      </w:rPr>
      <w:t xml:space="preserve"> </w:t>
    </w:r>
    <w:r>
      <w:rPr>
        <w:rFonts w:hint="default" w:ascii="Times New Roman" w:hAnsi="Times New Roman" w:cs="Times New Roman"/>
        <w:b w:val="0"/>
        <w:bCs/>
        <w:sz w:val="20"/>
        <w:szCs w:val="20"/>
      </w:rPr>
      <w:t>3520-7523/3520-7267</w:t>
    </w:r>
  </w:p>
  <w:p w14:paraId="3ADDA132">
    <w:pPr>
      <w:pStyle w:val="131"/>
      <w:jc w:val="center"/>
      <w:rPr>
        <w:b/>
      </w:rPr>
    </w:pPr>
    <w:r>
      <w:rPr>
        <w:rFonts w:hint="default" w:ascii="Times New Roman" w:hAnsi="Times New Roman" w:cs="Times New Roman"/>
        <w:b w:val="0"/>
        <w:bCs/>
        <w:sz w:val="20"/>
        <w:szCs w:val="20"/>
      </w:rPr>
      <w:t xml:space="preserve">E-mail: </w:t>
    </w:r>
    <w:r>
      <w:rPr>
        <w:rFonts w:hint="default" w:ascii="Times New Roman" w:hAnsi="Times New Roman" w:cs="Times New Roman"/>
        <w:b w:val="0"/>
        <w:bCs/>
        <w:sz w:val="20"/>
        <w:szCs w:val="20"/>
      </w:rPr>
      <w:fldChar w:fldCharType="begin"/>
    </w:r>
    <w:r>
      <w:rPr>
        <w:rFonts w:hint="default" w:ascii="Times New Roman" w:hAnsi="Times New Roman" w:cs="Times New Roman"/>
        <w:b w:val="0"/>
        <w:bCs/>
        <w:sz w:val="20"/>
        <w:szCs w:val="20"/>
      </w:rPr>
      <w:instrText xml:space="preserve">HYPERLINK "mailto:licitacao@sinop.mt.gov.br"</w:instrText>
    </w:r>
    <w:r>
      <w:rPr>
        <w:rFonts w:hint="default" w:ascii="Times New Roman" w:hAnsi="Times New Roman" w:cs="Times New Roman"/>
        <w:b w:val="0"/>
        <w:bCs/>
        <w:sz w:val="20"/>
        <w:szCs w:val="20"/>
      </w:rPr>
      <w:fldChar w:fldCharType="separate"/>
    </w:r>
    <w:r>
      <w:rPr>
        <w:rStyle w:val="15"/>
        <w:rFonts w:hint="default" w:ascii="Times New Roman" w:hAnsi="Times New Roman" w:cs="Times New Roman"/>
        <w:b w:val="0"/>
        <w:bCs/>
        <w:sz w:val="20"/>
        <w:szCs w:val="20"/>
      </w:rPr>
      <w:t>licitacao@sinop.mt.gov.br</w:t>
    </w:r>
    <w:r>
      <w:rPr>
        <w:rFonts w:hint="default" w:ascii="Times New Roman" w:hAnsi="Times New Roman" w:cs="Times New Roman"/>
        <w:b w:val="0"/>
        <w:bCs/>
        <w:sz w:val="20"/>
        <w:szCs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81EBF8">
    <w:pPr>
      <w:pStyle w:val="25"/>
      <w:framePr w:wrap="around" w:vAnchor="text" w:hAnchor="margin" w:xAlign="right" w:y="1"/>
      <w:rPr>
        <w:rStyle w:val="16"/>
      </w:rPr>
    </w:pPr>
    <w:r>
      <w:rPr>
        <w:rStyle w:val="16"/>
      </w:rPr>
      <w:fldChar w:fldCharType="begin"/>
    </w:r>
    <w:r>
      <w:rPr>
        <w:rStyle w:val="16"/>
      </w:rPr>
      <w:instrText xml:space="preserve">PAGE  </w:instrText>
    </w:r>
    <w:r>
      <w:rPr>
        <w:rStyle w:val="16"/>
      </w:rPr>
      <w:fldChar w:fldCharType="end"/>
    </w:r>
  </w:p>
  <w:p w14:paraId="7C4F8910">
    <w:pPr>
      <w:pStyle w:val="2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3E7422">
    <w:pPr>
      <w:pStyle w:val="24"/>
      <w:tabs>
        <w:tab w:val="center" w:pos="4252"/>
        <w:tab w:val="right" w:pos="8504"/>
        <w:tab w:val="clear" w:pos="4419"/>
        <w:tab w:val="clear" w:pos="8838"/>
      </w:tabs>
      <w:jc w:val="center"/>
      <w:rPr>
        <w:rFonts w:hint="default"/>
        <w:lang w:val="pt-BR"/>
      </w:rPr>
    </w:pPr>
    <w:r>
      <w:rPr>
        <w:rFonts w:hint="default"/>
        <w:lang w:val="pt-BR"/>
      </w:rPr>
      <w:drawing>
        <wp:inline distT="0" distB="0" distL="114300" distR="114300">
          <wp:extent cx="937895" cy="858520"/>
          <wp:effectExtent l="0" t="0" r="14605" b="17780"/>
          <wp:docPr id="16" name="Imagem 16" descr="Imag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16" descr="Imagem1"/>
                  <pic:cNvPicPr>
                    <a:picLocks noChangeAspect="1"/>
                  </pic:cNvPicPr>
                </pic:nvPicPr>
                <pic:blipFill>
                  <a:blip r:embed="rId1"/>
                  <a:stretch>
                    <a:fillRect/>
                  </a:stretch>
                </pic:blipFill>
                <pic:spPr>
                  <a:xfrm>
                    <a:off x="0" y="0"/>
                    <a:ext cx="937895" cy="858520"/>
                  </a:xfrm>
                  <a:prstGeom prst="rect">
                    <a:avLst/>
                  </a:prstGeom>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63EB4F">
    <w:pPr>
      <w:pStyle w:val="24"/>
      <w:jc w:val="center"/>
    </w:pPr>
  </w:p>
  <w:p w14:paraId="178AF0B5">
    <w:pPr>
      <w:pStyle w:val="24"/>
      <w:jc w:val="center"/>
    </w:pPr>
    <w:r>
      <w:drawing>
        <wp:inline distT="0" distB="0" distL="114300" distR="114300">
          <wp:extent cx="972185" cy="800735"/>
          <wp:effectExtent l="0" t="0" r="18415" b="18415"/>
          <wp:docPr id="5"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logo2"/>
                  <pic:cNvPicPr>
                    <a:picLocks noChangeAspect="1"/>
                  </pic:cNvPicPr>
                </pic:nvPicPr>
                <pic:blipFill>
                  <a:blip r:embed="rId1"/>
                  <a:stretch>
                    <a:fillRect/>
                  </a:stretch>
                </pic:blipFill>
                <pic:spPr>
                  <a:xfrm>
                    <a:off x="0" y="0"/>
                    <a:ext cx="972185" cy="80073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43735D"/>
    <w:multiLevelType w:val="singleLevel"/>
    <w:tmpl w:val="AA43735D"/>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BF205925"/>
    <w:multiLevelType w:val="multilevel"/>
    <w:tmpl w:val="BF205925"/>
    <w:lvl w:ilvl="0" w:tentative="0">
      <w:start w:val="0"/>
      <w:numFmt w:val="decimal"/>
      <w:lvlText w:val="%1."/>
      <w:lvlJc w:val="left"/>
      <w:pPr>
        <w:ind w:left="1148" w:hanging="360"/>
      </w:pPr>
    </w:lvl>
    <w:lvl w:ilvl="1" w:tentative="0">
      <w:start w:val="1"/>
      <w:numFmt w:val="lowerLetter"/>
      <w:lvlText w:val="%2."/>
      <w:lvlJc w:val="left"/>
      <w:pPr>
        <w:ind w:left="1868" w:hanging="360"/>
      </w:pPr>
    </w:lvl>
    <w:lvl w:ilvl="2" w:tentative="0">
      <w:start w:val="1"/>
      <w:numFmt w:val="lowerRoman"/>
      <w:lvlText w:val="%3."/>
      <w:lvlJc w:val="right"/>
      <w:pPr>
        <w:ind w:left="2588" w:hanging="180"/>
      </w:pPr>
    </w:lvl>
    <w:lvl w:ilvl="3" w:tentative="0">
      <w:start w:val="1"/>
      <w:numFmt w:val="decimal"/>
      <w:lvlText w:val="%4."/>
      <w:lvlJc w:val="left"/>
      <w:pPr>
        <w:ind w:left="3308" w:hanging="360"/>
      </w:pPr>
    </w:lvl>
    <w:lvl w:ilvl="4" w:tentative="0">
      <w:start w:val="1"/>
      <w:numFmt w:val="lowerLetter"/>
      <w:lvlText w:val="%5."/>
      <w:lvlJc w:val="left"/>
      <w:pPr>
        <w:ind w:left="4028" w:hanging="360"/>
      </w:pPr>
    </w:lvl>
    <w:lvl w:ilvl="5" w:tentative="0">
      <w:start w:val="1"/>
      <w:numFmt w:val="lowerRoman"/>
      <w:lvlText w:val="%6."/>
      <w:lvlJc w:val="right"/>
      <w:pPr>
        <w:ind w:left="4748" w:hanging="180"/>
      </w:pPr>
    </w:lvl>
    <w:lvl w:ilvl="6" w:tentative="0">
      <w:start w:val="1"/>
      <w:numFmt w:val="decimal"/>
      <w:lvlText w:val="%7."/>
      <w:lvlJc w:val="left"/>
      <w:pPr>
        <w:ind w:left="5468" w:hanging="360"/>
      </w:pPr>
    </w:lvl>
    <w:lvl w:ilvl="7" w:tentative="0">
      <w:start w:val="1"/>
      <w:numFmt w:val="lowerLetter"/>
      <w:lvlText w:val="%8."/>
      <w:lvlJc w:val="left"/>
      <w:pPr>
        <w:ind w:left="6188" w:hanging="360"/>
      </w:pPr>
    </w:lvl>
    <w:lvl w:ilvl="8" w:tentative="0">
      <w:start w:val="1"/>
      <w:numFmt w:val="lowerRoman"/>
      <w:lvlText w:val="%9."/>
      <w:lvlJc w:val="right"/>
      <w:pPr>
        <w:ind w:left="6908" w:hanging="180"/>
      </w:pPr>
    </w:lvl>
  </w:abstractNum>
  <w:abstractNum w:abstractNumId="2">
    <w:nsid w:val="EFD66B96"/>
    <w:multiLevelType w:val="singleLevel"/>
    <w:tmpl w:val="EFD66B96"/>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3">
    <w:nsid w:val="EFF5A3E8"/>
    <w:multiLevelType w:val="singleLevel"/>
    <w:tmpl w:val="EFF5A3E8"/>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4">
    <w:nsid w:val="0053208E"/>
    <w:multiLevelType w:val="multilevel"/>
    <w:tmpl w:val="0053208E"/>
    <w:lvl w:ilvl="0" w:tentative="0">
      <w:start w:val="1"/>
      <w:numFmt w:val="decimal"/>
      <w:pStyle w:val="171"/>
      <w:lvlText w:val="%1."/>
      <w:lvlJc w:val="left"/>
      <w:pPr>
        <w:ind w:left="360" w:hanging="360"/>
      </w:pPr>
      <w:rPr>
        <w:rFonts w:ascii="Times New Roman" w:hAnsi="Times New Roman" w:cs="Times New Roman"/>
        <w:sz w:val="24"/>
        <w:szCs w:val="24"/>
      </w:rPr>
    </w:lvl>
    <w:lvl w:ilvl="1" w:tentative="0">
      <w:start w:val="1"/>
      <w:numFmt w:val="decimal"/>
      <w:pStyle w:val="172"/>
      <w:lvlText w:val="%1.%2."/>
      <w:lvlJc w:val="left"/>
      <w:pPr>
        <w:ind w:left="574" w:hanging="432"/>
      </w:pPr>
      <w:rPr>
        <w:b w:val="0"/>
      </w:rPr>
    </w:lvl>
    <w:lvl w:ilvl="2" w:tentative="0">
      <w:start w:val="1"/>
      <w:numFmt w:val="decimal"/>
      <w:lvlText w:val="%1.%2.%3."/>
      <w:lvlJc w:val="left"/>
      <w:pPr>
        <w:ind w:left="1224" w:hanging="504"/>
      </w:pPr>
      <w:rPr>
        <w:rFonts w:ascii="Times New Roman" w:hAnsi="Times New Roman" w:cs="Times New Roman"/>
        <w:b w:val="0"/>
        <w:i w:val="0"/>
        <w:color w:val="000000"/>
        <w:sz w:val="24"/>
        <w:szCs w:val="24"/>
      </w:rPr>
    </w:lvl>
    <w:lvl w:ilvl="3" w:tentative="0">
      <w:start w:val="1"/>
      <w:numFmt w:val="decimal"/>
      <w:lvlText w:val="%1.%2.%3.%4."/>
      <w:lvlJc w:val="left"/>
      <w:pPr>
        <w:ind w:left="1728" w:hanging="648"/>
      </w:pPr>
      <w:rPr>
        <w:b w:val="0"/>
      </w:rPr>
    </w:lvl>
    <w:lvl w:ilvl="4" w:tentative="0">
      <w:start w:val="1"/>
      <w:numFmt w:val="decimal"/>
      <w:lvlText w:val="%1.%2.%3.%4.%5."/>
      <w:lvlJc w:val="left"/>
      <w:pPr>
        <w:ind w:left="2232" w:hanging="792"/>
      </w:pPr>
      <w:rPr>
        <w:b w:val="0"/>
      </w:r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5">
    <w:nsid w:val="039498B3"/>
    <w:multiLevelType w:val="singleLevel"/>
    <w:tmpl w:val="039498B3"/>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6">
    <w:nsid w:val="08DE4D98"/>
    <w:multiLevelType w:val="multilevel"/>
    <w:tmpl w:val="08DE4D98"/>
    <w:lvl w:ilvl="0" w:tentative="0">
      <w:start w:val="2"/>
      <w:numFmt w:val="decimal"/>
      <w:lvlText w:val="%1."/>
      <w:lvlJc w:val="left"/>
      <w:pPr>
        <w:ind w:left="360" w:hanging="360"/>
      </w:pPr>
      <w:rPr>
        <w:rFonts w:hint="default"/>
      </w:rPr>
    </w:lvl>
    <w:lvl w:ilvl="1" w:tentative="0">
      <w:start w:val="1"/>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7">
    <w:nsid w:val="188B76D7"/>
    <w:multiLevelType w:val="multilevel"/>
    <w:tmpl w:val="188B76D7"/>
    <w:lvl w:ilvl="0" w:tentative="0">
      <w:start w:val="1"/>
      <w:numFmt w:val="decimal"/>
      <w:suff w:val="space"/>
      <w:lvlText w:val="%1."/>
      <w:lvlJc w:val="left"/>
      <w:pPr>
        <w:ind w:left="1800"/>
      </w:pPr>
      <w:rPr>
        <w:rFonts w:hint="default"/>
        <w:highlight w:val="none"/>
      </w:rPr>
    </w:lvl>
    <w:lvl w:ilvl="1" w:tentative="0">
      <w:start w:val="1"/>
      <w:numFmt w:val="decimal"/>
      <w:suff w:val="space"/>
      <w:lvlText w:val="%1.%2."/>
      <w:lvlJc w:val="left"/>
      <w:pPr>
        <w:ind w:left="0" w:leftChars="0" w:firstLine="0" w:firstLineChars="0"/>
      </w:pPr>
      <w:rPr>
        <w:rFonts w:hint="default" w:ascii="Arial" w:hAnsi="Arial" w:cs="Arial"/>
        <w:b/>
        <w:bCs/>
        <w:color w:val="000000" w:themeColor="text1"/>
        <w:sz w:val="22"/>
        <w:szCs w:val="22"/>
        <w:highlight w:val="none"/>
        <w14:textFill>
          <w14:solidFill>
            <w14:schemeClr w14:val="tx1"/>
          </w14:solidFill>
        </w14:textFill>
      </w:rPr>
    </w:lvl>
    <w:lvl w:ilvl="2" w:tentative="0">
      <w:start w:val="1"/>
      <w:numFmt w:val="decimal"/>
      <w:suff w:val="space"/>
      <w:lvlText w:val="%1.%2.%3."/>
      <w:lvlJc w:val="left"/>
      <w:pPr>
        <w:ind w:left="0" w:leftChars="0" w:firstLine="0" w:firstLineChars="0"/>
      </w:pPr>
      <w:rPr>
        <w:rFonts w:hint="default" w:ascii="Arial" w:hAnsi="Arial" w:cs="Arial"/>
        <w:b/>
        <w:bCs/>
        <w:color w:val="000000" w:themeColor="text1"/>
        <w:sz w:val="22"/>
        <w:szCs w:val="22"/>
        <w14:textFill>
          <w14:solidFill>
            <w14:schemeClr w14:val="tx1"/>
          </w14:solidFill>
        </w14:textFill>
      </w:rPr>
    </w:lvl>
    <w:lvl w:ilvl="3" w:tentative="0">
      <w:start w:val="1"/>
      <w:numFmt w:val="decimal"/>
      <w:suff w:val="space"/>
      <w:lvlText w:val="%1.%2.%3.%4."/>
      <w:lvlJc w:val="left"/>
      <w:pPr>
        <w:ind w:left="0" w:leftChars="0" w:firstLine="0" w:firstLineChars="0"/>
      </w:pPr>
      <w:rPr>
        <w:rFonts w:hint="default"/>
        <w:b/>
        <w:bCs/>
        <w:color w:val="000000" w:themeColor="text1"/>
        <w14:textFill>
          <w14:solidFill>
            <w14:schemeClr w14:val="tx1"/>
          </w14:solidFill>
        </w14:textFill>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8">
    <w:nsid w:val="1BD024ED"/>
    <w:multiLevelType w:val="multilevel"/>
    <w:tmpl w:val="1BD024ED"/>
    <w:lvl w:ilvl="0" w:tentative="0">
      <w:start w:val="8"/>
      <w:numFmt w:val="decimal"/>
      <w:lvlText w:val="%1."/>
      <w:lvlJc w:val="left"/>
      <w:pPr>
        <w:ind w:left="1080" w:hanging="360"/>
      </w:pPr>
      <w:rPr>
        <w:rFonts w:hint="default"/>
        <w:b/>
        <w:color w:val="auto"/>
        <w:sz w:val="22"/>
        <w:szCs w:val="22"/>
      </w:rPr>
    </w:lvl>
    <w:lvl w:ilvl="1" w:tentative="0">
      <w:start w:val="5"/>
      <w:numFmt w:val="decimal"/>
      <w:isLgl/>
      <w:lvlText w:val="%1.%2"/>
      <w:lvlJc w:val="left"/>
      <w:pPr>
        <w:ind w:left="1200" w:hanging="480"/>
      </w:pPr>
      <w:rPr>
        <w:rFonts w:hint="default"/>
        <w:b/>
      </w:rPr>
    </w:lvl>
    <w:lvl w:ilvl="2" w:tentative="0">
      <w:start w:val="2"/>
      <w:numFmt w:val="decimal"/>
      <w:isLgl/>
      <w:lvlText w:val="%1.%2.%3"/>
      <w:lvlJc w:val="left"/>
      <w:pPr>
        <w:ind w:left="1440" w:hanging="720"/>
      </w:pPr>
      <w:rPr>
        <w:rFonts w:hint="default"/>
        <w:b/>
      </w:rPr>
    </w:lvl>
    <w:lvl w:ilvl="3" w:tentative="0">
      <w:start w:val="1"/>
      <w:numFmt w:val="decimal"/>
      <w:isLgl/>
      <w:lvlText w:val="%1.%2.%3.%4"/>
      <w:lvlJc w:val="left"/>
      <w:pPr>
        <w:ind w:left="1440" w:hanging="720"/>
      </w:pPr>
      <w:rPr>
        <w:rFonts w:hint="default"/>
        <w:b w:val="0"/>
      </w:rPr>
    </w:lvl>
    <w:lvl w:ilvl="4" w:tentative="0">
      <w:start w:val="1"/>
      <w:numFmt w:val="decimal"/>
      <w:isLgl/>
      <w:lvlText w:val="%1.%2.%3.%4.%5"/>
      <w:lvlJc w:val="left"/>
      <w:pPr>
        <w:ind w:left="1800" w:hanging="1080"/>
      </w:pPr>
      <w:rPr>
        <w:rFonts w:hint="default"/>
        <w:b w:val="0"/>
      </w:rPr>
    </w:lvl>
    <w:lvl w:ilvl="5" w:tentative="0">
      <w:start w:val="1"/>
      <w:numFmt w:val="decimal"/>
      <w:isLgl/>
      <w:lvlText w:val="%1.%2.%3.%4.%5.%6"/>
      <w:lvlJc w:val="left"/>
      <w:pPr>
        <w:ind w:left="1800" w:hanging="1080"/>
      </w:pPr>
      <w:rPr>
        <w:rFonts w:hint="default"/>
        <w:b w:val="0"/>
      </w:rPr>
    </w:lvl>
    <w:lvl w:ilvl="6" w:tentative="0">
      <w:start w:val="1"/>
      <w:numFmt w:val="decimal"/>
      <w:isLgl/>
      <w:lvlText w:val="%1.%2.%3.%4.%5.%6.%7"/>
      <w:lvlJc w:val="left"/>
      <w:pPr>
        <w:ind w:left="2160" w:hanging="1440"/>
      </w:pPr>
      <w:rPr>
        <w:rFonts w:hint="default"/>
        <w:b w:val="0"/>
      </w:rPr>
    </w:lvl>
    <w:lvl w:ilvl="7" w:tentative="0">
      <w:start w:val="1"/>
      <w:numFmt w:val="decimal"/>
      <w:isLgl/>
      <w:lvlText w:val="%1.%2.%3.%4.%5.%6.%7.%8"/>
      <w:lvlJc w:val="left"/>
      <w:pPr>
        <w:ind w:left="2160" w:hanging="1440"/>
      </w:pPr>
      <w:rPr>
        <w:rFonts w:hint="default"/>
        <w:b w:val="0"/>
      </w:rPr>
    </w:lvl>
    <w:lvl w:ilvl="8" w:tentative="0">
      <w:start w:val="1"/>
      <w:numFmt w:val="decimal"/>
      <w:isLgl/>
      <w:lvlText w:val="%1.%2.%3.%4.%5.%6.%7.%8.%9"/>
      <w:lvlJc w:val="left"/>
      <w:pPr>
        <w:ind w:left="2520" w:hanging="1800"/>
      </w:pPr>
      <w:rPr>
        <w:rFonts w:hint="default"/>
        <w:b w:val="0"/>
      </w:rPr>
    </w:lvl>
  </w:abstractNum>
  <w:abstractNum w:abstractNumId="9">
    <w:nsid w:val="1D5C100D"/>
    <w:multiLevelType w:val="multilevel"/>
    <w:tmpl w:val="1D5C100D"/>
    <w:lvl w:ilvl="0" w:tentative="0">
      <w:start w:val="1"/>
      <w:numFmt w:val="decimal"/>
      <w:pStyle w:val="135"/>
      <w:lvlText w:val="%1."/>
      <w:lvlJc w:val="left"/>
      <w:pPr>
        <w:ind w:left="360" w:hanging="360"/>
      </w:pPr>
      <w:rPr>
        <w:b/>
      </w:rPr>
    </w:lvl>
    <w:lvl w:ilvl="1" w:tentative="0">
      <w:start w:val="1"/>
      <w:numFmt w:val="decimal"/>
      <w:pStyle w:val="134"/>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137"/>
      <w:lvlText w:val="%1.%2.%3."/>
      <w:lvlJc w:val="left"/>
      <w:pPr>
        <w:ind w:left="1550" w:hanging="504"/>
      </w:pPr>
      <w:rPr>
        <w:rFonts w:hint="default" w:ascii="Arial" w:hAnsi="Arial"/>
        <w:b w:val="0"/>
        <w:i w:val="0"/>
        <w:strike w:val="0"/>
        <w:color w:val="auto"/>
        <w:sz w:val="20"/>
        <w:szCs w:val="20"/>
      </w:rPr>
    </w:lvl>
    <w:lvl w:ilvl="3" w:tentative="0">
      <w:start w:val="1"/>
      <w:numFmt w:val="decimal"/>
      <w:pStyle w:val="147"/>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10">
    <w:nsid w:val="1F7E555B"/>
    <w:multiLevelType w:val="multilevel"/>
    <w:tmpl w:val="1F7E555B"/>
    <w:lvl w:ilvl="0" w:tentative="0">
      <w:start w:val="3"/>
      <w:numFmt w:val="decimal"/>
      <w:lvlText w:val="%1."/>
      <w:lvlJc w:val="left"/>
      <w:pPr>
        <w:ind w:left="540" w:hanging="540"/>
      </w:pPr>
      <w:rPr>
        <w:rFonts w:hint="default"/>
      </w:rPr>
    </w:lvl>
    <w:lvl w:ilvl="1" w:tentative="0">
      <w:start w:val="2"/>
      <w:numFmt w:val="decimal"/>
      <w:lvlText w:val="%1.%2."/>
      <w:lvlJc w:val="left"/>
      <w:pPr>
        <w:ind w:left="862" w:hanging="720"/>
      </w:pPr>
      <w:rPr>
        <w:rFonts w:hint="default"/>
        <w:b/>
      </w:rPr>
    </w:lvl>
    <w:lvl w:ilvl="2" w:tentative="0">
      <w:start w:val="7"/>
      <w:numFmt w:val="decimal"/>
      <w:lvlText w:val="%1.%2.%3."/>
      <w:lvlJc w:val="left"/>
      <w:pPr>
        <w:ind w:left="1286" w:hanging="720"/>
      </w:pPr>
      <w:rPr>
        <w:rFonts w:hint="default"/>
        <w:b/>
      </w:rPr>
    </w:lvl>
    <w:lvl w:ilvl="3" w:tentative="0">
      <w:start w:val="1"/>
      <w:numFmt w:val="decimal"/>
      <w:lvlText w:val="%1.%2.%3.%4."/>
      <w:lvlJc w:val="left"/>
      <w:pPr>
        <w:ind w:left="1929" w:hanging="1080"/>
      </w:pPr>
      <w:rPr>
        <w:rFonts w:hint="default"/>
      </w:rPr>
    </w:lvl>
    <w:lvl w:ilvl="4" w:tentative="0">
      <w:start w:val="1"/>
      <w:numFmt w:val="decimal"/>
      <w:lvlText w:val="%1.%2.%3.%4.%5."/>
      <w:lvlJc w:val="left"/>
      <w:pPr>
        <w:ind w:left="2212" w:hanging="1080"/>
      </w:pPr>
      <w:rPr>
        <w:rFonts w:hint="default"/>
      </w:rPr>
    </w:lvl>
    <w:lvl w:ilvl="5" w:tentative="0">
      <w:start w:val="1"/>
      <w:numFmt w:val="decimal"/>
      <w:lvlText w:val="%1.%2.%3.%4.%5.%6."/>
      <w:lvlJc w:val="left"/>
      <w:pPr>
        <w:ind w:left="2855" w:hanging="1440"/>
      </w:pPr>
      <w:rPr>
        <w:rFonts w:hint="default"/>
      </w:rPr>
    </w:lvl>
    <w:lvl w:ilvl="6" w:tentative="0">
      <w:start w:val="1"/>
      <w:numFmt w:val="decimal"/>
      <w:lvlText w:val="%1.%2.%3.%4.%5.%6.%7."/>
      <w:lvlJc w:val="left"/>
      <w:pPr>
        <w:ind w:left="3138" w:hanging="1440"/>
      </w:pPr>
      <w:rPr>
        <w:rFonts w:hint="default"/>
      </w:rPr>
    </w:lvl>
    <w:lvl w:ilvl="7" w:tentative="0">
      <w:start w:val="1"/>
      <w:numFmt w:val="decimal"/>
      <w:lvlText w:val="%1.%2.%3.%4.%5.%6.%7.%8."/>
      <w:lvlJc w:val="left"/>
      <w:pPr>
        <w:ind w:left="3781" w:hanging="1800"/>
      </w:pPr>
      <w:rPr>
        <w:rFonts w:hint="default"/>
      </w:rPr>
    </w:lvl>
    <w:lvl w:ilvl="8" w:tentative="0">
      <w:start w:val="1"/>
      <w:numFmt w:val="decimal"/>
      <w:lvlText w:val="%1.%2.%3.%4.%5.%6.%7.%8.%9."/>
      <w:lvlJc w:val="left"/>
      <w:pPr>
        <w:ind w:left="4064" w:hanging="1800"/>
      </w:pPr>
      <w:rPr>
        <w:rFonts w:hint="default"/>
      </w:rPr>
    </w:lvl>
  </w:abstractNum>
  <w:abstractNum w:abstractNumId="11">
    <w:nsid w:val="299916C0"/>
    <w:multiLevelType w:val="multilevel"/>
    <w:tmpl w:val="299916C0"/>
    <w:lvl w:ilvl="0" w:tentative="0">
      <w:start w:val="1"/>
      <w:numFmt w:val="decimal"/>
      <w:lvlText w:val="%1."/>
      <w:lvlJc w:val="left"/>
      <w:pPr>
        <w:ind w:left="720" w:hanging="360"/>
      </w:pPr>
      <w:rPr>
        <w:rFonts w:hint="default"/>
        <w:b/>
        <w:color w:val="auto"/>
      </w:rPr>
    </w:lvl>
    <w:lvl w:ilvl="1" w:tentative="0">
      <w:start w:val="1"/>
      <w:numFmt w:val="decimal"/>
      <w:isLgl/>
      <w:lvlText w:val="%1.%2"/>
      <w:lvlJc w:val="left"/>
      <w:pPr>
        <w:ind w:left="840" w:hanging="480"/>
      </w:pPr>
      <w:rPr>
        <w:rFonts w:hint="default"/>
        <w:b/>
      </w:rPr>
    </w:lvl>
    <w:lvl w:ilvl="2" w:tentative="0">
      <w:start w:val="1"/>
      <w:numFmt w:val="decimal"/>
      <w:isLgl/>
      <w:lvlText w:val="%1.%2.%3"/>
      <w:lvlJc w:val="left"/>
      <w:pPr>
        <w:ind w:left="1080" w:hanging="720"/>
      </w:pPr>
      <w:rPr>
        <w:rFonts w:hint="default"/>
        <w:b/>
      </w:rPr>
    </w:lvl>
    <w:lvl w:ilvl="3" w:tentative="0">
      <w:start w:val="1"/>
      <w:numFmt w:val="decimal"/>
      <w:isLgl/>
      <w:lvlText w:val="%1.%2.%3.%4"/>
      <w:lvlJc w:val="left"/>
      <w:pPr>
        <w:ind w:left="1080" w:hanging="720"/>
      </w:pPr>
      <w:rPr>
        <w:rFonts w:hint="default"/>
        <w:b/>
      </w:rPr>
    </w:lvl>
    <w:lvl w:ilvl="4" w:tentative="0">
      <w:start w:val="1"/>
      <w:numFmt w:val="decimal"/>
      <w:isLgl/>
      <w:lvlText w:val="%1.%2.%3.%4.%5"/>
      <w:lvlJc w:val="left"/>
      <w:pPr>
        <w:ind w:left="1440" w:hanging="1080"/>
      </w:pPr>
      <w:rPr>
        <w:rFonts w:hint="default"/>
        <w:b/>
      </w:rPr>
    </w:lvl>
    <w:lvl w:ilvl="5" w:tentative="0">
      <w:start w:val="1"/>
      <w:numFmt w:val="decimal"/>
      <w:isLgl/>
      <w:lvlText w:val="%1.%2.%3.%4.%5.%6"/>
      <w:lvlJc w:val="left"/>
      <w:pPr>
        <w:ind w:left="1440" w:hanging="1080"/>
      </w:pPr>
      <w:rPr>
        <w:rFonts w:hint="default"/>
        <w:b/>
      </w:rPr>
    </w:lvl>
    <w:lvl w:ilvl="6" w:tentative="0">
      <w:start w:val="1"/>
      <w:numFmt w:val="decimal"/>
      <w:isLgl/>
      <w:lvlText w:val="%1.%2.%3.%4.%5.%6.%7"/>
      <w:lvlJc w:val="left"/>
      <w:pPr>
        <w:ind w:left="1800" w:hanging="1440"/>
      </w:pPr>
      <w:rPr>
        <w:rFonts w:hint="default"/>
        <w:b/>
      </w:rPr>
    </w:lvl>
    <w:lvl w:ilvl="7" w:tentative="0">
      <w:start w:val="1"/>
      <w:numFmt w:val="decimal"/>
      <w:isLgl/>
      <w:lvlText w:val="%1.%2.%3.%4.%5.%6.%7.%8"/>
      <w:lvlJc w:val="left"/>
      <w:pPr>
        <w:ind w:left="1800" w:hanging="1440"/>
      </w:pPr>
      <w:rPr>
        <w:rFonts w:hint="default"/>
        <w:b/>
      </w:rPr>
    </w:lvl>
    <w:lvl w:ilvl="8" w:tentative="0">
      <w:start w:val="1"/>
      <w:numFmt w:val="decimal"/>
      <w:isLgl/>
      <w:lvlText w:val="%1.%2.%3.%4.%5.%6.%7.%8.%9"/>
      <w:lvlJc w:val="left"/>
      <w:pPr>
        <w:ind w:left="2160" w:hanging="1800"/>
      </w:pPr>
      <w:rPr>
        <w:rFonts w:hint="default"/>
        <w:b/>
      </w:rPr>
    </w:lvl>
  </w:abstractNum>
  <w:abstractNum w:abstractNumId="12">
    <w:nsid w:val="2A8F537B"/>
    <w:multiLevelType w:val="multilevel"/>
    <w:tmpl w:val="2A8F537B"/>
    <w:lvl w:ilvl="0" w:tentative="0">
      <w:start w:val="12"/>
      <w:numFmt w:val="decimal"/>
      <w:lvlText w:val="%1"/>
      <w:lvlJc w:val="left"/>
      <w:pPr>
        <w:ind w:left="1701" w:hanging="468"/>
        <w:jc w:val="left"/>
      </w:pPr>
      <w:rPr>
        <w:rFonts w:hint="default"/>
        <w:lang w:val="pt-PT" w:eastAsia="en-US" w:bidi="ar-SA"/>
      </w:rPr>
    </w:lvl>
    <w:lvl w:ilvl="1" w:tentative="0">
      <w:start w:val="1"/>
      <w:numFmt w:val="decimal"/>
      <w:lvlText w:val="%1.%2"/>
      <w:lvlJc w:val="left"/>
      <w:pPr>
        <w:ind w:left="1701" w:hanging="468"/>
        <w:jc w:val="left"/>
      </w:pPr>
      <w:rPr>
        <w:rFonts w:hint="default" w:ascii="Times New Roman" w:hAnsi="Times New Roman" w:eastAsia="Times New Roman" w:cs="Times New Roman"/>
        <w:b/>
        <w:bCs/>
        <w:w w:val="99"/>
        <w:sz w:val="24"/>
        <w:szCs w:val="24"/>
        <w:lang w:val="pt-PT" w:eastAsia="en-US" w:bidi="ar-SA"/>
      </w:rPr>
    </w:lvl>
    <w:lvl w:ilvl="2" w:tentative="0">
      <w:start w:val="1"/>
      <w:numFmt w:val="decimal"/>
      <w:lvlText w:val="%1.%2.%3"/>
      <w:lvlJc w:val="left"/>
      <w:pPr>
        <w:ind w:left="2268" w:hanging="735"/>
        <w:jc w:val="left"/>
      </w:pPr>
      <w:rPr>
        <w:rFonts w:hint="default" w:ascii="Times New Roman" w:hAnsi="Times New Roman" w:eastAsia="Times New Roman" w:cs="Times New Roman"/>
        <w:b/>
        <w:bCs/>
        <w:w w:val="99"/>
        <w:sz w:val="24"/>
        <w:szCs w:val="24"/>
        <w:lang w:val="pt-PT" w:eastAsia="en-US" w:bidi="ar-SA"/>
      </w:rPr>
    </w:lvl>
    <w:lvl w:ilvl="3" w:tentative="0">
      <w:start w:val="1"/>
      <w:numFmt w:val="lowerLetter"/>
      <w:lvlText w:val="%4)"/>
      <w:lvlJc w:val="left"/>
      <w:pPr>
        <w:ind w:left="3119" w:hanging="250"/>
        <w:jc w:val="left"/>
      </w:pPr>
      <w:rPr>
        <w:rFonts w:hint="default" w:ascii="Times New Roman" w:hAnsi="Times New Roman" w:eastAsia="Times New Roman" w:cs="Times New Roman"/>
        <w:b/>
        <w:bCs/>
        <w:w w:val="99"/>
        <w:sz w:val="24"/>
        <w:szCs w:val="24"/>
        <w:lang w:val="pt-PT" w:eastAsia="en-US" w:bidi="ar-SA"/>
      </w:rPr>
    </w:lvl>
    <w:lvl w:ilvl="4" w:tentative="0">
      <w:start w:val="1"/>
      <w:numFmt w:val="decimal"/>
      <w:lvlText w:val="%4.%5)"/>
      <w:lvlJc w:val="left"/>
      <w:pPr>
        <w:ind w:left="3686" w:hanging="478"/>
        <w:jc w:val="left"/>
      </w:pPr>
      <w:rPr>
        <w:rFonts w:hint="default" w:ascii="Times New Roman" w:hAnsi="Times New Roman" w:eastAsia="Times New Roman" w:cs="Times New Roman"/>
        <w:b/>
        <w:bCs/>
        <w:w w:val="99"/>
        <w:sz w:val="24"/>
        <w:szCs w:val="24"/>
        <w:lang w:val="pt-PT" w:eastAsia="en-US" w:bidi="ar-SA"/>
      </w:rPr>
    </w:lvl>
    <w:lvl w:ilvl="5" w:tentative="0">
      <w:start w:val="1"/>
      <w:numFmt w:val="decimal"/>
      <w:lvlText w:val="%4.%5.%6)"/>
      <w:lvlJc w:val="left"/>
      <w:pPr>
        <w:ind w:left="4252" w:hanging="1018"/>
        <w:jc w:val="left"/>
      </w:pPr>
      <w:rPr>
        <w:rFonts w:hint="default" w:ascii="Times New Roman" w:hAnsi="Times New Roman" w:eastAsia="Times New Roman" w:cs="Times New Roman"/>
        <w:b/>
        <w:bCs/>
        <w:spacing w:val="0"/>
        <w:w w:val="99"/>
        <w:sz w:val="24"/>
        <w:szCs w:val="24"/>
        <w:lang w:val="pt-PT" w:eastAsia="en-US" w:bidi="ar-SA"/>
      </w:rPr>
    </w:lvl>
    <w:lvl w:ilvl="6" w:tentative="0">
      <w:start w:val="0"/>
      <w:numFmt w:val="bullet"/>
      <w:lvlText w:val="•"/>
      <w:lvlJc w:val="left"/>
      <w:pPr>
        <w:ind w:left="3120" w:hanging="1018"/>
      </w:pPr>
      <w:rPr>
        <w:rFonts w:hint="default"/>
        <w:lang w:val="pt-PT" w:eastAsia="en-US" w:bidi="ar-SA"/>
      </w:rPr>
    </w:lvl>
    <w:lvl w:ilvl="7" w:tentative="0">
      <w:start w:val="0"/>
      <w:numFmt w:val="bullet"/>
      <w:lvlText w:val="•"/>
      <w:lvlJc w:val="left"/>
      <w:pPr>
        <w:ind w:left="3260" w:hanging="1018"/>
      </w:pPr>
      <w:rPr>
        <w:rFonts w:hint="default"/>
        <w:lang w:val="pt-PT" w:eastAsia="en-US" w:bidi="ar-SA"/>
      </w:rPr>
    </w:lvl>
    <w:lvl w:ilvl="8" w:tentative="0">
      <w:start w:val="0"/>
      <w:numFmt w:val="bullet"/>
      <w:lvlText w:val="•"/>
      <w:lvlJc w:val="left"/>
      <w:pPr>
        <w:ind w:left="3540" w:hanging="1018"/>
      </w:pPr>
      <w:rPr>
        <w:rFonts w:hint="default"/>
        <w:lang w:val="pt-PT" w:eastAsia="en-US" w:bidi="ar-SA"/>
      </w:rPr>
    </w:lvl>
  </w:abstractNum>
  <w:abstractNum w:abstractNumId="13">
    <w:nsid w:val="3259BAEF"/>
    <w:multiLevelType w:val="multilevel"/>
    <w:tmpl w:val="3259BAEF"/>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4">
    <w:nsid w:val="33CC30DD"/>
    <w:multiLevelType w:val="singleLevel"/>
    <w:tmpl w:val="33CC30DD"/>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5">
    <w:nsid w:val="36895CF6"/>
    <w:multiLevelType w:val="multilevel"/>
    <w:tmpl w:val="36895CF6"/>
    <w:lvl w:ilvl="0" w:tentative="0">
      <w:start w:val="1"/>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6">
    <w:nsid w:val="425566AA"/>
    <w:multiLevelType w:val="multilevel"/>
    <w:tmpl w:val="425566AA"/>
    <w:lvl w:ilvl="0" w:tentative="0">
      <w:start w:val="1"/>
      <w:numFmt w:val="lowerLetter"/>
      <w:lvlText w:val="%1)"/>
      <w:lvlJc w:val="left"/>
      <w:pPr>
        <w:tabs>
          <w:tab w:val="left" w:pos="1494"/>
        </w:tabs>
        <w:ind w:left="1494" w:hanging="360"/>
      </w:pPr>
      <w:rPr>
        <w:rFonts w:hint="default"/>
      </w:rPr>
    </w:lvl>
    <w:lvl w:ilvl="1" w:tentative="0">
      <w:start w:val="1"/>
      <w:numFmt w:val="lowerLetter"/>
      <w:lvlText w:val="%2."/>
      <w:lvlJc w:val="left"/>
      <w:pPr>
        <w:tabs>
          <w:tab w:val="left" w:pos="2214"/>
        </w:tabs>
        <w:ind w:left="2214" w:hanging="360"/>
      </w:pPr>
    </w:lvl>
    <w:lvl w:ilvl="2" w:tentative="0">
      <w:start w:val="1"/>
      <w:numFmt w:val="lowerRoman"/>
      <w:lvlText w:val="%3."/>
      <w:lvlJc w:val="right"/>
      <w:pPr>
        <w:tabs>
          <w:tab w:val="left" w:pos="2934"/>
        </w:tabs>
        <w:ind w:left="2934" w:hanging="180"/>
      </w:pPr>
    </w:lvl>
    <w:lvl w:ilvl="3" w:tentative="0">
      <w:start w:val="1"/>
      <w:numFmt w:val="decimal"/>
      <w:lvlText w:val="%4."/>
      <w:lvlJc w:val="left"/>
      <w:pPr>
        <w:tabs>
          <w:tab w:val="left" w:pos="3654"/>
        </w:tabs>
        <w:ind w:left="3654" w:hanging="360"/>
      </w:pPr>
    </w:lvl>
    <w:lvl w:ilvl="4" w:tentative="0">
      <w:start w:val="1"/>
      <w:numFmt w:val="lowerLetter"/>
      <w:lvlText w:val="%5."/>
      <w:lvlJc w:val="left"/>
      <w:pPr>
        <w:tabs>
          <w:tab w:val="left" w:pos="4374"/>
        </w:tabs>
        <w:ind w:left="4374" w:hanging="360"/>
      </w:pPr>
    </w:lvl>
    <w:lvl w:ilvl="5" w:tentative="0">
      <w:start w:val="1"/>
      <w:numFmt w:val="lowerRoman"/>
      <w:lvlText w:val="%6."/>
      <w:lvlJc w:val="right"/>
      <w:pPr>
        <w:tabs>
          <w:tab w:val="left" w:pos="5094"/>
        </w:tabs>
        <w:ind w:left="5094" w:hanging="180"/>
      </w:pPr>
    </w:lvl>
    <w:lvl w:ilvl="6" w:tentative="0">
      <w:start w:val="1"/>
      <w:numFmt w:val="decimal"/>
      <w:lvlText w:val="%7."/>
      <w:lvlJc w:val="left"/>
      <w:pPr>
        <w:tabs>
          <w:tab w:val="left" w:pos="5814"/>
        </w:tabs>
        <w:ind w:left="5814" w:hanging="360"/>
      </w:pPr>
    </w:lvl>
    <w:lvl w:ilvl="7" w:tentative="0">
      <w:start w:val="1"/>
      <w:numFmt w:val="lowerLetter"/>
      <w:lvlText w:val="%8."/>
      <w:lvlJc w:val="left"/>
      <w:pPr>
        <w:tabs>
          <w:tab w:val="left" w:pos="6534"/>
        </w:tabs>
        <w:ind w:left="6534" w:hanging="360"/>
      </w:pPr>
    </w:lvl>
    <w:lvl w:ilvl="8" w:tentative="0">
      <w:start w:val="1"/>
      <w:numFmt w:val="lowerRoman"/>
      <w:pStyle w:val="124"/>
      <w:lvlText w:val="%9."/>
      <w:lvlJc w:val="right"/>
      <w:pPr>
        <w:tabs>
          <w:tab w:val="left" w:pos="7254"/>
        </w:tabs>
        <w:ind w:left="7254" w:hanging="180"/>
      </w:pPr>
    </w:lvl>
  </w:abstractNum>
  <w:abstractNum w:abstractNumId="17">
    <w:nsid w:val="53371A00"/>
    <w:multiLevelType w:val="multilevel"/>
    <w:tmpl w:val="53371A00"/>
    <w:lvl w:ilvl="0" w:tentative="0">
      <w:start w:val="2"/>
      <w:numFmt w:val="decimal"/>
      <w:lvlText w:val="%1."/>
      <w:lvlJc w:val="left"/>
      <w:pPr>
        <w:ind w:left="360" w:hanging="360"/>
      </w:pPr>
      <w:rPr>
        <w:rFonts w:hint="default"/>
      </w:rPr>
    </w:lvl>
    <w:lvl w:ilvl="1" w:tentative="0">
      <w:start w:val="1"/>
      <w:numFmt w:val="decimal"/>
      <w:lvlText w:val="%1.%2."/>
      <w:lvlJc w:val="left"/>
      <w:pPr>
        <w:ind w:left="1080" w:hanging="720"/>
      </w:pPr>
      <w:rPr>
        <w:rFonts w:hint="default"/>
        <w:b/>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8">
    <w:nsid w:val="59ADCABA"/>
    <w:multiLevelType w:val="multilevel"/>
    <w:tmpl w:val="59ADCABA"/>
    <w:lvl w:ilvl="0" w:tentative="0">
      <w:start w:val="1"/>
      <w:numFmt w:val="bullet"/>
      <w:lvlText w:val=""/>
      <w:lvlJc w:val="left"/>
      <w:pPr>
        <w:ind w:left="360" w:hanging="360"/>
      </w:pPr>
      <w:rPr>
        <w:rFonts w:ascii="Symbol" w:hAnsi="Symbol"/>
      </w:rPr>
    </w:lvl>
    <w:lvl w:ilvl="1" w:tentative="0">
      <w:start w:val="1"/>
      <w:numFmt w:val="bullet"/>
      <w:lvlText w:val="o"/>
      <w:lvlJc w:val="left"/>
      <w:pPr>
        <w:ind w:left="1080" w:hanging="360"/>
      </w:pPr>
      <w:rPr>
        <w:rFonts w:ascii="Courier New" w:hAnsi="Courier New"/>
      </w:rPr>
    </w:lvl>
    <w:lvl w:ilvl="2" w:tentative="0">
      <w:start w:val="1"/>
      <w:numFmt w:val="bullet"/>
      <w:lvlText w:val=""/>
      <w:lvlJc w:val="left"/>
      <w:pPr>
        <w:ind w:left="1800" w:hanging="360"/>
      </w:pPr>
      <w:rPr>
        <w:rFonts w:ascii="Wingdings" w:hAnsi="Wingdings"/>
      </w:rPr>
    </w:lvl>
    <w:lvl w:ilvl="3" w:tentative="0">
      <w:start w:val="1"/>
      <w:numFmt w:val="bullet"/>
      <w:lvlText w:val=""/>
      <w:lvlJc w:val="left"/>
      <w:pPr>
        <w:ind w:left="2520" w:hanging="360"/>
      </w:pPr>
      <w:rPr>
        <w:rFonts w:ascii="Symbol" w:hAnsi="Symbol"/>
      </w:rPr>
    </w:lvl>
    <w:lvl w:ilvl="4" w:tentative="0">
      <w:start w:val="1"/>
      <w:numFmt w:val="bullet"/>
      <w:lvlText w:val="o"/>
      <w:lvlJc w:val="left"/>
      <w:pPr>
        <w:ind w:left="3240" w:hanging="360"/>
      </w:pPr>
      <w:rPr>
        <w:rFonts w:ascii="Courier New" w:hAnsi="Courier New"/>
      </w:rPr>
    </w:lvl>
    <w:lvl w:ilvl="5" w:tentative="0">
      <w:start w:val="1"/>
      <w:numFmt w:val="bullet"/>
      <w:lvlText w:val=""/>
      <w:lvlJc w:val="left"/>
      <w:pPr>
        <w:ind w:left="3960" w:hanging="360"/>
      </w:pPr>
      <w:rPr>
        <w:rFonts w:ascii="Wingdings" w:hAnsi="Wingdings"/>
      </w:rPr>
    </w:lvl>
    <w:lvl w:ilvl="6" w:tentative="0">
      <w:start w:val="1"/>
      <w:numFmt w:val="bullet"/>
      <w:lvlText w:val=""/>
      <w:lvlJc w:val="left"/>
      <w:pPr>
        <w:ind w:left="4680" w:hanging="360"/>
      </w:pPr>
      <w:rPr>
        <w:rFonts w:ascii="Symbol" w:hAnsi="Symbol"/>
      </w:rPr>
    </w:lvl>
    <w:lvl w:ilvl="7" w:tentative="0">
      <w:start w:val="1"/>
      <w:numFmt w:val="bullet"/>
      <w:lvlText w:val="o"/>
      <w:lvlJc w:val="left"/>
      <w:pPr>
        <w:ind w:left="5400" w:hanging="360"/>
      </w:pPr>
      <w:rPr>
        <w:rFonts w:ascii="Courier New" w:hAnsi="Courier New"/>
      </w:rPr>
    </w:lvl>
    <w:lvl w:ilvl="8" w:tentative="0">
      <w:start w:val="1"/>
      <w:numFmt w:val="bullet"/>
      <w:lvlText w:val=""/>
      <w:lvlJc w:val="left"/>
      <w:pPr>
        <w:ind w:left="6120" w:hanging="360"/>
      </w:pPr>
      <w:rPr>
        <w:rFonts w:ascii="Wingdings" w:hAnsi="Wingdings"/>
      </w:rPr>
    </w:lvl>
  </w:abstractNum>
  <w:abstractNum w:abstractNumId="19">
    <w:nsid w:val="63796A6B"/>
    <w:multiLevelType w:val="multilevel"/>
    <w:tmpl w:val="63796A6B"/>
    <w:lvl w:ilvl="0" w:tentative="0">
      <w:start w:val="8"/>
      <w:numFmt w:val="decimal"/>
      <w:lvlText w:val="%1."/>
      <w:lvlJc w:val="left"/>
      <w:pPr>
        <w:ind w:left="540" w:hanging="540"/>
      </w:pPr>
      <w:rPr>
        <w:rFonts w:hint="default"/>
      </w:rPr>
    </w:lvl>
    <w:lvl w:ilvl="1" w:tentative="0">
      <w:start w:val="2"/>
      <w:numFmt w:val="decimal"/>
      <w:lvlText w:val="%1.%2."/>
      <w:lvlJc w:val="left"/>
      <w:pPr>
        <w:ind w:left="1145" w:hanging="720"/>
      </w:pPr>
      <w:rPr>
        <w:rFonts w:hint="default"/>
        <w:b/>
      </w:rPr>
    </w:lvl>
    <w:lvl w:ilvl="2" w:tentative="0">
      <w:start w:val="3"/>
      <w:numFmt w:val="decimal"/>
      <w:lvlText w:val="%1.%2.%3."/>
      <w:lvlJc w:val="left"/>
      <w:pPr>
        <w:ind w:left="1570" w:hanging="720"/>
      </w:pPr>
      <w:rPr>
        <w:rFonts w:hint="default"/>
        <w:b/>
      </w:rPr>
    </w:lvl>
    <w:lvl w:ilvl="3" w:tentative="0">
      <w:start w:val="1"/>
      <w:numFmt w:val="decimal"/>
      <w:lvlText w:val="%1.%2.%3.%4."/>
      <w:lvlJc w:val="left"/>
      <w:pPr>
        <w:ind w:left="2355" w:hanging="1080"/>
      </w:pPr>
      <w:rPr>
        <w:rFonts w:hint="default"/>
      </w:rPr>
    </w:lvl>
    <w:lvl w:ilvl="4" w:tentative="0">
      <w:start w:val="1"/>
      <w:numFmt w:val="decimal"/>
      <w:lvlText w:val="%1.%2.%3.%4.%5."/>
      <w:lvlJc w:val="left"/>
      <w:pPr>
        <w:ind w:left="2780" w:hanging="1080"/>
      </w:pPr>
      <w:rPr>
        <w:rFonts w:hint="default"/>
      </w:rPr>
    </w:lvl>
    <w:lvl w:ilvl="5" w:tentative="0">
      <w:start w:val="1"/>
      <w:numFmt w:val="decimal"/>
      <w:lvlText w:val="%1.%2.%3.%4.%5.%6."/>
      <w:lvlJc w:val="left"/>
      <w:pPr>
        <w:ind w:left="3565" w:hanging="1440"/>
      </w:pPr>
      <w:rPr>
        <w:rFonts w:hint="default"/>
      </w:rPr>
    </w:lvl>
    <w:lvl w:ilvl="6" w:tentative="0">
      <w:start w:val="1"/>
      <w:numFmt w:val="decimal"/>
      <w:lvlText w:val="%1.%2.%3.%4.%5.%6.%7."/>
      <w:lvlJc w:val="left"/>
      <w:pPr>
        <w:ind w:left="3990" w:hanging="1440"/>
      </w:pPr>
      <w:rPr>
        <w:rFonts w:hint="default"/>
      </w:rPr>
    </w:lvl>
    <w:lvl w:ilvl="7" w:tentative="0">
      <w:start w:val="1"/>
      <w:numFmt w:val="decimal"/>
      <w:lvlText w:val="%1.%2.%3.%4.%5.%6.%7.%8."/>
      <w:lvlJc w:val="left"/>
      <w:pPr>
        <w:ind w:left="4775" w:hanging="1800"/>
      </w:pPr>
      <w:rPr>
        <w:rFonts w:hint="default"/>
      </w:rPr>
    </w:lvl>
    <w:lvl w:ilvl="8" w:tentative="0">
      <w:start w:val="1"/>
      <w:numFmt w:val="decimal"/>
      <w:lvlText w:val="%1.%2.%3.%4.%5.%6.%7.%8.%9."/>
      <w:lvlJc w:val="left"/>
      <w:pPr>
        <w:ind w:left="5200" w:hanging="1800"/>
      </w:pPr>
      <w:rPr>
        <w:rFonts w:hint="default"/>
      </w:rPr>
    </w:lvl>
  </w:abstractNum>
  <w:abstractNum w:abstractNumId="20">
    <w:nsid w:val="79185DC2"/>
    <w:multiLevelType w:val="multilevel"/>
    <w:tmpl w:val="79185DC2"/>
    <w:lvl w:ilvl="0" w:tentative="0">
      <w:start w:val="1"/>
      <w:numFmt w:val="bullet"/>
      <w:lvlText w:val=""/>
      <w:lvlJc w:val="left"/>
      <w:pPr>
        <w:ind w:left="1854"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1">
    <w:nsid w:val="7975616C"/>
    <w:multiLevelType w:val="multilevel"/>
    <w:tmpl w:val="7975616C"/>
    <w:lvl w:ilvl="0" w:tentative="0">
      <w:start w:val="7"/>
      <w:numFmt w:val="decimal"/>
      <w:lvlText w:val="%1."/>
      <w:lvlJc w:val="left"/>
      <w:pPr>
        <w:ind w:left="360" w:hanging="360"/>
      </w:pPr>
      <w:rPr>
        <w:rFonts w:hint="default"/>
      </w:rPr>
    </w:lvl>
    <w:lvl w:ilvl="1" w:tentative="0">
      <w:start w:val="1"/>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22">
    <w:nsid w:val="7A282FC3"/>
    <w:multiLevelType w:val="multilevel"/>
    <w:tmpl w:val="7A282FC3"/>
    <w:lvl w:ilvl="0" w:tentative="0">
      <w:start w:val="15"/>
      <w:numFmt w:val="decimal"/>
      <w:lvlText w:val="%1."/>
      <w:lvlJc w:val="left"/>
      <w:pPr>
        <w:ind w:left="480" w:hanging="480"/>
      </w:pPr>
      <w:rPr>
        <w:rFonts w:hint="default"/>
        <w:b/>
      </w:rPr>
    </w:lvl>
    <w:lvl w:ilvl="1" w:tentative="0">
      <w:start w:val="2"/>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num w:numId="1">
    <w:abstractNumId w:val="16"/>
  </w:num>
  <w:num w:numId="2">
    <w:abstractNumId w:val="9"/>
  </w:num>
  <w:num w:numId="3">
    <w:abstractNumId w:val="4"/>
  </w:num>
  <w:num w:numId="4">
    <w:abstractNumId w:val="11"/>
  </w:num>
  <w:num w:numId="5">
    <w:abstractNumId w:val="15"/>
  </w:num>
  <w:num w:numId="6">
    <w:abstractNumId w:val="17"/>
  </w:num>
  <w:num w:numId="7">
    <w:abstractNumId w:val="10"/>
  </w:num>
  <w:num w:numId="8">
    <w:abstractNumId w:val="8"/>
  </w:num>
  <w:num w:numId="9">
    <w:abstractNumId w:val="19"/>
  </w:num>
  <w:num w:numId="10">
    <w:abstractNumId w:val="12"/>
  </w:num>
  <w:num w:numId="11">
    <w:abstractNumId w:val="0"/>
  </w:num>
  <w:num w:numId="12">
    <w:abstractNumId w:val="5"/>
  </w:num>
  <w:num w:numId="13">
    <w:abstractNumId w:val="22"/>
  </w:num>
  <w:num w:numId="14">
    <w:abstractNumId w:val="3"/>
  </w:num>
  <w:num w:numId="15">
    <w:abstractNumId w:val="14"/>
  </w:num>
  <w:num w:numId="16">
    <w:abstractNumId w:val="2"/>
  </w:num>
  <w:num w:numId="17">
    <w:abstractNumId w:val="7"/>
  </w:num>
  <w:num w:numId="18">
    <w:abstractNumId w:val="18"/>
  </w:num>
  <w:num w:numId="19">
    <w:abstractNumId w:val="1"/>
  </w:num>
  <w:num w:numId="20">
    <w:abstractNumId w:val="2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num>
  <w:num w:numId="22">
    <w:abstractNumId w:val="6"/>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isplayHorizontalDrawingGridEvery w:val="1"/>
  <w:displayVerticalDrawingGridEvery w:val="1"/>
  <w:noPunctuationKerning w:val="1"/>
  <w:characterSpacingControl w:val="doNotCompress"/>
  <w:hdrShapeDefaults>
    <o:shapelayout v:ext="edit">
      <o:idmap v:ext="edit" data="2"/>
    </o:shapelayout>
  </w:hdrShapeDefaults>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FBF"/>
    <w:rsid w:val="0000080F"/>
    <w:rsid w:val="000008E2"/>
    <w:rsid w:val="000017A0"/>
    <w:rsid w:val="00003DA0"/>
    <w:rsid w:val="000046BA"/>
    <w:rsid w:val="00005AF4"/>
    <w:rsid w:val="00007899"/>
    <w:rsid w:val="00007B1D"/>
    <w:rsid w:val="0001144A"/>
    <w:rsid w:val="00012250"/>
    <w:rsid w:val="000126AD"/>
    <w:rsid w:val="00012E54"/>
    <w:rsid w:val="000164B0"/>
    <w:rsid w:val="000165DF"/>
    <w:rsid w:val="00017454"/>
    <w:rsid w:val="0002214E"/>
    <w:rsid w:val="0002261B"/>
    <w:rsid w:val="00022CDC"/>
    <w:rsid w:val="00023776"/>
    <w:rsid w:val="00023A4F"/>
    <w:rsid w:val="00031A1A"/>
    <w:rsid w:val="00034C5E"/>
    <w:rsid w:val="00035763"/>
    <w:rsid w:val="00036794"/>
    <w:rsid w:val="000373F8"/>
    <w:rsid w:val="00040D77"/>
    <w:rsid w:val="0004226C"/>
    <w:rsid w:val="0004312F"/>
    <w:rsid w:val="00046ED8"/>
    <w:rsid w:val="00050872"/>
    <w:rsid w:val="00053BBF"/>
    <w:rsid w:val="00053D18"/>
    <w:rsid w:val="00056737"/>
    <w:rsid w:val="000601E9"/>
    <w:rsid w:val="000608E4"/>
    <w:rsid w:val="00061AD3"/>
    <w:rsid w:val="000632BE"/>
    <w:rsid w:val="00065B38"/>
    <w:rsid w:val="00066EE2"/>
    <w:rsid w:val="000676A9"/>
    <w:rsid w:val="00067C67"/>
    <w:rsid w:val="00071FFB"/>
    <w:rsid w:val="000726E4"/>
    <w:rsid w:val="00076926"/>
    <w:rsid w:val="000778C2"/>
    <w:rsid w:val="00080C44"/>
    <w:rsid w:val="0008142D"/>
    <w:rsid w:val="00083336"/>
    <w:rsid w:val="00085067"/>
    <w:rsid w:val="00090109"/>
    <w:rsid w:val="00092C78"/>
    <w:rsid w:val="00093F93"/>
    <w:rsid w:val="00095E98"/>
    <w:rsid w:val="000A01C5"/>
    <w:rsid w:val="000A0483"/>
    <w:rsid w:val="000A1CF7"/>
    <w:rsid w:val="000A2273"/>
    <w:rsid w:val="000A354A"/>
    <w:rsid w:val="000B140A"/>
    <w:rsid w:val="000B1BD0"/>
    <w:rsid w:val="000B521B"/>
    <w:rsid w:val="000B79BB"/>
    <w:rsid w:val="000C29C1"/>
    <w:rsid w:val="000C2BF3"/>
    <w:rsid w:val="000C2EAE"/>
    <w:rsid w:val="000C3FF4"/>
    <w:rsid w:val="000C5506"/>
    <w:rsid w:val="000C5B8F"/>
    <w:rsid w:val="000C5E50"/>
    <w:rsid w:val="000D0045"/>
    <w:rsid w:val="000D25D4"/>
    <w:rsid w:val="000D331A"/>
    <w:rsid w:val="000D390A"/>
    <w:rsid w:val="000D415B"/>
    <w:rsid w:val="000E050E"/>
    <w:rsid w:val="000E2DB5"/>
    <w:rsid w:val="000E3C88"/>
    <w:rsid w:val="000E3F1D"/>
    <w:rsid w:val="000E5BB8"/>
    <w:rsid w:val="000E5CFB"/>
    <w:rsid w:val="000E7423"/>
    <w:rsid w:val="000F0DF1"/>
    <w:rsid w:val="000F2850"/>
    <w:rsid w:val="000F4CE8"/>
    <w:rsid w:val="000F560D"/>
    <w:rsid w:val="000F605A"/>
    <w:rsid w:val="001002C7"/>
    <w:rsid w:val="00104D77"/>
    <w:rsid w:val="001054CF"/>
    <w:rsid w:val="00105E42"/>
    <w:rsid w:val="00106CB2"/>
    <w:rsid w:val="00106DAA"/>
    <w:rsid w:val="0011019F"/>
    <w:rsid w:val="00111836"/>
    <w:rsid w:val="00111F6E"/>
    <w:rsid w:val="00113EF0"/>
    <w:rsid w:val="00115706"/>
    <w:rsid w:val="00117206"/>
    <w:rsid w:val="00120287"/>
    <w:rsid w:val="00120B26"/>
    <w:rsid w:val="0012101D"/>
    <w:rsid w:val="00123A21"/>
    <w:rsid w:val="00123ECD"/>
    <w:rsid w:val="00124524"/>
    <w:rsid w:val="00131E1C"/>
    <w:rsid w:val="00132F39"/>
    <w:rsid w:val="00140601"/>
    <w:rsid w:val="00140975"/>
    <w:rsid w:val="00142A66"/>
    <w:rsid w:val="00142CB2"/>
    <w:rsid w:val="00146871"/>
    <w:rsid w:val="001469DF"/>
    <w:rsid w:val="00147A64"/>
    <w:rsid w:val="00150D17"/>
    <w:rsid w:val="00151D1C"/>
    <w:rsid w:val="00152A6D"/>
    <w:rsid w:val="00153EBD"/>
    <w:rsid w:val="001547F9"/>
    <w:rsid w:val="00157B3E"/>
    <w:rsid w:val="00161682"/>
    <w:rsid w:val="00162BD1"/>
    <w:rsid w:val="001649F4"/>
    <w:rsid w:val="00166979"/>
    <w:rsid w:val="00166C2E"/>
    <w:rsid w:val="0017049A"/>
    <w:rsid w:val="00172D75"/>
    <w:rsid w:val="00173B29"/>
    <w:rsid w:val="001772DA"/>
    <w:rsid w:val="00177A4F"/>
    <w:rsid w:val="00181EC5"/>
    <w:rsid w:val="0018255E"/>
    <w:rsid w:val="001858F9"/>
    <w:rsid w:val="00187BF1"/>
    <w:rsid w:val="00187E71"/>
    <w:rsid w:val="001947CB"/>
    <w:rsid w:val="00195268"/>
    <w:rsid w:val="001956BA"/>
    <w:rsid w:val="00195AFE"/>
    <w:rsid w:val="00195B9F"/>
    <w:rsid w:val="001A1A19"/>
    <w:rsid w:val="001A2FC3"/>
    <w:rsid w:val="001A4DB0"/>
    <w:rsid w:val="001A66E4"/>
    <w:rsid w:val="001A67A8"/>
    <w:rsid w:val="001A695E"/>
    <w:rsid w:val="001A7058"/>
    <w:rsid w:val="001B2D25"/>
    <w:rsid w:val="001B3053"/>
    <w:rsid w:val="001B3AE1"/>
    <w:rsid w:val="001B44EB"/>
    <w:rsid w:val="001B462F"/>
    <w:rsid w:val="001B4E0E"/>
    <w:rsid w:val="001B4E40"/>
    <w:rsid w:val="001B4E89"/>
    <w:rsid w:val="001B6297"/>
    <w:rsid w:val="001C1EBB"/>
    <w:rsid w:val="001C2554"/>
    <w:rsid w:val="001C4B16"/>
    <w:rsid w:val="001C626C"/>
    <w:rsid w:val="001D03D0"/>
    <w:rsid w:val="001D0874"/>
    <w:rsid w:val="001D17E9"/>
    <w:rsid w:val="001D6134"/>
    <w:rsid w:val="001D6B73"/>
    <w:rsid w:val="001E0BD0"/>
    <w:rsid w:val="001E332A"/>
    <w:rsid w:val="001E4965"/>
    <w:rsid w:val="001E5A25"/>
    <w:rsid w:val="001E7651"/>
    <w:rsid w:val="001F3243"/>
    <w:rsid w:val="001F3369"/>
    <w:rsid w:val="001F461E"/>
    <w:rsid w:val="001F4945"/>
    <w:rsid w:val="001F61ED"/>
    <w:rsid w:val="001F628B"/>
    <w:rsid w:val="001F68CF"/>
    <w:rsid w:val="001F699B"/>
    <w:rsid w:val="001F7A5D"/>
    <w:rsid w:val="002003A6"/>
    <w:rsid w:val="0020145B"/>
    <w:rsid w:val="002015DC"/>
    <w:rsid w:val="00201B5C"/>
    <w:rsid w:val="002023AA"/>
    <w:rsid w:val="002133A0"/>
    <w:rsid w:val="002207CF"/>
    <w:rsid w:val="00220C4B"/>
    <w:rsid w:val="00220EC3"/>
    <w:rsid w:val="002225BF"/>
    <w:rsid w:val="00223B06"/>
    <w:rsid w:val="00230BF7"/>
    <w:rsid w:val="002325FF"/>
    <w:rsid w:val="002336C0"/>
    <w:rsid w:val="00233B56"/>
    <w:rsid w:val="00234818"/>
    <w:rsid w:val="00234BB3"/>
    <w:rsid w:val="002402CC"/>
    <w:rsid w:val="00241B1A"/>
    <w:rsid w:val="00242D47"/>
    <w:rsid w:val="00243C73"/>
    <w:rsid w:val="002444B0"/>
    <w:rsid w:val="00244D70"/>
    <w:rsid w:val="00244FAC"/>
    <w:rsid w:val="00246A55"/>
    <w:rsid w:val="002476AE"/>
    <w:rsid w:val="00247997"/>
    <w:rsid w:val="00247B0E"/>
    <w:rsid w:val="00250F8D"/>
    <w:rsid w:val="00252170"/>
    <w:rsid w:val="002534FC"/>
    <w:rsid w:val="002545AD"/>
    <w:rsid w:val="00254D2B"/>
    <w:rsid w:val="00255A4B"/>
    <w:rsid w:val="0025612E"/>
    <w:rsid w:val="00260984"/>
    <w:rsid w:val="0026170C"/>
    <w:rsid w:val="0026444D"/>
    <w:rsid w:val="002665E7"/>
    <w:rsid w:val="002670C4"/>
    <w:rsid w:val="00270BA0"/>
    <w:rsid w:val="00271F4A"/>
    <w:rsid w:val="00280384"/>
    <w:rsid w:val="00281826"/>
    <w:rsid w:val="002841B1"/>
    <w:rsid w:val="00286123"/>
    <w:rsid w:val="00287123"/>
    <w:rsid w:val="00290517"/>
    <w:rsid w:val="002920D6"/>
    <w:rsid w:val="0029331C"/>
    <w:rsid w:val="002A2A10"/>
    <w:rsid w:val="002A4BE4"/>
    <w:rsid w:val="002A500B"/>
    <w:rsid w:val="002B16C9"/>
    <w:rsid w:val="002B3EA8"/>
    <w:rsid w:val="002B623F"/>
    <w:rsid w:val="002C18D8"/>
    <w:rsid w:val="002C286B"/>
    <w:rsid w:val="002C6284"/>
    <w:rsid w:val="002C79B7"/>
    <w:rsid w:val="002D5094"/>
    <w:rsid w:val="002D7E94"/>
    <w:rsid w:val="002E05ED"/>
    <w:rsid w:val="002E11B7"/>
    <w:rsid w:val="002E12D1"/>
    <w:rsid w:val="002E1F47"/>
    <w:rsid w:val="002E4604"/>
    <w:rsid w:val="002E67BF"/>
    <w:rsid w:val="002F170D"/>
    <w:rsid w:val="002F1A12"/>
    <w:rsid w:val="002F1E88"/>
    <w:rsid w:val="002F3535"/>
    <w:rsid w:val="002F4D17"/>
    <w:rsid w:val="002F54BC"/>
    <w:rsid w:val="002F7330"/>
    <w:rsid w:val="0030036D"/>
    <w:rsid w:val="00301100"/>
    <w:rsid w:val="00301C98"/>
    <w:rsid w:val="003048E9"/>
    <w:rsid w:val="00307394"/>
    <w:rsid w:val="003075A6"/>
    <w:rsid w:val="0030774B"/>
    <w:rsid w:val="003102E6"/>
    <w:rsid w:val="00311FEF"/>
    <w:rsid w:val="003122DD"/>
    <w:rsid w:val="00312526"/>
    <w:rsid w:val="003137ED"/>
    <w:rsid w:val="003140B0"/>
    <w:rsid w:val="00315123"/>
    <w:rsid w:val="00315BB9"/>
    <w:rsid w:val="00315C23"/>
    <w:rsid w:val="00316D9D"/>
    <w:rsid w:val="00321406"/>
    <w:rsid w:val="003218B4"/>
    <w:rsid w:val="00321C37"/>
    <w:rsid w:val="0032209E"/>
    <w:rsid w:val="003224DD"/>
    <w:rsid w:val="003244E0"/>
    <w:rsid w:val="003255D4"/>
    <w:rsid w:val="00325F59"/>
    <w:rsid w:val="0032673A"/>
    <w:rsid w:val="00333AC9"/>
    <w:rsid w:val="00333D3F"/>
    <w:rsid w:val="00337603"/>
    <w:rsid w:val="0034071E"/>
    <w:rsid w:val="003416AF"/>
    <w:rsid w:val="00342C5F"/>
    <w:rsid w:val="00344194"/>
    <w:rsid w:val="00344716"/>
    <w:rsid w:val="003456F8"/>
    <w:rsid w:val="00346381"/>
    <w:rsid w:val="00346C4D"/>
    <w:rsid w:val="003511EC"/>
    <w:rsid w:val="003524AC"/>
    <w:rsid w:val="003550EA"/>
    <w:rsid w:val="00356AB1"/>
    <w:rsid w:val="003616C7"/>
    <w:rsid w:val="00362BF3"/>
    <w:rsid w:val="00363B18"/>
    <w:rsid w:val="0036451E"/>
    <w:rsid w:val="0036592F"/>
    <w:rsid w:val="00366A03"/>
    <w:rsid w:val="00367435"/>
    <w:rsid w:val="00370EA9"/>
    <w:rsid w:val="0037638A"/>
    <w:rsid w:val="00377ED0"/>
    <w:rsid w:val="003814B8"/>
    <w:rsid w:val="00386525"/>
    <w:rsid w:val="00395DD5"/>
    <w:rsid w:val="00395E36"/>
    <w:rsid w:val="003A3944"/>
    <w:rsid w:val="003A4F09"/>
    <w:rsid w:val="003A506B"/>
    <w:rsid w:val="003A6174"/>
    <w:rsid w:val="003A6433"/>
    <w:rsid w:val="003A6B17"/>
    <w:rsid w:val="003B0603"/>
    <w:rsid w:val="003B0908"/>
    <w:rsid w:val="003B3E90"/>
    <w:rsid w:val="003B7574"/>
    <w:rsid w:val="003B7EFD"/>
    <w:rsid w:val="003C0719"/>
    <w:rsid w:val="003C17C0"/>
    <w:rsid w:val="003C1C9A"/>
    <w:rsid w:val="003C2F74"/>
    <w:rsid w:val="003C32BE"/>
    <w:rsid w:val="003C33DE"/>
    <w:rsid w:val="003C4905"/>
    <w:rsid w:val="003C4958"/>
    <w:rsid w:val="003C7867"/>
    <w:rsid w:val="003D00C6"/>
    <w:rsid w:val="003D195D"/>
    <w:rsid w:val="003D1C49"/>
    <w:rsid w:val="003D1C80"/>
    <w:rsid w:val="003D559C"/>
    <w:rsid w:val="003E0778"/>
    <w:rsid w:val="003E1269"/>
    <w:rsid w:val="003E17A1"/>
    <w:rsid w:val="003E1A5E"/>
    <w:rsid w:val="003E1E42"/>
    <w:rsid w:val="003E2741"/>
    <w:rsid w:val="003E4CE6"/>
    <w:rsid w:val="003E618B"/>
    <w:rsid w:val="003E6360"/>
    <w:rsid w:val="003E6629"/>
    <w:rsid w:val="003F0901"/>
    <w:rsid w:val="003F1513"/>
    <w:rsid w:val="003F2472"/>
    <w:rsid w:val="003F2E3C"/>
    <w:rsid w:val="003F593A"/>
    <w:rsid w:val="0040416C"/>
    <w:rsid w:val="0040530F"/>
    <w:rsid w:val="0040664C"/>
    <w:rsid w:val="00411247"/>
    <w:rsid w:val="0041398B"/>
    <w:rsid w:val="0041412C"/>
    <w:rsid w:val="00416D3D"/>
    <w:rsid w:val="00416E93"/>
    <w:rsid w:val="0042307E"/>
    <w:rsid w:val="00426658"/>
    <w:rsid w:val="00426F2B"/>
    <w:rsid w:val="00427101"/>
    <w:rsid w:val="00427E60"/>
    <w:rsid w:val="00433798"/>
    <w:rsid w:val="0043620C"/>
    <w:rsid w:val="004406A6"/>
    <w:rsid w:val="00441C5F"/>
    <w:rsid w:val="0044235C"/>
    <w:rsid w:val="004442E0"/>
    <w:rsid w:val="0044441B"/>
    <w:rsid w:val="00445F63"/>
    <w:rsid w:val="004478F6"/>
    <w:rsid w:val="00450670"/>
    <w:rsid w:val="004530B4"/>
    <w:rsid w:val="004533B0"/>
    <w:rsid w:val="004541D1"/>
    <w:rsid w:val="0045527E"/>
    <w:rsid w:val="00461351"/>
    <w:rsid w:val="004624D2"/>
    <w:rsid w:val="00463E4F"/>
    <w:rsid w:val="004652E5"/>
    <w:rsid w:val="004657A1"/>
    <w:rsid w:val="0046631A"/>
    <w:rsid w:val="00470D0C"/>
    <w:rsid w:val="00471C6C"/>
    <w:rsid w:val="00471D6C"/>
    <w:rsid w:val="00474895"/>
    <w:rsid w:val="00474A46"/>
    <w:rsid w:val="00474C2B"/>
    <w:rsid w:val="004754DF"/>
    <w:rsid w:val="00475751"/>
    <w:rsid w:val="00476490"/>
    <w:rsid w:val="004773EB"/>
    <w:rsid w:val="00477761"/>
    <w:rsid w:val="00477A79"/>
    <w:rsid w:val="004815C6"/>
    <w:rsid w:val="00481ADE"/>
    <w:rsid w:val="004821C4"/>
    <w:rsid w:val="00483BA7"/>
    <w:rsid w:val="00483F1B"/>
    <w:rsid w:val="0048782E"/>
    <w:rsid w:val="00490026"/>
    <w:rsid w:val="00493DBD"/>
    <w:rsid w:val="004941C3"/>
    <w:rsid w:val="0049471C"/>
    <w:rsid w:val="00496688"/>
    <w:rsid w:val="00496CC6"/>
    <w:rsid w:val="004972AA"/>
    <w:rsid w:val="0049753F"/>
    <w:rsid w:val="004A0917"/>
    <w:rsid w:val="004A102B"/>
    <w:rsid w:val="004A22ED"/>
    <w:rsid w:val="004A61D5"/>
    <w:rsid w:val="004B21F1"/>
    <w:rsid w:val="004B2727"/>
    <w:rsid w:val="004B4497"/>
    <w:rsid w:val="004B5B48"/>
    <w:rsid w:val="004C2954"/>
    <w:rsid w:val="004C2B3E"/>
    <w:rsid w:val="004C2B52"/>
    <w:rsid w:val="004C4F28"/>
    <w:rsid w:val="004C6691"/>
    <w:rsid w:val="004D1B23"/>
    <w:rsid w:val="004D1E80"/>
    <w:rsid w:val="004D343A"/>
    <w:rsid w:val="004D4C1C"/>
    <w:rsid w:val="004D5858"/>
    <w:rsid w:val="004E2979"/>
    <w:rsid w:val="004E3D82"/>
    <w:rsid w:val="004E62EF"/>
    <w:rsid w:val="004E6A1B"/>
    <w:rsid w:val="004F0D75"/>
    <w:rsid w:val="004F2CDF"/>
    <w:rsid w:val="004F317C"/>
    <w:rsid w:val="004F5460"/>
    <w:rsid w:val="004F689E"/>
    <w:rsid w:val="004F73A1"/>
    <w:rsid w:val="004F7FCD"/>
    <w:rsid w:val="00500444"/>
    <w:rsid w:val="00500EEF"/>
    <w:rsid w:val="00501B0A"/>
    <w:rsid w:val="00502C47"/>
    <w:rsid w:val="00503385"/>
    <w:rsid w:val="00504790"/>
    <w:rsid w:val="00510314"/>
    <w:rsid w:val="0051074A"/>
    <w:rsid w:val="00510F8D"/>
    <w:rsid w:val="005116F1"/>
    <w:rsid w:val="00512668"/>
    <w:rsid w:val="00514A19"/>
    <w:rsid w:val="00514D42"/>
    <w:rsid w:val="0051676A"/>
    <w:rsid w:val="005209E7"/>
    <w:rsid w:val="00520CD5"/>
    <w:rsid w:val="00520F4A"/>
    <w:rsid w:val="00521EBE"/>
    <w:rsid w:val="005233E4"/>
    <w:rsid w:val="00524070"/>
    <w:rsid w:val="00525219"/>
    <w:rsid w:val="005268CE"/>
    <w:rsid w:val="0053340C"/>
    <w:rsid w:val="0053376D"/>
    <w:rsid w:val="005353E2"/>
    <w:rsid w:val="00542654"/>
    <w:rsid w:val="00543E90"/>
    <w:rsid w:val="0054486C"/>
    <w:rsid w:val="00546BB2"/>
    <w:rsid w:val="00546F33"/>
    <w:rsid w:val="0055185C"/>
    <w:rsid w:val="00552EB3"/>
    <w:rsid w:val="00554874"/>
    <w:rsid w:val="0055587E"/>
    <w:rsid w:val="0055685D"/>
    <w:rsid w:val="005615FC"/>
    <w:rsid w:val="00565933"/>
    <w:rsid w:val="005664D2"/>
    <w:rsid w:val="00571B3F"/>
    <w:rsid w:val="0057368D"/>
    <w:rsid w:val="00575EB5"/>
    <w:rsid w:val="00576101"/>
    <w:rsid w:val="0057666D"/>
    <w:rsid w:val="00576BC7"/>
    <w:rsid w:val="00577AB7"/>
    <w:rsid w:val="005813F4"/>
    <w:rsid w:val="00582043"/>
    <w:rsid w:val="00582862"/>
    <w:rsid w:val="00583AD1"/>
    <w:rsid w:val="00583D24"/>
    <w:rsid w:val="005866BE"/>
    <w:rsid w:val="00587C96"/>
    <w:rsid w:val="00587CC6"/>
    <w:rsid w:val="00591BBC"/>
    <w:rsid w:val="00592216"/>
    <w:rsid w:val="00593E4D"/>
    <w:rsid w:val="00596D72"/>
    <w:rsid w:val="00597C43"/>
    <w:rsid w:val="005A19F0"/>
    <w:rsid w:val="005A1ED0"/>
    <w:rsid w:val="005A20C0"/>
    <w:rsid w:val="005A7D9A"/>
    <w:rsid w:val="005B0117"/>
    <w:rsid w:val="005B2858"/>
    <w:rsid w:val="005B2AFE"/>
    <w:rsid w:val="005B594F"/>
    <w:rsid w:val="005C0DB5"/>
    <w:rsid w:val="005C0DFD"/>
    <w:rsid w:val="005C1D6B"/>
    <w:rsid w:val="005C2A2D"/>
    <w:rsid w:val="005C2F24"/>
    <w:rsid w:val="005C30F7"/>
    <w:rsid w:val="005C60C4"/>
    <w:rsid w:val="005C71D5"/>
    <w:rsid w:val="005D1E09"/>
    <w:rsid w:val="005D79E1"/>
    <w:rsid w:val="005E0043"/>
    <w:rsid w:val="005E2FA3"/>
    <w:rsid w:val="005E5975"/>
    <w:rsid w:val="005E6B5E"/>
    <w:rsid w:val="005E6EF0"/>
    <w:rsid w:val="005E76BB"/>
    <w:rsid w:val="005E79BC"/>
    <w:rsid w:val="005F286D"/>
    <w:rsid w:val="005F2ADB"/>
    <w:rsid w:val="005F2DE5"/>
    <w:rsid w:val="005F472F"/>
    <w:rsid w:val="00600191"/>
    <w:rsid w:val="006010EC"/>
    <w:rsid w:val="00602800"/>
    <w:rsid w:val="00602C32"/>
    <w:rsid w:val="00603635"/>
    <w:rsid w:val="00604B3B"/>
    <w:rsid w:val="00614AB2"/>
    <w:rsid w:val="00615ECA"/>
    <w:rsid w:val="0061759C"/>
    <w:rsid w:val="00622636"/>
    <w:rsid w:val="00622B50"/>
    <w:rsid w:val="00622FA3"/>
    <w:rsid w:val="00623119"/>
    <w:rsid w:val="00623A95"/>
    <w:rsid w:val="0062416E"/>
    <w:rsid w:val="006251DC"/>
    <w:rsid w:val="006307FC"/>
    <w:rsid w:val="00630875"/>
    <w:rsid w:val="00633433"/>
    <w:rsid w:val="006350E2"/>
    <w:rsid w:val="006354B1"/>
    <w:rsid w:val="00636AB2"/>
    <w:rsid w:val="00640B4B"/>
    <w:rsid w:val="0064173D"/>
    <w:rsid w:val="006426B3"/>
    <w:rsid w:val="006428ED"/>
    <w:rsid w:val="006432E1"/>
    <w:rsid w:val="006443BB"/>
    <w:rsid w:val="006447CD"/>
    <w:rsid w:val="00647082"/>
    <w:rsid w:val="0065217B"/>
    <w:rsid w:val="00652391"/>
    <w:rsid w:val="00652F19"/>
    <w:rsid w:val="00656A94"/>
    <w:rsid w:val="0066003E"/>
    <w:rsid w:val="0066768A"/>
    <w:rsid w:val="0067400D"/>
    <w:rsid w:val="006749F4"/>
    <w:rsid w:val="00675A47"/>
    <w:rsid w:val="0067780C"/>
    <w:rsid w:val="00677EA4"/>
    <w:rsid w:val="00681F24"/>
    <w:rsid w:val="0068228C"/>
    <w:rsid w:val="0068248F"/>
    <w:rsid w:val="0068320D"/>
    <w:rsid w:val="006841DE"/>
    <w:rsid w:val="00684339"/>
    <w:rsid w:val="00685820"/>
    <w:rsid w:val="0068670C"/>
    <w:rsid w:val="00686CF3"/>
    <w:rsid w:val="00687B3D"/>
    <w:rsid w:val="00687C96"/>
    <w:rsid w:val="00690D96"/>
    <w:rsid w:val="006A0C03"/>
    <w:rsid w:val="006A1BE8"/>
    <w:rsid w:val="006A5008"/>
    <w:rsid w:val="006A662A"/>
    <w:rsid w:val="006A75AA"/>
    <w:rsid w:val="006A7C92"/>
    <w:rsid w:val="006B025A"/>
    <w:rsid w:val="006B0639"/>
    <w:rsid w:val="006B2B76"/>
    <w:rsid w:val="006B3E1E"/>
    <w:rsid w:val="006B405C"/>
    <w:rsid w:val="006C1B0A"/>
    <w:rsid w:val="006C2BED"/>
    <w:rsid w:val="006C460B"/>
    <w:rsid w:val="006D0542"/>
    <w:rsid w:val="006D0826"/>
    <w:rsid w:val="006D0FE7"/>
    <w:rsid w:val="006D1C06"/>
    <w:rsid w:val="006D30B1"/>
    <w:rsid w:val="006D338A"/>
    <w:rsid w:val="006D3B1C"/>
    <w:rsid w:val="006D42CC"/>
    <w:rsid w:val="006D69EE"/>
    <w:rsid w:val="006D7C90"/>
    <w:rsid w:val="006E1FF4"/>
    <w:rsid w:val="006E2694"/>
    <w:rsid w:val="006E2E04"/>
    <w:rsid w:val="006E363D"/>
    <w:rsid w:val="006E4F0A"/>
    <w:rsid w:val="006E7904"/>
    <w:rsid w:val="006E7C53"/>
    <w:rsid w:val="006F03BA"/>
    <w:rsid w:val="006F1C29"/>
    <w:rsid w:val="006F5463"/>
    <w:rsid w:val="006F709B"/>
    <w:rsid w:val="00700114"/>
    <w:rsid w:val="007019F6"/>
    <w:rsid w:val="00702260"/>
    <w:rsid w:val="007057CE"/>
    <w:rsid w:val="00710256"/>
    <w:rsid w:val="00710966"/>
    <w:rsid w:val="007109C8"/>
    <w:rsid w:val="007110F1"/>
    <w:rsid w:val="007113B3"/>
    <w:rsid w:val="00712B30"/>
    <w:rsid w:val="007143C0"/>
    <w:rsid w:val="007207AF"/>
    <w:rsid w:val="007214B0"/>
    <w:rsid w:val="00722AD6"/>
    <w:rsid w:val="00726015"/>
    <w:rsid w:val="0072736D"/>
    <w:rsid w:val="00732A04"/>
    <w:rsid w:val="00732E3D"/>
    <w:rsid w:val="00733560"/>
    <w:rsid w:val="00736F71"/>
    <w:rsid w:val="00737BE6"/>
    <w:rsid w:val="00742B62"/>
    <w:rsid w:val="00744C9A"/>
    <w:rsid w:val="0074704D"/>
    <w:rsid w:val="00750495"/>
    <w:rsid w:val="007508AE"/>
    <w:rsid w:val="00754054"/>
    <w:rsid w:val="00755BBB"/>
    <w:rsid w:val="007575C5"/>
    <w:rsid w:val="007603DB"/>
    <w:rsid w:val="007633E5"/>
    <w:rsid w:val="00767194"/>
    <w:rsid w:val="00771F18"/>
    <w:rsid w:val="00773349"/>
    <w:rsid w:val="007743C5"/>
    <w:rsid w:val="007772C2"/>
    <w:rsid w:val="00777B46"/>
    <w:rsid w:val="0078324F"/>
    <w:rsid w:val="00783478"/>
    <w:rsid w:val="007870B6"/>
    <w:rsid w:val="00791B64"/>
    <w:rsid w:val="0079217A"/>
    <w:rsid w:val="0079479C"/>
    <w:rsid w:val="00795105"/>
    <w:rsid w:val="007962D6"/>
    <w:rsid w:val="00796D95"/>
    <w:rsid w:val="00797A89"/>
    <w:rsid w:val="007A07BD"/>
    <w:rsid w:val="007A0C86"/>
    <w:rsid w:val="007A0EAE"/>
    <w:rsid w:val="007A1C79"/>
    <w:rsid w:val="007A6FD4"/>
    <w:rsid w:val="007B0150"/>
    <w:rsid w:val="007B05EA"/>
    <w:rsid w:val="007B3167"/>
    <w:rsid w:val="007B33D9"/>
    <w:rsid w:val="007B3694"/>
    <w:rsid w:val="007B54E5"/>
    <w:rsid w:val="007C2AAD"/>
    <w:rsid w:val="007C3DE3"/>
    <w:rsid w:val="007C4640"/>
    <w:rsid w:val="007C6879"/>
    <w:rsid w:val="007D2ADA"/>
    <w:rsid w:val="007D2ED4"/>
    <w:rsid w:val="007D336F"/>
    <w:rsid w:val="007D3407"/>
    <w:rsid w:val="007D393F"/>
    <w:rsid w:val="007D5EE4"/>
    <w:rsid w:val="007D6DDC"/>
    <w:rsid w:val="007D78C4"/>
    <w:rsid w:val="007E0262"/>
    <w:rsid w:val="007E0761"/>
    <w:rsid w:val="007E10C1"/>
    <w:rsid w:val="007E1ED0"/>
    <w:rsid w:val="007E307D"/>
    <w:rsid w:val="007E3AD4"/>
    <w:rsid w:val="007E55C8"/>
    <w:rsid w:val="007E69F7"/>
    <w:rsid w:val="007F029B"/>
    <w:rsid w:val="007F7109"/>
    <w:rsid w:val="00803BF9"/>
    <w:rsid w:val="00804C09"/>
    <w:rsid w:val="00805720"/>
    <w:rsid w:val="00807257"/>
    <w:rsid w:val="00811FED"/>
    <w:rsid w:val="00813B0F"/>
    <w:rsid w:val="00816AD0"/>
    <w:rsid w:val="00816D5D"/>
    <w:rsid w:val="00817853"/>
    <w:rsid w:val="008208A6"/>
    <w:rsid w:val="00820EA0"/>
    <w:rsid w:val="00821266"/>
    <w:rsid w:val="00825ED6"/>
    <w:rsid w:val="008274E6"/>
    <w:rsid w:val="00830F93"/>
    <w:rsid w:val="00832C43"/>
    <w:rsid w:val="008334D1"/>
    <w:rsid w:val="00834226"/>
    <w:rsid w:val="00834EC8"/>
    <w:rsid w:val="008359FC"/>
    <w:rsid w:val="00836E23"/>
    <w:rsid w:val="0084074F"/>
    <w:rsid w:val="00841AE3"/>
    <w:rsid w:val="0084409F"/>
    <w:rsid w:val="008448CD"/>
    <w:rsid w:val="00851F9C"/>
    <w:rsid w:val="00853B54"/>
    <w:rsid w:val="00854C72"/>
    <w:rsid w:val="00855099"/>
    <w:rsid w:val="008553A0"/>
    <w:rsid w:val="0085650B"/>
    <w:rsid w:val="00857597"/>
    <w:rsid w:val="00862D38"/>
    <w:rsid w:val="00862E16"/>
    <w:rsid w:val="00865D38"/>
    <w:rsid w:val="008662E7"/>
    <w:rsid w:val="00866832"/>
    <w:rsid w:val="008676BF"/>
    <w:rsid w:val="00870212"/>
    <w:rsid w:val="00870C86"/>
    <w:rsid w:val="008716E5"/>
    <w:rsid w:val="00875CAA"/>
    <w:rsid w:val="00877575"/>
    <w:rsid w:val="00880D9D"/>
    <w:rsid w:val="0088330E"/>
    <w:rsid w:val="008853D6"/>
    <w:rsid w:val="00885B27"/>
    <w:rsid w:val="008873EF"/>
    <w:rsid w:val="0088764C"/>
    <w:rsid w:val="00891526"/>
    <w:rsid w:val="0089158F"/>
    <w:rsid w:val="008934C6"/>
    <w:rsid w:val="00893772"/>
    <w:rsid w:val="00893C4C"/>
    <w:rsid w:val="0089496F"/>
    <w:rsid w:val="00895E51"/>
    <w:rsid w:val="00896451"/>
    <w:rsid w:val="00896D08"/>
    <w:rsid w:val="008A1719"/>
    <w:rsid w:val="008A223A"/>
    <w:rsid w:val="008A2A30"/>
    <w:rsid w:val="008A2D7E"/>
    <w:rsid w:val="008A3695"/>
    <w:rsid w:val="008A4AC4"/>
    <w:rsid w:val="008A55B4"/>
    <w:rsid w:val="008A770E"/>
    <w:rsid w:val="008A79FB"/>
    <w:rsid w:val="008B0BB3"/>
    <w:rsid w:val="008B17F9"/>
    <w:rsid w:val="008B4444"/>
    <w:rsid w:val="008B5D49"/>
    <w:rsid w:val="008C1FE7"/>
    <w:rsid w:val="008C2898"/>
    <w:rsid w:val="008C5986"/>
    <w:rsid w:val="008C7CA1"/>
    <w:rsid w:val="008C7FC8"/>
    <w:rsid w:val="008D0FFB"/>
    <w:rsid w:val="008D1D00"/>
    <w:rsid w:val="008D2424"/>
    <w:rsid w:val="008D300F"/>
    <w:rsid w:val="008D53CE"/>
    <w:rsid w:val="008D6EA9"/>
    <w:rsid w:val="008D7523"/>
    <w:rsid w:val="008D7BC1"/>
    <w:rsid w:val="008E0FBF"/>
    <w:rsid w:val="008E1374"/>
    <w:rsid w:val="008E13F6"/>
    <w:rsid w:val="008E2A70"/>
    <w:rsid w:val="008E3237"/>
    <w:rsid w:val="008E48DD"/>
    <w:rsid w:val="008E4A66"/>
    <w:rsid w:val="008E5CCF"/>
    <w:rsid w:val="008E5E36"/>
    <w:rsid w:val="008E61C7"/>
    <w:rsid w:val="008E6216"/>
    <w:rsid w:val="008F5449"/>
    <w:rsid w:val="008F56FE"/>
    <w:rsid w:val="00902608"/>
    <w:rsid w:val="00904418"/>
    <w:rsid w:val="009050D6"/>
    <w:rsid w:val="0090555A"/>
    <w:rsid w:val="00905DF5"/>
    <w:rsid w:val="00906DF3"/>
    <w:rsid w:val="0091428D"/>
    <w:rsid w:val="00917231"/>
    <w:rsid w:val="00921518"/>
    <w:rsid w:val="0092333F"/>
    <w:rsid w:val="0093101D"/>
    <w:rsid w:val="00932A15"/>
    <w:rsid w:val="00933AB9"/>
    <w:rsid w:val="00933DCE"/>
    <w:rsid w:val="00934117"/>
    <w:rsid w:val="00934536"/>
    <w:rsid w:val="00934A2F"/>
    <w:rsid w:val="00934D25"/>
    <w:rsid w:val="00935AB0"/>
    <w:rsid w:val="00936503"/>
    <w:rsid w:val="00937917"/>
    <w:rsid w:val="00937C63"/>
    <w:rsid w:val="0094026E"/>
    <w:rsid w:val="00940974"/>
    <w:rsid w:val="00941B1E"/>
    <w:rsid w:val="00942DF8"/>
    <w:rsid w:val="00943AA9"/>
    <w:rsid w:val="0094461E"/>
    <w:rsid w:val="00945441"/>
    <w:rsid w:val="0094758B"/>
    <w:rsid w:val="00947A31"/>
    <w:rsid w:val="00952B17"/>
    <w:rsid w:val="009540A8"/>
    <w:rsid w:val="00955F86"/>
    <w:rsid w:val="0095605E"/>
    <w:rsid w:val="00962500"/>
    <w:rsid w:val="00962774"/>
    <w:rsid w:val="00962DA9"/>
    <w:rsid w:val="00964D3C"/>
    <w:rsid w:val="00964FB9"/>
    <w:rsid w:val="00971B2D"/>
    <w:rsid w:val="0097221F"/>
    <w:rsid w:val="00972418"/>
    <w:rsid w:val="00973615"/>
    <w:rsid w:val="0098061D"/>
    <w:rsid w:val="00980AA8"/>
    <w:rsid w:val="00982BD3"/>
    <w:rsid w:val="00982BE7"/>
    <w:rsid w:val="00983368"/>
    <w:rsid w:val="00984DC6"/>
    <w:rsid w:val="00985B2F"/>
    <w:rsid w:val="00987DD2"/>
    <w:rsid w:val="00990CCC"/>
    <w:rsid w:val="00990DB1"/>
    <w:rsid w:val="009913BD"/>
    <w:rsid w:val="00992B13"/>
    <w:rsid w:val="00993893"/>
    <w:rsid w:val="00996770"/>
    <w:rsid w:val="009968DA"/>
    <w:rsid w:val="009977D1"/>
    <w:rsid w:val="009A009F"/>
    <w:rsid w:val="009A228F"/>
    <w:rsid w:val="009A268A"/>
    <w:rsid w:val="009A31DE"/>
    <w:rsid w:val="009A4569"/>
    <w:rsid w:val="009A5AA1"/>
    <w:rsid w:val="009A60C6"/>
    <w:rsid w:val="009A6356"/>
    <w:rsid w:val="009B05F6"/>
    <w:rsid w:val="009B1944"/>
    <w:rsid w:val="009B1B7E"/>
    <w:rsid w:val="009B1DE8"/>
    <w:rsid w:val="009B4BED"/>
    <w:rsid w:val="009B6FEE"/>
    <w:rsid w:val="009B711E"/>
    <w:rsid w:val="009B7977"/>
    <w:rsid w:val="009C029C"/>
    <w:rsid w:val="009C16D4"/>
    <w:rsid w:val="009C17F1"/>
    <w:rsid w:val="009C664D"/>
    <w:rsid w:val="009C78B9"/>
    <w:rsid w:val="009D05A0"/>
    <w:rsid w:val="009D1CCD"/>
    <w:rsid w:val="009D442F"/>
    <w:rsid w:val="009D53D4"/>
    <w:rsid w:val="009D575D"/>
    <w:rsid w:val="009D6322"/>
    <w:rsid w:val="009D695F"/>
    <w:rsid w:val="009D6EE7"/>
    <w:rsid w:val="009D6F90"/>
    <w:rsid w:val="009D7F99"/>
    <w:rsid w:val="009E0098"/>
    <w:rsid w:val="009E1605"/>
    <w:rsid w:val="009E1895"/>
    <w:rsid w:val="009E22CF"/>
    <w:rsid w:val="009E246F"/>
    <w:rsid w:val="009E2B54"/>
    <w:rsid w:val="009E5EAC"/>
    <w:rsid w:val="009E64B0"/>
    <w:rsid w:val="009E6602"/>
    <w:rsid w:val="009F1590"/>
    <w:rsid w:val="009F24A9"/>
    <w:rsid w:val="009F256C"/>
    <w:rsid w:val="009F2B3D"/>
    <w:rsid w:val="009F5204"/>
    <w:rsid w:val="009F5C32"/>
    <w:rsid w:val="00A01084"/>
    <w:rsid w:val="00A019FD"/>
    <w:rsid w:val="00A01DD3"/>
    <w:rsid w:val="00A02634"/>
    <w:rsid w:val="00A02F3B"/>
    <w:rsid w:val="00A0348B"/>
    <w:rsid w:val="00A066FC"/>
    <w:rsid w:val="00A07005"/>
    <w:rsid w:val="00A111FD"/>
    <w:rsid w:val="00A1144A"/>
    <w:rsid w:val="00A116A0"/>
    <w:rsid w:val="00A12465"/>
    <w:rsid w:val="00A14CCC"/>
    <w:rsid w:val="00A1581D"/>
    <w:rsid w:val="00A15D09"/>
    <w:rsid w:val="00A20235"/>
    <w:rsid w:val="00A21B93"/>
    <w:rsid w:val="00A22A17"/>
    <w:rsid w:val="00A23ABB"/>
    <w:rsid w:val="00A23F28"/>
    <w:rsid w:val="00A245EE"/>
    <w:rsid w:val="00A24D56"/>
    <w:rsid w:val="00A251AB"/>
    <w:rsid w:val="00A308A9"/>
    <w:rsid w:val="00A3093D"/>
    <w:rsid w:val="00A315DB"/>
    <w:rsid w:val="00A32CEE"/>
    <w:rsid w:val="00A339D8"/>
    <w:rsid w:val="00A33DA9"/>
    <w:rsid w:val="00A3610F"/>
    <w:rsid w:val="00A37A2C"/>
    <w:rsid w:val="00A4144D"/>
    <w:rsid w:val="00A41C49"/>
    <w:rsid w:val="00A43C9B"/>
    <w:rsid w:val="00A44573"/>
    <w:rsid w:val="00A4540F"/>
    <w:rsid w:val="00A462FA"/>
    <w:rsid w:val="00A47055"/>
    <w:rsid w:val="00A470DC"/>
    <w:rsid w:val="00A525D1"/>
    <w:rsid w:val="00A537CB"/>
    <w:rsid w:val="00A53FF8"/>
    <w:rsid w:val="00A543DA"/>
    <w:rsid w:val="00A61E48"/>
    <w:rsid w:val="00A623A8"/>
    <w:rsid w:val="00A64430"/>
    <w:rsid w:val="00A64D2F"/>
    <w:rsid w:val="00A666AD"/>
    <w:rsid w:val="00A67643"/>
    <w:rsid w:val="00A70F3A"/>
    <w:rsid w:val="00A71A9B"/>
    <w:rsid w:val="00A734AA"/>
    <w:rsid w:val="00A73970"/>
    <w:rsid w:val="00A747D5"/>
    <w:rsid w:val="00A74C01"/>
    <w:rsid w:val="00A75102"/>
    <w:rsid w:val="00A76B60"/>
    <w:rsid w:val="00A77231"/>
    <w:rsid w:val="00A810FF"/>
    <w:rsid w:val="00A82901"/>
    <w:rsid w:val="00A9085A"/>
    <w:rsid w:val="00A91417"/>
    <w:rsid w:val="00A9266D"/>
    <w:rsid w:val="00A9585D"/>
    <w:rsid w:val="00A96123"/>
    <w:rsid w:val="00A97123"/>
    <w:rsid w:val="00AA059D"/>
    <w:rsid w:val="00AA2E73"/>
    <w:rsid w:val="00AA2ED3"/>
    <w:rsid w:val="00AA5FFA"/>
    <w:rsid w:val="00AA6B26"/>
    <w:rsid w:val="00AB39C1"/>
    <w:rsid w:val="00AB3A4A"/>
    <w:rsid w:val="00AB4B62"/>
    <w:rsid w:val="00AB4C9D"/>
    <w:rsid w:val="00AB5E1A"/>
    <w:rsid w:val="00AC1586"/>
    <w:rsid w:val="00AC25D7"/>
    <w:rsid w:val="00AC29B4"/>
    <w:rsid w:val="00AC42E6"/>
    <w:rsid w:val="00AC4AA8"/>
    <w:rsid w:val="00AC6EA9"/>
    <w:rsid w:val="00AC7ED0"/>
    <w:rsid w:val="00AD1525"/>
    <w:rsid w:val="00AD5DFB"/>
    <w:rsid w:val="00AD6BE2"/>
    <w:rsid w:val="00AD75DD"/>
    <w:rsid w:val="00AD7BF6"/>
    <w:rsid w:val="00AE15E6"/>
    <w:rsid w:val="00AE2D2C"/>
    <w:rsid w:val="00AE36B1"/>
    <w:rsid w:val="00AE3B50"/>
    <w:rsid w:val="00AE4802"/>
    <w:rsid w:val="00AE4BD9"/>
    <w:rsid w:val="00AF1D74"/>
    <w:rsid w:val="00AF3295"/>
    <w:rsid w:val="00AF3B97"/>
    <w:rsid w:val="00B0049A"/>
    <w:rsid w:val="00B06311"/>
    <w:rsid w:val="00B07C2F"/>
    <w:rsid w:val="00B12E89"/>
    <w:rsid w:val="00B13450"/>
    <w:rsid w:val="00B13BD9"/>
    <w:rsid w:val="00B14CCF"/>
    <w:rsid w:val="00B14D26"/>
    <w:rsid w:val="00B16BFF"/>
    <w:rsid w:val="00B2057A"/>
    <w:rsid w:val="00B2149D"/>
    <w:rsid w:val="00B21BB8"/>
    <w:rsid w:val="00B23CA6"/>
    <w:rsid w:val="00B27035"/>
    <w:rsid w:val="00B27B6D"/>
    <w:rsid w:val="00B32C93"/>
    <w:rsid w:val="00B337CE"/>
    <w:rsid w:val="00B33DBB"/>
    <w:rsid w:val="00B354CC"/>
    <w:rsid w:val="00B37F57"/>
    <w:rsid w:val="00B404B7"/>
    <w:rsid w:val="00B40831"/>
    <w:rsid w:val="00B40CFB"/>
    <w:rsid w:val="00B4107A"/>
    <w:rsid w:val="00B4172F"/>
    <w:rsid w:val="00B417C6"/>
    <w:rsid w:val="00B43051"/>
    <w:rsid w:val="00B4312A"/>
    <w:rsid w:val="00B4723C"/>
    <w:rsid w:val="00B47D15"/>
    <w:rsid w:val="00B506B4"/>
    <w:rsid w:val="00B510FC"/>
    <w:rsid w:val="00B525A0"/>
    <w:rsid w:val="00B52ADD"/>
    <w:rsid w:val="00B54509"/>
    <w:rsid w:val="00B556DE"/>
    <w:rsid w:val="00B61FD8"/>
    <w:rsid w:val="00B62B8E"/>
    <w:rsid w:val="00B6321E"/>
    <w:rsid w:val="00B66F89"/>
    <w:rsid w:val="00B67DF4"/>
    <w:rsid w:val="00B70AA8"/>
    <w:rsid w:val="00B71389"/>
    <w:rsid w:val="00B732E5"/>
    <w:rsid w:val="00B7346D"/>
    <w:rsid w:val="00B73A54"/>
    <w:rsid w:val="00B74BD1"/>
    <w:rsid w:val="00B77CEB"/>
    <w:rsid w:val="00B8189D"/>
    <w:rsid w:val="00B85E1C"/>
    <w:rsid w:val="00B87C6A"/>
    <w:rsid w:val="00B91A3F"/>
    <w:rsid w:val="00B92138"/>
    <w:rsid w:val="00B922C8"/>
    <w:rsid w:val="00B926DC"/>
    <w:rsid w:val="00B93E31"/>
    <w:rsid w:val="00B96DC8"/>
    <w:rsid w:val="00BA151E"/>
    <w:rsid w:val="00BA1A9E"/>
    <w:rsid w:val="00BA1BC6"/>
    <w:rsid w:val="00BA1D65"/>
    <w:rsid w:val="00BA1D71"/>
    <w:rsid w:val="00BA1E50"/>
    <w:rsid w:val="00BA262F"/>
    <w:rsid w:val="00BA31A6"/>
    <w:rsid w:val="00BA475E"/>
    <w:rsid w:val="00BA4A8B"/>
    <w:rsid w:val="00BA5885"/>
    <w:rsid w:val="00BA63FA"/>
    <w:rsid w:val="00BA6948"/>
    <w:rsid w:val="00BA6B9E"/>
    <w:rsid w:val="00BB0829"/>
    <w:rsid w:val="00BB0B86"/>
    <w:rsid w:val="00BB0BCA"/>
    <w:rsid w:val="00BB360D"/>
    <w:rsid w:val="00BB4E8A"/>
    <w:rsid w:val="00BB5570"/>
    <w:rsid w:val="00BC3CD6"/>
    <w:rsid w:val="00BC7148"/>
    <w:rsid w:val="00BD2F35"/>
    <w:rsid w:val="00BD2F71"/>
    <w:rsid w:val="00BD31F2"/>
    <w:rsid w:val="00BD3CF8"/>
    <w:rsid w:val="00BD6DEE"/>
    <w:rsid w:val="00BD7802"/>
    <w:rsid w:val="00BE100A"/>
    <w:rsid w:val="00BE2083"/>
    <w:rsid w:val="00BE274E"/>
    <w:rsid w:val="00BE5C5F"/>
    <w:rsid w:val="00BE63DB"/>
    <w:rsid w:val="00BE74F5"/>
    <w:rsid w:val="00BE7E3B"/>
    <w:rsid w:val="00BE7FB0"/>
    <w:rsid w:val="00BF0B61"/>
    <w:rsid w:val="00BF268A"/>
    <w:rsid w:val="00C02100"/>
    <w:rsid w:val="00C0266B"/>
    <w:rsid w:val="00C03938"/>
    <w:rsid w:val="00C0396A"/>
    <w:rsid w:val="00C10D47"/>
    <w:rsid w:val="00C11340"/>
    <w:rsid w:val="00C12538"/>
    <w:rsid w:val="00C1707A"/>
    <w:rsid w:val="00C17D46"/>
    <w:rsid w:val="00C204E0"/>
    <w:rsid w:val="00C20D41"/>
    <w:rsid w:val="00C22105"/>
    <w:rsid w:val="00C2359B"/>
    <w:rsid w:val="00C235CC"/>
    <w:rsid w:val="00C23EC5"/>
    <w:rsid w:val="00C23F37"/>
    <w:rsid w:val="00C25CEB"/>
    <w:rsid w:val="00C2630B"/>
    <w:rsid w:val="00C2698E"/>
    <w:rsid w:val="00C26A81"/>
    <w:rsid w:val="00C26AA4"/>
    <w:rsid w:val="00C26C4D"/>
    <w:rsid w:val="00C30856"/>
    <w:rsid w:val="00C331F8"/>
    <w:rsid w:val="00C33740"/>
    <w:rsid w:val="00C34886"/>
    <w:rsid w:val="00C34A0C"/>
    <w:rsid w:val="00C35B42"/>
    <w:rsid w:val="00C404BD"/>
    <w:rsid w:val="00C41283"/>
    <w:rsid w:val="00C41BBE"/>
    <w:rsid w:val="00C42733"/>
    <w:rsid w:val="00C44721"/>
    <w:rsid w:val="00C44C1C"/>
    <w:rsid w:val="00C4528D"/>
    <w:rsid w:val="00C470D2"/>
    <w:rsid w:val="00C47403"/>
    <w:rsid w:val="00C474A6"/>
    <w:rsid w:val="00C5131F"/>
    <w:rsid w:val="00C516B2"/>
    <w:rsid w:val="00C52C0A"/>
    <w:rsid w:val="00C543E9"/>
    <w:rsid w:val="00C572EA"/>
    <w:rsid w:val="00C60804"/>
    <w:rsid w:val="00C63015"/>
    <w:rsid w:val="00C641F3"/>
    <w:rsid w:val="00C70B0A"/>
    <w:rsid w:val="00C711C0"/>
    <w:rsid w:val="00C723A3"/>
    <w:rsid w:val="00C74F89"/>
    <w:rsid w:val="00C7589E"/>
    <w:rsid w:val="00C81122"/>
    <w:rsid w:val="00C83415"/>
    <w:rsid w:val="00C85F73"/>
    <w:rsid w:val="00C86A5B"/>
    <w:rsid w:val="00C9016F"/>
    <w:rsid w:val="00C90699"/>
    <w:rsid w:val="00C937C9"/>
    <w:rsid w:val="00C939B5"/>
    <w:rsid w:val="00C949EA"/>
    <w:rsid w:val="00C9573A"/>
    <w:rsid w:val="00CA3F35"/>
    <w:rsid w:val="00CA4D1D"/>
    <w:rsid w:val="00CB2C62"/>
    <w:rsid w:val="00CB371D"/>
    <w:rsid w:val="00CB38BF"/>
    <w:rsid w:val="00CB4E41"/>
    <w:rsid w:val="00CB4F6B"/>
    <w:rsid w:val="00CB50DD"/>
    <w:rsid w:val="00CB525D"/>
    <w:rsid w:val="00CB5586"/>
    <w:rsid w:val="00CC35AB"/>
    <w:rsid w:val="00CC3D4F"/>
    <w:rsid w:val="00CC701B"/>
    <w:rsid w:val="00CD4E2D"/>
    <w:rsid w:val="00CD51D5"/>
    <w:rsid w:val="00CE189F"/>
    <w:rsid w:val="00CE2D03"/>
    <w:rsid w:val="00CE3EA0"/>
    <w:rsid w:val="00CE71C9"/>
    <w:rsid w:val="00CF18EF"/>
    <w:rsid w:val="00CF196D"/>
    <w:rsid w:val="00CF6B71"/>
    <w:rsid w:val="00CF6C6D"/>
    <w:rsid w:val="00D0119E"/>
    <w:rsid w:val="00D0145E"/>
    <w:rsid w:val="00D02662"/>
    <w:rsid w:val="00D03105"/>
    <w:rsid w:val="00D04B8F"/>
    <w:rsid w:val="00D05E96"/>
    <w:rsid w:val="00D1082C"/>
    <w:rsid w:val="00D16A5D"/>
    <w:rsid w:val="00D17701"/>
    <w:rsid w:val="00D209E4"/>
    <w:rsid w:val="00D22B2C"/>
    <w:rsid w:val="00D24ED0"/>
    <w:rsid w:val="00D25E7D"/>
    <w:rsid w:val="00D270BB"/>
    <w:rsid w:val="00D27AB6"/>
    <w:rsid w:val="00D27FE4"/>
    <w:rsid w:val="00D31284"/>
    <w:rsid w:val="00D31E9E"/>
    <w:rsid w:val="00D32FB9"/>
    <w:rsid w:val="00D367F8"/>
    <w:rsid w:val="00D4242F"/>
    <w:rsid w:val="00D43D74"/>
    <w:rsid w:val="00D44B46"/>
    <w:rsid w:val="00D4548D"/>
    <w:rsid w:val="00D46709"/>
    <w:rsid w:val="00D528F8"/>
    <w:rsid w:val="00D52E83"/>
    <w:rsid w:val="00D546C6"/>
    <w:rsid w:val="00D60387"/>
    <w:rsid w:val="00D61346"/>
    <w:rsid w:val="00D6238F"/>
    <w:rsid w:val="00D63738"/>
    <w:rsid w:val="00D653B3"/>
    <w:rsid w:val="00D65A56"/>
    <w:rsid w:val="00D6738C"/>
    <w:rsid w:val="00D70541"/>
    <w:rsid w:val="00D70CE3"/>
    <w:rsid w:val="00D71FC4"/>
    <w:rsid w:val="00D724B6"/>
    <w:rsid w:val="00D72A32"/>
    <w:rsid w:val="00D763E5"/>
    <w:rsid w:val="00D77B24"/>
    <w:rsid w:val="00D819E4"/>
    <w:rsid w:val="00D82B0C"/>
    <w:rsid w:val="00D83E6A"/>
    <w:rsid w:val="00D87B18"/>
    <w:rsid w:val="00D87D29"/>
    <w:rsid w:val="00D91842"/>
    <w:rsid w:val="00D956D6"/>
    <w:rsid w:val="00D957D8"/>
    <w:rsid w:val="00D965FB"/>
    <w:rsid w:val="00DA0244"/>
    <w:rsid w:val="00DA024D"/>
    <w:rsid w:val="00DA1127"/>
    <w:rsid w:val="00DA25B5"/>
    <w:rsid w:val="00DA435D"/>
    <w:rsid w:val="00DA4401"/>
    <w:rsid w:val="00DA4DD5"/>
    <w:rsid w:val="00DA6EC9"/>
    <w:rsid w:val="00DB0273"/>
    <w:rsid w:val="00DB0C9C"/>
    <w:rsid w:val="00DB29B6"/>
    <w:rsid w:val="00DB2ABC"/>
    <w:rsid w:val="00DB47E0"/>
    <w:rsid w:val="00DB4E51"/>
    <w:rsid w:val="00DB6BE1"/>
    <w:rsid w:val="00DC0436"/>
    <w:rsid w:val="00DC0AEA"/>
    <w:rsid w:val="00DC1597"/>
    <w:rsid w:val="00DC4CDA"/>
    <w:rsid w:val="00DD212D"/>
    <w:rsid w:val="00DD3720"/>
    <w:rsid w:val="00DD3B82"/>
    <w:rsid w:val="00DD6129"/>
    <w:rsid w:val="00DD70D5"/>
    <w:rsid w:val="00DE2B68"/>
    <w:rsid w:val="00DE71CC"/>
    <w:rsid w:val="00DE7971"/>
    <w:rsid w:val="00DF00BA"/>
    <w:rsid w:val="00DF062C"/>
    <w:rsid w:val="00DF1317"/>
    <w:rsid w:val="00DF1AAE"/>
    <w:rsid w:val="00DF2965"/>
    <w:rsid w:val="00DF2B89"/>
    <w:rsid w:val="00DF35F5"/>
    <w:rsid w:val="00DF35F7"/>
    <w:rsid w:val="00DF4967"/>
    <w:rsid w:val="00DF6318"/>
    <w:rsid w:val="00DF638F"/>
    <w:rsid w:val="00E00740"/>
    <w:rsid w:val="00E00AAD"/>
    <w:rsid w:val="00E0316B"/>
    <w:rsid w:val="00E04B9F"/>
    <w:rsid w:val="00E1061F"/>
    <w:rsid w:val="00E10884"/>
    <w:rsid w:val="00E10A72"/>
    <w:rsid w:val="00E12063"/>
    <w:rsid w:val="00E127A3"/>
    <w:rsid w:val="00E12818"/>
    <w:rsid w:val="00E150C4"/>
    <w:rsid w:val="00E1778F"/>
    <w:rsid w:val="00E17AF2"/>
    <w:rsid w:val="00E23DA6"/>
    <w:rsid w:val="00E25600"/>
    <w:rsid w:val="00E26AE6"/>
    <w:rsid w:val="00E31B6A"/>
    <w:rsid w:val="00E32501"/>
    <w:rsid w:val="00E378BE"/>
    <w:rsid w:val="00E4425C"/>
    <w:rsid w:val="00E4498B"/>
    <w:rsid w:val="00E46AD7"/>
    <w:rsid w:val="00E476C1"/>
    <w:rsid w:val="00E47A4D"/>
    <w:rsid w:val="00E47AF3"/>
    <w:rsid w:val="00E47B7A"/>
    <w:rsid w:val="00E520FE"/>
    <w:rsid w:val="00E52D62"/>
    <w:rsid w:val="00E5381B"/>
    <w:rsid w:val="00E53A5D"/>
    <w:rsid w:val="00E5407B"/>
    <w:rsid w:val="00E54908"/>
    <w:rsid w:val="00E54AC5"/>
    <w:rsid w:val="00E555B9"/>
    <w:rsid w:val="00E5739E"/>
    <w:rsid w:val="00E6455C"/>
    <w:rsid w:val="00E70436"/>
    <w:rsid w:val="00E749E5"/>
    <w:rsid w:val="00E7544A"/>
    <w:rsid w:val="00E75464"/>
    <w:rsid w:val="00E7674A"/>
    <w:rsid w:val="00E7704B"/>
    <w:rsid w:val="00E7793C"/>
    <w:rsid w:val="00E81AFC"/>
    <w:rsid w:val="00E82B11"/>
    <w:rsid w:val="00E82CE2"/>
    <w:rsid w:val="00E8357C"/>
    <w:rsid w:val="00E87BCA"/>
    <w:rsid w:val="00E911A1"/>
    <w:rsid w:val="00E91D8C"/>
    <w:rsid w:val="00E920D9"/>
    <w:rsid w:val="00E9550C"/>
    <w:rsid w:val="00E961F7"/>
    <w:rsid w:val="00E97D55"/>
    <w:rsid w:val="00EA0923"/>
    <w:rsid w:val="00EA1863"/>
    <w:rsid w:val="00EA1CC6"/>
    <w:rsid w:val="00EA2840"/>
    <w:rsid w:val="00EA42D2"/>
    <w:rsid w:val="00EA4925"/>
    <w:rsid w:val="00EA6284"/>
    <w:rsid w:val="00EA7073"/>
    <w:rsid w:val="00EA7E2A"/>
    <w:rsid w:val="00EB0D5A"/>
    <w:rsid w:val="00EB290C"/>
    <w:rsid w:val="00EB39B3"/>
    <w:rsid w:val="00EB4A15"/>
    <w:rsid w:val="00EB4E53"/>
    <w:rsid w:val="00EB6698"/>
    <w:rsid w:val="00EB6C2B"/>
    <w:rsid w:val="00EC0E98"/>
    <w:rsid w:val="00EC1981"/>
    <w:rsid w:val="00EC20D8"/>
    <w:rsid w:val="00EC20DC"/>
    <w:rsid w:val="00EC2457"/>
    <w:rsid w:val="00EC7058"/>
    <w:rsid w:val="00EC7FB3"/>
    <w:rsid w:val="00ED0379"/>
    <w:rsid w:val="00ED1763"/>
    <w:rsid w:val="00ED23AC"/>
    <w:rsid w:val="00ED27C4"/>
    <w:rsid w:val="00ED3260"/>
    <w:rsid w:val="00ED71D3"/>
    <w:rsid w:val="00EE138A"/>
    <w:rsid w:val="00EE1DCA"/>
    <w:rsid w:val="00EE2584"/>
    <w:rsid w:val="00EE3AF7"/>
    <w:rsid w:val="00EF11A8"/>
    <w:rsid w:val="00EF11E8"/>
    <w:rsid w:val="00EF1DBC"/>
    <w:rsid w:val="00EF2E57"/>
    <w:rsid w:val="00EF3579"/>
    <w:rsid w:val="00EF39C9"/>
    <w:rsid w:val="00EF586D"/>
    <w:rsid w:val="00EF5B67"/>
    <w:rsid w:val="00EF6CD9"/>
    <w:rsid w:val="00EF75B5"/>
    <w:rsid w:val="00EF7ABF"/>
    <w:rsid w:val="00F0004F"/>
    <w:rsid w:val="00F04BC3"/>
    <w:rsid w:val="00F051B1"/>
    <w:rsid w:val="00F0592E"/>
    <w:rsid w:val="00F10767"/>
    <w:rsid w:val="00F13E5C"/>
    <w:rsid w:val="00F14006"/>
    <w:rsid w:val="00F17EDB"/>
    <w:rsid w:val="00F22123"/>
    <w:rsid w:val="00F23152"/>
    <w:rsid w:val="00F2470A"/>
    <w:rsid w:val="00F26506"/>
    <w:rsid w:val="00F274BC"/>
    <w:rsid w:val="00F278D3"/>
    <w:rsid w:val="00F3327A"/>
    <w:rsid w:val="00F34074"/>
    <w:rsid w:val="00F3448C"/>
    <w:rsid w:val="00F357B0"/>
    <w:rsid w:val="00F400AD"/>
    <w:rsid w:val="00F40530"/>
    <w:rsid w:val="00F42E0A"/>
    <w:rsid w:val="00F431AE"/>
    <w:rsid w:val="00F44983"/>
    <w:rsid w:val="00F450F1"/>
    <w:rsid w:val="00F45C47"/>
    <w:rsid w:val="00F460F0"/>
    <w:rsid w:val="00F47B40"/>
    <w:rsid w:val="00F54181"/>
    <w:rsid w:val="00F5464B"/>
    <w:rsid w:val="00F57432"/>
    <w:rsid w:val="00F5772F"/>
    <w:rsid w:val="00F60202"/>
    <w:rsid w:val="00F62221"/>
    <w:rsid w:val="00F62DAA"/>
    <w:rsid w:val="00F63842"/>
    <w:rsid w:val="00F64387"/>
    <w:rsid w:val="00F65BEF"/>
    <w:rsid w:val="00F67307"/>
    <w:rsid w:val="00F7064B"/>
    <w:rsid w:val="00F70CD0"/>
    <w:rsid w:val="00F71AB1"/>
    <w:rsid w:val="00F71F0B"/>
    <w:rsid w:val="00F73CB4"/>
    <w:rsid w:val="00F753AA"/>
    <w:rsid w:val="00F7591E"/>
    <w:rsid w:val="00F75AD6"/>
    <w:rsid w:val="00F77E47"/>
    <w:rsid w:val="00F81322"/>
    <w:rsid w:val="00F82DAB"/>
    <w:rsid w:val="00F8568E"/>
    <w:rsid w:val="00F87CD5"/>
    <w:rsid w:val="00F90AE9"/>
    <w:rsid w:val="00F92840"/>
    <w:rsid w:val="00F94E84"/>
    <w:rsid w:val="00F96004"/>
    <w:rsid w:val="00F9697F"/>
    <w:rsid w:val="00FA16D9"/>
    <w:rsid w:val="00FA1F17"/>
    <w:rsid w:val="00FA29C5"/>
    <w:rsid w:val="00FA2F70"/>
    <w:rsid w:val="00FA3E0B"/>
    <w:rsid w:val="00FA42DE"/>
    <w:rsid w:val="00FA4988"/>
    <w:rsid w:val="00FA730D"/>
    <w:rsid w:val="00FB0850"/>
    <w:rsid w:val="00FB0BA2"/>
    <w:rsid w:val="00FB1517"/>
    <w:rsid w:val="00FB1548"/>
    <w:rsid w:val="00FB42F2"/>
    <w:rsid w:val="00FB4BBE"/>
    <w:rsid w:val="00FB76A7"/>
    <w:rsid w:val="00FC3037"/>
    <w:rsid w:val="00FC4A13"/>
    <w:rsid w:val="00FC4B93"/>
    <w:rsid w:val="00FC6159"/>
    <w:rsid w:val="00FC6B81"/>
    <w:rsid w:val="00FC6CF5"/>
    <w:rsid w:val="00FC6F7D"/>
    <w:rsid w:val="00FC7835"/>
    <w:rsid w:val="00FC7A06"/>
    <w:rsid w:val="00FD020B"/>
    <w:rsid w:val="00FD03F8"/>
    <w:rsid w:val="00FD1CC9"/>
    <w:rsid w:val="00FD281E"/>
    <w:rsid w:val="00FD4238"/>
    <w:rsid w:val="00FE04A5"/>
    <w:rsid w:val="00FE0E83"/>
    <w:rsid w:val="00FE5B4A"/>
    <w:rsid w:val="00FE7241"/>
    <w:rsid w:val="00FE7D14"/>
    <w:rsid w:val="00FF0FAF"/>
    <w:rsid w:val="00FF3873"/>
    <w:rsid w:val="00FF6259"/>
    <w:rsid w:val="00FF6297"/>
    <w:rsid w:val="00FF7C0E"/>
    <w:rsid w:val="010428C1"/>
    <w:rsid w:val="010F5C2F"/>
    <w:rsid w:val="011E0355"/>
    <w:rsid w:val="01437C9C"/>
    <w:rsid w:val="01645C85"/>
    <w:rsid w:val="01730A51"/>
    <w:rsid w:val="01865798"/>
    <w:rsid w:val="019564EB"/>
    <w:rsid w:val="01CF1FD5"/>
    <w:rsid w:val="024102C5"/>
    <w:rsid w:val="025A0442"/>
    <w:rsid w:val="02BF044F"/>
    <w:rsid w:val="02DD2694"/>
    <w:rsid w:val="031306CE"/>
    <w:rsid w:val="03372728"/>
    <w:rsid w:val="037903BA"/>
    <w:rsid w:val="03BD55AE"/>
    <w:rsid w:val="040B6FE6"/>
    <w:rsid w:val="04583E95"/>
    <w:rsid w:val="04B14C19"/>
    <w:rsid w:val="04D01847"/>
    <w:rsid w:val="052B515C"/>
    <w:rsid w:val="057C5132"/>
    <w:rsid w:val="059B30A3"/>
    <w:rsid w:val="05AB2274"/>
    <w:rsid w:val="05D816C5"/>
    <w:rsid w:val="05FA50B3"/>
    <w:rsid w:val="05FC26AB"/>
    <w:rsid w:val="061F255D"/>
    <w:rsid w:val="065A6178"/>
    <w:rsid w:val="06851BAC"/>
    <w:rsid w:val="068D6AC2"/>
    <w:rsid w:val="069D5745"/>
    <w:rsid w:val="06BC4F91"/>
    <w:rsid w:val="06C5600C"/>
    <w:rsid w:val="06CE15F2"/>
    <w:rsid w:val="06D34A2A"/>
    <w:rsid w:val="06DD56D3"/>
    <w:rsid w:val="074755EA"/>
    <w:rsid w:val="075035D6"/>
    <w:rsid w:val="07D55044"/>
    <w:rsid w:val="086B3AAE"/>
    <w:rsid w:val="089645E3"/>
    <w:rsid w:val="08AF3147"/>
    <w:rsid w:val="08CB210B"/>
    <w:rsid w:val="08D375A5"/>
    <w:rsid w:val="08DB66AB"/>
    <w:rsid w:val="08E25FED"/>
    <w:rsid w:val="08FA57C7"/>
    <w:rsid w:val="09421298"/>
    <w:rsid w:val="0957029C"/>
    <w:rsid w:val="096E03EB"/>
    <w:rsid w:val="09994F75"/>
    <w:rsid w:val="09A64169"/>
    <w:rsid w:val="09B74D83"/>
    <w:rsid w:val="09C35D1C"/>
    <w:rsid w:val="09FE75F3"/>
    <w:rsid w:val="0A711B0C"/>
    <w:rsid w:val="0A741E0B"/>
    <w:rsid w:val="0A8908F6"/>
    <w:rsid w:val="0A8F08E2"/>
    <w:rsid w:val="0B0B749F"/>
    <w:rsid w:val="0B235A96"/>
    <w:rsid w:val="0B986376"/>
    <w:rsid w:val="0BB21CA6"/>
    <w:rsid w:val="0BC47D21"/>
    <w:rsid w:val="0C0C738A"/>
    <w:rsid w:val="0C26247C"/>
    <w:rsid w:val="0C474AE5"/>
    <w:rsid w:val="0C6A7A4B"/>
    <w:rsid w:val="0CA46902"/>
    <w:rsid w:val="0CE214E8"/>
    <w:rsid w:val="0D2729AD"/>
    <w:rsid w:val="0D3370C0"/>
    <w:rsid w:val="0D926C23"/>
    <w:rsid w:val="0D936F98"/>
    <w:rsid w:val="0DD52CE6"/>
    <w:rsid w:val="0E1409F6"/>
    <w:rsid w:val="0E340C2C"/>
    <w:rsid w:val="0E4007C3"/>
    <w:rsid w:val="0EA916E1"/>
    <w:rsid w:val="0EB2797B"/>
    <w:rsid w:val="0F377D7D"/>
    <w:rsid w:val="0F56470A"/>
    <w:rsid w:val="0F8507F1"/>
    <w:rsid w:val="0FAF52CB"/>
    <w:rsid w:val="10111DB8"/>
    <w:rsid w:val="101910F7"/>
    <w:rsid w:val="102967CE"/>
    <w:rsid w:val="102D51F6"/>
    <w:rsid w:val="10342F51"/>
    <w:rsid w:val="10A5002C"/>
    <w:rsid w:val="10A83B80"/>
    <w:rsid w:val="10DC1509"/>
    <w:rsid w:val="10E87F18"/>
    <w:rsid w:val="11434F60"/>
    <w:rsid w:val="1151357D"/>
    <w:rsid w:val="119A5353"/>
    <w:rsid w:val="11C86339"/>
    <w:rsid w:val="11D34725"/>
    <w:rsid w:val="11F20F86"/>
    <w:rsid w:val="1201594F"/>
    <w:rsid w:val="120C1BCE"/>
    <w:rsid w:val="120D74BC"/>
    <w:rsid w:val="123A2534"/>
    <w:rsid w:val="128B1B14"/>
    <w:rsid w:val="12C50107"/>
    <w:rsid w:val="130E26BF"/>
    <w:rsid w:val="13AD1073"/>
    <w:rsid w:val="13F0383B"/>
    <w:rsid w:val="140E2277"/>
    <w:rsid w:val="14BA590D"/>
    <w:rsid w:val="14D93E23"/>
    <w:rsid w:val="151472A1"/>
    <w:rsid w:val="154E4F49"/>
    <w:rsid w:val="159F66A2"/>
    <w:rsid w:val="15C457C5"/>
    <w:rsid w:val="15F7618C"/>
    <w:rsid w:val="16257534"/>
    <w:rsid w:val="1629587A"/>
    <w:rsid w:val="162B6A8A"/>
    <w:rsid w:val="167550C4"/>
    <w:rsid w:val="16815C9E"/>
    <w:rsid w:val="16B82892"/>
    <w:rsid w:val="16BA101B"/>
    <w:rsid w:val="16DA045E"/>
    <w:rsid w:val="16E25A95"/>
    <w:rsid w:val="16E417FD"/>
    <w:rsid w:val="170F0767"/>
    <w:rsid w:val="176A3598"/>
    <w:rsid w:val="17D46469"/>
    <w:rsid w:val="18353A7B"/>
    <w:rsid w:val="18891F46"/>
    <w:rsid w:val="18982A53"/>
    <w:rsid w:val="18B162A4"/>
    <w:rsid w:val="18E74E5C"/>
    <w:rsid w:val="1990174F"/>
    <w:rsid w:val="1992787F"/>
    <w:rsid w:val="19CF0524"/>
    <w:rsid w:val="19E211FE"/>
    <w:rsid w:val="1A8C47C9"/>
    <w:rsid w:val="1AAF5A4E"/>
    <w:rsid w:val="1AC606BA"/>
    <w:rsid w:val="1AE16488"/>
    <w:rsid w:val="1B381BE7"/>
    <w:rsid w:val="1BE857A0"/>
    <w:rsid w:val="1C0E3799"/>
    <w:rsid w:val="1C2F0373"/>
    <w:rsid w:val="1C4C3304"/>
    <w:rsid w:val="1C8C2366"/>
    <w:rsid w:val="1CCE0BD0"/>
    <w:rsid w:val="1CCE4466"/>
    <w:rsid w:val="1CE70080"/>
    <w:rsid w:val="1CF42382"/>
    <w:rsid w:val="1D24426A"/>
    <w:rsid w:val="1D4666F2"/>
    <w:rsid w:val="1D4B6EFC"/>
    <w:rsid w:val="1D562D94"/>
    <w:rsid w:val="1D6E7342"/>
    <w:rsid w:val="1D796AC8"/>
    <w:rsid w:val="1D7D4756"/>
    <w:rsid w:val="1DA11B98"/>
    <w:rsid w:val="1EA07516"/>
    <w:rsid w:val="1EAF038D"/>
    <w:rsid w:val="1EB30504"/>
    <w:rsid w:val="1ECF5B13"/>
    <w:rsid w:val="1EE46284"/>
    <w:rsid w:val="1F371ED9"/>
    <w:rsid w:val="1F4E7B71"/>
    <w:rsid w:val="1FB73684"/>
    <w:rsid w:val="1FF03AF8"/>
    <w:rsid w:val="200B3049"/>
    <w:rsid w:val="205B0E2A"/>
    <w:rsid w:val="207F5FB5"/>
    <w:rsid w:val="2080016D"/>
    <w:rsid w:val="20835C64"/>
    <w:rsid w:val="208445B0"/>
    <w:rsid w:val="20BA2413"/>
    <w:rsid w:val="20C51318"/>
    <w:rsid w:val="20E67C36"/>
    <w:rsid w:val="20F66604"/>
    <w:rsid w:val="214370BF"/>
    <w:rsid w:val="214D7931"/>
    <w:rsid w:val="219E39B8"/>
    <w:rsid w:val="21B0613F"/>
    <w:rsid w:val="21B520E8"/>
    <w:rsid w:val="21DB30F2"/>
    <w:rsid w:val="21E14164"/>
    <w:rsid w:val="223F1A77"/>
    <w:rsid w:val="22EA1B00"/>
    <w:rsid w:val="23201794"/>
    <w:rsid w:val="23D41D37"/>
    <w:rsid w:val="23EE40BC"/>
    <w:rsid w:val="24167DF1"/>
    <w:rsid w:val="24205BAF"/>
    <w:rsid w:val="2451683B"/>
    <w:rsid w:val="24D64276"/>
    <w:rsid w:val="25071BA6"/>
    <w:rsid w:val="254E51E8"/>
    <w:rsid w:val="257A6025"/>
    <w:rsid w:val="25C14C9E"/>
    <w:rsid w:val="25E81DC3"/>
    <w:rsid w:val="262D07A5"/>
    <w:rsid w:val="266B71CA"/>
    <w:rsid w:val="277D2C18"/>
    <w:rsid w:val="27803C2E"/>
    <w:rsid w:val="27B30DCF"/>
    <w:rsid w:val="27B84B29"/>
    <w:rsid w:val="27FC2409"/>
    <w:rsid w:val="280D2995"/>
    <w:rsid w:val="28B50BD7"/>
    <w:rsid w:val="28B930F5"/>
    <w:rsid w:val="2905168A"/>
    <w:rsid w:val="29972AF3"/>
    <w:rsid w:val="29DC115F"/>
    <w:rsid w:val="2A127040"/>
    <w:rsid w:val="2A234160"/>
    <w:rsid w:val="2A4167AE"/>
    <w:rsid w:val="2AA268BA"/>
    <w:rsid w:val="2AB27175"/>
    <w:rsid w:val="2AC90F3D"/>
    <w:rsid w:val="2AF53506"/>
    <w:rsid w:val="2B1C69DC"/>
    <w:rsid w:val="2B4029D3"/>
    <w:rsid w:val="2B5877BE"/>
    <w:rsid w:val="2BA2146A"/>
    <w:rsid w:val="2C0159DB"/>
    <w:rsid w:val="2C6D4A63"/>
    <w:rsid w:val="2C93405F"/>
    <w:rsid w:val="2CC95C9A"/>
    <w:rsid w:val="2CEA0182"/>
    <w:rsid w:val="2D191F40"/>
    <w:rsid w:val="2D1F5AEB"/>
    <w:rsid w:val="2D267D82"/>
    <w:rsid w:val="2DA160BB"/>
    <w:rsid w:val="2DB40113"/>
    <w:rsid w:val="2DD45243"/>
    <w:rsid w:val="2EE943BB"/>
    <w:rsid w:val="2EF94868"/>
    <w:rsid w:val="2F0B2CA1"/>
    <w:rsid w:val="2F284F38"/>
    <w:rsid w:val="2F5F2BF7"/>
    <w:rsid w:val="2FC21A12"/>
    <w:rsid w:val="2FEC5675"/>
    <w:rsid w:val="2FEF1027"/>
    <w:rsid w:val="303E6135"/>
    <w:rsid w:val="30477D6D"/>
    <w:rsid w:val="304821D7"/>
    <w:rsid w:val="30834282"/>
    <w:rsid w:val="30A125D2"/>
    <w:rsid w:val="30C3452A"/>
    <w:rsid w:val="30C35F0F"/>
    <w:rsid w:val="30E04C32"/>
    <w:rsid w:val="31107F0B"/>
    <w:rsid w:val="31357A44"/>
    <w:rsid w:val="313C611B"/>
    <w:rsid w:val="314C2B43"/>
    <w:rsid w:val="315C0C3B"/>
    <w:rsid w:val="31C71EA3"/>
    <w:rsid w:val="31D5359C"/>
    <w:rsid w:val="31D6798F"/>
    <w:rsid w:val="32140407"/>
    <w:rsid w:val="32200DF3"/>
    <w:rsid w:val="32230A25"/>
    <w:rsid w:val="3256215F"/>
    <w:rsid w:val="32BF5086"/>
    <w:rsid w:val="32C41A8E"/>
    <w:rsid w:val="334F0B1B"/>
    <w:rsid w:val="33523753"/>
    <w:rsid w:val="33961B8A"/>
    <w:rsid w:val="339752D9"/>
    <w:rsid w:val="339A68C0"/>
    <w:rsid w:val="339C6B01"/>
    <w:rsid w:val="33AF5B1C"/>
    <w:rsid w:val="33B54162"/>
    <w:rsid w:val="345A7477"/>
    <w:rsid w:val="34795E27"/>
    <w:rsid w:val="352A25F3"/>
    <w:rsid w:val="3557388E"/>
    <w:rsid w:val="35977750"/>
    <w:rsid w:val="360824D9"/>
    <w:rsid w:val="36616128"/>
    <w:rsid w:val="3688641C"/>
    <w:rsid w:val="370E2B8E"/>
    <w:rsid w:val="375032AF"/>
    <w:rsid w:val="377B3121"/>
    <w:rsid w:val="379B1572"/>
    <w:rsid w:val="37B9288B"/>
    <w:rsid w:val="37C5270E"/>
    <w:rsid w:val="37D6506A"/>
    <w:rsid w:val="380A2A7F"/>
    <w:rsid w:val="38463C93"/>
    <w:rsid w:val="39661562"/>
    <w:rsid w:val="39AC4B2D"/>
    <w:rsid w:val="39EC5F8E"/>
    <w:rsid w:val="3A5B66F5"/>
    <w:rsid w:val="3B6822C8"/>
    <w:rsid w:val="3B942FB8"/>
    <w:rsid w:val="3BF34A1D"/>
    <w:rsid w:val="3C3C1395"/>
    <w:rsid w:val="3C761BB8"/>
    <w:rsid w:val="3C764FC0"/>
    <w:rsid w:val="3C8365E7"/>
    <w:rsid w:val="3C8B5A78"/>
    <w:rsid w:val="3CB21194"/>
    <w:rsid w:val="3D116A00"/>
    <w:rsid w:val="3D1D3908"/>
    <w:rsid w:val="3D3C423A"/>
    <w:rsid w:val="3D5C1CBB"/>
    <w:rsid w:val="3D861107"/>
    <w:rsid w:val="3D944E21"/>
    <w:rsid w:val="3D992107"/>
    <w:rsid w:val="3DBF0534"/>
    <w:rsid w:val="3DD20BC2"/>
    <w:rsid w:val="3E172631"/>
    <w:rsid w:val="3EAE48CA"/>
    <w:rsid w:val="3EBC4144"/>
    <w:rsid w:val="3ECE0084"/>
    <w:rsid w:val="3F0518EF"/>
    <w:rsid w:val="3F1C59E2"/>
    <w:rsid w:val="3F656A54"/>
    <w:rsid w:val="4002409E"/>
    <w:rsid w:val="405D7745"/>
    <w:rsid w:val="407231D7"/>
    <w:rsid w:val="4074609E"/>
    <w:rsid w:val="410B7812"/>
    <w:rsid w:val="41210DD9"/>
    <w:rsid w:val="41721B77"/>
    <w:rsid w:val="41724EED"/>
    <w:rsid w:val="41994BB1"/>
    <w:rsid w:val="419B52B3"/>
    <w:rsid w:val="41FC6A84"/>
    <w:rsid w:val="4246264E"/>
    <w:rsid w:val="42570E7F"/>
    <w:rsid w:val="42C43140"/>
    <w:rsid w:val="42D45FA5"/>
    <w:rsid w:val="42E45EE2"/>
    <w:rsid w:val="43104BD1"/>
    <w:rsid w:val="43120B27"/>
    <w:rsid w:val="433248AC"/>
    <w:rsid w:val="434E1DB1"/>
    <w:rsid w:val="435C46FE"/>
    <w:rsid w:val="439C7821"/>
    <w:rsid w:val="43E64CC1"/>
    <w:rsid w:val="444D2A9F"/>
    <w:rsid w:val="44586B43"/>
    <w:rsid w:val="4469414C"/>
    <w:rsid w:val="44B85878"/>
    <w:rsid w:val="44BB0F1A"/>
    <w:rsid w:val="44E43FD2"/>
    <w:rsid w:val="45432842"/>
    <w:rsid w:val="455D001C"/>
    <w:rsid w:val="45900BF6"/>
    <w:rsid w:val="45A1128A"/>
    <w:rsid w:val="45BB78B1"/>
    <w:rsid w:val="45F5089B"/>
    <w:rsid w:val="46313FE7"/>
    <w:rsid w:val="463F7FFF"/>
    <w:rsid w:val="46445615"/>
    <w:rsid w:val="464B230A"/>
    <w:rsid w:val="465A360C"/>
    <w:rsid w:val="466665A4"/>
    <w:rsid w:val="46AD5CC3"/>
    <w:rsid w:val="46AE2F17"/>
    <w:rsid w:val="46EE78B6"/>
    <w:rsid w:val="46FB7DC6"/>
    <w:rsid w:val="472E3271"/>
    <w:rsid w:val="474F593B"/>
    <w:rsid w:val="478A71EC"/>
    <w:rsid w:val="47B467C1"/>
    <w:rsid w:val="483F7F95"/>
    <w:rsid w:val="48661D83"/>
    <w:rsid w:val="48B203D3"/>
    <w:rsid w:val="48B819A3"/>
    <w:rsid w:val="49060F61"/>
    <w:rsid w:val="490D4436"/>
    <w:rsid w:val="494F631E"/>
    <w:rsid w:val="49524B34"/>
    <w:rsid w:val="49806748"/>
    <w:rsid w:val="49AB42ED"/>
    <w:rsid w:val="49AE30E1"/>
    <w:rsid w:val="4A144F3E"/>
    <w:rsid w:val="4A575FEF"/>
    <w:rsid w:val="4AEC01F9"/>
    <w:rsid w:val="4B1F459C"/>
    <w:rsid w:val="4B55586C"/>
    <w:rsid w:val="4B607197"/>
    <w:rsid w:val="4B7C315C"/>
    <w:rsid w:val="4B8C5EE1"/>
    <w:rsid w:val="4BDC6B69"/>
    <w:rsid w:val="4BE043A7"/>
    <w:rsid w:val="4C3B4FDC"/>
    <w:rsid w:val="4C965BF0"/>
    <w:rsid w:val="4C9E2E24"/>
    <w:rsid w:val="4CDB3BA6"/>
    <w:rsid w:val="4D0C4375"/>
    <w:rsid w:val="4D3F130B"/>
    <w:rsid w:val="4D6D256E"/>
    <w:rsid w:val="4D8A4122"/>
    <w:rsid w:val="4E010E92"/>
    <w:rsid w:val="4E1F6D47"/>
    <w:rsid w:val="4E59030A"/>
    <w:rsid w:val="4EFA798E"/>
    <w:rsid w:val="4F2A16D3"/>
    <w:rsid w:val="4F7F0D57"/>
    <w:rsid w:val="4FC25B36"/>
    <w:rsid w:val="4FD54495"/>
    <w:rsid w:val="4FE31995"/>
    <w:rsid w:val="507B4154"/>
    <w:rsid w:val="50AE3F3E"/>
    <w:rsid w:val="50B84933"/>
    <w:rsid w:val="50BE6D04"/>
    <w:rsid w:val="50CB30AE"/>
    <w:rsid w:val="5167406E"/>
    <w:rsid w:val="51DE1EDE"/>
    <w:rsid w:val="523003CA"/>
    <w:rsid w:val="52354064"/>
    <w:rsid w:val="52563209"/>
    <w:rsid w:val="527B131E"/>
    <w:rsid w:val="528F2803"/>
    <w:rsid w:val="52B762E4"/>
    <w:rsid w:val="52BC28BF"/>
    <w:rsid w:val="53071238"/>
    <w:rsid w:val="536229EE"/>
    <w:rsid w:val="53722A0D"/>
    <w:rsid w:val="538D4BC8"/>
    <w:rsid w:val="5391679A"/>
    <w:rsid w:val="53B52C6B"/>
    <w:rsid w:val="53EF05CA"/>
    <w:rsid w:val="540A7708"/>
    <w:rsid w:val="5420784A"/>
    <w:rsid w:val="54216F96"/>
    <w:rsid w:val="54675AE4"/>
    <w:rsid w:val="546C5F9D"/>
    <w:rsid w:val="547E1E04"/>
    <w:rsid w:val="5480798C"/>
    <w:rsid w:val="548A149E"/>
    <w:rsid w:val="548E2DD1"/>
    <w:rsid w:val="54A5301D"/>
    <w:rsid w:val="54B43CEF"/>
    <w:rsid w:val="55415CA6"/>
    <w:rsid w:val="555111B5"/>
    <w:rsid w:val="56C74FDA"/>
    <w:rsid w:val="572439D1"/>
    <w:rsid w:val="573872F2"/>
    <w:rsid w:val="577809AE"/>
    <w:rsid w:val="57E41FC0"/>
    <w:rsid w:val="58017BA6"/>
    <w:rsid w:val="581A00F4"/>
    <w:rsid w:val="58617117"/>
    <w:rsid w:val="586B1D14"/>
    <w:rsid w:val="58762B11"/>
    <w:rsid w:val="589B6C70"/>
    <w:rsid w:val="58B00F1F"/>
    <w:rsid w:val="58FD67E1"/>
    <w:rsid w:val="59440074"/>
    <w:rsid w:val="59507E7D"/>
    <w:rsid w:val="59A16A9D"/>
    <w:rsid w:val="59C20870"/>
    <w:rsid w:val="5A247C7A"/>
    <w:rsid w:val="5A960534"/>
    <w:rsid w:val="5ADB421C"/>
    <w:rsid w:val="5B2563EF"/>
    <w:rsid w:val="5B2B4B5D"/>
    <w:rsid w:val="5B5A5B54"/>
    <w:rsid w:val="5B6B4754"/>
    <w:rsid w:val="5B7976B8"/>
    <w:rsid w:val="5B8630D6"/>
    <w:rsid w:val="5B926533"/>
    <w:rsid w:val="5BC3600C"/>
    <w:rsid w:val="5C8337F7"/>
    <w:rsid w:val="5CB8485D"/>
    <w:rsid w:val="5CFE369B"/>
    <w:rsid w:val="5D003E2D"/>
    <w:rsid w:val="5DB41A2E"/>
    <w:rsid w:val="5DB52A16"/>
    <w:rsid w:val="5E2558D5"/>
    <w:rsid w:val="5E323B4E"/>
    <w:rsid w:val="5E8303FB"/>
    <w:rsid w:val="5E8C72E3"/>
    <w:rsid w:val="5E8D2884"/>
    <w:rsid w:val="5EC11C60"/>
    <w:rsid w:val="5F5F4E16"/>
    <w:rsid w:val="5F8F4CEF"/>
    <w:rsid w:val="5FD60862"/>
    <w:rsid w:val="605D20F3"/>
    <w:rsid w:val="608A0388"/>
    <w:rsid w:val="60A01698"/>
    <w:rsid w:val="60CB20A0"/>
    <w:rsid w:val="60D97401"/>
    <w:rsid w:val="60E72896"/>
    <w:rsid w:val="61163299"/>
    <w:rsid w:val="61165D5D"/>
    <w:rsid w:val="611F2DE1"/>
    <w:rsid w:val="615611C5"/>
    <w:rsid w:val="6170678A"/>
    <w:rsid w:val="617E2341"/>
    <w:rsid w:val="61994C6D"/>
    <w:rsid w:val="61D42ABF"/>
    <w:rsid w:val="61E810F3"/>
    <w:rsid w:val="6252473B"/>
    <w:rsid w:val="62C04F42"/>
    <w:rsid w:val="62FA3985"/>
    <w:rsid w:val="631D35FB"/>
    <w:rsid w:val="633D40CF"/>
    <w:rsid w:val="637D3E38"/>
    <w:rsid w:val="63BA74E3"/>
    <w:rsid w:val="643A45C6"/>
    <w:rsid w:val="64440487"/>
    <w:rsid w:val="6498239C"/>
    <w:rsid w:val="64AB32D6"/>
    <w:rsid w:val="64EF5413"/>
    <w:rsid w:val="65322A32"/>
    <w:rsid w:val="653A7EC6"/>
    <w:rsid w:val="653E6E2D"/>
    <w:rsid w:val="65753CD6"/>
    <w:rsid w:val="65D62BF8"/>
    <w:rsid w:val="664C4511"/>
    <w:rsid w:val="668F27A0"/>
    <w:rsid w:val="66A15DAD"/>
    <w:rsid w:val="66C407E5"/>
    <w:rsid w:val="66C94B94"/>
    <w:rsid w:val="66D4157A"/>
    <w:rsid w:val="67072C66"/>
    <w:rsid w:val="6730240A"/>
    <w:rsid w:val="67343D7A"/>
    <w:rsid w:val="67390C13"/>
    <w:rsid w:val="67BF6657"/>
    <w:rsid w:val="67C9178A"/>
    <w:rsid w:val="67CC7768"/>
    <w:rsid w:val="67F72090"/>
    <w:rsid w:val="68531E47"/>
    <w:rsid w:val="69640A9B"/>
    <w:rsid w:val="698431EB"/>
    <w:rsid w:val="69D2433E"/>
    <w:rsid w:val="6A9C7878"/>
    <w:rsid w:val="6AA56B7A"/>
    <w:rsid w:val="6AAD5E11"/>
    <w:rsid w:val="6AE140DD"/>
    <w:rsid w:val="6B062E76"/>
    <w:rsid w:val="6B20545A"/>
    <w:rsid w:val="6B8B238A"/>
    <w:rsid w:val="6BE2040C"/>
    <w:rsid w:val="6BE74996"/>
    <w:rsid w:val="6C105F7E"/>
    <w:rsid w:val="6CB94BEC"/>
    <w:rsid w:val="6CBF11A2"/>
    <w:rsid w:val="6CBF49CF"/>
    <w:rsid w:val="6D88378A"/>
    <w:rsid w:val="6E0A5DEA"/>
    <w:rsid w:val="6E3631E6"/>
    <w:rsid w:val="6E5515CA"/>
    <w:rsid w:val="6EA46DF2"/>
    <w:rsid w:val="6EBD5A38"/>
    <w:rsid w:val="6EE90986"/>
    <w:rsid w:val="6F136903"/>
    <w:rsid w:val="6F184237"/>
    <w:rsid w:val="6F3B74AE"/>
    <w:rsid w:val="6F93531A"/>
    <w:rsid w:val="6FB777CA"/>
    <w:rsid w:val="6FC3111E"/>
    <w:rsid w:val="6FED6525"/>
    <w:rsid w:val="70195BF7"/>
    <w:rsid w:val="70911BAC"/>
    <w:rsid w:val="70CA2CF9"/>
    <w:rsid w:val="70DB46E0"/>
    <w:rsid w:val="71237C4B"/>
    <w:rsid w:val="71407B6D"/>
    <w:rsid w:val="71420016"/>
    <w:rsid w:val="71497E68"/>
    <w:rsid w:val="71A52B5D"/>
    <w:rsid w:val="71C4397A"/>
    <w:rsid w:val="71D713B7"/>
    <w:rsid w:val="71DE0216"/>
    <w:rsid w:val="71E376A4"/>
    <w:rsid w:val="72514A93"/>
    <w:rsid w:val="726E34C9"/>
    <w:rsid w:val="726F6D4C"/>
    <w:rsid w:val="72760B7D"/>
    <w:rsid w:val="733F214A"/>
    <w:rsid w:val="73EA4B78"/>
    <w:rsid w:val="747D6865"/>
    <w:rsid w:val="74E1294F"/>
    <w:rsid w:val="74E437D5"/>
    <w:rsid w:val="74E93048"/>
    <w:rsid w:val="758C3D64"/>
    <w:rsid w:val="75F6348D"/>
    <w:rsid w:val="7630179E"/>
    <w:rsid w:val="76870B01"/>
    <w:rsid w:val="76D010DE"/>
    <w:rsid w:val="77230867"/>
    <w:rsid w:val="777D6C25"/>
    <w:rsid w:val="77843521"/>
    <w:rsid w:val="7800305B"/>
    <w:rsid w:val="7803551D"/>
    <w:rsid w:val="789E4005"/>
    <w:rsid w:val="79187000"/>
    <w:rsid w:val="796F0D94"/>
    <w:rsid w:val="79851D6D"/>
    <w:rsid w:val="798C6424"/>
    <w:rsid w:val="7A1A2260"/>
    <w:rsid w:val="7A2261E4"/>
    <w:rsid w:val="7A2B0664"/>
    <w:rsid w:val="7A871F41"/>
    <w:rsid w:val="7A8B709C"/>
    <w:rsid w:val="7AFA2B2A"/>
    <w:rsid w:val="7B081488"/>
    <w:rsid w:val="7B0C1557"/>
    <w:rsid w:val="7B2022D0"/>
    <w:rsid w:val="7B3653C5"/>
    <w:rsid w:val="7B5F1E9F"/>
    <w:rsid w:val="7B68255B"/>
    <w:rsid w:val="7B7D67EA"/>
    <w:rsid w:val="7B8A2AE1"/>
    <w:rsid w:val="7B95174D"/>
    <w:rsid w:val="7B9B1FB8"/>
    <w:rsid w:val="7BAB68B3"/>
    <w:rsid w:val="7BD7260D"/>
    <w:rsid w:val="7BDD5A60"/>
    <w:rsid w:val="7BF821B1"/>
    <w:rsid w:val="7BFD7E77"/>
    <w:rsid w:val="7C1A0552"/>
    <w:rsid w:val="7C956474"/>
    <w:rsid w:val="7CA8514D"/>
    <w:rsid w:val="7D0746BD"/>
    <w:rsid w:val="7D183E47"/>
    <w:rsid w:val="7D543A39"/>
    <w:rsid w:val="7D852CA9"/>
    <w:rsid w:val="7DC30F39"/>
    <w:rsid w:val="7E5376D4"/>
    <w:rsid w:val="7E8B6C36"/>
    <w:rsid w:val="7EA764FC"/>
    <w:rsid w:val="7EAD0AD7"/>
    <w:rsid w:val="7EC05FA8"/>
    <w:rsid w:val="7F016EF9"/>
    <w:rsid w:val="7F0B366E"/>
    <w:rsid w:val="7F2421C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qFormat="1" w:unhideWhenUsed="0" w:uiPriority="1" w:semiHidden="0" w:name="No Spacing"/>
    <w:lsdException w:qFormat="1" w:unhideWhenUsed="0" w:uiPriority="34" w:semiHidden="0" w:name="List Paragraph"/>
  </w:latentStyles>
  <w:style w:type="paragraph" w:default="1" w:styleId="1">
    <w:name w:val="Normal"/>
    <w:link w:val="170"/>
    <w:autoRedefine/>
    <w:qFormat/>
    <w:uiPriority w:val="0"/>
    <w:rPr>
      <w:rFonts w:ascii="Times New Roman" w:hAnsi="Times New Roman" w:eastAsia="SimSun" w:cs="Times New Roman"/>
      <w:sz w:val="24"/>
      <w:szCs w:val="24"/>
      <w:lang w:val="pt-BR" w:eastAsia="pt-BR" w:bidi="ar-SA"/>
    </w:rPr>
  </w:style>
  <w:style w:type="paragraph" w:styleId="2">
    <w:name w:val="heading 1"/>
    <w:basedOn w:val="1"/>
    <w:autoRedefine/>
    <w:qFormat/>
    <w:uiPriority w:val="0"/>
    <w:pPr>
      <w:keepNext/>
      <w:jc w:val="center"/>
      <w:outlineLvl w:val="0"/>
    </w:pPr>
    <w:rPr>
      <w:rFonts w:ascii="Arial" w:hAnsi="Arial"/>
      <w:color w:val="000080"/>
      <w:sz w:val="28"/>
      <w:szCs w:val="20"/>
    </w:rPr>
  </w:style>
  <w:style w:type="paragraph" w:styleId="3">
    <w:name w:val="heading 2"/>
    <w:basedOn w:val="1"/>
    <w:link w:val="30"/>
    <w:autoRedefine/>
    <w:qFormat/>
    <w:uiPriority w:val="0"/>
    <w:pPr>
      <w:keepNext/>
      <w:jc w:val="both"/>
      <w:outlineLvl w:val="1"/>
    </w:pPr>
    <w:rPr>
      <w:b/>
      <w:u w:val="single"/>
    </w:rPr>
  </w:style>
  <w:style w:type="paragraph" w:styleId="4">
    <w:name w:val="heading 3"/>
    <w:basedOn w:val="1"/>
    <w:next w:val="1"/>
    <w:autoRedefine/>
    <w:qFormat/>
    <w:uiPriority w:val="0"/>
    <w:pPr>
      <w:keepNext/>
      <w:jc w:val="center"/>
      <w:outlineLvl w:val="2"/>
    </w:pPr>
    <w:rPr>
      <w:rFonts w:ascii="Arial Narrow" w:hAnsi="Arial Narrow"/>
      <w:i/>
      <w:sz w:val="32"/>
      <w:szCs w:val="20"/>
    </w:rPr>
  </w:style>
  <w:style w:type="paragraph" w:styleId="5">
    <w:name w:val="heading 4"/>
    <w:basedOn w:val="1"/>
    <w:next w:val="1"/>
    <w:autoRedefine/>
    <w:qFormat/>
    <w:uiPriority w:val="0"/>
    <w:pPr>
      <w:keepNext/>
      <w:spacing w:before="240" w:after="60"/>
      <w:outlineLvl w:val="3"/>
    </w:pPr>
    <w:rPr>
      <w:b/>
      <w:bCs/>
      <w:sz w:val="28"/>
      <w:szCs w:val="28"/>
    </w:rPr>
  </w:style>
  <w:style w:type="paragraph" w:styleId="6">
    <w:name w:val="heading 5"/>
    <w:basedOn w:val="1"/>
    <w:next w:val="1"/>
    <w:autoRedefine/>
    <w:qFormat/>
    <w:uiPriority w:val="0"/>
    <w:pPr>
      <w:keepNext/>
      <w:jc w:val="center"/>
      <w:outlineLvl w:val="4"/>
    </w:pPr>
    <w:rPr>
      <w:rFonts w:ascii="Arial" w:hAnsi="Arial"/>
      <w:b/>
      <w:szCs w:val="20"/>
    </w:rPr>
  </w:style>
  <w:style w:type="paragraph" w:styleId="7">
    <w:name w:val="heading 6"/>
    <w:basedOn w:val="1"/>
    <w:next w:val="1"/>
    <w:autoRedefine/>
    <w:qFormat/>
    <w:uiPriority w:val="0"/>
    <w:pPr>
      <w:spacing w:before="240" w:after="60"/>
      <w:outlineLvl w:val="5"/>
    </w:pPr>
    <w:rPr>
      <w:b/>
      <w:bCs/>
      <w:sz w:val="22"/>
      <w:szCs w:val="22"/>
    </w:rPr>
  </w:style>
  <w:style w:type="paragraph" w:styleId="8">
    <w:name w:val="heading 9"/>
    <w:basedOn w:val="1"/>
    <w:next w:val="1"/>
    <w:autoRedefine/>
    <w:qFormat/>
    <w:uiPriority w:val="0"/>
    <w:pPr>
      <w:spacing w:before="240" w:after="60"/>
      <w:outlineLvl w:val="8"/>
    </w:pPr>
    <w:rPr>
      <w:rFonts w:ascii="Arial" w:hAnsi="Arial" w:cs="Arial"/>
      <w:sz w:val="22"/>
      <w:szCs w:val="22"/>
    </w:rPr>
  </w:style>
  <w:style w:type="character" w:default="1" w:styleId="9">
    <w:name w:val="Default Paragraph Font"/>
    <w:autoRedefine/>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character" w:styleId="11">
    <w:name w:val="Strong"/>
    <w:basedOn w:val="9"/>
    <w:autoRedefine/>
    <w:qFormat/>
    <w:uiPriority w:val="0"/>
    <w:rPr>
      <w:b/>
      <w:bCs/>
    </w:rPr>
  </w:style>
  <w:style w:type="character" w:styleId="12">
    <w:name w:val="annotation reference"/>
    <w:basedOn w:val="9"/>
    <w:semiHidden/>
    <w:unhideWhenUsed/>
    <w:qFormat/>
    <w:uiPriority w:val="99"/>
    <w:rPr>
      <w:sz w:val="16"/>
      <w:szCs w:val="16"/>
    </w:rPr>
  </w:style>
  <w:style w:type="character" w:styleId="13">
    <w:name w:val="FollowedHyperlink"/>
    <w:basedOn w:val="9"/>
    <w:autoRedefine/>
    <w:qFormat/>
    <w:uiPriority w:val="99"/>
    <w:rPr>
      <w:color w:val="800080"/>
      <w:u w:val="single"/>
    </w:rPr>
  </w:style>
  <w:style w:type="character" w:styleId="14">
    <w:name w:val="Emphasis"/>
    <w:basedOn w:val="9"/>
    <w:autoRedefine/>
    <w:qFormat/>
    <w:uiPriority w:val="20"/>
    <w:rPr>
      <w:i/>
      <w:iCs/>
    </w:rPr>
  </w:style>
  <w:style w:type="character" w:styleId="15">
    <w:name w:val="Hyperlink"/>
    <w:basedOn w:val="9"/>
    <w:link w:val="1"/>
    <w:autoRedefine/>
    <w:qFormat/>
    <w:uiPriority w:val="99"/>
    <w:rPr>
      <w:rFonts w:ascii="Times New Roman" w:hAnsi="Times New Roman" w:eastAsia="SimSun" w:cs="Times New Roman"/>
      <w:sz w:val="24"/>
      <w:szCs w:val="24"/>
      <w:lang w:val="pt-BR" w:eastAsia="pt-BR" w:bidi="ar-SA"/>
    </w:rPr>
  </w:style>
  <w:style w:type="character" w:styleId="16">
    <w:name w:val="page number"/>
    <w:basedOn w:val="9"/>
    <w:autoRedefine/>
    <w:qFormat/>
    <w:uiPriority w:val="0"/>
  </w:style>
  <w:style w:type="paragraph" w:styleId="17">
    <w:name w:val="Body Text"/>
    <w:basedOn w:val="1"/>
    <w:autoRedefine/>
    <w:qFormat/>
    <w:uiPriority w:val="0"/>
    <w:pPr>
      <w:jc w:val="both"/>
    </w:pPr>
    <w:rPr>
      <w:szCs w:val="20"/>
    </w:rPr>
  </w:style>
  <w:style w:type="paragraph" w:styleId="18">
    <w:name w:val="annotation text"/>
    <w:basedOn w:val="1"/>
    <w:autoRedefine/>
    <w:unhideWhenUsed/>
    <w:qFormat/>
    <w:uiPriority w:val="0"/>
    <w:rPr>
      <w:sz w:val="20"/>
      <w:szCs w:val="20"/>
    </w:rPr>
  </w:style>
  <w:style w:type="paragraph" w:styleId="19">
    <w:name w:val="Body Text Indent 2"/>
    <w:basedOn w:val="1"/>
    <w:autoRedefine/>
    <w:qFormat/>
    <w:uiPriority w:val="0"/>
    <w:pPr>
      <w:ind w:firstLine="1416"/>
      <w:jc w:val="both"/>
    </w:pPr>
    <w:rPr>
      <w:sz w:val="20"/>
      <w:szCs w:val="20"/>
    </w:rPr>
  </w:style>
  <w:style w:type="paragraph" w:styleId="20">
    <w:name w:val="Title"/>
    <w:basedOn w:val="1"/>
    <w:autoRedefine/>
    <w:qFormat/>
    <w:uiPriority w:val="0"/>
    <w:pPr>
      <w:jc w:val="center"/>
    </w:pPr>
    <w:rPr>
      <w:b/>
      <w:bCs/>
      <w:sz w:val="22"/>
    </w:rPr>
  </w:style>
  <w:style w:type="paragraph" w:styleId="21">
    <w:name w:val="Normal (Web)"/>
    <w:basedOn w:val="1"/>
    <w:autoRedefine/>
    <w:qFormat/>
    <w:uiPriority w:val="0"/>
    <w:pPr>
      <w:spacing w:before="100" w:beforeAutospacing="1" w:after="100" w:afterAutospacing="1"/>
    </w:pPr>
  </w:style>
  <w:style w:type="paragraph" w:styleId="22">
    <w:name w:val="Body Text 3"/>
    <w:basedOn w:val="1"/>
    <w:autoRedefine/>
    <w:qFormat/>
    <w:uiPriority w:val="0"/>
    <w:pPr>
      <w:jc w:val="both"/>
    </w:pPr>
    <w:rPr>
      <w:rFonts w:ascii="Arial" w:hAnsi="Arial" w:cs="Arial"/>
      <w:sz w:val="20"/>
    </w:rPr>
  </w:style>
  <w:style w:type="paragraph" w:styleId="23">
    <w:name w:val="Body Text 2"/>
    <w:basedOn w:val="1"/>
    <w:autoRedefine/>
    <w:qFormat/>
    <w:uiPriority w:val="0"/>
    <w:pPr>
      <w:jc w:val="both"/>
    </w:pPr>
    <w:rPr>
      <w:b/>
      <w:szCs w:val="20"/>
    </w:rPr>
  </w:style>
  <w:style w:type="paragraph" w:styleId="24">
    <w:name w:val="header"/>
    <w:basedOn w:val="1"/>
    <w:link w:val="31"/>
    <w:autoRedefine/>
    <w:qFormat/>
    <w:uiPriority w:val="0"/>
    <w:pPr>
      <w:tabs>
        <w:tab w:val="center" w:pos="4419"/>
        <w:tab w:val="right" w:pos="8838"/>
      </w:tabs>
    </w:pPr>
  </w:style>
  <w:style w:type="paragraph" w:styleId="25">
    <w:name w:val="footer"/>
    <w:basedOn w:val="1"/>
    <w:link w:val="32"/>
    <w:autoRedefine/>
    <w:qFormat/>
    <w:uiPriority w:val="0"/>
    <w:pPr>
      <w:tabs>
        <w:tab w:val="center" w:pos="4419"/>
        <w:tab w:val="right" w:pos="8838"/>
      </w:tabs>
    </w:pPr>
  </w:style>
  <w:style w:type="paragraph" w:styleId="26">
    <w:name w:val="Body Text Indent 3"/>
    <w:basedOn w:val="1"/>
    <w:link w:val="33"/>
    <w:autoRedefine/>
    <w:qFormat/>
    <w:uiPriority w:val="0"/>
    <w:pPr>
      <w:ind w:firstLine="1418"/>
      <w:jc w:val="both"/>
    </w:pPr>
    <w:rPr>
      <w:szCs w:val="20"/>
    </w:rPr>
  </w:style>
  <w:style w:type="paragraph" w:styleId="27">
    <w:name w:val="Balloon Text"/>
    <w:basedOn w:val="1"/>
    <w:autoRedefine/>
    <w:semiHidden/>
    <w:qFormat/>
    <w:uiPriority w:val="0"/>
    <w:rPr>
      <w:rFonts w:ascii="Tahoma" w:hAnsi="Tahoma" w:cs="Tahoma"/>
      <w:sz w:val="16"/>
      <w:szCs w:val="16"/>
    </w:rPr>
  </w:style>
  <w:style w:type="paragraph" w:styleId="28">
    <w:name w:val="Body Text Indent"/>
    <w:basedOn w:val="1"/>
    <w:autoRedefine/>
    <w:qFormat/>
    <w:uiPriority w:val="0"/>
    <w:pPr>
      <w:ind w:left="708"/>
      <w:jc w:val="both"/>
    </w:pPr>
    <w:rPr>
      <w:sz w:val="22"/>
      <w:szCs w:val="20"/>
    </w:rPr>
  </w:style>
  <w:style w:type="table" w:styleId="29">
    <w:name w:val="Table Grid"/>
    <w:basedOn w:val="10"/>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0">
    <w:name w:val="Título 2 Char"/>
    <w:basedOn w:val="9"/>
    <w:link w:val="3"/>
    <w:autoRedefine/>
    <w:qFormat/>
    <w:uiPriority w:val="0"/>
    <w:rPr>
      <w:b/>
      <w:sz w:val="24"/>
      <w:szCs w:val="24"/>
      <w:u w:val="single"/>
    </w:rPr>
  </w:style>
  <w:style w:type="character" w:customStyle="1" w:styleId="31">
    <w:name w:val="Cabeçalho Char"/>
    <w:basedOn w:val="9"/>
    <w:link w:val="24"/>
    <w:autoRedefine/>
    <w:qFormat/>
    <w:uiPriority w:val="0"/>
    <w:rPr>
      <w:sz w:val="24"/>
      <w:szCs w:val="24"/>
    </w:rPr>
  </w:style>
  <w:style w:type="character" w:customStyle="1" w:styleId="32">
    <w:name w:val="Rodapé Char"/>
    <w:basedOn w:val="9"/>
    <w:link w:val="25"/>
    <w:autoRedefine/>
    <w:qFormat/>
    <w:uiPriority w:val="0"/>
    <w:rPr>
      <w:sz w:val="24"/>
      <w:szCs w:val="24"/>
    </w:rPr>
  </w:style>
  <w:style w:type="character" w:customStyle="1" w:styleId="33">
    <w:name w:val="Recuo de corpo de texto 3 Char"/>
    <w:basedOn w:val="9"/>
    <w:link w:val="26"/>
    <w:autoRedefine/>
    <w:qFormat/>
    <w:uiPriority w:val="0"/>
    <w:rPr>
      <w:sz w:val="24"/>
    </w:rPr>
  </w:style>
  <w:style w:type="paragraph" w:customStyle="1" w:styleId="34">
    <w:name w:val="xl2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5">
    <w:name w:val="xl25"/>
    <w:basedOn w:val="1"/>
    <w:autoRedefine/>
    <w:qFormat/>
    <w:uiPriority w:val="0"/>
    <w:pPr>
      <w:pBdr>
        <w:top w:val="single" w:color="auto" w:sz="4" w:space="0"/>
        <w:left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6">
    <w:name w:val="xl26"/>
    <w:basedOn w:val="1"/>
    <w:autoRedefine/>
    <w:qFormat/>
    <w:uiPriority w:val="0"/>
    <w:pPr>
      <w:pBdr>
        <w:top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7">
    <w:name w:val="xl27"/>
    <w:basedOn w:val="1"/>
    <w:autoRedefine/>
    <w:qFormat/>
    <w:uiPriority w:val="0"/>
    <w:pPr>
      <w:pBdr>
        <w:top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8">
    <w:name w:val="xl2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9">
    <w:name w:val="xl2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40">
    <w:name w:val="xl3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rPr>
  </w:style>
  <w:style w:type="paragraph" w:customStyle="1" w:styleId="41">
    <w:name w:val="xl3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2">
    <w:name w:val="xl3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eastAsia="Arial Unicode MS"/>
      <w:sz w:val="18"/>
      <w:szCs w:val="18"/>
    </w:rPr>
  </w:style>
  <w:style w:type="paragraph" w:customStyle="1" w:styleId="43">
    <w:name w:val="xl3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4">
    <w:name w:val="xl3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5">
    <w:name w:val="xl3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6">
    <w:name w:val="xl36"/>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7">
    <w:name w:val="xl37"/>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8">
    <w:name w:val="xl3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9">
    <w:name w:val="xl3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50">
    <w:name w:val="xl40"/>
    <w:basedOn w:val="1"/>
    <w:autoRedefine/>
    <w:qFormat/>
    <w:uiPriority w:val="0"/>
    <w:pPr>
      <w:pBdr>
        <w:bottom w:val="single" w:color="auto" w:sz="4" w:space="0"/>
      </w:pBdr>
      <w:spacing w:before="100" w:beforeAutospacing="1" w:after="100" w:afterAutospacing="1"/>
      <w:textAlignment w:val="top"/>
    </w:pPr>
    <w:rPr>
      <w:rFonts w:eastAsia="Arial Unicode MS"/>
      <w:sz w:val="18"/>
      <w:szCs w:val="18"/>
    </w:rPr>
  </w:style>
  <w:style w:type="paragraph" w:customStyle="1" w:styleId="51">
    <w:name w:val="xl41"/>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2">
    <w:name w:val="xl4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3">
    <w:name w:val="xl4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4">
    <w:name w:val="xl44"/>
    <w:basedOn w:val="1"/>
    <w:autoRedefine/>
    <w:qFormat/>
    <w:uiPriority w:val="0"/>
    <w:pPr>
      <w:pBdr>
        <w:top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5">
    <w:name w:val="xl45"/>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6">
    <w:name w:val="xl46"/>
    <w:basedOn w:val="1"/>
    <w:autoRedefine/>
    <w:qFormat/>
    <w:uiPriority w:val="0"/>
    <w:pPr>
      <w:pBdr>
        <w:top w:val="single" w:color="auto" w:sz="4" w:space="0"/>
        <w:left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7">
    <w:name w:val="xl47"/>
    <w:basedOn w:val="1"/>
    <w:autoRedefine/>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8">
    <w:name w:val="xl48"/>
    <w:basedOn w:val="1"/>
    <w:autoRedefine/>
    <w:qFormat/>
    <w:uiPriority w:val="0"/>
    <w:pPr>
      <w:pBdr>
        <w:bottom w:val="single" w:color="auto" w:sz="4" w:space="0"/>
      </w:pBdr>
      <w:spacing w:before="100" w:beforeAutospacing="1" w:after="100" w:afterAutospacing="1"/>
    </w:pPr>
    <w:rPr>
      <w:rFonts w:eastAsia="Arial Unicode MS"/>
      <w:sz w:val="18"/>
      <w:szCs w:val="18"/>
    </w:rPr>
  </w:style>
  <w:style w:type="paragraph" w:customStyle="1" w:styleId="59">
    <w:name w:val="xl49"/>
    <w:basedOn w:val="1"/>
    <w:autoRedefine/>
    <w:qFormat/>
    <w:uiPriority w:val="0"/>
    <w:pPr>
      <w:pBdr>
        <w:bottom w:val="single" w:color="auto" w:sz="4" w:space="0"/>
      </w:pBdr>
      <w:spacing w:before="100" w:beforeAutospacing="1" w:after="100" w:afterAutospacing="1"/>
    </w:pPr>
    <w:rPr>
      <w:rFonts w:eastAsia="Arial Unicode MS"/>
      <w:b/>
      <w:bCs/>
      <w:color w:val="0000FF"/>
      <w:sz w:val="18"/>
      <w:szCs w:val="18"/>
    </w:rPr>
  </w:style>
  <w:style w:type="paragraph" w:customStyle="1" w:styleId="60">
    <w:name w:val="xl5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1">
    <w:name w:val="xl5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2">
    <w:name w:val="xl52"/>
    <w:basedOn w:val="1"/>
    <w:autoRedefine/>
    <w:qFormat/>
    <w:uiPriority w:val="0"/>
    <w:pPr>
      <w:pBdr>
        <w:top w:val="single" w:color="auto" w:sz="4" w:space="0"/>
        <w:left w:val="single" w:color="auto" w:sz="4" w:space="0"/>
        <w:bottom w:val="single" w:color="auto" w:sz="4" w:space="0"/>
      </w:pBdr>
      <w:spacing w:before="100" w:beforeAutospacing="1" w:after="100" w:afterAutospacing="1"/>
    </w:pPr>
    <w:rPr>
      <w:rFonts w:eastAsia="Arial Unicode MS"/>
      <w:sz w:val="18"/>
      <w:szCs w:val="18"/>
    </w:rPr>
  </w:style>
  <w:style w:type="paragraph" w:customStyle="1" w:styleId="63">
    <w:name w:val="xl53"/>
    <w:basedOn w:val="1"/>
    <w:autoRedefine/>
    <w:qFormat/>
    <w:uiPriority w:val="0"/>
    <w:pPr>
      <w:pBdr>
        <w:top w:val="single" w:color="auto" w:sz="4" w:space="0"/>
        <w:bottom w:val="single" w:color="auto" w:sz="4" w:space="0"/>
      </w:pBdr>
      <w:spacing w:before="100" w:beforeAutospacing="1" w:after="100" w:afterAutospacing="1"/>
    </w:pPr>
    <w:rPr>
      <w:rFonts w:eastAsia="Arial Unicode MS"/>
      <w:b/>
      <w:bCs/>
      <w:color w:val="0000FF"/>
      <w:sz w:val="18"/>
      <w:szCs w:val="18"/>
    </w:rPr>
  </w:style>
  <w:style w:type="paragraph" w:customStyle="1" w:styleId="64">
    <w:name w:val="xl54"/>
    <w:basedOn w:val="1"/>
    <w:autoRedefine/>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5">
    <w:name w:val="xl55"/>
    <w:basedOn w:val="1"/>
    <w:autoRedefine/>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6">
    <w:name w:val="xl56"/>
    <w:basedOn w:val="1"/>
    <w:autoRedefine/>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67">
    <w:name w:val="xl57"/>
    <w:basedOn w:val="1"/>
    <w:autoRedefine/>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8">
    <w:name w:val="xl58"/>
    <w:basedOn w:val="1"/>
    <w:autoRedefine/>
    <w:qFormat/>
    <w:uiPriority w:val="0"/>
    <w:pPr>
      <w:pBdr>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9">
    <w:name w:val="xl59"/>
    <w:basedOn w:val="1"/>
    <w:autoRedefine/>
    <w:qFormat/>
    <w:uiPriority w:val="0"/>
    <w:pPr>
      <w:spacing w:before="100" w:beforeAutospacing="1" w:after="100" w:afterAutospacing="1"/>
    </w:pPr>
    <w:rPr>
      <w:rFonts w:eastAsia="Arial Unicode MS"/>
      <w:b/>
      <w:bCs/>
      <w:color w:val="0000FF"/>
      <w:sz w:val="18"/>
      <w:szCs w:val="18"/>
    </w:rPr>
  </w:style>
  <w:style w:type="paragraph" w:customStyle="1" w:styleId="70">
    <w:name w:val="xl60"/>
    <w:basedOn w:val="1"/>
    <w:autoRedefine/>
    <w:qFormat/>
    <w:uiPriority w:val="0"/>
    <w:pPr>
      <w:pBdr>
        <w:top w:val="single" w:color="auto" w:sz="4" w:space="0"/>
        <w:bottom w:val="single" w:color="auto" w:sz="4" w:space="0"/>
      </w:pBdr>
      <w:spacing w:before="100" w:beforeAutospacing="1" w:after="100" w:afterAutospacing="1"/>
    </w:pPr>
    <w:rPr>
      <w:rFonts w:eastAsia="Arial Unicode MS"/>
      <w:sz w:val="18"/>
      <w:szCs w:val="18"/>
    </w:rPr>
  </w:style>
  <w:style w:type="paragraph" w:customStyle="1" w:styleId="71">
    <w:name w:val="xl61"/>
    <w:basedOn w:val="1"/>
    <w:autoRedefine/>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72">
    <w:name w:val="xl62"/>
    <w:basedOn w:val="1"/>
    <w:autoRedefine/>
    <w:qFormat/>
    <w:uiPriority w:val="0"/>
    <w:pPr>
      <w:pBdr>
        <w:top w:val="single" w:color="auto" w:sz="4" w:space="0"/>
        <w:left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3">
    <w:name w:val="xl63"/>
    <w:basedOn w:val="1"/>
    <w:autoRedefine/>
    <w:qFormat/>
    <w:uiPriority w:val="0"/>
    <w:pPr>
      <w:pBdr>
        <w:top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4">
    <w:name w:val="xl64"/>
    <w:basedOn w:val="1"/>
    <w:autoRedefine/>
    <w:qFormat/>
    <w:uiPriority w:val="0"/>
    <w:pPr>
      <w:pBdr>
        <w:top w:val="single" w:color="auto" w:sz="4" w:space="0"/>
        <w:bottom w:val="single" w:color="auto" w:sz="4" w:space="0"/>
        <w:right w:val="single" w:color="auto" w:sz="4" w:space="0"/>
      </w:pBdr>
      <w:spacing w:before="100" w:beforeAutospacing="1" w:after="100" w:afterAutospacing="1"/>
      <w:jc w:val="center"/>
    </w:pPr>
    <w:rPr>
      <w:rFonts w:eastAsia="Arial Unicode MS"/>
      <w:b/>
      <w:bCs/>
      <w:sz w:val="18"/>
      <w:szCs w:val="18"/>
    </w:rPr>
  </w:style>
  <w:style w:type="paragraph" w:customStyle="1" w:styleId="75">
    <w:name w:val="xl6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b/>
      <w:bCs/>
      <w:sz w:val="18"/>
      <w:szCs w:val="18"/>
    </w:rPr>
  </w:style>
  <w:style w:type="paragraph" w:customStyle="1" w:styleId="76">
    <w:name w:val="Body Text 2"/>
    <w:basedOn w:val="1"/>
    <w:autoRedefine/>
    <w:qFormat/>
    <w:uiPriority w:val="0"/>
    <w:pPr>
      <w:widowControl w:val="0"/>
      <w:jc w:val="both"/>
    </w:pPr>
    <w:rPr>
      <w:rFonts w:ascii="Arial" w:hAnsi="Arial"/>
      <w:szCs w:val="20"/>
    </w:rPr>
  </w:style>
  <w:style w:type="character" w:customStyle="1" w:styleId="77">
    <w:name w:val="texto31"/>
    <w:basedOn w:val="9"/>
    <w:autoRedefine/>
    <w:qFormat/>
    <w:uiPriority w:val="0"/>
    <w:rPr>
      <w:rFonts w:hint="default" w:ascii="Verdana" w:hAnsi="Verdana"/>
      <w:color w:val="61676C"/>
      <w:sz w:val="18"/>
      <w:szCs w:val="18"/>
    </w:rPr>
  </w:style>
  <w:style w:type="character" w:customStyle="1" w:styleId="78">
    <w:name w:val="titulo1"/>
    <w:basedOn w:val="9"/>
    <w:autoRedefine/>
    <w:qFormat/>
    <w:uiPriority w:val="0"/>
    <w:rPr>
      <w:rFonts w:hint="default" w:ascii="Tahoma" w:hAnsi="Tahoma" w:cs="Tahoma"/>
      <w:b/>
      <w:bCs/>
      <w:color w:val="CE8C51"/>
      <w:sz w:val="17"/>
      <w:szCs w:val="17"/>
    </w:rPr>
  </w:style>
  <w:style w:type="character" w:customStyle="1" w:styleId="79">
    <w:name w:val="item2"/>
    <w:basedOn w:val="9"/>
    <w:autoRedefine/>
    <w:qFormat/>
    <w:uiPriority w:val="0"/>
    <w:rPr>
      <w:rFonts w:hint="default" w:ascii="Tahoma" w:hAnsi="Tahoma" w:cs="Tahoma"/>
      <w:color w:val="9E9E9E"/>
      <w:sz w:val="17"/>
      <w:szCs w:val="17"/>
    </w:rPr>
  </w:style>
  <w:style w:type="character" w:customStyle="1" w:styleId="80">
    <w:name w:val="item3"/>
    <w:basedOn w:val="9"/>
    <w:autoRedefine/>
    <w:qFormat/>
    <w:uiPriority w:val="0"/>
    <w:rPr>
      <w:rFonts w:hint="default" w:ascii="Tahoma" w:hAnsi="Tahoma" w:cs="Tahoma"/>
      <w:color w:val="9E9E9E"/>
      <w:sz w:val="17"/>
      <w:szCs w:val="17"/>
    </w:rPr>
  </w:style>
  <w:style w:type="character" w:customStyle="1" w:styleId="81">
    <w:name w:val="item4"/>
    <w:basedOn w:val="9"/>
    <w:autoRedefine/>
    <w:qFormat/>
    <w:uiPriority w:val="0"/>
    <w:rPr>
      <w:rFonts w:hint="default" w:ascii="Tahoma" w:hAnsi="Tahoma" w:cs="Tahoma"/>
      <w:color w:val="9E9E9E"/>
      <w:sz w:val="17"/>
      <w:szCs w:val="17"/>
    </w:rPr>
  </w:style>
  <w:style w:type="character" w:customStyle="1" w:styleId="82">
    <w:name w:val="item5"/>
    <w:basedOn w:val="9"/>
    <w:autoRedefine/>
    <w:qFormat/>
    <w:uiPriority w:val="0"/>
    <w:rPr>
      <w:rFonts w:hint="default" w:ascii="Tahoma" w:hAnsi="Tahoma" w:cs="Tahoma"/>
      <w:color w:val="9E9E9E"/>
      <w:sz w:val="17"/>
      <w:szCs w:val="17"/>
    </w:rPr>
  </w:style>
  <w:style w:type="character" w:customStyle="1" w:styleId="83">
    <w:name w:val="item6"/>
    <w:basedOn w:val="9"/>
    <w:autoRedefine/>
    <w:qFormat/>
    <w:uiPriority w:val="0"/>
    <w:rPr>
      <w:rFonts w:hint="default" w:ascii="Tahoma" w:hAnsi="Tahoma" w:cs="Tahoma"/>
      <w:color w:val="9E9E9E"/>
      <w:sz w:val="17"/>
      <w:szCs w:val="17"/>
    </w:rPr>
  </w:style>
  <w:style w:type="character" w:customStyle="1" w:styleId="84">
    <w:name w:val="item7"/>
    <w:basedOn w:val="9"/>
    <w:autoRedefine/>
    <w:qFormat/>
    <w:uiPriority w:val="0"/>
    <w:rPr>
      <w:rFonts w:hint="default" w:ascii="Tahoma" w:hAnsi="Tahoma" w:cs="Tahoma"/>
      <w:color w:val="9E9E9E"/>
      <w:sz w:val="17"/>
      <w:szCs w:val="17"/>
    </w:rPr>
  </w:style>
  <w:style w:type="character" w:customStyle="1" w:styleId="85">
    <w:name w:val="item8"/>
    <w:basedOn w:val="9"/>
    <w:autoRedefine/>
    <w:qFormat/>
    <w:uiPriority w:val="0"/>
    <w:rPr>
      <w:rFonts w:hint="default" w:ascii="Tahoma" w:hAnsi="Tahoma" w:cs="Tahoma"/>
      <w:color w:val="9E9E9E"/>
      <w:sz w:val="17"/>
      <w:szCs w:val="17"/>
    </w:rPr>
  </w:style>
  <w:style w:type="character" w:customStyle="1" w:styleId="86">
    <w:name w:val="item9"/>
    <w:basedOn w:val="9"/>
    <w:autoRedefine/>
    <w:qFormat/>
    <w:uiPriority w:val="0"/>
    <w:rPr>
      <w:rFonts w:hint="default" w:ascii="Tahoma" w:hAnsi="Tahoma" w:cs="Tahoma"/>
      <w:color w:val="9E9E9E"/>
      <w:sz w:val="17"/>
      <w:szCs w:val="17"/>
    </w:rPr>
  </w:style>
  <w:style w:type="character" w:customStyle="1" w:styleId="87">
    <w:name w:val="item10"/>
    <w:basedOn w:val="9"/>
    <w:autoRedefine/>
    <w:qFormat/>
    <w:uiPriority w:val="0"/>
    <w:rPr>
      <w:rFonts w:hint="default" w:ascii="Tahoma" w:hAnsi="Tahoma" w:cs="Tahoma"/>
      <w:color w:val="9E9E9E"/>
      <w:sz w:val="17"/>
      <w:szCs w:val="17"/>
    </w:rPr>
  </w:style>
  <w:style w:type="character" w:customStyle="1" w:styleId="88">
    <w:name w:val="item11"/>
    <w:basedOn w:val="9"/>
    <w:autoRedefine/>
    <w:qFormat/>
    <w:uiPriority w:val="0"/>
    <w:rPr>
      <w:rFonts w:hint="default" w:ascii="Tahoma" w:hAnsi="Tahoma" w:cs="Tahoma"/>
      <w:color w:val="9E9E9E"/>
      <w:sz w:val="17"/>
      <w:szCs w:val="17"/>
    </w:rPr>
  </w:style>
  <w:style w:type="character" w:customStyle="1" w:styleId="89">
    <w:name w:val="item12"/>
    <w:basedOn w:val="9"/>
    <w:autoRedefine/>
    <w:qFormat/>
    <w:uiPriority w:val="0"/>
    <w:rPr>
      <w:rFonts w:hint="default" w:ascii="Tahoma" w:hAnsi="Tahoma" w:cs="Tahoma"/>
      <w:color w:val="9E9E9E"/>
      <w:sz w:val="17"/>
      <w:szCs w:val="17"/>
    </w:rPr>
  </w:style>
  <w:style w:type="character" w:customStyle="1" w:styleId="90">
    <w:name w:val="item13"/>
    <w:basedOn w:val="9"/>
    <w:autoRedefine/>
    <w:qFormat/>
    <w:uiPriority w:val="0"/>
    <w:rPr>
      <w:rFonts w:hint="default" w:ascii="Tahoma" w:hAnsi="Tahoma" w:cs="Tahoma"/>
      <w:color w:val="9E9E9E"/>
      <w:sz w:val="17"/>
      <w:szCs w:val="17"/>
    </w:rPr>
  </w:style>
  <w:style w:type="character" w:customStyle="1" w:styleId="91">
    <w:name w:val="item14"/>
    <w:basedOn w:val="9"/>
    <w:autoRedefine/>
    <w:qFormat/>
    <w:uiPriority w:val="0"/>
    <w:rPr>
      <w:rFonts w:hint="default" w:ascii="Tahoma" w:hAnsi="Tahoma" w:cs="Tahoma"/>
      <w:color w:val="9E9E9E"/>
      <w:sz w:val="17"/>
      <w:szCs w:val="17"/>
    </w:rPr>
  </w:style>
  <w:style w:type="character" w:customStyle="1" w:styleId="92">
    <w:name w:val="item15"/>
    <w:basedOn w:val="9"/>
    <w:autoRedefine/>
    <w:qFormat/>
    <w:uiPriority w:val="0"/>
    <w:rPr>
      <w:rFonts w:hint="default" w:ascii="Tahoma" w:hAnsi="Tahoma" w:cs="Tahoma"/>
      <w:color w:val="9E9E9E"/>
      <w:sz w:val="17"/>
      <w:szCs w:val="17"/>
    </w:rPr>
  </w:style>
  <w:style w:type="character" w:customStyle="1" w:styleId="93">
    <w:name w:val="item16"/>
    <w:basedOn w:val="9"/>
    <w:autoRedefine/>
    <w:qFormat/>
    <w:uiPriority w:val="0"/>
    <w:rPr>
      <w:rFonts w:hint="default" w:ascii="Tahoma" w:hAnsi="Tahoma" w:cs="Tahoma"/>
      <w:color w:val="9E9E9E"/>
      <w:sz w:val="17"/>
      <w:szCs w:val="17"/>
    </w:rPr>
  </w:style>
  <w:style w:type="character" w:customStyle="1" w:styleId="94">
    <w:name w:val="item17"/>
    <w:basedOn w:val="9"/>
    <w:autoRedefine/>
    <w:qFormat/>
    <w:uiPriority w:val="0"/>
    <w:rPr>
      <w:rFonts w:hint="default" w:ascii="Tahoma" w:hAnsi="Tahoma" w:cs="Tahoma"/>
      <w:color w:val="9E9E9E"/>
      <w:sz w:val="17"/>
      <w:szCs w:val="17"/>
    </w:rPr>
  </w:style>
  <w:style w:type="character" w:customStyle="1" w:styleId="95">
    <w:name w:val="item18"/>
    <w:basedOn w:val="9"/>
    <w:autoRedefine/>
    <w:qFormat/>
    <w:uiPriority w:val="0"/>
    <w:rPr>
      <w:rFonts w:hint="default" w:ascii="Tahoma" w:hAnsi="Tahoma" w:cs="Tahoma"/>
      <w:color w:val="9E9E9E"/>
      <w:sz w:val="17"/>
      <w:szCs w:val="17"/>
    </w:rPr>
  </w:style>
  <w:style w:type="character" w:customStyle="1" w:styleId="96">
    <w:name w:val="item19"/>
    <w:basedOn w:val="9"/>
    <w:autoRedefine/>
    <w:qFormat/>
    <w:uiPriority w:val="0"/>
    <w:rPr>
      <w:rFonts w:hint="default" w:ascii="Tahoma" w:hAnsi="Tahoma" w:cs="Tahoma"/>
      <w:color w:val="9E9E9E"/>
      <w:sz w:val="17"/>
      <w:szCs w:val="17"/>
    </w:rPr>
  </w:style>
  <w:style w:type="character" w:customStyle="1" w:styleId="97">
    <w:name w:val="item20"/>
    <w:basedOn w:val="9"/>
    <w:autoRedefine/>
    <w:qFormat/>
    <w:uiPriority w:val="0"/>
    <w:rPr>
      <w:rFonts w:hint="default" w:ascii="Tahoma" w:hAnsi="Tahoma" w:cs="Tahoma"/>
      <w:color w:val="9E9E9E"/>
      <w:sz w:val="17"/>
      <w:szCs w:val="17"/>
    </w:rPr>
  </w:style>
  <w:style w:type="character" w:customStyle="1" w:styleId="98">
    <w:name w:val="item21"/>
    <w:basedOn w:val="9"/>
    <w:autoRedefine/>
    <w:qFormat/>
    <w:uiPriority w:val="0"/>
    <w:rPr>
      <w:rFonts w:hint="default" w:ascii="Tahoma" w:hAnsi="Tahoma" w:cs="Tahoma"/>
      <w:color w:val="9E9E9E"/>
      <w:sz w:val="17"/>
      <w:szCs w:val="17"/>
    </w:rPr>
  </w:style>
  <w:style w:type="character" w:customStyle="1" w:styleId="99">
    <w:name w:val="item22"/>
    <w:basedOn w:val="9"/>
    <w:autoRedefine/>
    <w:qFormat/>
    <w:uiPriority w:val="0"/>
    <w:rPr>
      <w:rFonts w:hint="default" w:ascii="Tahoma" w:hAnsi="Tahoma" w:cs="Tahoma"/>
      <w:color w:val="9E9E9E"/>
      <w:sz w:val="17"/>
      <w:szCs w:val="17"/>
    </w:rPr>
  </w:style>
  <w:style w:type="character" w:customStyle="1" w:styleId="100">
    <w:name w:val="item23"/>
    <w:basedOn w:val="9"/>
    <w:autoRedefine/>
    <w:qFormat/>
    <w:uiPriority w:val="0"/>
    <w:rPr>
      <w:rFonts w:hint="default" w:ascii="Tahoma" w:hAnsi="Tahoma" w:cs="Tahoma"/>
      <w:color w:val="9E9E9E"/>
      <w:sz w:val="17"/>
      <w:szCs w:val="17"/>
    </w:rPr>
  </w:style>
  <w:style w:type="character" w:customStyle="1" w:styleId="101">
    <w:name w:val="item24"/>
    <w:basedOn w:val="9"/>
    <w:autoRedefine/>
    <w:qFormat/>
    <w:uiPriority w:val="0"/>
    <w:rPr>
      <w:rFonts w:hint="default" w:ascii="Tahoma" w:hAnsi="Tahoma" w:cs="Tahoma"/>
      <w:color w:val="9E9E9E"/>
      <w:sz w:val="17"/>
      <w:szCs w:val="17"/>
    </w:rPr>
  </w:style>
  <w:style w:type="character" w:customStyle="1" w:styleId="102">
    <w:name w:val="item25"/>
    <w:basedOn w:val="9"/>
    <w:autoRedefine/>
    <w:qFormat/>
    <w:uiPriority w:val="0"/>
    <w:rPr>
      <w:rFonts w:hint="default" w:ascii="Tahoma" w:hAnsi="Tahoma" w:cs="Tahoma"/>
      <w:color w:val="9E9E9E"/>
      <w:sz w:val="17"/>
      <w:szCs w:val="17"/>
    </w:rPr>
  </w:style>
  <w:style w:type="character" w:customStyle="1" w:styleId="103">
    <w:name w:val="item26"/>
    <w:basedOn w:val="9"/>
    <w:autoRedefine/>
    <w:qFormat/>
    <w:uiPriority w:val="0"/>
    <w:rPr>
      <w:rFonts w:hint="default" w:ascii="Tahoma" w:hAnsi="Tahoma" w:cs="Tahoma"/>
      <w:color w:val="9E9E9E"/>
      <w:sz w:val="17"/>
      <w:szCs w:val="17"/>
    </w:rPr>
  </w:style>
  <w:style w:type="character" w:customStyle="1" w:styleId="104">
    <w:name w:val="item27"/>
    <w:basedOn w:val="9"/>
    <w:autoRedefine/>
    <w:qFormat/>
    <w:uiPriority w:val="0"/>
    <w:rPr>
      <w:rFonts w:hint="default" w:ascii="Tahoma" w:hAnsi="Tahoma" w:cs="Tahoma"/>
      <w:color w:val="9E9E9E"/>
      <w:sz w:val="17"/>
      <w:szCs w:val="17"/>
    </w:rPr>
  </w:style>
  <w:style w:type="character" w:customStyle="1" w:styleId="105">
    <w:name w:val="item28"/>
    <w:basedOn w:val="9"/>
    <w:autoRedefine/>
    <w:qFormat/>
    <w:uiPriority w:val="0"/>
    <w:rPr>
      <w:rFonts w:hint="default" w:ascii="Tahoma" w:hAnsi="Tahoma" w:cs="Tahoma"/>
      <w:color w:val="9E9E9E"/>
      <w:sz w:val="17"/>
      <w:szCs w:val="17"/>
    </w:rPr>
  </w:style>
  <w:style w:type="character" w:customStyle="1" w:styleId="106">
    <w:name w:val="item30"/>
    <w:basedOn w:val="9"/>
    <w:autoRedefine/>
    <w:qFormat/>
    <w:uiPriority w:val="0"/>
    <w:rPr>
      <w:rFonts w:hint="default" w:ascii="Tahoma" w:hAnsi="Tahoma" w:cs="Tahoma"/>
      <w:color w:val="9E9E9E"/>
      <w:sz w:val="17"/>
      <w:szCs w:val="17"/>
    </w:rPr>
  </w:style>
  <w:style w:type="character" w:customStyle="1" w:styleId="107">
    <w:name w:val="item31"/>
    <w:basedOn w:val="9"/>
    <w:autoRedefine/>
    <w:qFormat/>
    <w:uiPriority w:val="0"/>
    <w:rPr>
      <w:rFonts w:hint="default" w:ascii="Tahoma" w:hAnsi="Tahoma" w:cs="Tahoma"/>
      <w:color w:val="9E9E9E"/>
      <w:sz w:val="17"/>
      <w:szCs w:val="17"/>
    </w:rPr>
  </w:style>
  <w:style w:type="character" w:customStyle="1" w:styleId="108">
    <w:name w:val="item32"/>
    <w:basedOn w:val="9"/>
    <w:autoRedefine/>
    <w:qFormat/>
    <w:uiPriority w:val="0"/>
    <w:rPr>
      <w:rFonts w:hint="default" w:ascii="Tahoma" w:hAnsi="Tahoma" w:cs="Tahoma"/>
      <w:color w:val="9E9E9E"/>
      <w:sz w:val="17"/>
      <w:szCs w:val="17"/>
    </w:rPr>
  </w:style>
  <w:style w:type="character" w:customStyle="1" w:styleId="109">
    <w:name w:val="item33"/>
    <w:basedOn w:val="9"/>
    <w:autoRedefine/>
    <w:qFormat/>
    <w:uiPriority w:val="0"/>
    <w:rPr>
      <w:rFonts w:hint="default" w:ascii="Tahoma" w:hAnsi="Tahoma" w:cs="Tahoma"/>
      <w:color w:val="9E9E9E"/>
      <w:sz w:val="17"/>
      <w:szCs w:val="17"/>
    </w:rPr>
  </w:style>
  <w:style w:type="character" w:customStyle="1" w:styleId="110">
    <w:name w:val="item34"/>
    <w:basedOn w:val="9"/>
    <w:autoRedefine/>
    <w:qFormat/>
    <w:uiPriority w:val="0"/>
    <w:rPr>
      <w:rFonts w:hint="default" w:ascii="Tahoma" w:hAnsi="Tahoma" w:cs="Tahoma"/>
      <w:color w:val="9E9E9E"/>
      <w:sz w:val="17"/>
      <w:szCs w:val="17"/>
    </w:rPr>
  </w:style>
  <w:style w:type="character" w:customStyle="1" w:styleId="111">
    <w:name w:val="item35"/>
    <w:basedOn w:val="9"/>
    <w:autoRedefine/>
    <w:qFormat/>
    <w:uiPriority w:val="0"/>
    <w:rPr>
      <w:rFonts w:hint="default" w:ascii="Tahoma" w:hAnsi="Tahoma" w:cs="Tahoma"/>
      <w:color w:val="9E9E9E"/>
      <w:sz w:val="17"/>
      <w:szCs w:val="17"/>
    </w:rPr>
  </w:style>
  <w:style w:type="character" w:customStyle="1" w:styleId="112">
    <w:name w:val="item36"/>
    <w:basedOn w:val="9"/>
    <w:autoRedefine/>
    <w:qFormat/>
    <w:uiPriority w:val="0"/>
    <w:rPr>
      <w:rFonts w:hint="default" w:ascii="Tahoma" w:hAnsi="Tahoma" w:cs="Tahoma"/>
      <w:color w:val="9E9E9E"/>
      <w:sz w:val="17"/>
      <w:szCs w:val="17"/>
    </w:rPr>
  </w:style>
  <w:style w:type="character" w:customStyle="1" w:styleId="113">
    <w:name w:val="item37"/>
    <w:basedOn w:val="9"/>
    <w:autoRedefine/>
    <w:qFormat/>
    <w:uiPriority w:val="0"/>
    <w:rPr>
      <w:rFonts w:hint="default" w:ascii="Tahoma" w:hAnsi="Tahoma" w:cs="Tahoma"/>
      <w:color w:val="9E9E9E"/>
      <w:sz w:val="17"/>
      <w:szCs w:val="17"/>
    </w:rPr>
  </w:style>
  <w:style w:type="character" w:customStyle="1" w:styleId="114">
    <w:name w:val="item38"/>
    <w:basedOn w:val="9"/>
    <w:autoRedefine/>
    <w:qFormat/>
    <w:uiPriority w:val="0"/>
    <w:rPr>
      <w:rFonts w:hint="default" w:ascii="Tahoma" w:hAnsi="Tahoma" w:cs="Tahoma"/>
      <w:color w:val="9E9E9E"/>
      <w:sz w:val="17"/>
      <w:szCs w:val="17"/>
    </w:rPr>
  </w:style>
  <w:style w:type="character" w:customStyle="1" w:styleId="115">
    <w:name w:val="item39"/>
    <w:basedOn w:val="9"/>
    <w:autoRedefine/>
    <w:qFormat/>
    <w:uiPriority w:val="0"/>
    <w:rPr>
      <w:rFonts w:hint="default" w:ascii="Tahoma" w:hAnsi="Tahoma" w:cs="Tahoma"/>
      <w:color w:val="9E9E9E"/>
      <w:sz w:val="17"/>
      <w:szCs w:val="17"/>
    </w:rPr>
  </w:style>
  <w:style w:type="character" w:customStyle="1" w:styleId="116">
    <w:name w:val="item40"/>
    <w:basedOn w:val="9"/>
    <w:autoRedefine/>
    <w:qFormat/>
    <w:uiPriority w:val="0"/>
    <w:rPr>
      <w:rFonts w:hint="default" w:ascii="Tahoma" w:hAnsi="Tahoma" w:cs="Tahoma"/>
      <w:color w:val="9E9E9E"/>
      <w:sz w:val="17"/>
      <w:szCs w:val="17"/>
    </w:rPr>
  </w:style>
  <w:style w:type="character" w:customStyle="1" w:styleId="117">
    <w:name w:val="item41"/>
    <w:basedOn w:val="9"/>
    <w:autoRedefine/>
    <w:qFormat/>
    <w:uiPriority w:val="0"/>
    <w:rPr>
      <w:rFonts w:hint="default" w:ascii="Tahoma" w:hAnsi="Tahoma" w:cs="Tahoma"/>
      <w:color w:val="9E9E9E"/>
      <w:sz w:val="17"/>
      <w:szCs w:val="17"/>
    </w:rPr>
  </w:style>
  <w:style w:type="character" w:customStyle="1" w:styleId="118">
    <w:name w:val="Corpo de texto Char"/>
    <w:basedOn w:val="9"/>
    <w:autoRedefine/>
    <w:qFormat/>
    <w:uiPriority w:val="0"/>
    <w:rPr>
      <w:lang w:val="pt-BR" w:eastAsia="pt-BR" w:bidi="ar-SA"/>
    </w:rPr>
  </w:style>
  <w:style w:type="paragraph" w:customStyle="1" w:styleId="119">
    <w:name w:val="Conteúdo da tabela"/>
    <w:basedOn w:val="17"/>
    <w:autoRedefine/>
    <w:qFormat/>
    <w:uiPriority w:val="0"/>
    <w:pPr>
      <w:suppressLineNumbers/>
      <w:suppressAutoHyphens/>
    </w:pPr>
    <w:rPr>
      <w:rFonts w:ascii="Arial" w:hAnsi="Arial" w:cs="Arial"/>
      <w:sz w:val="22"/>
      <w:szCs w:val="22"/>
    </w:rPr>
  </w:style>
  <w:style w:type="paragraph" w:customStyle="1" w:styleId="120">
    <w:name w:val="WW-Corpo de texto 2"/>
    <w:basedOn w:val="1"/>
    <w:autoRedefine/>
    <w:qFormat/>
    <w:uiPriority w:val="0"/>
    <w:pPr>
      <w:jc w:val="both"/>
    </w:pPr>
    <w:rPr>
      <w:rFonts w:ascii="Arial" w:hAnsi="Arial" w:cs="Arial"/>
      <w:color w:val="000000"/>
      <w:sz w:val="22"/>
      <w:szCs w:val="22"/>
    </w:rPr>
  </w:style>
  <w:style w:type="paragraph" w:customStyle="1" w:styleId="121">
    <w:name w:val="WW-Corpo de texto 22"/>
    <w:basedOn w:val="1"/>
    <w:autoRedefine/>
    <w:qFormat/>
    <w:uiPriority w:val="0"/>
    <w:pPr>
      <w:widowControl w:val="0"/>
      <w:tabs>
        <w:tab w:val="left" w:pos="2410"/>
      </w:tabs>
      <w:suppressAutoHyphens/>
      <w:jc w:val="both"/>
    </w:pPr>
    <w:rPr>
      <w:rFonts w:ascii="Arial" w:hAnsi="Arial" w:cs="Arial"/>
    </w:rPr>
  </w:style>
  <w:style w:type="paragraph" w:customStyle="1" w:styleId="122">
    <w:name w:val="Conteúdo de tabela"/>
    <w:basedOn w:val="17"/>
    <w:autoRedefine/>
    <w:qFormat/>
    <w:uiPriority w:val="0"/>
    <w:pPr>
      <w:suppressAutoHyphens/>
    </w:pPr>
    <w:rPr>
      <w:rFonts w:ascii="Arial" w:hAnsi="Arial"/>
      <w:sz w:val="22"/>
    </w:rPr>
  </w:style>
  <w:style w:type="paragraph" w:customStyle="1" w:styleId="123">
    <w:name w:val="Body Text"/>
    <w:basedOn w:val="1"/>
    <w:autoRedefine/>
    <w:qFormat/>
    <w:uiPriority w:val="0"/>
    <w:pPr>
      <w:jc w:val="both"/>
    </w:pPr>
    <w:rPr>
      <w:sz w:val="22"/>
      <w:szCs w:val="20"/>
    </w:rPr>
  </w:style>
  <w:style w:type="paragraph" w:customStyle="1" w:styleId="124">
    <w:name w:val="heading 9"/>
    <w:basedOn w:val="1"/>
    <w:next w:val="1"/>
    <w:autoRedefine/>
    <w:qFormat/>
    <w:uiPriority w:val="0"/>
    <w:pPr>
      <w:keepNext/>
      <w:numPr>
        <w:ilvl w:val="8"/>
        <w:numId w:val="1"/>
      </w:numPr>
      <w:ind w:left="2547" w:hanging="283"/>
    </w:pPr>
    <w:rPr>
      <w:b/>
      <w:sz w:val="16"/>
      <w:szCs w:val="20"/>
    </w:rPr>
  </w:style>
  <w:style w:type="paragraph" w:customStyle="1" w:styleId="125">
    <w:name w:val="Corpo do texto"/>
    <w:basedOn w:val="1"/>
    <w:autoRedefine/>
    <w:qFormat/>
    <w:uiPriority w:val="0"/>
    <w:pPr>
      <w:widowControl w:val="0"/>
      <w:suppressAutoHyphens/>
      <w:spacing w:after="120"/>
    </w:pPr>
    <w:rPr>
      <w:szCs w:val="20"/>
    </w:rPr>
  </w:style>
  <w:style w:type="paragraph" w:customStyle="1" w:styleId="126">
    <w:name w:val="Padrão"/>
    <w:autoRedefine/>
    <w:qFormat/>
    <w:uiPriority w:val="0"/>
    <w:pPr>
      <w:widowControl w:val="0"/>
      <w:autoSpaceDN w:val="0"/>
      <w:adjustRightInd w:val="0"/>
    </w:pPr>
    <w:rPr>
      <w:rFonts w:ascii="Arial Unicode MS" w:hAnsi="Arial Unicode MS" w:eastAsia="SimSun" w:cs="Times New Roman"/>
      <w:color w:val="000000"/>
      <w:sz w:val="24"/>
      <w:szCs w:val="24"/>
      <w:lang w:val="pt-PT" w:bidi="ar-SA"/>
    </w:rPr>
  </w:style>
  <w:style w:type="character" w:customStyle="1" w:styleId="127">
    <w:name w:val="conteudo2nivel1"/>
    <w:basedOn w:val="9"/>
    <w:autoRedefine/>
    <w:qFormat/>
    <w:uiPriority w:val="0"/>
    <w:rPr>
      <w:rFonts w:hint="default" w:ascii="Verdana" w:hAnsi="Verdana"/>
      <w:color w:val="666666"/>
      <w:sz w:val="17"/>
      <w:szCs w:val="17"/>
    </w:rPr>
  </w:style>
  <w:style w:type="paragraph" w:styleId="128">
    <w:name w:val="List Paragraph"/>
    <w:basedOn w:val="1"/>
    <w:autoRedefine/>
    <w:qFormat/>
    <w:uiPriority w:val="34"/>
    <w:pPr>
      <w:ind w:left="708"/>
    </w:pPr>
  </w:style>
  <w:style w:type="paragraph" w:customStyle="1" w:styleId="129">
    <w:name w:val="Corpo de texto1"/>
    <w:basedOn w:val="1"/>
    <w:autoRedefine/>
    <w:qFormat/>
    <w:uiPriority w:val="0"/>
    <w:pPr>
      <w:jc w:val="both"/>
    </w:pPr>
    <w:rPr>
      <w:sz w:val="22"/>
      <w:szCs w:val="20"/>
    </w:rPr>
  </w:style>
  <w:style w:type="paragraph" w:customStyle="1" w:styleId="130">
    <w:name w:val="Body Text 21"/>
    <w:basedOn w:val="1"/>
    <w:autoRedefine/>
    <w:qFormat/>
    <w:uiPriority w:val="0"/>
    <w:pPr>
      <w:suppressAutoHyphens/>
      <w:jc w:val="both"/>
    </w:pPr>
    <w:rPr>
      <w:rFonts w:eastAsia="SimSun"/>
      <w:sz w:val="20"/>
      <w:szCs w:val="20"/>
      <w:lang w:eastAsia="zh-CN"/>
    </w:rPr>
  </w:style>
  <w:style w:type="paragraph" w:styleId="131">
    <w:name w:val="No Spacing"/>
    <w:autoRedefine/>
    <w:qFormat/>
    <w:uiPriority w:val="1"/>
    <w:pPr>
      <w:jc w:val="both"/>
    </w:pPr>
    <w:rPr>
      <w:rFonts w:ascii="Calibri" w:hAnsi="Calibri" w:eastAsia="Calibri" w:cs="Times New Roman"/>
      <w:sz w:val="22"/>
      <w:szCs w:val="22"/>
      <w:lang w:val="pt-BR" w:eastAsia="en-US" w:bidi="ar-SA"/>
    </w:rPr>
  </w:style>
  <w:style w:type="paragraph" w:customStyle="1" w:styleId="132">
    <w:name w:val="No Spacing1"/>
    <w:autoRedefine/>
    <w:qFormat/>
    <w:uiPriority w:val="0"/>
    <w:pPr>
      <w:suppressAutoHyphens/>
    </w:pPr>
    <w:rPr>
      <w:rFonts w:ascii="Calibri" w:hAnsi="Calibri" w:eastAsia="Calibri" w:cs="Times New Roman"/>
      <w:kern w:val="1"/>
      <w:sz w:val="22"/>
      <w:szCs w:val="22"/>
      <w:lang w:val="pt-BR" w:eastAsia="ar-SA" w:bidi="ar-SA"/>
    </w:rPr>
  </w:style>
  <w:style w:type="paragraph" w:customStyle="1" w:styleId="133">
    <w:name w:val="textbody"/>
    <w:basedOn w:val="1"/>
    <w:autoRedefine/>
    <w:qFormat/>
    <w:uiPriority w:val="0"/>
    <w:pPr>
      <w:spacing w:before="100" w:beforeAutospacing="1" w:after="100" w:afterAutospacing="1"/>
    </w:pPr>
  </w:style>
  <w:style w:type="paragraph" w:customStyle="1" w:styleId="134">
    <w:name w:val="Nivel 2"/>
    <w:basedOn w:val="1"/>
    <w:autoRedefine/>
    <w:qFormat/>
    <w:uiPriority w:val="0"/>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135">
    <w:name w:val="Nivel 01"/>
    <w:basedOn w:val="2"/>
    <w:next w:val="1"/>
    <w:autoRedefine/>
    <w:qFormat/>
    <w:uiPriority w:val="0"/>
    <w:pPr>
      <w:numPr>
        <w:ilvl w:val="0"/>
        <w:numId w:val="2"/>
      </w:numPr>
      <w:tabs>
        <w:tab w:val="left" w:pos="567"/>
      </w:tabs>
      <w:spacing w:before="288" w:beforeLines="120" w:after="288" w:afterLines="120" w:line="312" w:lineRule="auto"/>
      <w:jc w:val="both"/>
    </w:pPr>
    <w:rPr>
      <w:rFonts w:ascii="Arial" w:hAnsi="Arial" w:cs="Arial"/>
      <w:color w:val="auto"/>
      <w:sz w:val="20"/>
      <w:szCs w:val="20"/>
    </w:rPr>
  </w:style>
  <w:style w:type="paragraph" w:customStyle="1" w:styleId="136">
    <w:name w:val="Nível 2 -Red"/>
    <w:basedOn w:val="134"/>
    <w:autoRedefine/>
    <w:qFormat/>
    <w:uiPriority w:val="0"/>
    <w:rPr>
      <w:i/>
      <w:iCs/>
      <w:color w:val="FF0000"/>
    </w:rPr>
  </w:style>
  <w:style w:type="paragraph" w:customStyle="1" w:styleId="137">
    <w:name w:val="Nivel 3"/>
    <w:basedOn w:val="1"/>
    <w:autoRedefine/>
    <w:qFormat/>
    <w:uiPriority w:val="0"/>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138">
    <w:name w:val="Nível 3-R"/>
    <w:basedOn w:val="137"/>
    <w:autoRedefine/>
    <w:qFormat/>
    <w:uiPriority w:val="0"/>
    <w:rPr>
      <w:i/>
      <w:iCs/>
      <w:color w:val="FF0000"/>
    </w:rPr>
  </w:style>
  <w:style w:type="character" w:customStyle="1" w:styleId="139">
    <w:name w:val="normaltextrun"/>
    <w:basedOn w:val="9"/>
    <w:autoRedefine/>
    <w:qFormat/>
    <w:uiPriority w:val="0"/>
  </w:style>
  <w:style w:type="character" w:customStyle="1" w:styleId="140">
    <w:name w:val="eop"/>
    <w:basedOn w:val="9"/>
    <w:autoRedefine/>
    <w:qFormat/>
    <w:uiPriority w:val="0"/>
  </w:style>
  <w:style w:type="paragraph" w:customStyle="1" w:styleId="141">
    <w:name w:val="ou"/>
    <w:basedOn w:val="128"/>
    <w:autoRedefine/>
    <w:qFormat/>
    <w:uiPriority w:val="0"/>
    <w:pPr>
      <w:spacing w:before="60" w:after="60" w:line="259" w:lineRule="auto"/>
      <w:ind w:left="0"/>
      <w:jc w:val="center"/>
    </w:pPr>
    <w:rPr>
      <w:rFonts w:ascii="Arial" w:hAnsi="Arial" w:eastAsia="Cambria" w:cs="Arial"/>
      <w:b/>
      <w:bCs/>
      <w:i/>
      <w:iCs/>
      <w:color w:val="FF0000"/>
      <w:u w:val="single"/>
    </w:rPr>
  </w:style>
  <w:style w:type="paragraph" w:customStyle="1" w:styleId="142">
    <w:name w:val="Nivel 4"/>
    <w:basedOn w:val="137"/>
    <w:autoRedefine/>
    <w:qFormat/>
    <w:uiPriority w:val="0"/>
    <w:pPr>
      <w:numPr>
        <w:ilvl w:val="3"/>
      </w:numPr>
      <w:ind w:left="567" w:firstLine="0"/>
    </w:pPr>
    <w:rPr>
      <w:color w:val="auto"/>
    </w:rPr>
  </w:style>
  <w:style w:type="paragraph" w:customStyle="1" w:styleId="143">
    <w:name w:val="Nível 4-R"/>
    <w:basedOn w:val="142"/>
    <w:autoRedefine/>
    <w:qFormat/>
    <w:uiPriority w:val="0"/>
    <w:rPr>
      <w:i/>
      <w:iCs/>
      <w:color w:val="FF0000"/>
    </w:rPr>
  </w:style>
  <w:style w:type="paragraph" w:customStyle="1" w:styleId="144">
    <w:name w:val="Nível 1-Sem Num Preto"/>
    <w:basedOn w:val="145"/>
    <w:autoRedefine/>
    <w:qFormat/>
    <w:uiPriority w:val="0"/>
    <w:pPr>
      <w:tabs>
        <w:tab w:val="left" w:pos="567"/>
      </w:tabs>
    </w:pPr>
    <w:rPr>
      <w:color w:val="auto"/>
      <w:lang w:eastAsia="zh-CN" w:bidi="hi-IN"/>
    </w:rPr>
  </w:style>
  <w:style w:type="paragraph" w:customStyle="1" w:styleId="145">
    <w:name w:val="Nível 1-Sem Num"/>
    <w:basedOn w:val="135"/>
    <w:autoRedefine/>
    <w:qFormat/>
    <w:uiPriority w:val="0"/>
    <w:pPr>
      <w:numPr>
        <w:ilvl w:val="0"/>
        <w:numId w:val="0"/>
      </w:numPr>
      <w:outlineLvl w:val="1"/>
    </w:pPr>
    <w:rPr>
      <w:color w:val="FF0000"/>
    </w:rPr>
  </w:style>
  <w:style w:type="paragraph" w:customStyle="1" w:styleId="146">
    <w:name w:val="Nível 3"/>
    <w:basedOn w:val="138"/>
    <w:autoRedefine/>
    <w:qFormat/>
    <w:uiPriority w:val="0"/>
    <w:rPr>
      <w:rFonts w:eastAsia="Times New Roman"/>
      <w:i w:val="0"/>
      <w:iCs w:val="0"/>
      <w:color w:val="auto"/>
    </w:rPr>
  </w:style>
  <w:style w:type="paragraph" w:customStyle="1" w:styleId="147">
    <w:name w:val="Nível 4"/>
    <w:basedOn w:val="146"/>
    <w:autoRedefine/>
    <w:qFormat/>
    <w:uiPriority w:val="0"/>
    <w:pPr>
      <w:numPr>
        <w:ilvl w:val="3"/>
      </w:numPr>
      <w:ind w:left="567" w:firstLine="0"/>
    </w:pPr>
  </w:style>
  <w:style w:type="paragraph" w:customStyle="1" w:styleId="148">
    <w:name w:val="Nível 01-Sem Numeração"/>
    <w:basedOn w:val="1"/>
    <w:autoRedefine/>
    <w:qFormat/>
    <w:uiPriority w:val="1"/>
    <w:pPr>
      <w:keepNext/>
      <w:keepLines/>
      <w:spacing w:before="240" w:after="120" w:line="276" w:lineRule="auto"/>
      <w:jc w:val="both"/>
      <w:outlineLvl w:val="1"/>
    </w:pPr>
    <w:rPr>
      <w:rFonts w:ascii="Arial" w:hAnsi="Arial" w:eastAsia="MS Gothic" w:cs="Arial"/>
      <w:b/>
      <w:bCs/>
      <w:sz w:val="20"/>
      <w:szCs w:val="20"/>
    </w:rPr>
  </w:style>
  <w:style w:type="character" w:customStyle="1" w:styleId="149">
    <w:name w:val="findhit"/>
    <w:basedOn w:val="9"/>
    <w:autoRedefine/>
    <w:qFormat/>
    <w:uiPriority w:val="0"/>
  </w:style>
  <w:style w:type="paragraph" w:customStyle="1" w:styleId="150">
    <w:name w:val="SubTitNN"/>
    <w:basedOn w:val="1"/>
    <w:autoRedefine/>
    <w:qFormat/>
    <w:uiPriority w:val="0"/>
    <w:pPr>
      <w:spacing w:before="240" w:after="120" w:line="276" w:lineRule="auto"/>
      <w:jc w:val="both"/>
    </w:pPr>
    <w:rPr>
      <w:rFonts w:ascii="Arial" w:hAnsi="Arial" w:cs="Arial"/>
      <w:b/>
      <w:bCs/>
      <w:iCs/>
      <w:sz w:val="20"/>
      <w:szCs w:val="20"/>
    </w:rPr>
  </w:style>
  <w:style w:type="paragraph" w:customStyle="1" w:styleId="151">
    <w:name w:val="Outro"/>
    <w:basedOn w:val="1"/>
    <w:autoRedefine/>
    <w:qFormat/>
    <w:uiPriority w:val="0"/>
    <w:pPr>
      <w:widowControl w:val="0"/>
      <w:shd w:val="clear" w:color="auto" w:fill="FFFFFF"/>
      <w:spacing w:after="100"/>
    </w:pPr>
    <w:rPr>
      <w:rFonts w:ascii="Calibri" w:hAnsi="Calibri" w:eastAsia="Calibri" w:cs="Calibri"/>
      <w:sz w:val="24"/>
      <w:lang w:eastAsia="en-US"/>
    </w:rPr>
  </w:style>
  <w:style w:type="paragraph" w:customStyle="1" w:styleId="152">
    <w:name w:val="PADRÃO"/>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 w:val="20"/>
      <w:szCs w:val="24"/>
      <w:lang w:val="pt-BR" w:eastAsia="zh-CN" w:bidi="hi-IN"/>
    </w:rPr>
  </w:style>
  <w:style w:type="character" w:customStyle="1" w:styleId="153">
    <w:name w:val="markedcontent"/>
    <w:basedOn w:val="9"/>
    <w:qFormat/>
    <w:uiPriority w:val="0"/>
  </w:style>
  <w:style w:type="paragraph" w:customStyle="1" w:styleId="154">
    <w:name w:val="Default"/>
    <w:autoRedefine/>
    <w:qFormat/>
    <w:uiPriority w:val="0"/>
    <w:pPr>
      <w:autoSpaceDE w:val="0"/>
      <w:autoSpaceDN w:val="0"/>
      <w:adjustRightInd w:val="0"/>
      <w:spacing w:before="200" w:after="0" w:line="240" w:lineRule="auto"/>
    </w:pPr>
    <w:rPr>
      <w:rFonts w:ascii="Calibri" w:hAnsi="Calibri" w:eastAsia="SimSun" w:cs="Calibri"/>
      <w:color w:val="000000"/>
      <w:sz w:val="24"/>
      <w:szCs w:val="24"/>
      <w:lang w:val="pt-BR" w:eastAsia="en-US" w:bidi="ar-SA"/>
    </w:rPr>
  </w:style>
  <w:style w:type="paragraph" w:customStyle="1" w:styleId="155">
    <w:name w:val="Table Paragraph"/>
    <w:basedOn w:val="1"/>
    <w:qFormat/>
    <w:uiPriority w:val="1"/>
    <w:pPr>
      <w:ind w:left="107"/>
    </w:pPr>
    <w:rPr>
      <w:rFonts w:ascii="Times New Roman" w:hAnsi="Times New Roman" w:eastAsia="Times New Roman" w:cs="Times New Roman"/>
      <w:lang w:val="pt-PT" w:eastAsia="en-US" w:bidi="ar-SA"/>
    </w:rPr>
  </w:style>
  <w:style w:type="paragraph" w:customStyle="1" w:styleId="156">
    <w:name w:val="Corpo de texto 22"/>
    <w:basedOn w:val="1"/>
    <w:autoRedefine/>
    <w:qFormat/>
    <w:uiPriority w:val="0"/>
    <w:pPr>
      <w:widowControl w:val="0"/>
      <w:ind w:firstLine="708"/>
      <w:jc w:val="both"/>
    </w:pPr>
    <w:rPr>
      <w:sz w:val="24"/>
    </w:rPr>
  </w:style>
  <w:style w:type="table" w:customStyle="1" w:styleId="157">
    <w:name w:val="Table Normal"/>
    <w:autoRedefine/>
    <w:semiHidden/>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158">
    <w:name w:val="fontstyle01"/>
    <w:basedOn w:val="9"/>
    <w:autoRedefine/>
    <w:qFormat/>
    <w:uiPriority w:val="0"/>
    <w:rPr>
      <w:rFonts w:hint="default" w:ascii="TimesNewRomanPS-BoldMT" w:hAnsi="TimesNewRomanPS-BoldMT"/>
      <w:b/>
      <w:bCs/>
      <w:color w:val="000000"/>
      <w:sz w:val="24"/>
      <w:szCs w:val="24"/>
    </w:rPr>
  </w:style>
  <w:style w:type="paragraph" w:customStyle="1" w:styleId="159">
    <w:name w:val="Inciso numerado"/>
    <w:qFormat/>
    <w:uiPriority w:val="0"/>
    <w:pPr>
      <w:tabs>
        <w:tab w:val="left" w:pos="567"/>
        <w:tab w:val="left" w:pos="5760"/>
      </w:tabs>
      <w:spacing w:after="120" w:line="360" w:lineRule="auto"/>
      <w:ind w:left="5760" w:hanging="360"/>
      <w:jc w:val="both"/>
    </w:pPr>
    <w:rPr>
      <w:rFonts w:ascii="Arial" w:hAnsi="Arial" w:eastAsia="Calibri" w:cs="Times New Roman"/>
      <w:color w:val="000000"/>
      <w:lang w:val="pt-BR" w:eastAsia="zh-CN" w:bidi="ar-SA"/>
    </w:rPr>
  </w:style>
  <w:style w:type="paragraph" w:customStyle="1" w:styleId="160">
    <w:name w:val="Parágrafo"/>
    <w:qFormat/>
    <w:uiPriority w:val="0"/>
    <w:pPr>
      <w:tabs>
        <w:tab w:val="left" w:pos="5040"/>
      </w:tabs>
      <w:spacing w:before="60" w:after="60" w:line="360" w:lineRule="auto"/>
      <w:ind w:left="5040" w:hanging="360"/>
      <w:jc w:val="both"/>
    </w:pPr>
    <w:rPr>
      <w:rFonts w:ascii="Arial" w:hAnsi="Arial" w:eastAsia="Calibri" w:cs="Times New Roman"/>
      <w:lang w:val="pt-BR" w:eastAsia="zh-CN" w:bidi="ar-SA"/>
    </w:rPr>
  </w:style>
  <w:style w:type="character" w:customStyle="1" w:styleId="161">
    <w:name w:val="Link da Internet"/>
    <w:unhideWhenUsed/>
    <w:qFormat/>
    <w:uiPriority w:val="99"/>
    <w:rPr>
      <w:color w:val="0563C1"/>
      <w:u w:val="single"/>
    </w:rPr>
  </w:style>
  <w:style w:type="paragraph" w:customStyle="1" w:styleId="162">
    <w:name w:val="Corpo de texto 31"/>
    <w:basedOn w:val="1"/>
    <w:qFormat/>
    <w:uiPriority w:val="0"/>
    <w:pPr>
      <w:suppressAutoHyphens/>
      <w:jc w:val="center"/>
    </w:pPr>
    <w:rPr>
      <w:rFonts w:ascii="Arial" w:hAnsi="Arial"/>
      <w:sz w:val="28"/>
      <w:lang w:eastAsia="ar-SA"/>
    </w:rPr>
  </w:style>
  <w:style w:type="paragraph" w:customStyle="1" w:styleId="163">
    <w:name w:val="Text body"/>
    <w:basedOn w:val="164"/>
    <w:qFormat/>
    <w:uiPriority w:val="0"/>
    <w:pPr>
      <w:spacing w:after="120"/>
      <w:textAlignment w:val="baseline"/>
    </w:pPr>
    <w:rPr>
      <w:rFonts w:eastAsia="Arial Unicode MS" w:cs="Tahoma"/>
      <w:kern w:val="3"/>
      <w:lang w:eastAsia="zh-CN"/>
    </w:rPr>
  </w:style>
  <w:style w:type="paragraph" w:customStyle="1" w:styleId="164">
    <w:name w:val="Standard"/>
    <w:qFormat/>
    <w:uiPriority w:val="0"/>
    <w:pPr>
      <w:widowControl w:val="0"/>
      <w:pBdr>
        <w:top w:val="none" w:color="000000" w:sz="0" w:space="0"/>
        <w:left w:val="none" w:color="000000" w:sz="0" w:space="0"/>
        <w:bottom w:val="none" w:color="000000" w:sz="0" w:space="0"/>
        <w:right w:val="none" w:color="000000" w:sz="0" w:space="0"/>
        <w:between w:val="none" w:color="000000" w:sz="0" w:space="0"/>
      </w:pBdr>
    </w:pPr>
    <w:rPr>
      <w:rFonts w:hint="default" w:ascii="Times New Roman" w:hAnsi="Times New Roman" w:eastAsia="SimSun" w:cs="Tahoma"/>
      <w:sz w:val="24"/>
      <w:szCs w:val="24"/>
      <w:lang w:val="pt-BR" w:eastAsia="zh-CN" w:bidi="hi-IN"/>
    </w:rPr>
  </w:style>
  <w:style w:type="paragraph" w:customStyle="1" w:styleId="165">
    <w:name w:val="Parágrafo da Lista"/>
    <w:basedOn w:val="1"/>
    <w:qFormat/>
    <w:uiPriority w:val="34"/>
    <w:pPr>
      <w:ind w:left="720"/>
      <w:contextualSpacing/>
    </w:pPr>
  </w:style>
  <w:style w:type="paragraph" w:customStyle="1" w:styleId="166">
    <w:name w:val="Título 11"/>
    <w:basedOn w:val="1"/>
    <w:next w:val="1"/>
    <w:qFormat/>
    <w:uiPriority w:val="9"/>
    <w:pPr>
      <w:keepNext/>
      <w:keepLines/>
      <w:spacing w:before="480"/>
      <w:outlineLvl w:val="0"/>
    </w:pPr>
    <w:rPr>
      <w:rFonts w:ascii="Arial" w:hAnsi="Arial" w:eastAsia="Arial" w:cs="Arial"/>
      <w:sz w:val="40"/>
      <w:szCs w:val="40"/>
    </w:rPr>
  </w:style>
  <w:style w:type="paragraph" w:customStyle="1" w:styleId="167">
    <w:name w:val="texto"/>
    <w:qFormat/>
    <w:uiPriority w:val="0"/>
    <w:pPr>
      <w:pBdr>
        <w:top w:val="none" w:color="000000" w:sz="0" w:space="0"/>
        <w:left w:val="none" w:color="000000" w:sz="0" w:space="0"/>
        <w:bottom w:val="none" w:color="000000" w:sz="0" w:space="0"/>
        <w:right w:val="none" w:color="000000" w:sz="0" w:space="0"/>
        <w:between w:val="none" w:color="000000" w:sz="0" w:space="0"/>
      </w:pBd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pacing w:line="240" w:lineRule="atLeast"/>
      <w:ind w:left="170" w:hanging="170"/>
      <w:jc w:val="both"/>
    </w:pPr>
    <w:rPr>
      <w:rFonts w:hint="default" w:ascii="Times New Roman" w:hAnsi="Times New Roman" w:eastAsia="Times New Roman" w:cs="Times New Roman"/>
      <w:lang w:val="pt-BR" w:eastAsia="zh-CN" w:bidi="ar-SA"/>
    </w:rPr>
  </w:style>
  <w:style w:type="paragraph" w:customStyle="1" w:styleId="168">
    <w:name w:val="Título 41"/>
    <w:basedOn w:val="1"/>
    <w:next w:val="1"/>
    <w:unhideWhenUsed/>
    <w:qFormat/>
    <w:uiPriority w:val="9"/>
    <w:pPr>
      <w:keepNext/>
      <w:keepLines/>
      <w:spacing w:before="320"/>
      <w:outlineLvl w:val="3"/>
    </w:pPr>
    <w:rPr>
      <w:rFonts w:ascii="Arial" w:hAnsi="Arial" w:eastAsia="Arial" w:cs="Arial"/>
      <w:b/>
      <w:bCs/>
      <w:sz w:val="26"/>
      <w:szCs w:val="26"/>
    </w:rPr>
  </w:style>
  <w:style w:type="paragraph" w:customStyle="1" w:styleId="169">
    <w:name w:val="LO-Normal"/>
    <w:qFormat/>
    <w:uiPriority w:val="0"/>
    <w:pPr>
      <w:keepNext/>
      <w:widowControl w:val="0"/>
      <w:pBdr>
        <w:top w:val="none" w:color="000000" w:sz="0" w:space="0"/>
        <w:left w:val="none" w:color="000000" w:sz="0" w:space="0"/>
        <w:bottom w:val="none" w:color="000000" w:sz="0" w:space="0"/>
        <w:right w:val="none" w:color="000000" w:sz="0" w:space="0"/>
        <w:between w:val="none" w:color="000000" w:sz="0" w:space="0"/>
      </w:pBdr>
      <w:shd w:val="clear" w:color="auto" w:fill="FFFFFF"/>
    </w:pPr>
    <w:rPr>
      <w:rFonts w:hint="default" w:ascii="Times New Roman" w:hAnsi="Times New Roman" w:eastAsia="SimSun" w:cs="Tahoma"/>
      <w:sz w:val="24"/>
      <w:szCs w:val="24"/>
      <w:lang w:val="pt-BR" w:eastAsia="hi-IN" w:bidi="hi-IN"/>
    </w:rPr>
  </w:style>
  <w:style w:type="character" w:customStyle="1" w:styleId="170">
    <w:name w:val="font91"/>
    <w:link w:val="1"/>
    <w:qFormat/>
    <w:uiPriority w:val="0"/>
    <w:rPr>
      <w:rFonts w:ascii="Arial" w:hAnsi="Arial"/>
      <w:color w:val="000000"/>
      <w:u w:val="none"/>
    </w:rPr>
  </w:style>
  <w:style w:type="paragraph" w:customStyle="1" w:styleId="171">
    <w:name w:val="item_superior"/>
    <w:basedOn w:val="172"/>
    <w:qFormat/>
    <w:uiPriority w:val="0"/>
    <w:pPr>
      <w:numPr>
        <w:ilvl w:val="0"/>
        <w:numId w:val="3"/>
      </w:numPr>
      <w:tabs>
        <w:tab w:val="left" w:pos="1134"/>
      </w:tabs>
    </w:pPr>
    <w:rPr>
      <w:b/>
    </w:rPr>
  </w:style>
  <w:style w:type="paragraph" w:customStyle="1" w:styleId="172">
    <w:name w:val="item"/>
    <w:qFormat/>
    <w:uiPriority w:val="0"/>
    <w:pPr>
      <w:numPr>
        <w:ilvl w:val="1"/>
        <w:numId w:val="3"/>
      </w:numPr>
      <w:pBdr>
        <w:top w:val="none" w:color="000000" w:sz="0" w:space="0"/>
        <w:left w:val="none" w:color="000000" w:sz="0" w:space="0"/>
        <w:bottom w:val="none" w:color="000000" w:sz="0" w:space="0"/>
        <w:right w:val="none" w:color="000000" w:sz="0" w:space="0"/>
        <w:between w:val="none" w:color="000000" w:sz="0" w:space="0"/>
      </w:pBdr>
      <w:tabs>
        <w:tab w:val="left" w:pos="1134"/>
      </w:tabs>
      <w:spacing w:before="120" w:after="120" w:line="276" w:lineRule="auto"/>
      <w:jc w:val="both"/>
    </w:pPr>
    <w:rPr>
      <w:rFonts w:hint="default" w:ascii="Times New Roman" w:hAnsi="Times New Roman" w:eastAsia="SimSun" w:cs="Tahoma"/>
      <w:sz w:val="24"/>
      <w:szCs w:val="24"/>
      <w:lang w:val="pt-BR" w:eastAsia="hi-IN" w:bidi="hi-IN"/>
    </w:rPr>
  </w:style>
  <w:style w:type="paragraph" w:customStyle="1" w:styleId="173">
    <w:name w:val="Corpo de texto 21"/>
    <w:unhideWhenUsed/>
    <w:qFormat/>
    <w:uiPriority w:val="99"/>
    <w:pPr>
      <w:pBdr>
        <w:top w:val="none" w:color="000000" w:sz="0" w:space="0"/>
        <w:left w:val="none" w:color="000000" w:sz="0" w:space="0"/>
        <w:bottom w:val="none" w:color="000000" w:sz="0" w:space="0"/>
        <w:right w:val="none" w:color="000000" w:sz="0" w:space="0"/>
        <w:between w:val="none" w:color="000000" w:sz="0" w:space="0"/>
      </w:pBdr>
      <w:tabs>
        <w:tab w:val="left" w:pos="1701"/>
      </w:tabs>
      <w:spacing w:before="120" w:after="120" w:line="480" w:lineRule="auto"/>
      <w:ind w:left="567" w:firstLine="788"/>
      <w:jc w:val="both"/>
    </w:pPr>
    <w:rPr>
      <w:rFonts w:hint="default" w:ascii="Arial" w:hAnsi="Arial" w:eastAsia="SimSun" w:cs="Times New Roman"/>
      <w:sz w:val="24"/>
      <w:szCs w:val="24"/>
      <w:lang w:val="pt-BR"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4.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167</Pages>
  <Words>13702</Words>
  <Characters>73991</Characters>
  <Lines>616</Lines>
  <Paragraphs>175</Paragraphs>
  <TotalTime>2</TotalTime>
  <ScaleCrop>false</ScaleCrop>
  <LinksUpToDate>false</LinksUpToDate>
  <CharactersWithSpaces>87518</CharactersWithSpaces>
  <Application>WPS Office_12.2.0.17562_F1E327BC-269C-435d-A152-05C5408002CA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2020-06-17T12:26:00Z</dcterms:created>
  <dc:creator>dossantos</dc:creator>
  <cp:lastModifiedBy>Adriano Santos</cp:lastModifiedBy>
  <cp:lastPrinted>2024-09-02T13:28:33Z</cp:lastPrinted>
  <dcterms:modified xsi:type="dcterms:W3CDTF">2024-09-02T13:47:45Z</dcterms:modified>
  <dc:title>EDITAL DE LICITAÇÃO</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1046-12.2.0.17562</vt:lpwstr>
  </property>
  <property fmtid="{D5CDD505-2E9C-101B-9397-08002B2CF9AE}" pid="3" name="ICV">
    <vt:lpwstr>C4EC85E622EF471BAF458A843AE076C9_13</vt:lpwstr>
  </property>
</Properties>
</file>