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A6F65F9"/>
    <w:p w14:paraId="0EA7CC8A">
      <w:pPr>
        <w:spacing w:line="360" w:lineRule="auto"/>
        <w:jc w:val="center"/>
        <w:rPr>
          <w:b/>
          <w:bCs/>
          <w:sz w:val="24"/>
          <w:szCs w:val="24"/>
        </w:rPr>
      </w:pPr>
      <w:r>
        <w:rPr>
          <w:b/>
          <w:bCs/>
          <w:sz w:val="24"/>
          <w:szCs w:val="24"/>
        </w:rPr>
        <w:t>ANEXO V</w:t>
      </w:r>
    </w:p>
    <w:p w14:paraId="565E7DC2">
      <w:pPr>
        <w:spacing w:line="360" w:lineRule="auto"/>
        <w:jc w:val="center"/>
        <w:rPr>
          <w:b/>
          <w:bCs/>
          <w:sz w:val="10"/>
          <w:szCs w:val="10"/>
        </w:rPr>
      </w:pPr>
    </w:p>
    <w:p w14:paraId="020B5B17">
      <w:pPr>
        <w:spacing w:line="360" w:lineRule="auto"/>
        <w:jc w:val="center"/>
        <w:rPr>
          <w:b/>
          <w:bCs/>
          <w:sz w:val="24"/>
          <w:szCs w:val="24"/>
        </w:rPr>
      </w:pPr>
      <w:r>
        <w:rPr>
          <w:b/>
          <w:bCs/>
          <w:sz w:val="24"/>
          <w:szCs w:val="24"/>
        </w:rPr>
        <w:t>TERMO DE REFERÊNCIA/PROJETO BÁSICO</w:t>
      </w:r>
    </w:p>
    <w:p w14:paraId="08B22C25">
      <w:pPr>
        <w:spacing w:line="360" w:lineRule="auto"/>
        <w:jc w:val="center"/>
        <w:rPr>
          <w:b/>
          <w:bCs/>
          <w:sz w:val="10"/>
          <w:szCs w:val="10"/>
        </w:rPr>
      </w:pPr>
    </w:p>
    <w:p w14:paraId="3654300E">
      <w:pPr>
        <w:spacing w:line="360" w:lineRule="auto"/>
        <w:jc w:val="center"/>
        <w:rPr>
          <w:b/>
          <w:bCs/>
          <w:sz w:val="24"/>
          <w:szCs w:val="24"/>
        </w:rPr>
      </w:pPr>
      <w:r>
        <w:rPr>
          <w:b/>
          <w:bCs/>
          <w:sz w:val="24"/>
          <w:szCs w:val="24"/>
        </w:rPr>
        <w:t>PROCESSO ADMINISTRATIVO</w:t>
      </w:r>
    </w:p>
    <w:p w14:paraId="56C464CA">
      <w:pPr>
        <w:spacing w:line="360" w:lineRule="auto"/>
        <w:jc w:val="center"/>
        <w:rPr>
          <w:b/>
          <w:bCs/>
          <w:sz w:val="24"/>
          <w:szCs w:val="24"/>
        </w:rPr>
      </w:pPr>
    </w:p>
    <w:p w14:paraId="475B7086">
      <w:pPr>
        <w:spacing w:line="360" w:lineRule="auto"/>
        <w:rPr>
          <w:b/>
          <w:bCs/>
          <w:sz w:val="24"/>
          <w:szCs w:val="24"/>
        </w:rPr>
      </w:pPr>
      <w:r>
        <w:rPr>
          <w:b/>
          <w:bCs/>
          <w:sz w:val="24"/>
          <w:szCs w:val="24"/>
        </w:rPr>
        <w:t>SIGILO:</w:t>
      </w:r>
      <w:r>
        <w:rPr>
          <w:b/>
          <w:bCs/>
          <w:sz w:val="24"/>
          <w:szCs w:val="24"/>
        </w:rPr>
        <w:tab/>
      </w:r>
      <w:r>
        <w:rPr>
          <w:b/>
          <w:bCs/>
          <w:sz w:val="24"/>
          <w:szCs w:val="24"/>
        </w:rPr>
        <w:t>(   ) SIM</w:t>
      </w:r>
      <w:r>
        <w:rPr>
          <w:b/>
          <w:bCs/>
          <w:sz w:val="24"/>
          <w:szCs w:val="24"/>
        </w:rPr>
        <w:tab/>
      </w:r>
      <w:r>
        <w:rPr>
          <w:b/>
          <w:bCs/>
          <w:sz w:val="24"/>
          <w:szCs w:val="24"/>
        </w:rPr>
        <w:t>( X ) NÃO</w:t>
      </w:r>
    </w:p>
    <w:p w14:paraId="19F8A80A">
      <w:pPr>
        <w:spacing w:line="360" w:lineRule="auto"/>
        <w:rPr>
          <w:b/>
          <w:bCs/>
          <w:sz w:val="24"/>
          <w:szCs w:val="24"/>
        </w:rPr>
      </w:pPr>
      <w:r>
        <w:rPr>
          <w:b/>
          <w:bCs/>
          <w:sz w:val="24"/>
          <w:szCs w:val="24"/>
        </w:rPr>
        <w:t>PREVISÃO NO PLANO DE CONTRATAÇÃO ANUAL:       (  ) SIM</w:t>
      </w:r>
      <w:r>
        <w:rPr>
          <w:b/>
          <w:bCs/>
          <w:sz w:val="24"/>
          <w:szCs w:val="24"/>
        </w:rPr>
        <w:tab/>
      </w:r>
      <w:r>
        <w:rPr>
          <w:b/>
          <w:bCs/>
          <w:sz w:val="24"/>
          <w:szCs w:val="24"/>
        </w:rPr>
        <w:t>( X ) NÃO</w:t>
      </w:r>
    </w:p>
    <w:p w14:paraId="631EB3B0">
      <w:pPr>
        <w:spacing w:line="360" w:lineRule="auto"/>
        <w:rPr>
          <w:i/>
          <w:iCs/>
        </w:rPr>
      </w:pPr>
      <w:r>
        <w:rPr>
          <w:b/>
          <w:bCs/>
          <w:u w:val="single"/>
        </w:rPr>
        <w:t>Obs.:</w:t>
      </w:r>
      <w:r>
        <w:t xml:space="preserve"> Foi  solicitado  a inclusão no  dia  16/05/2025, por  meio do  Ofício  0382/2025/SST/GCM/COMPRAS-ORÇAMENTO (protocolo 17838/2025).</w:t>
      </w:r>
    </w:p>
    <w:p w14:paraId="73533590">
      <w:pPr>
        <w:rPr>
          <w:sz w:val="10"/>
          <w:szCs w:val="10"/>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4"/>
      </w:tblGrid>
      <w:tr w14:paraId="1A5B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2"/>
            <w:shd w:val="clear" w:color="auto" w:fill="D6E3BC" w:themeFill="accent3" w:themeFillTint="66"/>
          </w:tcPr>
          <w:p w14:paraId="5A3ABC6A">
            <w:pPr>
              <w:rPr>
                <w:sz w:val="24"/>
                <w:szCs w:val="24"/>
              </w:rPr>
            </w:pPr>
            <w:r>
              <w:rPr>
                <w:b/>
                <w:bCs/>
                <w:sz w:val="24"/>
                <w:szCs w:val="24"/>
              </w:rPr>
              <w:t>1 - ÁREA DEMANDANTE</w:t>
            </w:r>
          </w:p>
        </w:tc>
      </w:tr>
      <w:tr w14:paraId="1C4AE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2"/>
          </w:tcPr>
          <w:p w14:paraId="31001425">
            <w:pPr>
              <w:rPr>
                <w:sz w:val="24"/>
                <w:szCs w:val="24"/>
              </w:rPr>
            </w:pPr>
            <w:r>
              <w:rPr>
                <w:b/>
                <w:bCs/>
                <w:sz w:val="24"/>
                <w:szCs w:val="24"/>
              </w:rPr>
              <w:t>Secretaria Demandante:</w:t>
            </w:r>
          </w:p>
          <w:p w14:paraId="6B119340">
            <w:pPr>
              <w:rPr>
                <w:sz w:val="24"/>
                <w:szCs w:val="24"/>
              </w:rPr>
            </w:pPr>
            <w:r>
              <w:rPr>
                <w:sz w:val="24"/>
                <w:szCs w:val="24"/>
              </w:rPr>
              <w:t>SECRETARIA MUNICIPAL DE SEGURANÇA E TRÂNSITO - SST</w:t>
            </w:r>
          </w:p>
        </w:tc>
      </w:tr>
      <w:tr w14:paraId="1524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2"/>
          </w:tcPr>
          <w:p w14:paraId="0087028E">
            <w:pPr>
              <w:rPr>
                <w:sz w:val="24"/>
                <w:szCs w:val="24"/>
              </w:rPr>
            </w:pPr>
            <w:r>
              <w:rPr>
                <w:b/>
                <w:bCs/>
                <w:sz w:val="24"/>
                <w:szCs w:val="24"/>
              </w:rPr>
              <w:t>Secretário:</w:t>
            </w:r>
          </w:p>
          <w:p w14:paraId="5679AE64">
            <w:pPr>
              <w:rPr>
                <w:sz w:val="24"/>
                <w:szCs w:val="24"/>
              </w:rPr>
            </w:pPr>
            <w:r>
              <w:rPr>
                <w:sz w:val="24"/>
                <w:szCs w:val="24"/>
              </w:rPr>
              <w:t>WESNEY DE CASTRO SODRE</w:t>
            </w:r>
          </w:p>
        </w:tc>
      </w:tr>
      <w:tr w14:paraId="7E0F8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2685C1A2">
            <w:pPr>
              <w:rPr>
                <w:sz w:val="24"/>
                <w:szCs w:val="24"/>
              </w:rPr>
            </w:pPr>
            <w:r>
              <w:rPr>
                <w:b/>
                <w:bCs/>
                <w:sz w:val="24"/>
                <w:szCs w:val="24"/>
              </w:rPr>
              <w:t>Email (institucional):</w:t>
            </w:r>
          </w:p>
          <w:p w14:paraId="74622F14">
            <w:pPr>
              <w:rPr>
                <w:sz w:val="24"/>
                <w:szCs w:val="24"/>
              </w:rPr>
            </w:pPr>
            <w:r>
              <w:rPr>
                <w:sz w:val="24"/>
                <w:szCs w:val="24"/>
              </w:rPr>
              <w:t>gcm.sinop.operacional@sinop.mt.gov.br</w:t>
            </w:r>
          </w:p>
        </w:tc>
        <w:tc>
          <w:tcPr>
            <w:tcW w:w="4644" w:type="dxa"/>
          </w:tcPr>
          <w:p w14:paraId="75B4FA30">
            <w:pPr>
              <w:rPr>
                <w:sz w:val="24"/>
                <w:szCs w:val="24"/>
              </w:rPr>
            </w:pPr>
            <w:r>
              <w:rPr>
                <w:b/>
                <w:bCs/>
                <w:sz w:val="24"/>
                <w:szCs w:val="24"/>
              </w:rPr>
              <w:t>Telefone (Institucional):</w:t>
            </w:r>
          </w:p>
          <w:p w14:paraId="3AEF013E">
            <w:pPr>
              <w:rPr>
                <w:sz w:val="24"/>
                <w:szCs w:val="24"/>
              </w:rPr>
            </w:pPr>
            <w:r>
              <w:rPr>
                <w:sz w:val="24"/>
                <w:szCs w:val="24"/>
              </w:rPr>
              <w:t>66 3511-1854  /  66 9.9907-2731</w:t>
            </w:r>
          </w:p>
        </w:tc>
      </w:tr>
    </w:tbl>
    <w:p w14:paraId="33C02003">
      <w:pPr>
        <w:rPr>
          <w:sz w:val="24"/>
          <w:szCs w:val="24"/>
        </w:rPr>
      </w:pPr>
    </w:p>
    <w:tbl>
      <w:tblPr>
        <w:tblStyle w:val="12"/>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9"/>
      </w:tblGrid>
      <w:tr w14:paraId="3DA4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9" w:type="dxa"/>
            <w:shd w:val="clear" w:color="auto" w:fill="D6E3BC" w:themeFill="accent3" w:themeFillTint="66"/>
          </w:tcPr>
          <w:p w14:paraId="6C98D15A">
            <w:pPr>
              <w:rPr>
                <w:sz w:val="24"/>
                <w:szCs w:val="24"/>
              </w:rPr>
            </w:pPr>
            <w:r>
              <w:rPr>
                <w:b/>
                <w:bCs/>
                <w:sz w:val="24"/>
                <w:szCs w:val="24"/>
              </w:rPr>
              <w:t>2 – OBJETO</w:t>
            </w:r>
          </w:p>
        </w:tc>
      </w:tr>
      <w:tr w14:paraId="0A98B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9" w:type="dxa"/>
          </w:tcPr>
          <w:p w14:paraId="672C1220">
            <w:pPr>
              <w:rPr>
                <w:sz w:val="24"/>
                <w:szCs w:val="24"/>
              </w:rPr>
            </w:pPr>
            <w:r>
              <w:rPr>
                <w:b/>
                <w:bCs/>
                <w:sz w:val="24"/>
                <w:szCs w:val="24"/>
              </w:rPr>
              <w:t>2.1 Especificação do objeto:</w:t>
            </w:r>
          </w:p>
          <w:p w14:paraId="20C04160">
            <w:pPr>
              <w:jc w:val="both"/>
              <w:rPr>
                <w:sz w:val="24"/>
                <w:szCs w:val="24"/>
              </w:rPr>
            </w:pPr>
            <w:r>
              <w:rPr>
                <w:sz w:val="24"/>
                <w:szCs w:val="24"/>
              </w:rPr>
              <w:t>Processo Licitatório, na modalidade de CREDENCIAMENTO, tendo como objeto a “CONTRATAÇÃO DE EMPRESA (S) ESPECIALIZADA (S) NA PRESTAÇÃO DE SERVIÇOS DE GUARDA COM DISPONIBILIZAÇÃO DE PÁTIO E GUINCHO, PARA RECOLHIMENTO DE VEÍCULOS LEVES E PESADOS, OBJETO DE MEDIDAS ADMINISTRATIVAS PREVISTAS NA LEI FEDERAL Nº 9.503/1997 E LEI MUNICIPAL N° 2.985/2021 (COM ALTERAÇÕES TRAZIDAS PELAS LEIS 2998/2021 E 3449/2025), NO MUNICÍPIO DE SINOP/MT, BEM COMO, NO SERVIÇO DE REMOÇÃO, DESTOMBAMENTO OU IÇAMENTO DE VEÍCULOS ACIDENTADOS OU ABANDONADOS NAS VIAS MUNICIPAIS”.</w:t>
            </w:r>
          </w:p>
        </w:tc>
      </w:tr>
      <w:tr w14:paraId="6657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9" w:type="dxa"/>
          </w:tcPr>
          <w:p w14:paraId="73D627AA">
            <w:pPr>
              <w:rPr>
                <w:b/>
                <w:bCs/>
                <w:sz w:val="24"/>
                <w:szCs w:val="24"/>
              </w:rPr>
            </w:pPr>
            <w:r>
              <w:rPr>
                <w:b/>
                <w:bCs/>
                <w:sz w:val="24"/>
                <w:szCs w:val="24"/>
              </w:rPr>
              <w:t>2.2 Descrição e quantidades</w:t>
            </w:r>
          </w:p>
          <w:p w14:paraId="5381B504">
            <w:pPr>
              <w:jc w:val="both"/>
              <w:rPr>
                <w:sz w:val="24"/>
                <w:szCs w:val="24"/>
              </w:rPr>
            </w:pPr>
            <w:r>
              <w:rPr>
                <w:sz w:val="24"/>
                <w:szCs w:val="24"/>
              </w:rPr>
              <w:t>Trata-se de um processo de credenciamento, onde todas as empresas que atenderem aos requisitos estipulados no edital, irão prestar os mesmos serviços, com os valores estipulados na Lei Municipal nº 2.985/2021 (com alterações trazidas pelas Leis 2998/2021 e 3449/2025). Os valores constantes na Lei estão todos em Unidade de Referência (Lei Complementar 109/2014) e, para o ano de 2025, utilizamos o Decreto 356/2024 que fixou a U.R. para o ano de 2025 em R$ 3,75 (três reais e setenta e cinco centavos).</w:t>
            </w:r>
          </w:p>
          <w:tbl>
            <w:tblPr>
              <w:tblStyle w:val="12"/>
              <w:tblW w:w="907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69"/>
              <w:gridCol w:w="14"/>
              <w:gridCol w:w="3207"/>
              <w:gridCol w:w="398"/>
              <w:gridCol w:w="13"/>
              <w:gridCol w:w="865"/>
              <w:gridCol w:w="726"/>
              <w:gridCol w:w="16"/>
              <w:gridCol w:w="1013"/>
              <w:gridCol w:w="1251"/>
            </w:tblGrid>
            <w:tr w14:paraId="55EA78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6" w:hRule="atLeast"/>
              </w:trPr>
              <w:tc>
                <w:tcPr>
                  <w:tcW w:w="9072" w:type="dxa"/>
                  <w:gridSpan w:val="10"/>
                  <w:shd w:val="clear" w:color="auto" w:fill="EAF1DD"/>
                  <w:vAlign w:val="center"/>
                </w:tcPr>
                <w:p w14:paraId="510DDF4D">
                  <w:pPr>
                    <w:widowControl w:val="0"/>
                    <w:jc w:val="center"/>
                    <w:rPr>
                      <w:b/>
                      <w:bCs/>
                      <w:sz w:val="24"/>
                      <w:szCs w:val="24"/>
                      <w:lang w:val="pt-PT"/>
                    </w:rPr>
                  </w:pPr>
                  <w:r>
                    <w:rPr>
                      <w:b/>
                      <w:bCs/>
                      <w:sz w:val="24"/>
                      <w:szCs w:val="24"/>
                      <w:lang w:val="pt-PT"/>
                    </w:rPr>
                    <w:t>Lei Municipal 2.985/2021</w:t>
                  </w:r>
                </w:p>
                <w:p w14:paraId="1C3C71E7">
                  <w:pPr>
                    <w:widowControl w:val="0"/>
                    <w:jc w:val="center"/>
                    <w:rPr>
                      <w:b/>
                      <w:bCs/>
                      <w:sz w:val="24"/>
                      <w:szCs w:val="24"/>
                      <w:lang w:val="pt-PT"/>
                    </w:rPr>
                  </w:pPr>
                  <w:r>
                    <w:rPr>
                      <w:b/>
                      <w:bCs/>
                      <w:sz w:val="24"/>
                      <w:szCs w:val="24"/>
                      <w:lang w:val="pt-PT"/>
                    </w:rPr>
                    <w:t>DOS VALORES ADICIONAIS - ARTIGO 14 - § 2º, § 4º E § 8º</w:t>
                  </w:r>
                </w:p>
              </w:tc>
            </w:tr>
            <w:tr w14:paraId="59F52E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69" w:type="dxa"/>
                  <w:shd w:val="clear" w:color="auto" w:fill="EAF1DD"/>
                  <w:vAlign w:val="center"/>
                </w:tcPr>
                <w:p w14:paraId="1F0E0E02">
                  <w:pPr>
                    <w:widowControl w:val="0"/>
                    <w:jc w:val="center"/>
                    <w:rPr>
                      <w:b/>
                      <w:bCs/>
                      <w:sz w:val="24"/>
                      <w:szCs w:val="24"/>
                    </w:rPr>
                  </w:pPr>
                  <w:r>
                    <w:rPr>
                      <w:b/>
                      <w:bCs/>
                      <w:sz w:val="24"/>
                      <w:szCs w:val="24"/>
                      <w:lang w:val="pt-PT"/>
                    </w:rPr>
                    <w:t>Item</w:t>
                  </w:r>
                </w:p>
              </w:tc>
              <w:tc>
                <w:tcPr>
                  <w:tcW w:w="3221" w:type="dxa"/>
                  <w:gridSpan w:val="2"/>
                  <w:shd w:val="clear" w:color="auto" w:fill="EAF1DD"/>
                  <w:vAlign w:val="center"/>
                </w:tcPr>
                <w:p w14:paraId="793C1BAB">
                  <w:pPr>
                    <w:widowControl w:val="0"/>
                    <w:jc w:val="center"/>
                    <w:rPr>
                      <w:b/>
                      <w:bCs/>
                      <w:sz w:val="24"/>
                      <w:szCs w:val="24"/>
                      <w:lang w:val="pt-PT"/>
                    </w:rPr>
                  </w:pPr>
                  <w:r>
                    <w:rPr>
                      <w:b/>
                      <w:bCs/>
                      <w:sz w:val="24"/>
                      <w:szCs w:val="24"/>
                      <w:lang w:val="pt-PT"/>
                    </w:rPr>
                    <w:t>Descrição dos Serviços</w:t>
                  </w:r>
                </w:p>
              </w:tc>
              <w:tc>
                <w:tcPr>
                  <w:tcW w:w="1276" w:type="dxa"/>
                  <w:gridSpan w:val="3"/>
                  <w:shd w:val="clear" w:color="auto" w:fill="EAF1DD"/>
                  <w:vAlign w:val="center"/>
                </w:tcPr>
                <w:p w14:paraId="11FE7120">
                  <w:pPr>
                    <w:widowControl w:val="0"/>
                    <w:jc w:val="center"/>
                    <w:rPr>
                      <w:b/>
                      <w:bCs/>
                      <w:sz w:val="24"/>
                      <w:szCs w:val="24"/>
                      <w:lang w:val="pt-PT"/>
                    </w:rPr>
                  </w:pPr>
                  <w:r>
                    <w:rPr>
                      <w:b/>
                      <w:bCs/>
                      <w:sz w:val="24"/>
                      <w:szCs w:val="24"/>
                      <w:lang w:val="pt-PT"/>
                    </w:rPr>
                    <w:t>Unidade</w:t>
                  </w:r>
                </w:p>
              </w:tc>
              <w:tc>
                <w:tcPr>
                  <w:tcW w:w="1755" w:type="dxa"/>
                  <w:gridSpan w:val="3"/>
                  <w:shd w:val="clear" w:color="auto" w:fill="EAF1DD"/>
                  <w:vAlign w:val="center"/>
                </w:tcPr>
                <w:p w14:paraId="694691CB">
                  <w:pPr>
                    <w:widowControl w:val="0"/>
                    <w:jc w:val="center"/>
                    <w:rPr>
                      <w:b/>
                      <w:bCs/>
                      <w:sz w:val="24"/>
                      <w:szCs w:val="24"/>
                      <w:lang w:val="pt-PT"/>
                    </w:rPr>
                  </w:pPr>
                  <w:r>
                    <w:rPr>
                      <w:b/>
                      <w:bCs/>
                      <w:sz w:val="24"/>
                      <w:szCs w:val="24"/>
                      <w:lang w:val="pt-PT"/>
                    </w:rPr>
                    <w:t>Valor em UR</w:t>
                  </w:r>
                  <w:r>
                    <w:rPr>
                      <w:b/>
                      <w:bCs/>
                      <w:sz w:val="24"/>
                      <w:szCs w:val="24"/>
                      <w:lang w:val="pt-PT"/>
                    </w:rPr>
                    <w:br w:type="textWrapping"/>
                  </w:r>
                  <w:r>
                    <w:rPr>
                      <w:b/>
                      <w:bCs/>
                      <w:sz w:val="24"/>
                      <w:szCs w:val="24"/>
                      <w:lang w:val="pt-PT"/>
                    </w:rPr>
                    <w:t>Lei Comp. 109/2014</w:t>
                  </w:r>
                  <w:r>
                    <w:rPr>
                      <w:b/>
                      <w:bCs/>
                      <w:sz w:val="24"/>
                      <w:szCs w:val="24"/>
                      <w:lang w:val="pt-PT"/>
                    </w:rPr>
                    <w:br w:type="textWrapping"/>
                  </w:r>
                  <w:r>
                    <w:rPr>
                      <w:b/>
                      <w:bCs/>
                      <w:sz w:val="24"/>
                      <w:szCs w:val="24"/>
                      <w:lang w:val="pt-PT"/>
                    </w:rPr>
                    <w:t>Decreto 356/2024</w:t>
                  </w:r>
                </w:p>
              </w:tc>
              <w:tc>
                <w:tcPr>
                  <w:tcW w:w="1251" w:type="dxa"/>
                  <w:shd w:val="clear" w:color="auto" w:fill="EAF1DD"/>
                  <w:vAlign w:val="center"/>
                </w:tcPr>
                <w:p w14:paraId="5354094A">
                  <w:pPr>
                    <w:widowControl w:val="0"/>
                    <w:jc w:val="center"/>
                    <w:rPr>
                      <w:b/>
                      <w:bCs/>
                      <w:sz w:val="24"/>
                      <w:szCs w:val="24"/>
                      <w:lang w:val="pt-PT"/>
                    </w:rPr>
                  </w:pPr>
                  <w:r>
                    <w:rPr>
                      <w:b/>
                      <w:bCs/>
                      <w:sz w:val="24"/>
                      <w:szCs w:val="24"/>
                      <w:lang w:val="pt-PT"/>
                    </w:rPr>
                    <w:t>Valor em R$</w:t>
                  </w:r>
                  <w:r>
                    <w:rPr>
                      <w:b/>
                      <w:bCs/>
                      <w:sz w:val="24"/>
                      <w:szCs w:val="24"/>
                      <w:lang w:val="pt-PT"/>
                    </w:rPr>
                    <w:br w:type="textWrapping"/>
                  </w:r>
                  <w:r>
                    <w:rPr>
                      <w:b/>
                      <w:bCs/>
                      <w:sz w:val="24"/>
                      <w:szCs w:val="24"/>
                      <w:lang w:val="pt-PT"/>
                    </w:rPr>
                    <w:t>Ano 2025</w:t>
                  </w:r>
                </w:p>
              </w:tc>
            </w:tr>
            <w:tr w14:paraId="1CCCBD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10" w:hRule="atLeast"/>
              </w:trPr>
              <w:tc>
                <w:tcPr>
                  <w:tcW w:w="1569" w:type="dxa"/>
                  <w:vAlign w:val="center"/>
                </w:tcPr>
                <w:p w14:paraId="2E181785">
                  <w:pPr>
                    <w:widowControl w:val="0"/>
                    <w:jc w:val="center"/>
                    <w:rPr>
                      <w:b/>
                      <w:sz w:val="24"/>
                      <w:szCs w:val="24"/>
                      <w:lang w:val="pt-PT"/>
                    </w:rPr>
                  </w:pPr>
                  <w:r>
                    <w:rPr>
                      <w:b/>
                      <w:sz w:val="24"/>
                      <w:szCs w:val="24"/>
                      <w:lang w:val="pt-PT"/>
                    </w:rPr>
                    <w:t>I</w:t>
                  </w:r>
                </w:p>
              </w:tc>
              <w:tc>
                <w:tcPr>
                  <w:tcW w:w="3221" w:type="dxa"/>
                  <w:gridSpan w:val="2"/>
                  <w:vAlign w:val="center"/>
                </w:tcPr>
                <w:p w14:paraId="6D4B15F7">
                  <w:pPr>
                    <w:widowControl w:val="0"/>
                    <w:jc w:val="both"/>
                    <w:rPr>
                      <w:b/>
                      <w:sz w:val="24"/>
                      <w:szCs w:val="24"/>
                      <w:lang w:val="pt-PT"/>
                    </w:rPr>
                  </w:pPr>
                  <w:r>
                    <w:rPr>
                      <w:b/>
                      <w:sz w:val="24"/>
                      <w:szCs w:val="24"/>
                      <w:lang w:val="pt-PT"/>
                    </w:rPr>
                    <w:t>Artigo 14 - § 2º. Em casos de exigência por parte do condutor/proprietário de remoção com exclusividade, será cobrada Taxa Adicional no valor de 30 (trinta) U.R.`s - Unidades de Referência.</w:t>
                  </w:r>
                </w:p>
              </w:tc>
              <w:tc>
                <w:tcPr>
                  <w:tcW w:w="1276" w:type="dxa"/>
                  <w:gridSpan w:val="3"/>
                  <w:vAlign w:val="center"/>
                </w:tcPr>
                <w:p w14:paraId="74969DF6">
                  <w:pPr>
                    <w:widowControl w:val="0"/>
                    <w:rPr>
                      <w:b/>
                      <w:sz w:val="24"/>
                      <w:szCs w:val="24"/>
                      <w:lang w:val="pt-PT"/>
                    </w:rPr>
                  </w:pPr>
                  <w:r>
                    <w:rPr>
                      <w:b/>
                      <w:sz w:val="24"/>
                      <w:szCs w:val="24"/>
                      <w:lang w:val="pt-PT"/>
                    </w:rPr>
                    <w:t xml:space="preserve"> Serviço Fixo </w:t>
                  </w:r>
                </w:p>
              </w:tc>
              <w:tc>
                <w:tcPr>
                  <w:tcW w:w="1755" w:type="dxa"/>
                  <w:gridSpan w:val="3"/>
                  <w:vAlign w:val="center"/>
                </w:tcPr>
                <w:p w14:paraId="5136E2AC">
                  <w:pPr>
                    <w:widowControl w:val="0"/>
                    <w:jc w:val="center"/>
                    <w:rPr>
                      <w:b/>
                      <w:sz w:val="24"/>
                      <w:szCs w:val="24"/>
                      <w:lang w:val="pt-PT"/>
                    </w:rPr>
                  </w:pPr>
                  <w:r>
                    <w:rPr>
                      <w:b/>
                      <w:sz w:val="24"/>
                      <w:szCs w:val="24"/>
                      <w:lang w:val="pt-PT"/>
                    </w:rPr>
                    <w:t>30</w:t>
                  </w:r>
                </w:p>
              </w:tc>
              <w:tc>
                <w:tcPr>
                  <w:tcW w:w="1251" w:type="dxa"/>
                  <w:vAlign w:val="center"/>
                </w:tcPr>
                <w:p w14:paraId="41A2C783">
                  <w:pPr>
                    <w:widowControl w:val="0"/>
                    <w:rPr>
                      <w:b/>
                      <w:sz w:val="24"/>
                      <w:szCs w:val="24"/>
                      <w:lang w:val="pt-PT"/>
                    </w:rPr>
                  </w:pPr>
                  <w:r>
                    <w:rPr>
                      <w:b/>
                      <w:sz w:val="24"/>
                      <w:szCs w:val="24"/>
                      <w:lang w:val="pt-PT"/>
                    </w:rPr>
                    <w:t xml:space="preserve">R$ 112,50 </w:t>
                  </w:r>
                </w:p>
              </w:tc>
            </w:tr>
            <w:tr w14:paraId="71593F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95" w:hRule="atLeast"/>
              </w:trPr>
              <w:tc>
                <w:tcPr>
                  <w:tcW w:w="1569" w:type="dxa"/>
                  <w:vAlign w:val="center"/>
                </w:tcPr>
                <w:p w14:paraId="757DEBCC">
                  <w:pPr>
                    <w:widowControl w:val="0"/>
                    <w:jc w:val="center"/>
                    <w:rPr>
                      <w:b/>
                      <w:sz w:val="24"/>
                      <w:szCs w:val="24"/>
                      <w:lang w:val="pt-PT"/>
                    </w:rPr>
                  </w:pPr>
                  <w:r>
                    <w:rPr>
                      <w:b/>
                      <w:sz w:val="24"/>
                      <w:szCs w:val="24"/>
                      <w:lang w:val="pt-PT"/>
                    </w:rPr>
                    <w:t>II</w:t>
                  </w:r>
                </w:p>
              </w:tc>
              <w:tc>
                <w:tcPr>
                  <w:tcW w:w="3221" w:type="dxa"/>
                  <w:gridSpan w:val="2"/>
                  <w:vAlign w:val="center"/>
                </w:tcPr>
                <w:p w14:paraId="7ACBDAE8">
                  <w:pPr>
                    <w:widowControl w:val="0"/>
                    <w:jc w:val="both"/>
                    <w:rPr>
                      <w:b/>
                      <w:sz w:val="24"/>
                      <w:szCs w:val="24"/>
                      <w:lang w:val="pt-PT"/>
                    </w:rPr>
                  </w:pPr>
                  <w:r>
                    <w:rPr>
                      <w:b/>
                      <w:sz w:val="24"/>
                      <w:szCs w:val="24"/>
                      <w:lang w:val="pt-PT"/>
                    </w:rPr>
                    <w:t>Artigo 14 - § 4°. No caso de veículos com característica alterada que dificultem a remoção, bem como, remoções que sejam dificultadas pelo condutor/proprietário, será cobrada Taxa Adicional no valor de 30 (trinta) U.R.`s - Unidades de Referência.</w:t>
                  </w:r>
                </w:p>
              </w:tc>
              <w:tc>
                <w:tcPr>
                  <w:tcW w:w="1276" w:type="dxa"/>
                  <w:gridSpan w:val="3"/>
                  <w:vAlign w:val="center"/>
                </w:tcPr>
                <w:p w14:paraId="7999E266">
                  <w:pPr>
                    <w:widowControl w:val="0"/>
                    <w:rPr>
                      <w:b/>
                      <w:sz w:val="24"/>
                      <w:szCs w:val="24"/>
                      <w:lang w:val="pt-PT"/>
                    </w:rPr>
                  </w:pPr>
                  <w:r>
                    <w:rPr>
                      <w:b/>
                      <w:sz w:val="24"/>
                      <w:szCs w:val="24"/>
                      <w:lang w:val="pt-PT"/>
                    </w:rPr>
                    <w:t xml:space="preserve"> Serviço Fixo </w:t>
                  </w:r>
                </w:p>
              </w:tc>
              <w:tc>
                <w:tcPr>
                  <w:tcW w:w="1755" w:type="dxa"/>
                  <w:gridSpan w:val="3"/>
                  <w:vAlign w:val="center"/>
                </w:tcPr>
                <w:p w14:paraId="1F8F6775">
                  <w:pPr>
                    <w:widowControl w:val="0"/>
                    <w:jc w:val="center"/>
                    <w:rPr>
                      <w:b/>
                      <w:sz w:val="24"/>
                      <w:szCs w:val="24"/>
                      <w:lang w:val="pt-PT"/>
                    </w:rPr>
                  </w:pPr>
                  <w:r>
                    <w:rPr>
                      <w:b/>
                      <w:sz w:val="24"/>
                      <w:szCs w:val="24"/>
                      <w:lang w:val="pt-PT"/>
                    </w:rPr>
                    <w:t>30</w:t>
                  </w:r>
                </w:p>
              </w:tc>
              <w:tc>
                <w:tcPr>
                  <w:tcW w:w="1251" w:type="dxa"/>
                  <w:vAlign w:val="center"/>
                </w:tcPr>
                <w:p w14:paraId="5B80A57B">
                  <w:pPr>
                    <w:widowControl w:val="0"/>
                    <w:rPr>
                      <w:b/>
                      <w:sz w:val="24"/>
                      <w:szCs w:val="24"/>
                      <w:lang w:val="pt-PT"/>
                    </w:rPr>
                  </w:pPr>
                  <w:r>
                    <w:rPr>
                      <w:b/>
                      <w:sz w:val="24"/>
                      <w:szCs w:val="24"/>
                      <w:lang w:val="pt-PT"/>
                    </w:rPr>
                    <w:t xml:space="preserve">R$ 112,50 </w:t>
                  </w:r>
                </w:p>
              </w:tc>
            </w:tr>
            <w:tr w14:paraId="68EF89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25" w:hRule="atLeast"/>
              </w:trPr>
              <w:tc>
                <w:tcPr>
                  <w:tcW w:w="1569" w:type="dxa"/>
                  <w:vAlign w:val="center"/>
                </w:tcPr>
                <w:p w14:paraId="07E3B123">
                  <w:pPr>
                    <w:widowControl w:val="0"/>
                    <w:jc w:val="center"/>
                    <w:rPr>
                      <w:b/>
                      <w:sz w:val="24"/>
                      <w:szCs w:val="24"/>
                      <w:lang w:val="pt-PT"/>
                    </w:rPr>
                  </w:pPr>
                  <w:r>
                    <w:rPr>
                      <w:b/>
                      <w:sz w:val="24"/>
                      <w:szCs w:val="24"/>
                      <w:lang w:val="pt-PT"/>
                    </w:rPr>
                    <w:t>III</w:t>
                  </w:r>
                </w:p>
              </w:tc>
              <w:tc>
                <w:tcPr>
                  <w:tcW w:w="3221" w:type="dxa"/>
                  <w:gridSpan w:val="2"/>
                  <w:vAlign w:val="center"/>
                </w:tcPr>
                <w:p w14:paraId="450F5286">
                  <w:pPr>
                    <w:widowControl w:val="0"/>
                    <w:jc w:val="both"/>
                    <w:rPr>
                      <w:b/>
                      <w:sz w:val="24"/>
                      <w:szCs w:val="24"/>
                      <w:lang w:val="pt-PT"/>
                    </w:rPr>
                  </w:pPr>
                  <w:r>
                    <w:rPr>
                      <w:b/>
                      <w:sz w:val="24"/>
                      <w:szCs w:val="24"/>
                      <w:lang w:val="pt-PT"/>
                    </w:rPr>
                    <w:t>Artigo 14 - § 8º. Nos casos de veículos envolvidos em acidentes que impossibilitem a remoção pela plataforma do guincho, os agentes poderão acionar os serviços de munck para assim fazer a retirada do veículo do local, será cobrada a taxa adicional no valor de 86 (oitenta e seis) U.R.`s - Unidades de Referência.</w:t>
                  </w:r>
                </w:p>
              </w:tc>
              <w:tc>
                <w:tcPr>
                  <w:tcW w:w="1276" w:type="dxa"/>
                  <w:gridSpan w:val="3"/>
                  <w:vAlign w:val="center"/>
                </w:tcPr>
                <w:p w14:paraId="77DDAB1A">
                  <w:pPr>
                    <w:widowControl w:val="0"/>
                    <w:rPr>
                      <w:b/>
                      <w:sz w:val="24"/>
                      <w:szCs w:val="24"/>
                      <w:lang w:val="pt-PT"/>
                    </w:rPr>
                  </w:pPr>
                  <w:r>
                    <w:rPr>
                      <w:b/>
                      <w:sz w:val="24"/>
                      <w:szCs w:val="24"/>
                      <w:lang w:val="pt-PT"/>
                    </w:rPr>
                    <w:t xml:space="preserve"> Serviço Fixo </w:t>
                  </w:r>
                </w:p>
              </w:tc>
              <w:tc>
                <w:tcPr>
                  <w:tcW w:w="1755" w:type="dxa"/>
                  <w:gridSpan w:val="3"/>
                  <w:vAlign w:val="center"/>
                </w:tcPr>
                <w:p w14:paraId="0DFA0F24">
                  <w:pPr>
                    <w:widowControl w:val="0"/>
                    <w:jc w:val="center"/>
                    <w:rPr>
                      <w:b/>
                      <w:sz w:val="24"/>
                      <w:szCs w:val="24"/>
                      <w:lang w:val="pt-PT"/>
                    </w:rPr>
                  </w:pPr>
                  <w:r>
                    <w:rPr>
                      <w:b/>
                      <w:sz w:val="24"/>
                      <w:szCs w:val="24"/>
                      <w:lang w:val="pt-PT"/>
                    </w:rPr>
                    <w:t>86</w:t>
                  </w:r>
                </w:p>
              </w:tc>
              <w:tc>
                <w:tcPr>
                  <w:tcW w:w="1251" w:type="dxa"/>
                  <w:vAlign w:val="center"/>
                </w:tcPr>
                <w:p w14:paraId="4D2393F2">
                  <w:pPr>
                    <w:widowControl w:val="0"/>
                    <w:rPr>
                      <w:b/>
                      <w:sz w:val="24"/>
                      <w:szCs w:val="24"/>
                      <w:lang w:val="pt-PT"/>
                    </w:rPr>
                  </w:pPr>
                  <w:r>
                    <w:rPr>
                      <w:b/>
                      <w:sz w:val="24"/>
                      <w:szCs w:val="24"/>
                      <w:lang w:val="pt-PT"/>
                    </w:rPr>
                    <w:t xml:space="preserve">R$ 322,50 </w:t>
                  </w:r>
                </w:p>
              </w:tc>
            </w:tr>
            <w:tr w14:paraId="569D98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3" w:hRule="atLeast"/>
              </w:trPr>
              <w:tc>
                <w:tcPr>
                  <w:tcW w:w="9072" w:type="dxa"/>
                  <w:gridSpan w:val="10"/>
                  <w:shd w:val="clear" w:color="auto" w:fill="EAF1DD"/>
                  <w:vAlign w:val="center"/>
                </w:tcPr>
                <w:p w14:paraId="4885491F">
                  <w:pPr>
                    <w:widowControl w:val="0"/>
                    <w:jc w:val="center"/>
                    <w:rPr>
                      <w:b/>
                      <w:bCs/>
                      <w:sz w:val="24"/>
                      <w:szCs w:val="24"/>
                      <w:lang w:val="pt-PT"/>
                    </w:rPr>
                  </w:pPr>
                  <w:r>
                    <w:rPr>
                      <w:b/>
                      <w:bCs/>
                      <w:sz w:val="24"/>
                      <w:szCs w:val="24"/>
                      <w:lang w:val="pt-PT"/>
                    </w:rPr>
                    <w:t>Anexo I - Lei Municipal 2.985/2021</w:t>
                  </w:r>
                </w:p>
                <w:p w14:paraId="3C52FC15">
                  <w:pPr>
                    <w:widowControl w:val="0"/>
                    <w:jc w:val="center"/>
                    <w:rPr>
                      <w:b/>
                      <w:bCs/>
                      <w:sz w:val="24"/>
                      <w:szCs w:val="24"/>
                      <w:lang w:val="pt-PT"/>
                    </w:rPr>
                  </w:pPr>
                  <w:r>
                    <w:rPr>
                      <w:b/>
                      <w:bCs/>
                      <w:sz w:val="24"/>
                      <w:szCs w:val="24"/>
                      <w:lang w:val="pt-PT"/>
                    </w:rPr>
                    <w:t>DOS VALORES DO SERVIÇO DE REMOÇÃO/GUINCHO POR TIPO DE VEÍCULO - Art. 14, § 1º</w:t>
                  </w:r>
                </w:p>
              </w:tc>
            </w:tr>
            <w:tr w14:paraId="45C2A9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7701B4FC">
                  <w:pPr>
                    <w:widowControl w:val="0"/>
                    <w:jc w:val="center"/>
                    <w:rPr>
                      <w:b/>
                      <w:bCs/>
                      <w:sz w:val="24"/>
                      <w:szCs w:val="24"/>
                    </w:rPr>
                  </w:pPr>
                  <w:r>
                    <w:rPr>
                      <w:b/>
                      <w:bCs/>
                      <w:sz w:val="24"/>
                      <w:szCs w:val="24"/>
                      <w:lang w:val="pt-PT"/>
                    </w:rPr>
                    <w:t>Item</w:t>
                  </w:r>
                </w:p>
              </w:tc>
              <w:tc>
                <w:tcPr>
                  <w:tcW w:w="3605" w:type="dxa"/>
                  <w:gridSpan w:val="2"/>
                  <w:shd w:val="clear" w:color="auto" w:fill="EAF1DD"/>
                  <w:vAlign w:val="center"/>
                </w:tcPr>
                <w:p w14:paraId="17891A6A">
                  <w:pPr>
                    <w:widowControl w:val="0"/>
                    <w:jc w:val="center"/>
                    <w:rPr>
                      <w:b/>
                      <w:bCs/>
                      <w:sz w:val="24"/>
                      <w:szCs w:val="24"/>
                      <w:lang w:val="pt-PT"/>
                    </w:rPr>
                  </w:pPr>
                  <w:r>
                    <w:rPr>
                      <w:b/>
                      <w:bCs/>
                      <w:sz w:val="24"/>
                      <w:szCs w:val="24"/>
                      <w:lang w:val="pt-PT"/>
                    </w:rPr>
                    <w:t>Descrição dos Serviços</w:t>
                  </w:r>
                </w:p>
              </w:tc>
              <w:tc>
                <w:tcPr>
                  <w:tcW w:w="1604" w:type="dxa"/>
                  <w:gridSpan w:val="3"/>
                  <w:shd w:val="clear" w:color="auto" w:fill="EAF1DD"/>
                  <w:vAlign w:val="center"/>
                </w:tcPr>
                <w:p w14:paraId="01C71985">
                  <w:pPr>
                    <w:widowControl w:val="0"/>
                    <w:jc w:val="center"/>
                    <w:rPr>
                      <w:b/>
                      <w:bCs/>
                      <w:sz w:val="24"/>
                      <w:szCs w:val="24"/>
                      <w:lang w:val="pt-PT"/>
                    </w:rPr>
                  </w:pPr>
                  <w:r>
                    <w:rPr>
                      <w:b/>
                      <w:bCs/>
                      <w:sz w:val="24"/>
                      <w:szCs w:val="24"/>
                      <w:lang w:val="pt-PT"/>
                    </w:rPr>
                    <w:t>Unidade</w:t>
                  </w:r>
                </w:p>
              </w:tc>
              <w:tc>
                <w:tcPr>
                  <w:tcW w:w="1029" w:type="dxa"/>
                  <w:gridSpan w:val="2"/>
                  <w:shd w:val="clear" w:color="auto" w:fill="EAF1DD"/>
                  <w:vAlign w:val="center"/>
                </w:tcPr>
                <w:p w14:paraId="4E2AC1F5">
                  <w:pPr>
                    <w:widowControl w:val="0"/>
                    <w:jc w:val="center"/>
                    <w:rPr>
                      <w:b/>
                      <w:bCs/>
                      <w:sz w:val="24"/>
                      <w:szCs w:val="24"/>
                      <w:lang w:val="pt-PT"/>
                    </w:rPr>
                  </w:pPr>
                  <w:r>
                    <w:rPr>
                      <w:b/>
                      <w:bCs/>
                      <w:sz w:val="24"/>
                      <w:szCs w:val="24"/>
                      <w:lang w:val="pt-PT"/>
                    </w:rPr>
                    <w:t>Valor em UR</w:t>
                  </w:r>
                  <w:r>
                    <w:rPr>
                      <w:b/>
                      <w:bCs/>
                      <w:sz w:val="24"/>
                      <w:szCs w:val="24"/>
                      <w:lang w:val="pt-PT"/>
                    </w:rPr>
                    <w:br w:type="textWrapping"/>
                  </w:r>
                  <w:r>
                    <w:rPr>
                      <w:b/>
                      <w:bCs/>
                      <w:sz w:val="24"/>
                      <w:szCs w:val="24"/>
                      <w:lang w:val="pt-PT"/>
                    </w:rPr>
                    <w:t>Lei Comp. 109/2014</w:t>
                  </w:r>
                  <w:r>
                    <w:rPr>
                      <w:b/>
                      <w:bCs/>
                      <w:sz w:val="24"/>
                      <w:szCs w:val="24"/>
                      <w:lang w:val="pt-PT"/>
                    </w:rPr>
                    <w:br w:type="textWrapping"/>
                  </w:r>
                  <w:r>
                    <w:rPr>
                      <w:b/>
                      <w:bCs/>
                      <w:sz w:val="24"/>
                      <w:szCs w:val="24"/>
                      <w:lang w:val="pt-PT"/>
                    </w:rPr>
                    <w:t>Decreto 356/2024</w:t>
                  </w:r>
                </w:p>
              </w:tc>
              <w:tc>
                <w:tcPr>
                  <w:tcW w:w="1251" w:type="dxa"/>
                  <w:shd w:val="clear" w:color="auto" w:fill="EAF1DD"/>
                  <w:vAlign w:val="center"/>
                </w:tcPr>
                <w:p w14:paraId="595FA826">
                  <w:pPr>
                    <w:widowControl w:val="0"/>
                    <w:jc w:val="center"/>
                    <w:rPr>
                      <w:b/>
                      <w:bCs/>
                      <w:sz w:val="24"/>
                      <w:szCs w:val="24"/>
                      <w:lang w:val="pt-PT"/>
                    </w:rPr>
                  </w:pPr>
                  <w:r>
                    <w:rPr>
                      <w:b/>
                      <w:bCs/>
                      <w:sz w:val="24"/>
                      <w:szCs w:val="24"/>
                      <w:lang w:val="pt-PT"/>
                    </w:rPr>
                    <w:t>Valor em R$</w:t>
                  </w:r>
                  <w:r>
                    <w:rPr>
                      <w:b/>
                      <w:bCs/>
                      <w:sz w:val="24"/>
                      <w:szCs w:val="24"/>
                      <w:lang w:val="pt-PT"/>
                    </w:rPr>
                    <w:br w:type="textWrapping"/>
                  </w:r>
                  <w:r>
                    <w:rPr>
                      <w:b/>
                      <w:bCs/>
                      <w:sz w:val="24"/>
                      <w:szCs w:val="24"/>
                      <w:lang w:val="pt-PT"/>
                    </w:rPr>
                    <w:t>Ano 2025</w:t>
                  </w:r>
                </w:p>
              </w:tc>
            </w:tr>
            <w:tr w14:paraId="0E1CA9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30" w:hRule="atLeast"/>
              </w:trPr>
              <w:tc>
                <w:tcPr>
                  <w:tcW w:w="1583" w:type="dxa"/>
                  <w:gridSpan w:val="2"/>
                  <w:vAlign w:val="center"/>
                </w:tcPr>
                <w:p w14:paraId="57FF8C13">
                  <w:pPr>
                    <w:widowControl w:val="0"/>
                    <w:jc w:val="center"/>
                    <w:rPr>
                      <w:b/>
                      <w:sz w:val="24"/>
                      <w:szCs w:val="24"/>
                      <w:lang w:val="pt-PT"/>
                    </w:rPr>
                  </w:pPr>
                  <w:r>
                    <w:rPr>
                      <w:b/>
                      <w:sz w:val="24"/>
                      <w:szCs w:val="24"/>
                      <w:lang w:val="pt-PT"/>
                    </w:rPr>
                    <w:t>I</w:t>
                  </w:r>
                </w:p>
              </w:tc>
              <w:tc>
                <w:tcPr>
                  <w:tcW w:w="3605" w:type="dxa"/>
                  <w:gridSpan w:val="2"/>
                  <w:vAlign w:val="center"/>
                </w:tcPr>
                <w:p w14:paraId="01AD8DD9">
                  <w:pPr>
                    <w:widowControl w:val="0"/>
                    <w:jc w:val="both"/>
                    <w:rPr>
                      <w:b/>
                      <w:sz w:val="24"/>
                      <w:szCs w:val="24"/>
                      <w:lang w:val="pt-PT"/>
                    </w:rPr>
                  </w:pPr>
                  <w:r>
                    <w:rPr>
                      <w:b/>
                      <w:sz w:val="24"/>
                      <w:szCs w:val="24"/>
                      <w:lang w:val="pt-PT"/>
                    </w:rPr>
                    <w:t>Guincho para ciclomotores e motocicletas até 600 cilindradas, com ou sem reboque lateral.</w:t>
                  </w:r>
                </w:p>
              </w:tc>
              <w:tc>
                <w:tcPr>
                  <w:tcW w:w="1604" w:type="dxa"/>
                  <w:gridSpan w:val="3"/>
                  <w:vAlign w:val="center"/>
                </w:tcPr>
                <w:p w14:paraId="7A27623E">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53F0EF5E">
                  <w:pPr>
                    <w:widowControl w:val="0"/>
                    <w:jc w:val="center"/>
                    <w:rPr>
                      <w:b/>
                      <w:sz w:val="24"/>
                      <w:szCs w:val="24"/>
                      <w:lang w:val="pt-PT"/>
                    </w:rPr>
                  </w:pPr>
                  <w:r>
                    <w:rPr>
                      <w:b/>
                      <w:sz w:val="24"/>
                      <w:szCs w:val="24"/>
                      <w:lang w:val="pt-PT"/>
                    </w:rPr>
                    <w:t>48</w:t>
                  </w:r>
                </w:p>
              </w:tc>
              <w:tc>
                <w:tcPr>
                  <w:tcW w:w="1251" w:type="dxa"/>
                  <w:vAlign w:val="center"/>
                </w:tcPr>
                <w:p w14:paraId="5D1BC9E1">
                  <w:pPr>
                    <w:widowControl w:val="0"/>
                    <w:rPr>
                      <w:b/>
                      <w:sz w:val="24"/>
                      <w:szCs w:val="24"/>
                      <w:lang w:val="pt-PT"/>
                    </w:rPr>
                  </w:pPr>
                  <w:r>
                    <w:rPr>
                      <w:b/>
                      <w:sz w:val="24"/>
                      <w:szCs w:val="24"/>
                      <w:lang w:val="pt-PT"/>
                    </w:rPr>
                    <w:t xml:space="preserve">R$ 180,00 </w:t>
                  </w:r>
                </w:p>
              </w:tc>
            </w:tr>
            <w:tr w14:paraId="0B8564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9" w:hRule="atLeast"/>
              </w:trPr>
              <w:tc>
                <w:tcPr>
                  <w:tcW w:w="1583" w:type="dxa"/>
                  <w:gridSpan w:val="2"/>
                  <w:vAlign w:val="center"/>
                </w:tcPr>
                <w:p w14:paraId="7CA67C75">
                  <w:pPr>
                    <w:widowControl w:val="0"/>
                    <w:jc w:val="center"/>
                    <w:rPr>
                      <w:b/>
                      <w:sz w:val="24"/>
                      <w:szCs w:val="24"/>
                      <w:lang w:val="pt-PT"/>
                    </w:rPr>
                  </w:pPr>
                  <w:r>
                    <w:rPr>
                      <w:b/>
                      <w:sz w:val="24"/>
                      <w:szCs w:val="24"/>
                      <w:lang w:val="pt-PT"/>
                    </w:rPr>
                    <w:t>II</w:t>
                  </w:r>
                </w:p>
              </w:tc>
              <w:tc>
                <w:tcPr>
                  <w:tcW w:w="3605" w:type="dxa"/>
                  <w:gridSpan w:val="2"/>
                  <w:vAlign w:val="center"/>
                </w:tcPr>
                <w:p w14:paraId="1A018533">
                  <w:pPr>
                    <w:widowControl w:val="0"/>
                    <w:jc w:val="both"/>
                    <w:rPr>
                      <w:b/>
                      <w:sz w:val="24"/>
                      <w:szCs w:val="24"/>
                      <w:lang w:val="pt-PT"/>
                    </w:rPr>
                  </w:pPr>
                  <w:r>
                    <w:rPr>
                      <w:b/>
                      <w:sz w:val="24"/>
                      <w:szCs w:val="24"/>
                      <w:lang w:val="pt-PT"/>
                    </w:rPr>
                    <w:t>Guincho para Carretinhas.</w:t>
                  </w:r>
                </w:p>
              </w:tc>
              <w:tc>
                <w:tcPr>
                  <w:tcW w:w="1604" w:type="dxa"/>
                  <w:gridSpan w:val="3"/>
                  <w:vAlign w:val="center"/>
                </w:tcPr>
                <w:p w14:paraId="475FB032">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3CF7509F">
                  <w:pPr>
                    <w:widowControl w:val="0"/>
                    <w:jc w:val="center"/>
                    <w:rPr>
                      <w:b/>
                      <w:sz w:val="24"/>
                      <w:szCs w:val="24"/>
                      <w:lang w:val="pt-PT"/>
                    </w:rPr>
                  </w:pPr>
                  <w:r>
                    <w:rPr>
                      <w:b/>
                      <w:sz w:val="24"/>
                      <w:szCs w:val="24"/>
                      <w:lang w:val="pt-PT"/>
                    </w:rPr>
                    <w:t>48</w:t>
                  </w:r>
                </w:p>
              </w:tc>
              <w:tc>
                <w:tcPr>
                  <w:tcW w:w="1251" w:type="dxa"/>
                  <w:vAlign w:val="center"/>
                </w:tcPr>
                <w:p w14:paraId="76DCB129">
                  <w:pPr>
                    <w:widowControl w:val="0"/>
                    <w:rPr>
                      <w:b/>
                      <w:sz w:val="24"/>
                      <w:szCs w:val="24"/>
                      <w:lang w:val="pt-PT"/>
                    </w:rPr>
                  </w:pPr>
                  <w:r>
                    <w:rPr>
                      <w:b/>
                      <w:sz w:val="24"/>
                      <w:szCs w:val="24"/>
                      <w:lang w:val="pt-PT"/>
                    </w:rPr>
                    <w:t xml:space="preserve">R$ 180,00 </w:t>
                  </w:r>
                </w:p>
              </w:tc>
            </w:tr>
            <w:tr w14:paraId="71AA89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9" w:hRule="atLeast"/>
              </w:trPr>
              <w:tc>
                <w:tcPr>
                  <w:tcW w:w="1583" w:type="dxa"/>
                  <w:gridSpan w:val="2"/>
                  <w:vAlign w:val="center"/>
                </w:tcPr>
                <w:p w14:paraId="175D72F1">
                  <w:pPr>
                    <w:widowControl w:val="0"/>
                    <w:jc w:val="center"/>
                    <w:rPr>
                      <w:b/>
                      <w:sz w:val="24"/>
                      <w:szCs w:val="24"/>
                      <w:lang w:val="pt-PT"/>
                    </w:rPr>
                  </w:pPr>
                  <w:r>
                    <w:rPr>
                      <w:b/>
                      <w:sz w:val="24"/>
                      <w:szCs w:val="24"/>
                      <w:lang w:val="pt-PT"/>
                    </w:rPr>
                    <w:t>III</w:t>
                  </w:r>
                </w:p>
              </w:tc>
              <w:tc>
                <w:tcPr>
                  <w:tcW w:w="3605" w:type="dxa"/>
                  <w:gridSpan w:val="2"/>
                  <w:vAlign w:val="center"/>
                </w:tcPr>
                <w:p w14:paraId="770F3DF2">
                  <w:pPr>
                    <w:widowControl w:val="0"/>
                    <w:jc w:val="both"/>
                    <w:rPr>
                      <w:b/>
                      <w:sz w:val="24"/>
                      <w:szCs w:val="24"/>
                      <w:lang w:val="pt-PT"/>
                    </w:rPr>
                  </w:pPr>
                  <w:r>
                    <w:rPr>
                      <w:b/>
                      <w:sz w:val="24"/>
                      <w:szCs w:val="24"/>
                      <w:lang w:val="pt-PT"/>
                    </w:rPr>
                    <w:t xml:space="preserve">Guincho para Caçambas, Container e similares. </w:t>
                  </w:r>
                </w:p>
              </w:tc>
              <w:tc>
                <w:tcPr>
                  <w:tcW w:w="1604" w:type="dxa"/>
                  <w:gridSpan w:val="3"/>
                  <w:vAlign w:val="center"/>
                </w:tcPr>
                <w:p w14:paraId="1EC8682C">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0951322F">
                  <w:pPr>
                    <w:widowControl w:val="0"/>
                    <w:jc w:val="center"/>
                    <w:rPr>
                      <w:b/>
                      <w:sz w:val="24"/>
                      <w:szCs w:val="24"/>
                      <w:lang w:val="pt-PT"/>
                    </w:rPr>
                  </w:pPr>
                  <w:r>
                    <w:rPr>
                      <w:b/>
                      <w:sz w:val="24"/>
                      <w:szCs w:val="24"/>
                      <w:lang w:val="pt-PT"/>
                    </w:rPr>
                    <w:t>63</w:t>
                  </w:r>
                </w:p>
              </w:tc>
              <w:tc>
                <w:tcPr>
                  <w:tcW w:w="1251" w:type="dxa"/>
                  <w:vAlign w:val="center"/>
                </w:tcPr>
                <w:p w14:paraId="0AFEF285">
                  <w:pPr>
                    <w:widowControl w:val="0"/>
                    <w:rPr>
                      <w:b/>
                      <w:sz w:val="24"/>
                      <w:szCs w:val="24"/>
                      <w:lang w:val="pt-PT"/>
                    </w:rPr>
                  </w:pPr>
                  <w:r>
                    <w:rPr>
                      <w:b/>
                      <w:sz w:val="24"/>
                      <w:szCs w:val="24"/>
                      <w:lang w:val="pt-PT"/>
                    </w:rPr>
                    <w:t xml:space="preserve">R$ 236,25 </w:t>
                  </w:r>
                </w:p>
              </w:tc>
            </w:tr>
            <w:tr w14:paraId="528349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3671400A">
                  <w:pPr>
                    <w:widowControl w:val="0"/>
                    <w:jc w:val="center"/>
                    <w:rPr>
                      <w:b/>
                      <w:sz w:val="24"/>
                      <w:szCs w:val="24"/>
                      <w:lang w:val="pt-PT"/>
                    </w:rPr>
                  </w:pPr>
                  <w:r>
                    <w:rPr>
                      <w:b/>
                      <w:sz w:val="24"/>
                      <w:szCs w:val="24"/>
                      <w:lang w:val="pt-PT"/>
                    </w:rPr>
                    <w:t>IV</w:t>
                  </w:r>
                </w:p>
              </w:tc>
              <w:tc>
                <w:tcPr>
                  <w:tcW w:w="3605" w:type="dxa"/>
                  <w:gridSpan w:val="2"/>
                  <w:vAlign w:val="center"/>
                </w:tcPr>
                <w:p w14:paraId="31B29979">
                  <w:pPr>
                    <w:widowControl w:val="0"/>
                    <w:jc w:val="both"/>
                    <w:rPr>
                      <w:b/>
                      <w:sz w:val="24"/>
                      <w:szCs w:val="24"/>
                      <w:lang w:val="pt-PT"/>
                    </w:rPr>
                  </w:pPr>
                  <w:r>
                    <w:rPr>
                      <w:b/>
                      <w:sz w:val="24"/>
                      <w:szCs w:val="24"/>
                      <w:lang w:val="pt-PT"/>
                    </w:rPr>
                    <w:t>Guincho para motocicletas acima de 600 cilindradas e triciclos (veículos com 03 rodas), com ou sem reboque lateral.</w:t>
                  </w:r>
                </w:p>
              </w:tc>
              <w:tc>
                <w:tcPr>
                  <w:tcW w:w="1604" w:type="dxa"/>
                  <w:gridSpan w:val="3"/>
                  <w:vAlign w:val="center"/>
                </w:tcPr>
                <w:p w14:paraId="2BB688A1">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14A461E1">
                  <w:pPr>
                    <w:widowControl w:val="0"/>
                    <w:jc w:val="center"/>
                    <w:rPr>
                      <w:b/>
                      <w:sz w:val="24"/>
                      <w:szCs w:val="24"/>
                      <w:lang w:val="pt-PT"/>
                    </w:rPr>
                  </w:pPr>
                  <w:r>
                    <w:rPr>
                      <w:b/>
                      <w:sz w:val="24"/>
                      <w:szCs w:val="24"/>
                      <w:lang w:val="pt-PT"/>
                    </w:rPr>
                    <w:t>63</w:t>
                  </w:r>
                </w:p>
              </w:tc>
              <w:tc>
                <w:tcPr>
                  <w:tcW w:w="1251" w:type="dxa"/>
                  <w:vAlign w:val="center"/>
                </w:tcPr>
                <w:p w14:paraId="014BC2F8">
                  <w:pPr>
                    <w:widowControl w:val="0"/>
                    <w:rPr>
                      <w:b/>
                      <w:sz w:val="24"/>
                      <w:szCs w:val="24"/>
                      <w:lang w:val="pt-PT"/>
                    </w:rPr>
                  </w:pPr>
                  <w:r>
                    <w:rPr>
                      <w:b/>
                      <w:sz w:val="24"/>
                      <w:szCs w:val="24"/>
                      <w:lang w:val="pt-PT"/>
                    </w:rPr>
                    <w:t xml:space="preserve">R$ 236,25 </w:t>
                  </w:r>
                </w:p>
              </w:tc>
            </w:tr>
            <w:tr w14:paraId="5B8ACF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57" w:hRule="atLeast"/>
              </w:trPr>
              <w:tc>
                <w:tcPr>
                  <w:tcW w:w="1583" w:type="dxa"/>
                  <w:gridSpan w:val="2"/>
                  <w:vAlign w:val="center"/>
                </w:tcPr>
                <w:p w14:paraId="11A6E607">
                  <w:pPr>
                    <w:widowControl w:val="0"/>
                    <w:jc w:val="center"/>
                    <w:rPr>
                      <w:b/>
                      <w:sz w:val="24"/>
                      <w:szCs w:val="24"/>
                      <w:lang w:val="pt-PT"/>
                    </w:rPr>
                  </w:pPr>
                  <w:r>
                    <w:rPr>
                      <w:b/>
                      <w:sz w:val="24"/>
                      <w:szCs w:val="24"/>
                      <w:lang w:val="pt-PT"/>
                    </w:rPr>
                    <w:t>V</w:t>
                  </w:r>
                </w:p>
              </w:tc>
              <w:tc>
                <w:tcPr>
                  <w:tcW w:w="3605" w:type="dxa"/>
                  <w:gridSpan w:val="2"/>
                  <w:vAlign w:val="center"/>
                </w:tcPr>
                <w:p w14:paraId="4AD36087">
                  <w:pPr>
                    <w:widowControl w:val="0"/>
                    <w:jc w:val="both"/>
                    <w:rPr>
                      <w:b/>
                      <w:sz w:val="24"/>
                      <w:szCs w:val="24"/>
                      <w:lang w:val="pt-PT"/>
                    </w:rPr>
                  </w:pPr>
                  <w:r>
                    <w:rPr>
                      <w:b/>
                      <w:sz w:val="24"/>
                      <w:szCs w:val="24"/>
                      <w:lang w:val="pt-PT"/>
                    </w:rPr>
                    <w:t>Guincho para veículos de passeio (Carro Popular).</w:t>
                  </w:r>
                </w:p>
              </w:tc>
              <w:tc>
                <w:tcPr>
                  <w:tcW w:w="1604" w:type="dxa"/>
                  <w:gridSpan w:val="3"/>
                  <w:vAlign w:val="center"/>
                </w:tcPr>
                <w:p w14:paraId="2A2AE78C">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4B01AACB">
                  <w:pPr>
                    <w:widowControl w:val="0"/>
                    <w:jc w:val="center"/>
                    <w:rPr>
                      <w:b/>
                      <w:sz w:val="24"/>
                      <w:szCs w:val="24"/>
                      <w:lang w:val="pt-PT"/>
                    </w:rPr>
                  </w:pPr>
                  <w:r>
                    <w:rPr>
                      <w:b/>
                      <w:sz w:val="24"/>
                      <w:szCs w:val="24"/>
                      <w:lang w:val="pt-PT"/>
                    </w:rPr>
                    <w:t>67</w:t>
                  </w:r>
                </w:p>
              </w:tc>
              <w:tc>
                <w:tcPr>
                  <w:tcW w:w="1251" w:type="dxa"/>
                  <w:vAlign w:val="center"/>
                </w:tcPr>
                <w:p w14:paraId="1A020BC9">
                  <w:pPr>
                    <w:widowControl w:val="0"/>
                    <w:rPr>
                      <w:b/>
                      <w:sz w:val="24"/>
                      <w:szCs w:val="24"/>
                      <w:lang w:val="pt-PT"/>
                    </w:rPr>
                  </w:pPr>
                  <w:r>
                    <w:rPr>
                      <w:b/>
                      <w:sz w:val="24"/>
                      <w:szCs w:val="24"/>
                      <w:lang w:val="pt-PT"/>
                    </w:rPr>
                    <w:t xml:space="preserve">R$ 251,25 </w:t>
                  </w:r>
                </w:p>
              </w:tc>
            </w:tr>
            <w:tr w14:paraId="472934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77576985">
                  <w:pPr>
                    <w:widowControl w:val="0"/>
                    <w:jc w:val="center"/>
                    <w:rPr>
                      <w:b/>
                      <w:sz w:val="24"/>
                      <w:szCs w:val="24"/>
                      <w:lang w:val="pt-PT"/>
                    </w:rPr>
                  </w:pPr>
                  <w:r>
                    <w:rPr>
                      <w:b/>
                      <w:sz w:val="24"/>
                      <w:szCs w:val="24"/>
                      <w:lang w:val="pt-PT"/>
                    </w:rPr>
                    <w:t>VI</w:t>
                  </w:r>
                </w:p>
              </w:tc>
              <w:tc>
                <w:tcPr>
                  <w:tcW w:w="3605" w:type="dxa"/>
                  <w:gridSpan w:val="2"/>
                  <w:vAlign w:val="center"/>
                </w:tcPr>
                <w:p w14:paraId="6F781CE2">
                  <w:pPr>
                    <w:widowControl w:val="0"/>
                    <w:jc w:val="both"/>
                    <w:rPr>
                      <w:b/>
                      <w:sz w:val="24"/>
                      <w:szCs w:val="24"/>
                      <w:lang w:val="pt-PT"/>
                    </w:rPr>
                  </w:pPr>
                  <w:r>
                    <w:rPr>
                      <w:b/>
                      <w:sz w:val="24"/>
                      <w:szCs w:val="24"/>
                      <w:lang w:val="pt-PT"/>
                    </w:rPr>
                    <w:t>Guincho para veículos de passeio, utilitário e similares que não ultrapassem o peso bruto total de 2.500 Kg.</w:t>
                  </w:r>
                </w:p>
              </w:tc>
              <w:tc>
                <w:tcPr>
                  <w:tcW w:w="1604" w:type="dxa"/>
                  <w:gridSpan w:val="3"/>
                  <w:vAlign w:val="center"/>
                </w:tcPr>
                <w:p w14:paraId="6DF8F6D2">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0321C5B6">
                  <w:pPr>
                    <w:widowControl w:val="0"/>
                    <w:jc w:val="center"/>
                    <w:rPr>
                      <w:b/>
                      <w:sz w:val="24"/>
                      <w:szCs w:val="24"/>
                      <w:lang w:val="pt-PT"/>
                    </w:rPr>
                  </w:pPr>
                  <w:r>
                    <w:rPr>
                      <w:b/>
                      <w:sz w:val="24"/>
                      <w:szCs w:val="24"/>
                      <w:lang w:val="pt-PT"/>
                    </w:rPr>
                    <w:t>72</w:t>
                  </w:r>
                </w:p>
              </w:tc>
              <w:tc>
                <w:tcPr>
                  <w:tcW w:w="1251" w:type="dxa"/>
                  <w:vAlign w:val="center"/>
                </w:tcPr>
                <w:p w14:paraId="41AA8E7D">
                  <w:pPr>
                    <w:widowControl w:val="0"/>
                    <w:rPr>
                      <w:b/>
                      <w:sz w:val="24"/>
                      <w:szCs w:val="24"/>
                      <w:lang w:val="pt-PT"/>
                    </w:rPr>
                  </w:pPr>
                  <w:r>
                    <w:rPr>
                      <w:b/>
                      <w:sz w:val="24"/>
                      <w:szCs w:val="24"/>
                      <w:lang w:val="pt-PT"/>
                    </w:rPr>
                    <w:t xml:space="preserve">R$ 270,00 </w:t>
                  </w:r>
                </w:p>
              </w:tc>
            </w:tr>
            <w:tr w14:paraId="1383D0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12C32F8A">
                  <w:pPr>
                    <w:widowControl w:val="0"/>
                    <w:jc w:val="center"/>
                    <w:rPr>
                      <w:b/>
                      <w:sz w:val="24"/>
                      <w:szCs w:val="24"/>
                      <w:lang w:val="pt-PT"/>
                    </w:rPr>
                  </w:pPr>
                  <w:r>
                    <w:rPr>
                      <w:b/>
                      <w:sz w:val="24"/>
                      <w:szCs w:val="24"/>
                      <w:lang w:val="pt-PT"/>
                    </w:rPr>
                    <w:t>VII</w:t>
                  </w:r>
                </w:p>
              </w:tc>
              <w:tc>
                <w:tcPr>
                  <w:tcW w:w="3605" w:type="dxa"/>
                  <w:gridSpan w:val="2"/>
                  <w:vAlign w:val="center"/>
                </w:tcPr>
                <w:p w14:paraId="65037368">
                  <w:pPr>
                    <w:widowControl w:val="0"/>
                    <w:jc w:val="both"/>
                    <w:rPr>
                      <w:b/>
                      <w:sz w:val="24"/>
                      <w:szCs w:val="24"/>
                      <w:lang w:val="pt-PT"/>
                    </w:rPr>
                  </w:pPr>
                  <w:r>
                    <w:rPr>
                      <w:b/>
                      <w:sz w:val="24"/>
                      <w:szCs w:val="24"/>
                      <w:lang w:val="pt-PT"/>
                    </w:rPr>
                    <w:t>Guincho para veículos de passeio, utilitário e similares acima de 2.500 KG que não ultrapassem o peso bruto total de 3.500 Kg.</w:t>
                  </w:r>
                </w:p>
              </w:tc>
              <w:tc>
                <w:tcPr>
                  <w:tcW w:w="1604" w:type="dxa"/>
                  <w:gridSpan w:val="3"/>
                  <w:vAlign w:val="center"/>
                </w:tcPr>
                <w:p w14:paraId="506F586A">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5A9FA91B">
                  <w:pPr>
                    <w:widowControl w:val="0"/>
                    <w:jc w:val="center"/>
                    <w:rPr>
                      <w:b/>
                      <w:sz w:val="24"/>
                      <w:szCs w:val="24"/>
                      <w:lang w:val="pt-PT"/>
                    </w:rPr>
                  </w:pPr>
                  <w:r>
                    <w:rPr>
                      <w:b/>
                      <w:sz w:val="24"/>
                      <w:szCs w:val="24"/>
                      <w:lang w:val="pt-PT"/>
                    </w:rPr>
                    <w:t>105</w:t>
                  </w:r>
                </w:p>
              </w:tc>
              <w:tc>
                <w:tcPr>
                  <w:tcW w:w="1251" w:type="dxa"/>
                  <w:vAlign w:val="center"/>
                </w:tcPr>
                <w:p w14:paraId="3A275F67">
                  <w:pPr>
                    <w:widowControl w:val="0"/>
                    <w:rPr>
                      <w:b/>
                      <w:sz w:val="24"/>
                      <w:szCs w:val="24"/>
                      <w:lang w:val="pt-PT"/>
                    </w:rPr>
                  </w:pPr>
                  <w:r>
                    <w:rPr>
                      <w:b/>
                      <w:sz w:val="24"/>
                      <w:szCs w:val="24"/>
                      <w:lang w:val="pt-PT"/>
                    </w:rPr>
                    <w:t xml:space="preserve">R$ 393,75 </w:t>
                  </w:r>
                </w:p>
              </w:tc>
            </w:tr>
            <w:tr w14:paraId="6028A2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3" w:hRule="atLeast"/>
              </w:trPr>
              <w:tc>
                <w:tcPr>
                  <w:tcW w:w="1583" w:type="dxa"/>
                  <w:gridSpan w:val="2"/>
                  <w:vAlign w:val="center"/>
                </w:tcPr>
                <w:p w14:paraId="42D54AEC">
                  <w:pPr>
                    <w:widowControl w:val="0"/>
                    <w:jc w:val="center"/>
                    <w:rPr>
                      <w:b/>
                      <w:sz w:val="24"/>
                      <w:szCs w:val="24"/>
                      <w:lang w:val="pt-PT"/>
                    </w:rPr>
                  </w:pPr>
                  <w:r>
                    <w:rPr>
                      <w:b/>
                      <w:sz w:val="24"/>
                      <w:szCs w:val="24"/>
                      <w:lang w:val="pt-PT"/>
                    </w:rPr>
                    <w:t>VIII</w:t>
                  </w:r>
                </w:p>
              </w:tc>
              <w:tc>
                <w:tcPr>
                  <w:tcW w:w="3605" w:type="dxa"/>
                  <w:gridSpan w:val="2"/>
                  <w:vAlign w:val="center"/>
                </w:tcPr>
                <w:p w14:paraId="0BA82903">
                  <w:pPr>
                    <w:widowControl w:val="0"/>
                    <w:jc w:val="both"/>
                    <w:rPr>
                      <w:b/>
                      <w:sz w:val="24"/>
                      <w:szCs w:val="24"/>
                      <w:lang w:val="pt-PT"/>
                    </w:rPr>
                  </w:pPr>
                  <w:r>
                    <w:rPr>
                      <w:b/>
                      <w:sz w:val="24"/>
                      <w:szCs w:val="24"/>
                      <w:lang w:val="pt-PT"/>
                    </w:rPr>
                    <w:t>Guincho para veículos de carga ou passageiros com peso bruto superior a 3.500 kg.</w:t>
                  </w:r>
                </w:p>
              </w:tc>
              <w:tc>
                <w:tcPr>
                  <w:tcW w:w="1604" w:type="dxa"/>
                  <w:gridSpan w:val="3"/>
                  <w:vAlign w:val="center"/>
                </w:tcPr>
                <w:p w14:paraId="4D3A136F">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48085DC5">
                  <w:pPr>
                    <w:widowControl w:val="0"/>
                    <w:jc w:val="center"/>
                    <w:rPr>
                      <w:b/>
                      <w:sz w:val="24"/>
                      <w:szCs w:val="24"/>
                      <w:lang w:val="pt-PT"/>
                    </w:rPr>
                  </w:pPr>
                  <w:r>
                    <w:rPr>
                      <w:b/>
                      <w:sz w:val="24"/>
                      <w:szCs w:val="24"/>
                      <w:lang w:val="pt-PT"/>
                    </w:rPr>
                    <w:t>172</w:t>
                  </w:r>
                </w:p>
              </w:tc>
              <w:tc>
                <w:tcPr>
                  <w:tcW w:w="1251" w:type="dxa"/>
                  <w:vAlign w:val="center"/>
                </w:tcPr>
                <w:p w14:paraId="04021D3F">
                  <w:pPr>
                    <w:widowControl w:val="0"/>
                    <w:rPr>
                      <w:b/>
                      <w:sz w:val="24"/>
                      <w:szCs w:val="24"/>
                      <w:lang w:val="pt-PT"/>
                    </w:rPr>
                  </w:pPr>
                  <w:r>
                    <w:rPr>
                      <w:b/>
                      <w:sz w:val="24"/>
                      <w:szCs w:val="24"/>
                      <w:lang w:val="pt-PT"/>
                    </w:rPr>
                    <w:t xml:space="preserve">R$ 645,00 </w:t>
                  </w:r>
                </w:p>
              </w:tc>
            </w:tr>
            <w:tr w14:paraId="0475F0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8" w:hRule="atLeast"/>
              </w:trPr>
              <w:tc>
                <w:tcPr>
                  <w:tcW w:w="1583" w:type="dxa"/>
                  <w:gridSpan w:val="2"/>
                  <w:vAlign w:val="center"/>
                </w:tcPr>
                <w:p w14:paraId="11F76CD3">
                  <w:pPr>
                    <w:widowControl w:val="0"/>
                    <w:jc w:val="center"/>
                    <w:rPr>
                      <w:b/>
                      <w:sz w:val="24"/>
                      <w:szCs w:val="24"/>
                      <w:lang w:val="pt-PT"/>
                    </w:rPr>
                  </w:pPr>
                  <w:r>
                    <w:rPr>
                      <w:b/>
                      <w:sz w:val="24"/>
                      <w:szCs w:val="24"/>
                      <w:lang w:val="pt-PT"/>
                    </w:rPr>
                    <w:t>IX</w:t>
                  </w:r>
                </w:p>
              </w:tc>
              <w:tc>
                <w:tcPr>
                  <w:tcW w:w="3605" w:type="dxa"/>
                  <w:gridSpan w:val="2"/>
                  <w:vAlign w:val="center"/>
                </w:tcPr>
                <w:p w14:paraId="5C16976B">
                  <w:pPr>
                    <w:widowControl w:val="0"/>
                    <w:jc w:val="both"/>
                    <w:rPr>
                      <w:b/>
                      <w:sz w:val="24"/>
                      <w:szCs w:val="24"/>
                      <w:lang w:val="pt-PT"/>
                    </w:rPr>
                  </w:pPr>
                  <w:r>
                    <w:rPr>
                      <w:b/>
                      <w:sz w:val="24"/>
                      <w:szCs w:val="24"/>
                      <w:lang w:val="pt-PT"/>
                    </w:rPr>
                    <w:t>Guincho para veículos articulados, reboque e semi-reboque.</w:t>
                  </w:r>
                </w:p>
              </w:tc>
              <w:tc>
                <w:tcPr>
                  <w:tcW w:w="1604" w:type="dxa"/>
                  <w:gridSpan w:val="3"/>
                  <w:vAlign w:val="center"/>
                </w:tcPr>
                <w:p w14:paraId="69BBC99F">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6432CC39">
                  <w:pPr>
                    <w:widowControl w:val="0"/>
                    <w:jc w:val="center"/>
                    <w:rPr>
                      <w:b/>
                      <w:sz w:val="24"/>
                      <w:szCs w:val="24"/>
                      <w:lang w:val="pt-PT"/>
                    </w:rPr>
                  </w:pPr>
                  <w:r>
                    <w:rPr>
                      <w:b/>
                      <w:sz w:val="24"/>
                      <w:szCs w:val="24"/>
                      <w:lang w:val="pt-PT"/>
                    </w:rPr>
                    <w:t>196</w:t>
                  </w:r>
                </w:p>
              </w:tc>
              <w:tc>
                <w:tcPr>
                  <w:tcW w:w="1251" w:type="dxa"/>
                  <w:vAlign w:val="center"/>
                </w:tcPr>
                <w:p w14:paraId="0BD1A364">
                  <w:pPr>
                    <w:widowControl w:val="0"/>
                    <w:rPr>
                      <w:b/>
                      <w:sz w:val="24"/>
                      <w:szCs w:val="24"/>
                      <w:lang w:val="pt-PT"/>
                    </w:rPr>
                  </w:pPr>
                  <w:r>
                    <w:rPr>
                      <w:b/>
                      <w:sz w:val="24"/>
                      <w:szCs w:val="24"/>
                      <w:lang w:val="pt-PT"/>
                    </w:rPr>
                    <w:t xml:space="preserve">R$ 735,00 </w:t>
                  </w:r>
                </w:p>
              </w:tc>
            </w:tr>
            <w:tr w14:paraId="12BDC7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9" w:hRule="atLeast"/>
              </w:trPr>
              <w:tc>
                <w:tcPr>
                  <w:tcW w:w="9072" w:type="dxa"/>
                  <w:gridSpan w:val="10"/>
                  <w:shd w:val="clear" w:color="auto" w:fill="EAF1DD"/>
                  <w:vAlign w:val="center"/>
                </w:tcPr>
                <w:p w14:paraId="3B942DF4">
                  <w:pPr>
                    <w:widowControl w:val="0"/>
                    <w:jc w:val="center"/>
                    <w:rPr>
                      <w:b/>
                      <w:bCs/>
                      <w:sz w:val="24"/>
                      <w:szCs w:val="24"/>
                      <w:lang w:val="pt-PT"/>
                    </w:rPr>
                  </w:pPr>
                  <w:r>
                    <w:rPr>
                      <w:b/>
                      <w:bCs/>
                      <w:sz w:val="24"/>
                      <w:szCs w:val="24"/>
                      <w:lang w:val="pt-PT"/>
                    </w:rPr>
                    <w:t>Anexo II - Lei Municipal 2.985/2021</w:t>
                  </w:r>
                </w:p>
                <w:p w14:paraId="3EB3CC9F">
                  <w:pPr>
                    <w:widowControl w:val="0"/>
                    <w:jc w:val="center"/>
                    <w:rPr>
                      <w:b/>
                      <w:bCs/>
                      <w:sz w:val="24"/>
                      <w:szCs w:val="24"/>
                      <w:lang w:val="pt-PT"/>
                    </w:rPr>
                  </w:pPr>
                  <w:r>
                    <w:rPr>
                      <w:b/>
                      <w:bCs/>
                      <w:sz w:val="24"/>
                      <w:szCs w:val="24"/>
                      <w:lang w:val="pt-PT"/>
                    </w:rPr>
                    <w:t>DOS VALORES DA TAXA DO KM ADICIONAL (Acima de 30 KM) - Art. 17</w:t>
                  </w:r>
                </w:p>
              </w:tc>
            </w:tr>
            <w:tr w14:paraId="1C4115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159E4E1D">
                  <w:pPr>
                    <w:widowControl w:val="0"/>
                    <w:jc w:val="center"/>
                    <w:rPr>
                      <w:b/>
                      <w:bCs/>
                      <w:sz w:val="24"/>
                      <w:szCs w:val="24"/>
                    </w:rPr>
                  </w:pPr>
                  <w:r>
                    <w:rPr>
                      <w:b/>
                      <w:bCs/>
                      <w:sz w:val="24"/>
                      <w:szCs w:val="24"/>
                      <w:lang w:val="pt-PT"/>
                    </w:rPr>
                    <w:t>Item</w:t>
                  </w:r>
                </w:p>
              </w:tc>
              <w:tc>
                <w:tcPr>
                  <w:tcW w:w="3605" w:type="dxa"/>
                  <w:gridSpan w:val="2"/>
                  <w:shd w:val="clear" w:color="auto" w:fill="EAF1DD"/>
                  <w:vAlign w:val="center"/>
                </w:tcPr>
                <w:p w14:paraId="75275DBD">
                  <w:pPr>
                    <w:widowControl w:val="0"/>
                    <w:jc w:val="center"/>
                    <w:rPr>
                      <w:b/>
                      <w:bCs/>
                      <w:sz w:val="24"/>
                      <w:szCs w:val="24"/>
                      <w:lang w:val="pt-PT"/>
                    </w:rPr>
                  </w:pPr>
                  <w:r>
                    <w:rPr>
                      <w:b/>
                      <w:bCs/>
                      <w:sz w:val="24"/>
                      <w:szCs w:val="24"/>
                      <w:lang w:val="pt-PT"/>
                    </w:rPr>
                    <w:t>Descrição dos Serviços</w:t>
                  </w:r>
                </w:p>
              </w:tc>
              <w:tc>
                <w:tcPr>
                  <w:tcW w:w="1620" w:type="dxa"/>
                  <w:gridSpan w:val="4"/>
                  <w:shd w:val="clear" w:color="auto" w:fill="EAF1DD"/>
                  <w:vAlign w:val="center"/>
                </w:tcPr>
                <w:p w14:paraId="02440623">
                  <w:pPr>
                    <w:widowControl w:val="0"/>
                    <w:jc w:val="center"/>
                    <w:rPr>
                      <w:b/>
                      <w:bCs/>
                      <w:sz w:val="24"/>
                      <w:szCs w:val="24"/>
                      <w:lang w:val="pt-PT"/>
                    </w:rPr>
                  </w:pPr>
                  <w:r>
                    <w:rPr>
                      <w:b/>
                      <w:bCs/>
                      <w:sz w:val="24"/>
                      <w:szCs w:val="24"/>
                      <w:lang w:val="pt-PT"/>
                    </w:rPr>
                    <w:t>Unidade</w:t>
                  </w:r>
                </w:p>
              </w:tc>
              <w:tc>
                <w:tcPr>
                  <w:tcW w:w="1013" w:type="dxa"/>
                  <w:shd w:val="clear" w:color="auto" w:fill="EAF1DD"/>
                  <w:vAlign w:val="center"/>
                </w:tcPr>
                <w:p w14:paraId="06AC248A">
                  <w:pPr>
                    <w:widowControl w:val="0"/>
                    <w:jc w:val="center"/>
                    <w:rPr>
                      <w:b/>
                      <w:bCs/>
                      <w:sz w:val="24"/>
                      <w:szCs w:val="24"/>
                      <w:lang w:val="pt-PT"/>
                    </w:rPr>
                  </w:pPr>
                  <w:r>
                    <w:rPr>
                      <w:b/>
                      <w:bCs/>
                      <w:sz w:val="24"/>
                      <w:szCs w:val="24"/>
                      <w:lang w:val="pt-PT"/>
                    </w:rPr>
                    <w:t>Valor em UR</w:t>
                  </w:r>
                  <w:r>
                    <w:rPr>
                      <w:b/>
                      <w:bCs/>
                      <w:sz w:val="24"/>
                      <w:szCs w:val="24"/>
                      <w:lang w:val="pt-PT"/>
                    </w:rPr>
                    <w:br w:type="textWrapping"/>
                  </w:r>
                  <w:r>
                    <w:rPr>
                      <w:b/>
                      <w:bCs/>
                      <w:sz w:val="24"/>
                      <w:szCs w:val="24"/>
                      <w:lang w:val="pt-PT"/>
                    </w:rPr>
                    <w:t>Lei Comp. 109/2014</w:t>
                  </w:r>
                  <w:r>
                    <w:rPr>
                      <w:b/>
                      <w:bCs/>
                      <w:sz w:val="24"/>
                      <w:szCs w:val="24"/>
                      <w:lang w:val="pt-PT"/>
                    </w:rPr>
                    <w:br w:type="textWrapping"/>
                  </w:r>
                  <w:r>
                    <w:rPr>
                      <w:b/>
                      <w:bCs/>
                      <w:sz w:val="24"/>
                      <w:szCs w:val="24"/>
                      <w:lang w:val="pt-PT"/>
                    </w:rPr>
                    <w:t>Decreto 356/2024</w:t>
                  </w:r>
                </w:p>
              </w:tc>
              <w:tc>
                <w:tcPr>
                  <w:tcW w:w="1251" w:type="dxa"/>
                  <w:shd w:val="clear" w:color="auto" w:fill="EAF1DD"/>
                  <w:vAlign w:val="center"/>
                </w:tcPr>
                <w:p w14:paraId="150281FA">
                  <w:pPr>
                    <w:widowControl w:val="0"/>
                    <w:jc w:val="center"/>
                    <w:rPr>
                      <w:b/>
                      <w:bCs/>
                      <w:sz w:val="24"/>
                      <w:szCs w:val="24"/>
                      <w:lang w:val="pt-PT"/>
                    </w:rPr>
                  </w:pPr>
                  <w:r>
                    <w:rPr>
                      <w:b/>
                      <w:bCs/>
                      <w:sz w:val="24"/>
                      <w:szCs w:val="24"/>
                      <w:lang w:val="pt-PT"/>
                    </w:rPr>
                    <w:t>Valor em R$</w:t>
                  </w:r>
                  <w:r>
                    <w:rPr>
                      <w:b/>
                      <w:bCs/>
                      <w:sz w:val="24"/>
                      <w:szCs w:val="24"/>
                      <w:lang w:val="pt-PT"/>
                    </w:rPr>
                    <w:br w:type="textWrapping"/>
                  </w:r>
                  <w:r>
                    <w:rPr>
                      <w:b/>
                      <w:bCs/>
                      <w:sz w:val="24"/>
                      <w:szCs w:val="24"/>
                      <w:lang w:val="pt-PT"/>
                    </w:rPr>
                    <w:t>Ano 2025</w:t>
                  </w:r>
                </w:p>
              </w:tc>
            </w:tr>
            <w:tr w14:paraId="3CF2D6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07CF6CA5">
                  <w:pPr>
                    <w:widowControl w:val="0"/>
                    <w:jc w:val="center"/>
                    <w:rPr>
                      <w:b/>
                      <w:sz w:val="24"/>
                      <w:szCs w:val="24"/>
                      <w:lang w:val="pt-PT"/>
                    </w:rPr>
                  </w:pPr>
                  <w:r>
                    <w:rPr>
                      <w:b/>
                      <w:sz w:val="24"/>
                      <w:szCs w:val="24"/>
                      <w:lang w:val="pt-PT"/>
                    </w:rPr>
                    <w:t>I</w:t>
                  </w:r>
                </w:p>
              </w:tc>
              <w:tc>
                <w:tcPr>
                  <w:tcW w:w="3605" w:type="dxa"/>
                  <w:gridSpan w:val="2"/>
                  <w:vAlign w:val="center"/>
                </w:tcPr>
                <w:p w14:paraId="3B87A449">
                  <w:pPr>
                    <w:widowControl w:val="0"/>
                    <w:jc w:val="both"/>
                    <w:rPr>
                      <w:b/>
                      <w:sz w:val="24"/>
                      <w:szCs w:val="24"/>
                      <w:lang w:val="pt-PT"/>
                    </w:rPr>
                  </w:pPr>
                  <w:r>
                    <w:rPr>
                      <w:b/>
                      <w:sz w:val="24"/>
                      <w:szCs w:val="24"/>
                      <w:lang w:val="pt-PT"/>
                    </w:rPr>
                    <w:t>Guincho para motocicletas, ciclomotores e triciclos (veículos com 03 rodas), com ou sem reboque lateral.</w:t>
                  </w:r>
                </w:p>
              </w:tc>
              <w:tc>
                <w:tcPr>
                  <w:tcW w:w="1620" w:type="dxa"/>
                  <w:gridSpan w:val="4"/>
                  <w:vAlign w:val="center"/>
                </w:tcPr>
                <w:p w14:paraId="5DB65866">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376A3B57">
                  <w:pPr>
                    <w:widowControl w:val="0"/>
                    <w:jc w:val="center"/>
                    <w:rPr>
                      <w:b/>
                      <w:sz w:val="24"/>
                      <w:szCs w:val="24"/>
                      <w:lang w:val="pt-PT"/>
                    </w:rPr>
                  </w:pPr>
                  <w:r>
                    <w:rPr>
                      <w:b/>
                      <w:sz w:val="24"/>
                      <w:szCs w:val="24"/>
                      <w:lang w:val="pt-PT"/>
                    </w:rPr>
                    <w:t>1,18</w:t>
                  </w:r>
                </w:p>
              </w:tc>
              <w:tc>
                <w:tcPr>
                  <w:tcW w:w="1251" w:type="dxa"/>
                  <w:vAlign w:val="center"/>
                </w:tcPr>
                <w:p w14:paraId="01733CDF">
                  <w:pPr>
                    <w:widowControl w:val="0"/>
                    <w:rPr>
                      <w:b/>
                      <w:sz w:val="24"/>
                      <w:szCs w:val="24"/>
                      <w:lang w:val="pt-PT"/>
                    </w:rPr>
                  </w:pPr>
                  <w:r>
                    <w:rPr>
                      <w:b/>
                      <w:sz w:val="24"/>
                      <w:szCs w:val="24"/>
                      <w:lang w:val="pt-PT"/>
                    </w:rPr>
                    <w:t xml:space="preserve">R$ 4,43 </w:t>
                  </w:r>
                </w:p>
              </w:tc>
            </w:tr>
            <w:tr w14:paraId="0E582C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4B1551DF">
                  <w:pPr>
                    <w:widowControl w:val="0"/>
                    <w:jc w:val="center"/>
                    <w:rPr>
                      <w:b/>
                      <w:sz w:val="24"/>
                      <w:szCs w:val="24"/>
                      <w:lang w:val="pt-PT"/>
                    </w:rPr>
                  </w:pPr>
                  <w:r>
                    <w:rPr>
                      <w:b/>
                      <w:sz w:val="24"/>
                      <w:szCs w:val="24"/>
                      <w:lang w:val="pt-PT"/>
                    </w:rPr>
                    <w:t>II</w:t>
                  </w:r>
                </w:p>
              </w:tc>
              <w:tc>
                <w:tcPr>
                  <w:tcW w:w="3605" w:type="dxa"/>
                  <w:gridSpan w:val="2"/>
                  <w:vAlign w:val="center"/>
                </w:tcPr>
                <w:p w14:paraId="0BF2B8E6">
                  <w:pPr>
                    <w:widowControl w:val="0"/>
                    <w:jc w:val="both"/>
                    <w:rPr>
                      <w:b/>
                      <w:sz w:val="24"/>
                      <w:szCs w:val="24"/>
                      <w:lang w:val="pt-PT"/>
                    </w:rPr>
                  </w:pPr>
                  <w:r>
                    <w:rPr>
                      <w:b/>
                      <w:sz w:val="24"/>
                      <w:szCs w:val="24"/>
                      <w:lang w:val="pt-PT"/>
                    </w:rPr>
                    <w:t>Guincho para veículos de passeio, utilitário e similares que não ultrapassem o peso bruto total de 3.500 Kg.</w:t>
                  </w:r>
                </w:p>
              </w:tc>
              <w:tc>
                <w:tcPr>
                  <w:tcW w:w="1620" w:type="dxa"/>
                  <w:gridSpan w:val="4"/>
                  <w:vAlign w:val="center"/>
                </w:tcPr>
                <w:p w14:paraId="79ABFDB5">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563104C2">
                  <w:pPr>
                    <w:widowControl w:val="0"/>
                    <w:jc w:val="center"/>
                    <w:rPr>
                      <w:b/>
                      <w:sz w:val="24"/>
                      <w:szCs w:val="24"/>
                      <w:lang w:val="pt-PT"/>
                    </w:rPr>
                  </w:pPr>
                  <w:r>
                    <w:rPr>
                      <w:b/>
                      <w:sz w:val="24"/>
                      <w:szCs w:val="24"/>
                      <w:lang w:val="pt-PT"/>
                    </w:rPr>
                    <w:t>1,3</w:t>
                  </w:r>
                </w:p>
              </w:tc>
              <w:tc>
                <w:tcPr>
                  <w:tcW w:w="1251" w:type="dxa"/>
                  <w:vAlign w:val="center"/>
                </w:tcPr>
                <w:p w14:paraId="319077FE">
                  <w:pPr>
                    <w:widowControl w:val="0"/>
                    <w:rPr>
                      <w:b/>
                      <w:sz w:val="24"/>
                      <w:szCs w:val="24"/>
                      <w:lang w:val="pt-PT"/>
                    </w:rPr>
                  </w:pPr>
                  <w:r>
                    <w:rPr>
                      <w:b/>
                      <w:sz w:val="24"/>
                      <w:szCs w:val="24"/>
                      <w:lang w:val="pt-PT"/>
                    </w:rPr>
                    <w:t xml:space="preserve">R$ 4,88 </w:t>
                  </w:r>
                </w:p>
              </w:tc>
            </w:tr>
            <w:tr w14:paraId="415A86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67A5AEEB">
                  <w:pPr>
                    <w:widowControl w:val="0"/>
                    <w:jc w:val="center"/>
                    <w:rPr>
                      <w:b/>
                      <w:sz w:val="24"/>
                      <w:szCs w:val="24"/>
                      <w:lang w:val="pt-PT"/>
                    </w:rPr>
                  </w:pPr>
                  <w:r>
                    <w:rPr>
                      <w:b/>
                      <w:sz w:val="24"/>
                      <w:szCs w:val="24"/>
                      <w:lang w:val="pt-PT"/>
                    </w:rPr>
                    <w:t>III</w:t>
                  </w:r>
                </w:p>
              </w:tc>
              <w:tc>
                <w:tcPr>
                  <w:tcW w:w="3605" w:type="dxa"/>
                  <w:gridSpan w:val="2"/>
                  <w:vAlign w:val="center"/>
                </w:tcPr>
                <w:p w14:paraId="5A346541">
                  <w:pPr>
                    <w:widowControl w:val="0"/>
                    <w:jc w:val="both"/>
                    <w:rPr>
                      <w:b/>
                      <w:sz w:val="24"/>
                      <w:szCs w:val="24"/>
                      <w:lang w:val="pt-PT"/>
                    </w:rPr>
                  </w:pPr>
                  <w:r>
                    <w:rPr>
                      <w:b/>
                      <w:sz w:val="24"/>
                      <w:szCs w:val="24"/>
                      <w:lang w:val="pt-PT"/>
                    </w:rPr>
                    <w:t>Guincho para veículos de carga ou passageiros com peso bruto superior a 3.500 kg.</w:t>
                  </w:r>
                </w:p>
              </w:tc>
              <w:tc>
                <w:tcPr>
                  <w:tcW w:w="1620" w:type="dxa"/>
                  <w:gridSpan w:val="4"/>
                  <w:vAlign w:val="center"/>
                </w:tcPr>
                <w:p w14:paraId="271D606E">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2D09326E">
                  <w:pPr>
                    <w:widowControl w:val="0"/>
                    <w:jc w:val="center"/>
                    <w:rPr>
                      <w:b/>
                      <w:sz w:val="24"/>
                      <w:szCs w:val="24"/>
                      <w:lang w:val="pt-PT"/>
                    </w:rPr>
                  </w:pPr>
                  <w:r>
                    <w:rPr>
                      <w:b/>
                      <w:sz w:val="24"/>
                      <w:szCs w:val="24"/>
                      <w:lang w:val="pt-PT"/>
                    </w:rPr>
                    <w:t>2</w:t>
                  </w:r>
                </w:p>
              </w:tc>
              <w:tc>
                <w:tcPr>
                  <w:tcW w:w="1251" w:type="dxa"/>
                  <w:vAlign w:val="center"/>
                </w:tcPr>
                <w:p w14:paraId="54E070F7">
                  <w:pPr>
                    <w:widowControl w:val="0"/>
                    <w:rPr>
                      <w:b/>
                      <w:sz w:val="24"/>
                      <w:szCs w:val="24"/>
                      <w:lang w:val="pt-PT"/>
                    </w:rPr>
                  </w:pPr>
                  <w:r>
                    <w:rPr>
                      <w:b/>
                      <w:sz w:val="24"/>
                      <w:szCs w:val="24"/>
                      <w:lang w:val="pt-PT"/>
                    </w:rPr>
                    <w:t xml:space="preserve">R$ 7,50 </w:t>
                  </w:r>
                </w:p>
              </w:tc>
            </w:tr>
            <w:tr w14:paraId="452B2D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48F0577B">
                  <w:pPr>
                    <w:widowControl w:val="0"/>
                    <w:jc w:val="center"/>
                    <w:rPr>
                      <w:b/>
                      <w:sz w:val="24"/>
                      <w:szCs w:val="24"/>
                      <w:lang w:val="pt-PT"/>
                    </w:rPr>
                  </w:pPr>
                  <w:r>
                    <w:rPr>
                      <w:b/>
                      <w:sz w:val="24"/>
                      <w:szCs w:val="24"/>
                      <w:lang w:val="pt-PT"/>
                    </w:rPr>
                    <w:t>IV</w:t>
                  </w:r>
                </w:p>
              </w:tc>
              <w:tc>
                <w:tcPr>
                  <w:tcW w:w="3605" w:type="dxa"/>
                  <w:gridSpan w:val="2"/>
                  <w:vAlign w:val="center"/>
                </w:tcPr>
                <w:p w14:paraId="4758DA75">
                  <w:pPr>
                    <w:widowControl w:val="0"/>
                    <w:jc w:val="both"/>
                    <w:rPr>
                      <w:b/>
                      <w:sz w:val="24"/>
                      <w:szCs w:val="24"/>
                      <w:lang w:val="pt-PT"/>
                    </w:rPr>
                  </w:pPr>
                  <w:r>
                    <w:rPr>
                      <w:b/>
                      <w:sz w:val="24"/>
                      <w:szCs w:val="24"/>
                      <w:lang w:val="pt-PT"/>
                    </w:rPr>
                    <w:t>Guincho para veículos articulados, reboque e semir-reboque - Vazio.</w:t>
                  </w:r>
                </w:p>
              </w:tc>
              <w:tc>
                <w:tcPr>
                  <w:tcW w:w="1620" w:type="dxa"/>
                  <w:gridSpan w:val="4"/>
                  <w:vAlign w:val="center"/>
                </w:tcPr>
                <w:p w14:paraId="36C18D00">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3A4B1251">
                  <w:pPr>
                    <w:widowControl w:val="0"/>
                    <w:jc w:val="center"/>
                    <w:rPr>
                      <w:b/>
                      <w:sz w:val="24"/>
                      <w:szCs w:val="24"/>
                      <w:lang w:val="pt-PT"/>
                    </w:rPr>
                  </w:pPr>
                  <w:r>
                    <w:rPr>
                      <w:b/>
                      <w:sz w:val="24"/>
                      <w:szCs w:val="24"/>
                      <w:lang w:val="pt-PT"/>
                    </w:rPr>
                    <w:t>2,2</w:t>
                  </w:r>
                </w:p>
              </w:tc>
              <w:tc>
                <w:tcPr>
                  <w:tcW w:w="1251" w:type="dxa"/>
                  <w:vAlign w:val="center"/>
                </w:tcPr>
                <w:p w14:paraId="6D0A74AE">
                  <w:pPr>
                    <w:widowControl w:val="0"/>
                    <w:rPr>
                      <w:b/>
                      <w:sz w:val="24"/>
                      <w:szCs w:val="24"/>
                      <w:lang w:val="pt-PT"/>
                    </w:rPr>
                  </w:pPr>
                  <w:r>
                    <w:rPr>
                      <w:b/>
                      <w:sz w:val="24"/>
                      <w:szCs w:val="24"/>
                      <w:lang w:val="pt-PT"/>
                    </w:rPr>
                    <w:t xml:space="preserve">R$ 8,25 </w:t>
                  </w:r>
                </w:p>
              </w:tc>
            </w:tr>
            <w:tr w14:paraId="6B2842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247B6088">
                  <w:pPr>
                    <w:widowControl w:val="0"/>
                    <w:jc w:val="center"/>
                    <w:rPr>
                      <w:b/>
                      <w:sz w:val="24"/>
                      <w:szCs w:val="24"/>
                      <w:lang w:val="pt-PT"/>
                    </w:rPr>
                  </w:pPr>
                  <w:r>
                    <w:rPr>
                      <w:b/>
                      <w:sz w:val="24"/>
                      <w:szCs w:val="24"/>
                      <w:lang w:val="pt-PT"/>
                    </w:rPr>
                    <w:t>V</w:t>
                  </w:r>
                </w:p>
              </w:tc>
              <w:tc>
                <w:tcPr>
                  <w:tcW w:w="3605" w:type="dxa"/>
                  <w:gridSpan w:val="2"/>
                  <w:vAlign w:val="center"/>
                </w:tcPr>
                <w:p w14:paraId="2C330D63">
                  <w:pPr>
                    <w:widowControl w:val="0"/>
                    <w:jc w:val="both"/>
                    <w:rPr>
                      <w:b/>
                      <w:sz w:val="24"/>
                      <w:szCs w:val="24"/>
                      <w:lang w:val="pt-PT"/>
                    </w:rPr>
                  </w:pPr>
                  <w:r>
                    <w:rPr>
                      <w:b/>
                      <w:sz w:val="24"/>
                      <w:szCs w:val="24"/>
                      <w:lang w:val="pt-PT"/>
                    </w:rPr>
                    <w:t>Guincho para veículos articulados, reboque e semir-reboque - Carregado.</w:t>
                  </w:r>
                </w:p>
              </w:tc>
              <w:tc>
                <w:tcPr>
                  <w:tcW w:w="1620" w:type="dxa"/>
                  <w:gridSpan w:val="4"/>
                  <w:vAlign w:val="center"/>
                </w:tcPr>
                <w:p w14:paraId="3D95497C">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2330EE91">
                  <w:pPr>
                    <w:widowControl w:val="0"/>
                    <w:jc w:val="center"/>
                    <w:rPr>
                      <w:b/>
                      <w:sz w:val="24"/>
                      <w:szCs w:val="24"/>
                      <w:lang w:val="pt-PT"/>
                    </w:rPr>
                  </w:pPr>
                  <w:r>
                    <w:rPr>
                      <w:b/>
                      <w:sz w:val="24"/>
                      <w:szCs w:val="24"/>
                      <w:lang w:val="pt-PT"/>
                    </w:rPr>
                    <w:t>3</w:t>
                  </w:r>
                </w:p>
              </w:tc>
              <w:tc>
                <w:tcPr>
                  <w:tcW w:w="1251" w:type="dxa"/>
                  <w:vAlign w:val="center"/>
                </w:tcPr>
                <w:p w14:paraId="273D0652">
                  <w:pPr>
                    <w:widowControl w:val="0"/>
                    <w:rPr>
                      <w:b/>
                      <w:sz w:val="24"/>
                      <w:szCs w:val="24"/>
                      <w:lang w:val="pt-PT"/>
                    </w:rPr>
                  </w:pPr>
                  <w:r>
                    <w:rPr>
                      <w:b/>
                      <w:sz w:val="24"/>
                      <w:szCs w:val="24"/>
                      <w:lang w:val="pt-PT"/>
                    </w:rPr>
                    <w:t xml:space="preserve">R$ 11,25 </w:t>
                  </w:r>
                </w:p>
              </w:tc>
            </w:tr>
            <w:tr w14:paraId="161B30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029A18A4">
                  <w:pPr>
                    <w:widowControl w:val="0"/>
                    <w:jc w:val="center"/>
                    <w:rPr>
                      <w:b/>
                      <w:sz w:val="24"/>
                      <w:szCs w:val="24"/>
                      <w:lang w:val="pt-PT"/>
                    </w:rPr>
                  </w:pPr>
                  <w:r>
                    <w:rPr>
                      <w:b/>
                      <w:sz w:val="24"/>
                      <w:szCs w:val="24"/>
                      <w:lang w:val="pt-PT"/>
                    </w:rPr>
                    <w:t>VI</w:t>
                  </w:r>
                </w:p>
              </w:tc>
              <w:tc>
                <w:tcPr>
                  <w:tcW w:w="3605" w:type="dxa"/>
                  <w:gridSpan w:val="2"/>
                  <w:vAlign w:val="center"/>
                </w:tcPr>
                <w:p w14:paraId="6CB004E5">
                  <w:pPr>
                    <w:widowControl w:val="0"/>
                    <w:jc w:val="both"/>
                    <w:rPr>
                      <w:b/>
                      <w:sz w:val="24"/>
                      <w:szCs w:val="24"/>
                      <w:lang w:val="pt-PT"/>
                    </w:rPr>
                  </w:pPr>
                  <w:r>
                    <w:rPr>
                      <w:b/>
                      <w:sz w:val="24"/>
                      <w:szCs w:val="24"/>
                      <w:lang w:val="pt-PT"/>
                    </w:rPr>
                    <w:t>Guincho para Caçambas, Container e similares.</w:t>
                  </w:r>
                </w:p>
              </w:tc>
              <w:tc>
                <w:tcPr>
                  <w:tcW w:w="1620" w:type="dxa"/>
                  <w:gridSpan w:val="4"/>
                  <w:vAlign w:val="center"/>
                </w:tcPr>
                <w:p w14:paraId="37B8C3AC">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46377F6A">
                  <w:pPr>
                    <w:widowControl w:val="0"/>
                    <w:jc w:val="center"/>
                    <w:rPr>
                      <w:b/>
                      <w:sz w:val="24"/>
                      <w:szCs w:val="24"/>
                      <w:lang w:val="pt-PT"/>
                    </w:rPr>
                  </w:pPr>
                  <w:r>
                    <w:rPr>
                      <w:b/>
                      <w:sz w:val="24"/>
                      <w:szCs w:val="24"/>
                      <w:lang w:val="pt-PT"/>
                    </w:rPr>
                    <w:t>1,18</w:t>
                  </w:r>
                </w:p>
              </w:tc>
              <w:tc>
                <w:tcPr>
                  <w:tcW w:w="1251" w:type="dxa"/>
                  <w:vAlign w:val="center"/>
                </w:tcPr>
                <w:p w14:paraId="5A1FEEDB">
                  <w:pPr>
                    <w:widowControl w:val="0"/>
                    <w:rPr>
                      <w:b/>
                      <w:sz w:val="24"/>
                      <w:szCs w:val="24"/>
                      <w:lang w:val="pt-PT"/>
                    </w:rPr>
                  </w:pPr>
                  <w:r>
                    <w:rPr>
                      <w:b/>
                      <w:sz w:val="24"/>
                      <w:szCs w:val="24"/>
                      <w:lang w:val="pt-PT"/>
                    </w:rPr>
                    <w:t xml:space="preserve">R$ 4,43 </w:t>
                  </w:r>
                </w:p>
              </w:tc>
            </w:tr>
            <w:tr w14:paraId="10339D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2C163E1F">
                  <w:pPr>
                    <w:widowControl w:val="0"/>
                    <w:jc w:val="center"/>
                    <w:rPr>
                      <w:b/>
                      <w:sz w:val="24"/>
                      <w:szCs w:val="24"/>
                      <w:lang w:val="pt-PT"/>
                    </w:rPr>
                  </w:pPr>
                  <w:r>
                    <w:rPr>
                      <w:b/>
                      <w:sz w:val="24"/>
                      <w:szCs w:val="24"/>
                      <w:lang w:val="pt-PT"/>
                    </w:rPr>
                    <w:t>VII</w:t>
                  </w:r>
                </w:p>
              </w:tc>
              <w:tc>
                <w:tcPr>
                  <w:tcW w:w="3605" w:type="dxa"/>
                  <w:gridSpan w:val="2"/>
                  <w:vAlign w:val="center"/>
                </w:tcPr>
                <w:p w14:paraId="6C59FA4F">
                  <w:pPr>
                    <w:widowControl w:val="0"/>
                    <w:jc w:val="both"/>
                    <w:rPr>
                      <w:b/>
                      <w:sz w:val="24"/>
                      <w:szCs w:val="24"/>
                      <w:lang w:val="pt-PT"/>
                    </w:rPr>
                  </w:pPr>
                  <w:r>
                    <w:rPr>
                      <w:b/>
                      <w:sz w:val="24"/>
                      <w:szCs w:val="24"/>
                      <w:lang w:val="pt-PT"/>
                    </w:rPr>
                    <w:t>Guincho para Carretinhas</w:t>
                  </w:r>
                </w:p>
              </w:tc>
              <w:tc>
                <w:tcPr>
                  <w:tcW w:w="1620" w:type="dxa"/>
                  <w:gridSpan w:val="4"/>
                  <w:vAlign w:val="center"/>
                </w:tcPr>
                <w:p w14:paraId="52E49ABD">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2711302F">
                  <w:pPr>
                    <w:widowControl w:val="0"/>
                    <w:jc w:val="center"/>
                    <w:rPr>
                      <w:b/>
                      <w:sz w:val="24"/>
                      <w:szCs w:val="24"/>
                      <w:lang w:val="pt-PT"/>
                    </w:rPr>
                  </w:pPr>
                  <w:r>
                    <w:rPr>
                      <w:b/>
                      <w:sz w:val="24"/>
                      <w:szCs w:val="24"/>
                      <w:lang w:val="pt-PT"/>
                    </w:rPr>
                    <w:t>1,18</w:t>
                  </w:r>
                </w:p>
              </w:tc>
              <w:tc>
                <w:tcPr>
                  <w:tcW w:w="1251" w:type="dxa"/>
                  <w:vAlign w:val="center"/>
                </w:tcPr>
                <w:p w14:paraId="597247A6">
                  <w:pPr>
                    <w:widowControl w:val="0"/>
                    <w:rPr>
                      <w:b/>
                      <w:sz w:val="24"/>
                      <w:szCs w:val="24"/>
                      <w:lang w:val="pt-PT"/>
                    </w:rPr>
                  </w:pPr>
                  <w:r>
                    <w:rPr>
                      <w:b/>
                      <w:sz w:val="24"/>
                      <w:szCs w:val="24"/>
                      <w:lang w:val="pt-PT"/>
                    </w:rPr>
                    <w:t xml:space="preserve">R$ 4,43 </w:t>
                  </w:r>
                </w:p>
              </w:tc>
            </w:tr>
            <w:tr w14:paraId="13E0DF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6" w:hRule="atLeast"/>
              </w:trPr>
              <w:tc>
                <w:tcPr>
                  <w:tcW w:w="9072" w:type="dxa"/>
                  <w:gridSpan w:val="10"/>
                  <w:shd w:val="clear" w:color="auto" w:fill="EAF1DD"/>
                  <w:vAlign w:val="center"/>
                </w:tcPr>
                <w:p w14:paraId="2730C3F4">
                  <w:pPr>
                    <w:widowControl w:val="0"/>
                    <w:jc w:val="center"/>
                    <w:rPr>
                      <w:b/>
                      <w:bCs/>
                      <w:sz w:val="24"/>
                      <w:szCs w:val="24"/>
                      <w:lang w:val="pt-PT"/>
                    </w:rPr>
                  </w:pPr>
                  <w:r>
                    <w:rPr>
                      <w:b/>
                      <w:bCs/>
                      <w:sz w:val="24"/>
                      <w:szCs w:val="24"/>
                      <w:lang w:val="pt-PT"/>
                    </w:rPr>
                    <w:t>Anexo III - Lei Municipal 2.985/2021</w:t>
                  </w:r>
                </w:p>
                <w:p w14:paraId="14DA4049">
                  <w:pPr>
                    <w:widowControl w:val="0"/>
                    <w:jc w:val="center"/>
                    <w:rPr>
                      <w:b/>
                      <w:bCs/>
                      <w:sz w:val="24"/>
                      <w:szCs w:val="24"/>
                      <w:lang w:val="pt-PT"/>
                    </w:rPr>
                  </w:pPr>
                  <w:r>
                    <w:rPr>
                      <w:b/>
                      <w:bCs/>
                      <w:sz w:val="24"/>
                      <w:szCs w:val="24"/>
                      <w:lang w:val="pt-PT"/>
                    </w:rPr>
                    <w:t>DOS VALORES DA TAXA DE DEPÓSITO EM PÁTIO - Art. 19</w:t>
                  </w:r>
                </w:p>
              </w:tc>
            </w:tr>
            <w:tr w14:paraId="2991C9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34E82733">
                  <w:pPr>
                    <w:widowControl w:val="0"/>
                    <w:jc w:val="center"/>
                    <w:rPr>
                      <w:b/>
                      <w:bCs/>
                      <w:sz w:val="24"/>
                      <w:szCs w:val="24"/>
                    </w:rPr>
                  </w:pPr>
                  <w:r>
                    <w:rPr>
                      <w:b/>
                      <w:bCs/>
                      <w:sz w:val="24"/>
                      <w:szCs w:val="24"/>
                      <w:lang w:val="pt-PT"/>
                    </w:rPr>
                    <w:t>Item</w:t>
                  </w:r>
                </w:p>
              </w:tc>
              <w:tc>
                <w:tcPr>
                  <w:tcW w:w="3618" w:type="dxa"/>
                  <w:gridSpan w:val="3"/>
                  <w:shd w:val="clear" w:color="auto" w:fill="EAF1DD"/>
                  <w:vAlign w:val="center"/>
                </w:tcPr>
                <w:p w14:paraId="493497C2">
                  <w:pPr>
                    <w:widowControl w:val="0"/>
                    <w:jc w:val="center"/>
                    <w:rPr>
                      <w:b/>
                      <w:bCs/>
                      <w:sz w:val="24"/>
                      <w:szCs w:val="24"/>
                      <w:lang w:val="pt-PT"/>
                    </w:rPr>
                  </w:pPr>
                  <w:r>
                    <w:rPr>
                      <w:b/>
                      <w:bCs/>
                      <w:sz w:val="24"/>
                      <w:szCs w:val="24"/>
                      <w:lang w:val="pt-PT"/>
                    </w:rPr>
                    <w:t>Descrição dos Serviços</w:t>
                  </w:r>
                </w:p>
              </w:tc>
              <w:tc>
                <w:tcPr>
                  <w:tcW w:w="1607" w:type="dxa"/>
                  <w:gridSpan w:val="3"/>
                  <w:shd w:val="clear" w:color="auto" w:fill="EAF1DD"/>
                  <w:vAlign w:val="center"/>
                </w:tcPr>
                <w:p w14:paraId="01AECB37">
                  <w:pPr>
                    <w:widowControl w:val="0"/>
                    <w:jc w:val="center"/>
                    <w:rPr>
                      <w:b/>
                      <w:bCs/>
                      <w:sz w:val="24"/>
                      <w:szCs w:val="24"/>
                      <w:lang w:val="pt-PT"/>
                    </w:rPr>
                  </w:pPr>
                  <w:r>
                    <w:rPr>
                      <w:b/>
                      <w:bCs/>
                      <w:sz w:val="24"/>
                      <w:szCs w:val="24"/>
                      <w:lang w:val="pt-PT"/>
                    </w:rPr>
                    <w:t>Unidade</w:t>
                  </w:r>
                </w:p>
              </w:tc>
              <w:tc>
                <w:tcPr>
                  <w:tcW w:w="1013" w:type="dxa"/>
                  <w:shd w:val="clear" w:color="auto" w:fill="EAF1DD"/>
                  <w:vAlign w:val="center"/>
                </w:tcPr>
                <w:p w14:paraId="29B6B960">
                  <w:pPr>
                    <w:widowControl w:val="0"/>
                    <w:jc w:val="center"/>
                    <w:rPr>
                      <w:b/>
                      <w:bCs/>
                      <w:sz w:val="24"/>
                      <w:szCs w:val="24"/>
                      <w:lang w:val="pt-PT"/>
                    </w:rPr>
                  </w:pPr>
                  <w:r>
                    <w:rPr>
                      <w:b/>
                      <w:bCs/>
                      <w:sz w:val="24"/>
                      <w:szCs w:val="24"/>
                      <w:lang w:val="pt-PT"/>
                    </w:rPr>
                    <w:t>Valor em UR</w:t>
                  </w:r>
                  <w:r>
                    <w:rPr>
                      <w:b/>
                      <w:bCs/>
                      <w:sz w:val="24"/>
                      <w:szCs w:val="24"/>
                      <w:lang w:val="pt-PT"/>
                    </w:rPr>
                    <w:br w:type="textWrapping"/>
                  </w:r>
                  <w:r>
                    <w:rPr>
                      <w:b/>
                      <w:bCs/>
                      <w:sz w:val="24"/>
                      <w:szCs w:val="24"/>
                      <w:lang w:val="pt-PT"/>
                    </w:rPr>
                    <w:t>Lei Comp. 109/2014</w:t>
                  </w:r>
                  <w:r>
                    <w:rPr>
                      <w:b/>
                      <w:bCs/>
                      <w:sz w:val="24"/>
                      <w:szCs w:val="24"/>
                      <w:lang w:val="pt-PT"/>
                    </w:rPr>
                    <w:br w:type="textWrapping"/>
                  </w:r>
                  <w:r>
                    <w:rPr>
                      <w:b/>
                      <w:bCs/>
                      <w:sz w:val="24"/>
                      <w:szCs w:val="24"/>
                      <w:lang w:val="pt-PT"/>
                    </w:rPr>
                    <w:t>Decreto 356/2024</w:t>
                  </w:r>
                </w:p>
              </w:tc>
              <w:tc>
                <w:tcPr>
                  <w:tcW w:w="1251" w:type="dxa"/>
                  <w:shd w:val="clear" w:color="auto" w:fill="EAF1DD"/>
                  <w:vAlign w:val="center"/>
                </w:tcPr>
                <w:p w14:paraId="61F25AC9">
                  <w:pPr>
                    <w:widowControl w:val="0"/>
                    <w:jc w:val="center"/>
                    <w:rPr>
                      <w:b/>
                      <w:bCs/>
                      <w:sz w:val="24"/>
                      <w:szCs w:val="24"/>
                      <w:lang w:val="pt-PT"/>
                    </w:rPr>
                  </w:pPr>
                  <w:r>
                    <w:rPr>
                      <w:b/>
                      <w:bCs/>
                      <w:sz w:val="24"/>
                      <w:szCs w:val="24"/>
                      <w:lang w:val="pt-PT"/>
                    </w:rPr>
                    <w:t>Valor em R$</w:t>
                  </w:r>
                  <w:r>
                    <w:rPr>
                      <w:b/>
                      <w:bCs/>
                      <w:sz w:val="24"/>
                      <w:szCs w:val="24"/>
                      <w:lang w:val="pt-PT"/>
                    </w:rPr>
                    <w:br w:type="textWrapping"/>
                  </w:r>
                  <w:r>
                    <w:rPr>
                      <w:b/>
                      <w:bCs/>
                      <w:sz w:val="24"/>
                      <w:szCs w:val="24"/>
                      <w:lang w:val="pt-PT"/>
                    </w:rPr>
                    <w:t>Ano 2025</w:t>
                  </w:r>
                </w:p>
              </w:tc>
            </w:tr>
            <w:tr w14:paraId="3F90B7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58F4D64F">
                  <w:pPr>
                    <w:widowControl w:val="0"/>
                    <w:jc w:val="center"/>
                    <w:rPr>
                      <w:b/>
                      <w:sz w:val="24"/>
                      <w:szCs w:val="24"/>
                      <w:lang w:val="pt-PT"/>
                    </w:rPr>
                  </w:pPr>
                  <w:r>
                    <w:rPr>
                      <w:b/>
                      <w:sz w:val="24"/>
                      <w:szCs w:val="24"/>
                      <w:lang w:val="pt-PT"/>
                    </w:rPr>
                    <w:t>I</w:t>
                  </w:r>
                </w:p>
              </w:tc>
              <w:tc>
                <w:tcPr>
                  <w:tcW w:w="3618" w:type="dxa"/>
                  <w:gridSpan w:val="3"/>
                  <w:vAlign w:val="center"/>
                </w:tcPr>
                <w:p w14:paraId="43CE8A90">
                  <w:pPr>
                    <w:widowControl w:val="0"/>
                    <w:jc w:val="both"/>
                    <w:rPr>
                      <w:b/>
                      <w:sz w:val="24"/>
                      <w:szCs w:val="24"/>
                      <w:lang w:val="pt-PT"/>
                    </w:rPr>
                  </w:pPr>
                  <w:r>
                    <w:rPr>
                      <w:b/>
                      <w:sz w:val="24"/>
                      <w:szCs w:val="24"/>
                      <w:lang w:val="pt-PT"/>
                    </w:rPr>
                    <w:t>Estada no pátio para motocicletas, ciclomotores e triciclos (veículos com 03 rodas), com ou sem</w:t>
                  </w:r>
                  <w:r>
                    <w:rPr>
                      <w:b/>
                      <w:sz w:val="24"/>
                      <w:szCs w:val="24"/>
                      <w:lang w:val="pt-PT"/>
                    </w:rPr>
                    <w:br w:type="textWrapping"/>
                  </w:r>
                  <w:r>
                    <w:rPr>
                      <w:b/>
                      <w:sz w:val="24"/>
                      <w:szCs w:val="24"/>
                      <w:lang w:val="pt-PT"/>
                    </w:rPr>
                    <w:t>reboque lateral, limitadas a 180 dias.</w:t>
                  </w:r>
                </w:p>
              </w:tc>
              <w:tc>
                <w:tcPr>
                  <w:tcW w:w="1607" w:type="dxa"/>
                  <w:gridSpan w:val="3"/>
                  <w:vAlign w:val="center"/>
                </w:tcPr>
                <w:p w14:paraId="65A6856F">
                  <w:pPr>
                    <w:widowControl w:val="0"/>
                    <w:jc w:val="center"/>
                    <w:rPr>
                      <w:b/>
                      <w:sz w:val="24"/>
                      <w:szCs w:val="24"/>
                      <w:lang w:val="pt-PT"/>
                    </w:rPr>
                  </w:pPr>
                  <w:r>
                    <w:rPr>
                      <w:b/>
                      <w:sz w:val="24"/>
                      <w:szCs w:val="24"/>
                      <w:lang w:val="pt-PT"/>
                    </w:rPr>
                    <w:t>Diária - 24 hs</w:t>
                  </w:r>
                </w:p>
              </w:tc>
              <w:tc>
                <w:tcPr>
                  <w:tcW w:w="1013" w:type="dxa"/>
                  <w:vAlign w:val="center"/>
                </w:tcPr>
                <w:p w14:paraId="4059EC55">
                  <w:pPr>
                    <w:widowControl w:val="0"/>
                    <w:jc w:val="center"/>
                    <w:rPr>
                      <w:b/>
                      <w:sz w:val="24"/>
                      <w:szCs w:val="24"/>
                      <w:lang w:val="pt-PT"/>
                    </w:rPr>
                  </w:pPr>
                  <w:r>
                    <w:rPr>
                      <w:b/>
                      <w:sz w:val="24"/>
                      <w:szCs w:val="24"/>
                      <w:lang w:val="pt-PT"/>
                    </w:rPr>
                    <w:t>9,1</w:t>
                  </w:r>
                </w:p>
              </w:tc>
              <w:tc>
                <w:tcPr>
                  <w:tcW w:w="1251" w:type="dxa"/>
                  <w:vAlign w:val="center"/>
                </w:tcPr>
                <w:p w14:paraId="54CC6021">
                  <w:pPr>
                    <w:widowControl w:val="0"/>
                    <w:rPr>
                      <w:b/>
                      <w:sz w:val="24"/>
                      <w:szCs w:val="24"/>
                      <w:lang w:val="pt-PT"/>
                    </w:rPr>
                  </w:pPr>
                  <w:r>
                    <w:rPr>
                      <w:b/>
                      <w:sz w:val="24"/>
                      <w:szCs w:val="24"/>
                      <w:lang w:val="pt-PT"/>
                    </w:rPr>
                    <w:t xml:space="preserve">R$ 34,13 </w:t>
                  </w:r>
                </w:p>
              </w:tc>
            </w:tr>
            <w:tr w14:paraId="2C2FA7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2DD761C6">
                  <w:pPr>
                    <w:widowControl w:val="0"/>
                    <w:jc w:val="center"/>
                    <w:rPr>
                      <w:b/>
                      <w:sz w:val="24"/>
                      <w:szCs w:val="24"/>
                      <w:lang w:val="pt-PT"/>
                    </w:rPr>
                  </w:pPr>
                  <w:r>
                    <w:rPr>
                      <w:b/>
                      <w:sz w:val="24"/>
                      <w:szCs w:val="24"/>
                      <w:lang w:val="pt-PT"/>
                    </w:rPr>
                    <w:t>II</w:t>
                  </w:r>
                </w:p>
              </w:tc>
              <w:tc>
                <w:tcPr>
                  <w:tcW w:w="3618" w:type="dxa"/>
                  <w:gridSpan w:val="3"/>
                  <w:vAlign w:val="center"/>
                </w:tcPr>
                <w:p w14:paraId="3ACEAD7D">
                  <w:pPr>
                    <w:widowControl w:val="0"/>
                    <w:jc w:val="both"/>
                    <w:rPr>
                      <w:b/>
                      <w:sz w:val="24"/>
                      <w:szCs w:val="24"/>
                      <w:lang w:val="pt-PT"/>
                    </w:rPr>
                  </w:pPr>
                  <w:r>
                    <w:rPr>
                      <w:b/>
                      <w:sz w:val="24"/>
                      <w:szCs w:val="24"/>
                      <w:lang w:val="pt-PT"/>
                    </w:rPr>
                    <w:t>Estada no pátio para veículos de passeio, utilitário e similares que não ultrapassem o peso bruto total de 3.500 Kg, limitadas a 180 dias.</w:t>
                  </w:r>
                </w:p>
              </w:tc>
              <w:tc>
                <w:tcPr>
                  <w:tcW w:w="1607" w:type="dxa"/>
                  <w:gridSpan w:val="3"/>
                  <w:vAlign w:val="center"/>
                </w:tcPr>
                <w:p w14:paraId="25E275F8">
                  <w:pPr>
                    <w:widowControl w:val="0"/>
                    <w:jc w:val="center"/>
                    <w:rPr>
                      <w:b/>
                      <w:sz w:val="24"/>
                      <w:szCs w:val="24"/>
                      <w:lang w:val="pt-PT"/>
                    </w:rPr>
                  </w:pPr>
                  <w:r>
                    <w:rPr>
                      <w:b/>
                      <w:sz w:val="24"/>
                      <w:szCs w:val="24"/>
                      <w:lang w:val="pt-PT"/>
                    </w:rPr>
                    <w:t>Diária - 24 hs</w:t>
                  </w:r>
                </w:p>
              </w:tc>
              <w:tc>
                <w:tcPr>
                  <w:tcW w:w="1013" w:type="dxa"/>
                  <w:vAlign w:val="center"/>
                </w:tcPr>
                <w:p w14:paraId="7BD47199">
                  <w:pPr>
                    <w:widowControl w:val="0"/>
                    <w:jc w:val="center"/>
                    <w:rPr>
                      <w:b/>
                      <w:sz w:val="24"/>
                      <w:szCs w:val="24"/>
                      <w:lang w:val="pt-PT"/>
                    </w:rPr>
                  </w:pPr>
                  <w:r>
                    <w:rPr>
                      <w:b/>
                      <w:sz w:val="24"/>
                      <w:szCs w:val="24"/>
                      <w:lang w:val="pt-PT"/>
                    </w:rPr>
                    <w:t>14,9</w:t>
                  </w:r>
                </w:p>
              </w:tc>
              <w:tc>
                <w:tcPr>
                  <w:tcW w:w="1251" w:type="dxa"/>
                  <w:vAlign w:val="center"/>
                </w:tcPr>
                <w:p w14:paraId="2016F7DD">
                  <w:pPr>
                    <w:widowControl w:val="0"/>
                    <w:rPr>
                      <w:b/>
                      <w:sz w:val="24"/>
                      <w:szCs w:val="24"/>
                      <w:lang w:val="pt-PT"/>
                    </w:rPr>
                  </w:pPr>
                  <w:r>
                    <w:rPr>
                      <w:b/>
                      <w:sz w:val="24"/>
                      <w:szCs w:val="24"/>
                      <w:lang w:val="pt-PT"/>
                    </w:rPr>
                    <w:t xml:space="preserve">R$ 55,88 </w:t>
                  </w:r>
                </w:p>
              </w:tc>
            </w:tr>
            <w:tr w14:paraId="39536E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62" w:hRule="atLeast"/>
              </w:trPr>
              <w:tc>
                <w:tcPr>
                  <w:tcW w:w="1583" w:type="dxa"/>
                  <w:gridSpan w:val="2"/>
                  <w:vAlign w:val="center"/>
                </w:tcPr>
                <w:p w14:paraId="3B42B7F4">
                  <w:pPr>
                    <w:widowControl w:val="0"/>
                    <w:jc w:val="center"/>
                    <w:rPr>
                      <w:b/>
                      <w:sz w:val="24"/>
                      <w:szCs w:val="24"/>
                      <w:lang w:val="pt-PT"/>
                    </w:rPr>
                  </w:pPr>
                  <w:r>
                    <w:rPr>
                      <w:b/>
                      <w:sz w:val="24"/>
                      <w:szCs w:val="24"/>
                      <w:lang w:val="pt-PT"/>
                    </w:rPr>
                    <w:t>III</w:t>
                  </w:r>
                </w:p>
              </w:tc>
              <w:tc>
                <w:tcPr>
                  <w:tcW w:w="3618" w:type="dxa"/>
                  <w:gridSpan w:val="3"/>
                  <w:vAlign w:val="center"/>
                </w:tcPr>
                <w:p w14:paraId="0997F19F">
                  <w:pPr>
                    <w:widowControl w:val="0"/>
                    <w:jc w:val="both"/>
                    <w:rPr>
                      <w:b/>
                      <w:sz w:val="24"/>
                      <w:szCs w:val="24"/>
                      <w:lang w:val="pt-PT"/>
                    </w:rPr>
                  </w:pPr>
                  <w:r>
                    <w:rPr>
                      <w:b/>
                      <w:sz w:val="24"/>
                      <w:szCs w:val="24"/>
                      <w:lang w:val="pt-PT"/>
                    </w:rPr>
                    <w:t>Estada no pátio para veículos de carga ou passageiros com peso bruto superior a 3.500 kg, limitadas a 180 dias e</w:t>
                  </w:r>
                </w:p>
              </w:tc>
              <w:tc>
                <w:tcPr>
                  <w:tcW w:w="1607" w:type="dxa"/>
                  <w:gridSpan w:val="3"/>
                  <w:vAlign w:val="center"/>
                </w:tcPr>
                <w:p w14:paraId="251D1C68">
                  <w:pPr>
                    <w:widowControl w:val="0"/>
                    <w:jc w:val="center"/>
                    <w:rPr>
                      <w:b/>
                      <w:sz w:val="24"/>
                      <w:szCs w:val="24"/>
                      <w:lang w:val="pt-PT"/>
                    </w:rPr>
                  </w:pPr>
                  <w:r>
                    <w:rPr>
                      <w:b/>
                      <w:sz w:val="24"/>
                      <w:szCs w:val="24"/>
                      <w:lang w:val="pt-PT"/>
                    </w:rPr>
                    <w:t>Diária - 24 hs</w:t>
                  </w:r>
                </w:p>
              </w:tc>
              <w:tc>
                <w:tcPr>
                  <w:tcW w:w="1013" w:type="dxa"/>
                  <w:vAlign w:val="center"/>
                </w:tcPr>
                <w:p w14:paraId="68D78BBC">
                  <w:pPr>
                    <w:widowControl w:val="0"/>
                    <w:jc w:val="center"/>
                    <w:rPr>
                      <w:b/>
                      <w:sz w:val="24"/>
                      <w:szCs w:val="24"/>
                      <w:lang w:val="pt-PT"/>
                    </w:rPr>
                  </w:pPr>
                  <w:r>
                    <w:rPr>
                      <w:b/>
                      <w:sz w:val="24"/>
                      <w:szCs w:val="24"/>
                      <w:lang w:val="pt-PT"/>
                    </w:rPr>
                    <w:t>21,8</w:t>
                  </w:r>
                </w:p>
              </w:tc>
              <w:tc>
                <w:tcPr>
                  <w:tcW w:w="1251" w:type="dxa"/>
                  <w:vAlign w:val="center"/>
                </w:tcPr>
                <w:p w14:paraId="30188FDA">
                  <w:pPr>
                    <w:widowControl w:val="0"/>
                    <w:rPr>
                      <w:b/>
                      <w:sz w:val="24"/>
                      <w:szCs w:val="24"/>
                      <w:lang w:val="pt-PT"/>
                    </w:rPr>
                  </w:pPr>
                  <w:r>
                    <w:rPr>
                      <w:b/>
                      <w:sz w:val="24"/>
                      <w:szCs w:val="24"/>
                      <w:lang w:val="pt-PT"/>
                    </w:rPr>
                    <w:t xml:space="preserve">R$ 81,75 </w:t>
                  </w:r>
                </w:p>
              </w:tc>
            </w:tr>
            <w:tr w14:paraId="774D5E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52" w:hRule="atLeast"/>
              </w:trPr>
              <w:tc>
                <w:tcPr>
                  <w:tcW w:w="1583" w:type="dxa"/>
                  <w:gridSpan w:val="2"/>
                  <w:vAlign w:val="center"/>
                </w:tcPr>
                <w:p w14:paraId="50D212B8">
                  <w:pPr>
                    <w:widowControl w:val="0"/>
                    <w:jc w:val="center"/>
                    <w:rPr>
                      <w:b/>
                      <w:sz w:val="24"/>
                      <w:szCs w:val="24"/>
                      <w:lang w:val="pt-PT"/>
                    </w:rPr>
                  </w:pPr>
                  <w:r>
                    <w:rPr>
                      <w:b/>
                      <w:sz w:val="24"/>
                      <w:szCs w:val="24"/>
                      <w:lang w:val="pt-PT"/>
                    </w:rPr>
                    <w:t>IV</w:t>
                  </w:r>
                </w:p>
              </w:tc>
              <w:tc>
                <w:tcPr>
                  <w:tcW w:w="3618" w:type="dxa"/>
                  <w:gridSpan w:val="3"/>
                  <w:vAlign w:val="center"/>
                </w:tcPr>
                <w:p w14:paraId="2624FA48">
                  <w:pPr>
                    <w:widowControl w:val="0"/>
                    <w:jc w:val="both"/>
                    <w:rPr>
                      <w:b/>
                      <w:sz w:val="24"/>
                      <w:szCs w:val="24"/>
                      <w:lang w:val="pt-PT"/>
                    </w:rPr>
                  </w:pPr>
                  <w:r>
                    <w:rPr>
                      <w:b/>
                      <w:sz w:val="24"/>
                      <w:szCs w:val="24"/>
                      <w:lang w:val="pt-PT"/>
                    </w:rPr>
                    <w:t>Estada no pátio para veículos articulados, reboque e semirreboque (por documento), limitadas a 180 dias.</w:t>
                  </w:r>
                </w:p>
              </w:tc>
              <w:tc>
                <w:tcPr>
                  <w:tcW w:w="1607" w:type="dxa"/>
                  <w:gridSpan w:val="3"/>
                  <w:vAlign w:val="center"/>
                </w:tcPr>
                <w:p w14:paraId="73A26309">
                  <w:pPr>
                    <w:widowControl w:val="0"/>
                    <w:jc w:val="center"/>
                    <w:rPr>
                      <w:b/>
                      <w:sz w:val="24"/>
                      <w:szCs w:val="24"/>
                      <w:lang w:val="pt-PT"/>
                    </w:rPr>
                  </w:pPr>
                  <w:r>
                    <w:rPr>
                      <w:b/>
                      <w:sz w:val="24"/>
                      <w:szCs w:val="24"/>
                      <w:lang w:val="pt-PT"/>
                    </w:rPr>
                    <w:t>Diária - 24 hs</w:t>
                  </w:r>
                </w:p>
              </w:tc>
              <w:tc>
                <w:tcPr>
                  <w:tcW w:w="1013" w:type="dxa"/>
                  <w:vAlign w:val="center"/>
                </w:tcPr>
                <w:p w14:paraId="37BE4A07">
                  <w:pPr>
                    <w:widowControl w:val="0"/>
                    <w:jc w:val="center"/>
                    <w:rPr>
                      <w:b/>
                      <w:sz w:val="24"/>
                      <w:szCs w:val="24"/>
                      <w:lang w:val="pt-PT"/>
                    </w:rPr>
                  </w:pPr>
                  <w:r>
                    <w:rPr>
                      <w:b/>
                      <w:sz w:val="24"/>
                      <w:szCs w:val="24"/>
                      <w:lang w:val="pt-PT"/>
                    </w:rPr>
                    <w:t>21,8</w:t>
                  </w:r>
                </w:p>
              </w:tc>
              <w:tc>
                <w:tcPr>
                  <w:tcW w:w="1251" w:type="dxa"/>
                  <w:vAlign w:val="center"/>
                </w:tcPr>
                <w:p w14:paraId="1A2ACED4">
                  <w:pPr>
                    <w:widowControl w:val="0"/>
                    <w:rPr>
                      <w:b/>
                      <w:sz w:val="24"/>
                      <w:szCs w:val="24"/>
                      <w:lang w:val="pt-PT"/>
                    </w:rPr>
                  </w:pPr>
                  <w:r>
                    <w:rPr>
                      <w:b/>
                      <w:sz w:val="24"/>
                      <w:szCs w:val="24"/>
                      <w:lang w:val="pt-PT"/>
                    </w:rPr>
                    <w:t xml:space="preserve">R$ 81,75 </w:t>
                  </w:r>
                </w:p>
              </w:tc>
            </w:tr>
            <w:tr w14:paraId="577A1A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5" w:hRule="atLeast"/>
              </w:trPr>
              <w:tc>
                <w:tcPr>
                  <w:tcW w:w="1583" w:type="dxa"/>
                  <w:gridSpan w:val="2"/>
                  <w:vAlign w:val="center"/>
                </w:tcPr>
                <w:p w14:paraId="6E21CE6A">
                  <w:pPr>
                    <w:widowControl w:val="0"/>
                    <w:jc w:val="center"/>
                    <w:rPr>
                      <w:b/>
                      <w:sz w:val="24"/>
                      <w:szCs w:val="24"/>
                      <w:lang w:val="pt-PT"/>
                    </w:rPr>
                  </w:pPr>
                  <w:r>
                    <w:rPr>
                      <w:b/>
                      <w:sz w:val="24"/>
                      <w:szCs w:val="24"/>
                      <w:lang w:val="pt-PT"/>
                    </w:rPr>
                    <w:t>V</w:t>
                  </w:r>
                </w:p>
              </w:tc>
              <w:tc>
                <w:tcPr>
                  <w:tcW w:w="3618" w:type="dxa"/>
                  <w:gridSpan w:val="3"/>
                  <w:vAlign w:val="center"/>
                </w:tcPr>
                <w:p w14:paraId="21F8A707">
                  <w:pPr>
                    <w:widowControl w:val="0"/>
                    <w:jc w:val="both"/>
                    <w:rPr>
                      <w:b/>
                      <w:sz w:val="24"/>
                      <w:szCs w:val="24"/>
                      <w:lang w:val="pt-PT"/>
                    </w:rPr>
                  </w:pPr>
                  <w:r>
                    <w:rPr>
                      <w:b/>
                      <w:sz w:val="24"/>
                      <w:szCs w:val="24"/>
                      <w:lang w:val="pt-PT"/>
                    </w:rPr>
                    <w:t>Estada no pátio para Caçambas, Container e similares</w:t>
                  </w:r>
                </w:p>
              </w:tc>
              <w:tc>
                <w:tcPr>
                  <w:tcW w:w="1607" w:type="dxa"/>
                  <w:gridSpan w:val="3"/>
                  <w:vAlign w:val="center"/>
                </w:tcPr>
                <w:p w14:paraId="5B2C8E62">
                  <w:pPr>
                    <w:widowControl w:val="0"/>
                    <w:jc w:val="center"/>
                    <w:rPr>
                      <w:b/>
                      <w:sz w:val="24"/>
                      <w:szCs w:val="24"/>
                      <w:lang w:val="pt-PT"/>
                    </w:rPr>
                  </w:pPr>
                  <w:r>
                    <w:rPr>
                      <w:b/>
                      <w:sz w:val="24"/>
                      <w:szCs w:val="24"/>
                      <w:lang w:val="pt-PT"/>
                    </w:rPr>
                    <w:t>Diária - 24 hs</w:t>
                  </w:r>
                </w:p>
              </w:tc>
              <w:tc>
                <w:tcPr>
                  <w:tcW w:w="1013" w:type="dxa"/>
                  <w:vAlign w:val="center"/>
                </w:tcPr>
                <w:p w14:paraId="575F3372">
                  <w:pPr>
                    <w:widowControl w:val="0"/>
                    <w:jc w:val="center"/>
                    <w:rPr>
                      <w:b/>
                      <w:sz w:val="24"/>
                      <w:szCs w:val="24"/>
                      <w:lang w:val="pt-PT"/>
                    </w:rPr>
                  </w:pPr>
                  <w:r>
                    <w:rPr>
                      <w:b/>
                      <w:sz w:val="24"/>
                      <w:szCs w:val="24"/>
                      <w:lang w:val="pt-PT"/>
                    </w:rPr>
                    <w:t>9,1</w:t>
                  </w:r>
                </w:p>
              </w:tc>
              <w:tc>
                <w:tcPr>
                  <w:tcW w:w="1251" w:type="dxa"/>
                  <w:vAlign w:val="center"/>
                </w:tcPr>
                <w:p w14:paraId="7A458130">
                  <w:pPr>
                    <w:widowControl w:val="0"/>
                    <w:rPr>
                      <w:b/>
                      <w:sz w:val="24"/>
                      <w:szCs w:val="24"/>
                      <w:lang w:val="pt-PT"/>
                    </w:rPr>
                  </w:pPr>
                  <w:r>
                    <w:rPr>
                      <w:b/>
                      <w:sz w:val="24"/>
                      <w:szCs w:val="24"/>
                      <w:lang w:val="pt-PT"/>
                    </w:rPr>
                    <w:t xml:space="preserve">R$ 34,13 </w:t>
                  </w:r>
                </w:p>
              </w:tc>
            </w:tr>
            <w:tr w14:paraId="68028A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0" w:hRule="atLeast"/>
              </w:trPr>
              <w:tc>
                <w:tcPr>
                  <w:tcW w:w="1583" w:type="dxa"/>
                  <w:gridSpan w:val="2"/>
                  <w:vAlign w:val="center"/>
                </w:tcPr>
                <w:p w14:paraId="0253C6F3">
                  <w:pPr>
                    <w:widowControl w:val="0"/>
                    <w:jc w:val="center"/>
                    <w:rPr>
                      <w:b/>
                      <w:sz w:val="24"/>
                      <w:szCs w:val="24"/>
                      <w:lang w:val="pt-PT"/>
                    </w:rPr>
                  </w:pPr>
                  <w:r>
                    <w:rPr>
                      <w:b/>
                      <w:sz w:val="24"/>
                      <w:szCs w:val="24"/>
                      <w:lang w:val="pt-PT"/>
                    </w:rPr>
                    <w:t>VI</w:t>
                  </w:r>
                </w:p>
              </w:tc>
              <w:tc>
                <w:tcPr>
                  <w:tcW w:w="3618" w:type="dxa"/>
                  <w:gridSpan w:val="3"/>
                  <w:vAlign w:val="center"/>
                </w:tcPr>
                <w:p w14:paraId="63041079">
                  <w:pPr>
                    <w:widowControl w:val="0"/>
                    <w:jc w:val="both"/>
                    <w:rPr>
                      <w:b/>
                      <w:sz w:val="24"/>
                      <w:szCs w:val="24"/>
                      <w:lang w:val="pt-PT"/>
                    </w:rPr>
                  </w:pPr>
                  <w:r>
                    <w:rPr>
                      <w:b/>
                      <w:sz w:val="24"/>
                      <w:szCs w:val="24"/>
                      <w:lang w:val="pt-PT"/>
                    </w:rPr>
                    <w:t>Estada no pátio para Carretinhas</w:t>
                  </w:r>
                </w:p>
              </w:tc>
              <w:tc>
                <w:tcPr>
                  <w:tcW w:w="1607" w:type="dxa"/>
                  <w:gridSpan w:val="3"/>
                  <w:vAlign w:val="center"/>
                </w:tcPr>
                <w:p w14:paraId="2DF8D4A4">
                  <w:pPr>
                    <w:widowControl w:val="0"/>
                    <w:jc w:val="center"/>
                    <w:rPr>
                      <w:b/>
                      <w:sz w:val="24"/>
                      <w:szCs w:val="24"/>
                      <w:lang w:val="pt-PT"/>
                    </w:rPr>
                  </w:pPr>
                  <w:r>
                    <w:rPr>
                      <w:b/>
                      <w:sz w:val="24"/>
                      <w:szCs w:val="24"/>
                      <w:lang w:val="pt-PT"/>
                    </w:rPr>
                    <w:t>Diária - 24 hs</w:t>
                  </w:r>
                </w:p>
              </w:tc>
              <w:tc>
                <w:tcPr>
                  <w:tcW w:w="1013" w:type="dxa"/>
                  <w:vAlign w:val="center"/>
                </w:tcPr>
                <w:p w14:paraId="3E026A86">
                  <w:pPr>
                    <w:widowControl w:val="0"/>
                    <w:jc w:val="center"/>
                    <w:rPr>
                      <w:b/>
                      <w:sz w:val="24"/>
                      <w:szCs w:val="24"/>
                      <w:lang w:val="pt-PT"/>
                    </w:rPr>
                  </w:pPr>
                  <w:r>
                    <w:rPr>
                      <w:b/>
                      <w:sz w:val="24"/>
                      <w:szCs w:val="24"/>
                      <w:lang w:val="pt-PT"/>
                    </w:rPr>
                    <w:t>9,1</w:t>
                  </w:r>
                </w:p>
              </w:tc>
              <w:tc>
                <w:tcPr>
                  <w:tcW w:w="1251" w:type="dxa"/>
                  <w:vAlign w:val="center"/>
                </w:tcPr>
                <w:p w14:paraId="7DBD7370">
                  <w:pPr>
                    <w:widowControl w:val="0"/>
                    <w:rPr>
                      <w:b/>
                      <w:sz w:val="24"/>
                      <w:szCs w:val="24"/>
                      <w:lang w:val="pt-PT"/>
                    </w:rPr>
                  </w:pPr>
                  <w:r>
                    <w:rPr>
                      <w:b/>
                      <w:sz w:val="24"/>
                      <w:szCs w:val="24"/>
                      <w:lang w:val="pt-PT"/>
                    </w:rPr>
                    <w:t xml:space="preserve">R$ 34,13 </w:t>
                  </w:r>
                </w:p>
              </w:tc>
            </w:tr>
          </w:tbl>
          <w:p w14:paraId="204A882E">
            <w:pPr>
              <w:rPr>
                <w:sz w:val="24"/>
                <w:szCs w:val="24"/>
              </w:rPr>
            </w:pPr>
          </w:p>
        </w:tc>
      </w:tr>
      <w:tr w14:paraId="21B7E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9" w:type="dxa"/>
          </w:tcPr>
          <w:p w14:paraId="5860C2A6">
            <w:pPr>
              <w:rPr>
                <w:sz w:val="24"/>
                <w:szCs w:val="24"/>
              </w:rPr>
            </w:pPr>
            <w:r>
              <w:rPr>
                <w:b/>
                <w:bCs/>
                <w:sz w:val="24"/>
                <w:szCs w:val="24"/>
              </w:rPr>
              <w:t>2.2 Natureza do Objeto:</w:t>
            </w:r>
          </w:p>
          <w:p w14:paraId="13182E61">
            <w:pPr>
              <w:ind w:firstLine="720" w:firstLineChars="300"/>
              <w:jc w:val="both"/>
              <w:rPr>
                <w:sz w:val="24"/>
                <w:szCs w:val="24"/>
              </w:rPr>
            </w:pPr>
            <w:r>
              <w:rPr>
                <w:sz w:val="24"/>
                <w:szCs w:val="24"/>
              </w:rPr>
              <w:t>O Objeto a ser contratado se enquadra na categoria de bens e serviços comuns, uma vez que possui padrões de desempenho e qualidade que podem ser definidos no edital, por especificações usuais do mercado de acordo com os termos do inciso XIII  do art. 6° da Lei 14.133/2021.</w:t>
            </w:r>
          </w:p>
        </w:tc>
      </w:tr>
      <w:tr w14:paraId="04D0F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9" w:type="dxa"/>
          </w:tcPr>
          <w:p w14:paraId="27C1F558">
            <w:pPr>
              <w:jc w:val="both"/>
              <w:rPr>
                <w:b/>
                <w:bCs/>
                <w:sz w:val="24"/>
                <w:szCs w:val="24"/>
              </w:rPr>
            </w:pPr>
            <w:r>
              <w:rPr>
                <w:b/>
                <w:bCs/>
                <w:sz w:val="24"/>
                <w:szCs w:val="24"/>
              </w:rPr>
              <w:t>2.3 Estimativa de consumo individualizada de cada um dos órgãos participantes:</w:t>
            </w:r>
          </w:p>
          <w:p w14:paraId="56EE08B5">
            <w:pPr>
              <w:ind w:firstLine="720" w:firstLineChars="300"/>
              <w:jc w:val="both"/>
              <w:rPr>
                <w:sz w:val="24"/>
                <w:szCs w:val="24"/>
              </w:rPr>
            </w:pPr>
            <w:r>
              <w:rPr>
                <w:sz w:val="24"/>
                <w:szCs w:val="24"/>
              </w:rPr>
              <w:t>Processo exclusivo para a Secretaria Municipal de Segurança e Trânsito.</w:t>
            </w:r>
          </w:p>
        </w:tc>
      </w:tr>
      <w:tr w14:paraId="481B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9" w:type="dxa"/>
          </w:tcPr>
          <w:p w14:paraId="386B7A72">
            <w:pPr>
              <w:jc w:val="both"/>
              <w:rPr>
                <w:b/>
                <w:bCs/>
                <w:sz w:val="24"/>
                <w:szCs w:val="24"/>
              </w:rPr>
            </w:pPr>
            <w:r>
              <w:rPr>
                <w:b/>
                <w:bCs/>
                <w:sz w:val="24"/>
                <w:szCs w:val="24"/>
              </w:rPr>
              <w:t>2.3.1. Secretaria Municipal de Segurança e Trânsito:</w:t>
            </w:r>
          </w:p>
          <w:p w14:paraId="13C136BE">
            <w:pPr>
              <w:jc w:val="both"/>
              <w:rPr>
                <w:sz w:val="24"/>
                <w:szCs w:val="24"/>
              </w:rPr>
            </w:pPr>
            <w:r>
              <w:rPr>
                <w:sz w:val="24"/>
                <w:szCs w:val="24"/>
              </w:rPr>
              <w:t xml:space="preserve">            Trata-se de um processo de credenciamento, onde todas as empresas que atenderem aos requisitos estipulados no edital, irão prestar os mesmos serviços, com os valores estipulados na Lei Municipal nº 2.985/2021 (com alterações trazidas pelas Leis 2998/2021 e 3449/2025). Os valores constantes na Lei estão todos em Unidade de Referência (Lei Complementar 109/2014) e, para o ano de 2025, utilizamos o Decreto 356/2024 que fixou a U.R. para o ano de 2025 em R$ 3,75 (três reais e setenta e cinco centavos).</w:t>
            </w:r>
          </w:p>
          <w:tbl>
            <w:tblPr>
              <w:tblStyle w:val="12"/>
              <w:tblW w:w="907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69"/>
              <w:gridCol w:w="14"/>
              <w:gridCol w:w="3605"/>
              <w:gridCol w:w="13"/>
              <w:gridCol w:w="865"/>
              <w:gridCol w:w="726"/>
              <w:gridCol w:w="16"/>
              <w:gridCol w:w="1013"/>
              <w:gridCol w:w="1251"/>
            </w:tblGrid>
            <w:tr w14:paraId="52163E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6" w:hRule="atLeast"/>
              </w:trPr>
              <w:tc>
                <w:tcPr>
                  <w:tcW w:w="9072" w:type="dxa"/>
                  <w:gridSpan w:val="9"/>
                  <w:shd w:val="clear" w:color="auto" w:fill="EAF1DD"/>
                  <w:vAlign w:val="center"/>
                </w:tcPr>
                <w:p w14:paraId="765DDE47">
                  <w:pPr>
                    <w:widowControl w:val="0"/>
                    <w:jc w:val="center"/>
                    <w:rPr>
                      <w:b/>
                      <w:bCs/>
                      <w:sz w:val="24"/>
                      <w:szCs w:val="24"/>
                      <w:lang w:val="pt-PT"/>
                    </w:rPr>
                  </w:pPr>
                  <w:r>
                    <w:rPr>
                      <w:b/>
                      <w:bCs/>
                      <w:sz w:val="24"/>
                      <w:szCs w:val="24"/>
                      <w:lang w:val="pt-PT"/>
                    </w:rPr>
                    <w:t>Lei Municipal 2.985/2021</w:t>
                  </w:r>
                </w:p>
                <w:p w14:paraId="0A254009">
                  <w:pPr>
                    <w:widowControl w:val="0"/>
                    <w:jc w:val="center"/>
                    <w:rPr>
                      <w:b/>
                      <w:bCs/>
                      <w:sz w:val="24"/>
                      <w:szCs w:val="24"/>
                      <w:lang w:val="pt-PT"/>
                    </w:rPr>
                  </w:pPr>
                  <w:r>
                    <w:rPr>
                      <w:b/>
                      <w:bCs/>
                      <w:sz w:val="24"/>
                      <w:szCs w:val="24"/>
                      <w:lang w:val="pt-PT"/>
                    </w:rPr>
                    <w:t>DOS VALORES ADICIONAIS - ARTIGO 14 - § 2º, § 4º E § 8º</w:t>
                  </w:r>
                </w:p>
              </w:tc>
            </w:tr>
            <w:tr w14:paraId="7E5999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69" w:type="dxa"/>
                  <w:shd w:val="clear" w:color="auto" w:fill="EAF1DD"/>
                  <w:vAlign w:val="center"/>
                </w:tcPr>
                <w:p w14:paraId="3A6EA55F">
                  <w:pPr>
                    <w:widowControl w:val="0"/>
                    <w:jc w:val="center"/>
                    <w:rPr>
                      <w:b/>
                      <w:bCs/>
                      <w:sz w:val="24"/>
                      <w:szCs w:val="24"/>
                    </w:rPr>
                  </w:pPr>
                  <w:r>
                    <w:rPr>
                      <w:b/>
                      <w:bCs/>
                      <w:sz w:val="24"/>
                      <w:szCs w:val="24"/>
                      <w:lang w:val="pt-PT"/>
                    </w:rPr>
                    <w:t>Item</w:t>
                  </w:r>
                </w:p>
              </w:tc>
              <w:tc>
                <w:tcPr>
                  <w:tcW w:w="3619" w:type="dxa"/>
                  <w:gridSpan w:val="2"/>
                  <w:shd w:val="clear" w:color="auto" w:fill="EAF1DD"/>
                  <w:vAlign w:val="center"/>
                </w:tcPr>
                <w:p w14:paraId="41CB0E65">
                  <w:pPr>
                    <w:widowControl w:val="0"/>
                    <w:jc w:val="center"/>
                    <w:rPr>
                      <w:b/>
                      <w:bCs/>
                      <w:sz w:val="24"/>
                      <w:szCs w:val="24"/>
                      <w:lang w:val="pt-PT"/>
                    </w:rPr>
                  </w:pPr>
                  <w:r>
                    <w:rPr>
                      <w:b/>
                      <w:bCs/>
                      <w:sz w:val="24"/>
                      <w:szCs w:val="24"/>
                      <w:lang w:val="pt-PT"/>
                    </w:rPr>
                    <w:t>Descrição dos Serviços</w:t>
                  </w:r>
                </w:p>
              </w:tc>
              <w:tc>
                <w:tcPr>
                  <w:tcW w:w="878" w:type="dxa"/>
                  <w:gridSpan w:val="2"/>
                  <w:shd w:val="clear" w:color="auto" w:fill="EAF1DD"/>
                  <w:vAlign w:val="center"/>
                </w:tcPr>
                <w:p w14:paraId="25F40D36">
                  <w:pPr>
                    <w:widowControl w:val="0"/>
                    <w:jc w:val="center"/>
                    <w:rPr>
                      <w:b/>
                      <w:bCs/>
                      <w:sz w:val="24"/>
                      <w:szCs w:val="24"/>
                      <w:lang w:val="pt-PT"/>
                    </w:rPr>
                  </w:pPr>
                  <w:r>
                    <w:rPr>
                      <w:b/>
                      <w:bCs/>
                      <w:sz w:val="24"/>
                      <w:szCs w:val="24"/>
                      <w:lang w:val="pt-PT"/>
                    </w:rPr>
                    <w:t>Unidade</w:t>
                  </w:r>
                </w:p>
              </w:tc>
              <w:tc>
                <w:tcPr>
                  <w:tcW w:w="1755" w:type="dxa"/>
                  <w:gridSpan w:val="3"/>
                  <w:shd w:val="clear" w:color="auto" w:fill="EAF1DD"/>
                  <w:vAlign w:val="center"/>
                </w:tcPr>
                <w:p w14:paraId="1EABA643">
                  <w:pPr>
                    <w:widowControl w:val="0"/>
                    <w:jc w:val="center"/>
                    <w:rPr>
                      <w:b/>
                      <w:bCs/>
                      <w:sz w:val="24"/>
                      <w:szCs w:val="24"/>
                      <w:lang w:val="pt-PT"/>
                    </w:rPr>
                  </w:pPr>
                  <w:r>
                    <w:rPr>
                      <w:b/>
                      <w:bCs/>
                      <w:sz w:val="24"/>
                      <w:szCs w:val="24"/>
                      <w:lang w:val="pt-PT"/>
                    </w:rPr>
                    <w:t>Valor em UR</w:t>
                  </w:r>
                  <w:r>
                    <w:rPr>
                      <w:b/>
                      <w:bCs/>
                      <w:sz w:val="24"/>
                      <w:szCs w:val="24"/>
                      <w:lang w:val="pt-PT"/>
                    </w:rPr>
                    <w:br w:type="textWrapping"/>
                  </w:r>
                  <w:r>
                    <w:rPr>
                      <w:b/>
                      <w:bCs/>
                      <w:sz w:val="24"/>
                      <w:szCs w:val="24"/>
                      <w:lang w:val="pt-PT"/>
                    </w:rPr>
                    <w:t>Lei Comp. 109/2014</w:t>
                  </w:r>
                  <w:r>
                    <w:rPr>
                      <w:b/>
                      <w:bCs/>
                      <w:sz w:val="24"/>
                      <w:szCs w:val="24"/>
                      <w:lang w:val="pt-PT"/>
                    </w:rPr>
                    <w:br w:type="textWrapping"/>
                  </w:r>
                  <w:r>
                    <w:rPr>
                      <w:b/>
                      <w:bCs/>
                      <w:sz w:val="24"/>
                      <w:szCs w:val="24"/>
                      <w:lang w:val="pt-PT"/>
                    </w:rPr>
                    <w:t>Decreto 356/2024</w:t>
                  </w:r>
                </w:p>
              </w:tc>
              <w:tc>
                <w:tcPr>
                  <w:tcW w:w="1251" w:type="dxa"/>
                  <w:shd w:val="clear" w:color="auto" w:fill="EAF1DD"/>
                  <w:vAlign w:val="center"/>
                </w:tcPr>
                <w:p w14:paraId="3A16236B">
                  <w:pPr>
                    <w:widowControl w:val="0"/>
                    <w:jc w:val="center"/>
                    <w:rPr>
                      <w:b/>
                      <w:bCs/>
                      <w:sz w:val="24"/>
                      <w:szCs w:val="24"/>
                      <w:lang w:val="pt-PT"/>
                    </w:rPr>
                  </w:pPr>
                  <w:r>
                    <w:rPr>
                      <w:b/>
                      <w:bCs/>
                      <w:sz w:val="24"/>
                      <w:szCs w:val="24"/>
                      <w:lang w:val="pt-PT"/>
                    </w:rPr>
                    <w:t>Valor em R$</w:t>
                  </w:r>
                  <w:r>
                    <w:rPr>
                      <w:b/>
                      <w:bCs/>
                      <w:sz w:val="24"/>
                      <w:szCs w:val="24"/>
                      <w:lang w:val="pt-PT"/>
                    </w:rPr>
                    <w:br w:type="textWrapping"/>
                  </w:r>
                  <w:r>
                    <w:rPr>
                      <w:b/>
                      <w:bCs/>
                      <w:sz w:val="24"/>
                      <w:szCs w:val="24"/>
                      <w:lang w:val="pt-PT"/>
                    </w:rPr>
                    <w:t>Ano 2025</w:t>
                  </w:r>
                </w:p>
              </w:tc>
            </w:tr>
            <w:tr w14:paraId="292E6B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10" w:hRule="atLeast"/>
              </w:trPr>
              <w:tc>
                <w:tcPr>
                  <w:tcW w:w="1569" w:type="dxa"/>
                  <w:vAlign w:val="center"/>
                </w:tcPr>
                <w:p w14:paraId="4E706C88">
                  <w:pPr>
                    <w:widowControl w:val="0"/>
                    <w:jc w:val="center"/>
                    <w:rPr>
                      <w:b/>
                      <w:sz w:val="24"/>
                      <w:szCs w:val="24"/>
                      <w:lang w:val="pt-PT"/>
                    </w:rPr>
                  </w:pPr>
                  <w:r>
                    <w:rPr>
                      <w:b/>
                      <w:sz w:val="24"/>
                      <w:szCs w:val="24"/>
                      <w:lang w:val="pt-PT"/>
                    </w:rPr>
                    <w:t>I</w:t>
                  </w:r>
                </w:p>
              </w:tc>
              <w:tc>
                <w:tcPr>
                  <w:tcW w:w="3619" w:type="dxa"/>
                  <w:gridSpan w:val="2"/>
                  <w:vAlign w:val="center"/>
                </w:tcPr>
                <w:p w14:paraId="4A006E8E">
                  <w:pPr>
                    <w:widowControl w:val="0"/>
                    <w:jc w:val="both"/>
                    <w:rPr>
                      <w:b/>
                      <w:sz w:val="24"/>
                      <w:szCs w:val="24"/>
                      <w:lang w:val="pt-PT"/>
                    </w:rPr>
                  </w:pPr>
                  <w:r>
                    <w:rPr>
                      <w:b/>
                      <w:sz w:val="24"/>
                      <w:szCs w:val="24"/>
                      <w:lang w:val="pt-PT"/>
                    </w:rPr>
                    <w:t>Artigo 14 - § 2º. Em casos de exigência por parte do condutor/proprietário de remoção com exclusividade, será cobrada Taxa Adicional no valor de 30 (trinta) U.R.`s - Unidades de Referência.</w:t>
                  </w:r>
                </w:p>
              </w:tc>
              <w:tc>
                <w:tcPr>
                  <w:tcW w:w="878" w:type="dxa"/>
                  <w:gridSpan w:val="2"/>
                  <w:vAlign w:val="center"/>
                </w:tcPr>
                <w:p w14:paraId="0D9E0C90">
                  <w:pPr>
                    <w:widowControl w:val="0"/>
                    <w:rPr>
                      <w:b/>
                      <w:sz w:val="24"/>
                      <w:szCs w:val="24"/>
                      <w:lang w:val="pt-PT"/>
                    </w:rPr>
                  </w:pPr>
                  <w:r>
                    <w:rPr>
                      <w:b/>
                      <w:sz w:val="24"/>
                      <w:szCs w:val="24"/>
                      <w:lang w:val="pt-PT"/>
                    </w:rPr>
                    <w:t xml:space="preserve"> Serviço Fixo </w:t>
                  </w:r>
                </w:p>
              </w:tc>
              <w:tc>
                <w:tcPr>
                  <w:tcW w:w="1755" w:type="dxa"/>
                  <w:gridSpan w:val="3"/>
                  <w:vAlign w:val="center"/>
                </w:tcPr>
                <w:p w14:paraId="0354B507">
                  <w:pPr>
                    <w:widowControl w:val="0"/>
                    <w:jc w:val="center"/>
                    <w:rPr>
                      <w:b/>
                      <w:sz w:val="24"/>
                      <w:szCs w:val="24"/>
                      <w:lang w:val="pt-PT"/>
                    </w:rPr>
                  </w:pPr>
                  <w:r>
                    <w:rPr>
                      <w:b/>
                      <w:sz w:val="24"/>
                      <w:szCs w:val="24"/>
                      <w:lang w:val="pt-PT"/>
                    </w:rPr>
                    <w:t>30</w:t>
                  </w:r>
                </w:p>
              </w:tc>
              <w:tc>
                <w:tcPr>
                  <w:tcW w:w="1251" w:type="dxa"/>
                  <w:vAlign w:val="center"/>
                </w:tcPr>
                <w:p w14:paraId="63B1704F">
                  <w:pPr>
                    <w:widowControl w:val="0"/>
                    <w:rPr>
                      <w:b/>
                      <w:sz w:val="24"/>
                      <w:szCs w:val="24"/>
                      <w:lang w:val="pt-PT"/>
                    </w:rPr>
                  </w:pPr>
                  <w:r>
                    <w:rPr>
                      <w:b/>
                      <w:sz w:val="24"/>
                      <w:szCs w:val="24"/>
                      <w:lang w:val="pt-PT"/>
                    </w:rPr>
                    <w:t xml:space="preserve">R$ 112,50 </w:t>
                  </w:r>
                </w:p>
              </w:tc>
            </w:tr>
            <w:tr w14:paraId="0DCAFF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95" w:hRule="atLeast"/>
              </w:trPr>
              <w:tc>
                <w:tcPr>
                  <w:tcW w:w="1569" w:type="dxa"/>
                  <w:vAlign w:val="center"/>
                </w:tcPr>
                <w:p w14:paraId="74D8642F">
                  <w:pPr>
                    <w:widowControl w:val="0"/>
                    <w:jc w:val="center"/>
                    <w:rPr>
                      <w:b/>
                      <w:sz w:val="24"/>
                      <w:szCs w:val="24"/>
                      <w:lang w:val="pt-PT"/>
                    </w:rPr>
                  </w:pPr>
                  <w:r>
                    <w:rPr>
                      <w:b/>
                      <w:sz w:val="24"/>
                      <w:szCs w:val="24"/>
                      <w:lang w:val="pt-PT"/>
                    </w:rPr>
                    <w:t>II</w:t>
                  </w:r>
                </w:p>
              </w:tc>
              <w:tc>
                <w:tcPr>
                  <w:tcW w:w="3619" w:type="dxa"/>
                  <w:gridSpan w:val="2"/>
                  <w:vAlign w:val="center"/>
                </w:tcPr>
                <w:p w14:paraId="2C8843C8">
                  <w:pPr>
                    <w:widowControl w:val="0"/>
                    <w:jc w:val="both"/>
                    <w:rPr>
                      <w:b/>
                      <w:sz w:val="24"/>
                      <w:szCs w:val="24"/>
                      <w:lang w:val="pt-PT"/>
                    </w:rPr>
                  </w:pPr>
                  <w:r>
                    <w:rPr>
                      <w:b/>
                      <w:sz w:val="24"/>
                      <w:szCs w:val="24"/>
                      <w:lang w:val="pt-PT"/>
                    </w:rPr>
                    <w:t>Artigo 14 - § 4°. No caso de veículos com característica alterada que dificultem a remoção, bem como, remoções que sejam dificultadas pelo condutor/proprietário, será cobrada Taxa Adicional no valor de 30 (trinta) U.R.`s - Unidades de Referência.</w:t>
                  </w:r>
                </w:p>
              </w:tc>
              <w:tc>
                <w:tcPr>
                  <w:tcW w:w="878" w:type="dxa"/>
                  <w:gridSpan w:val="2"/>
                  <w:vAlign w:val="center"/>
                </w:tcPr>
                <w:p w14:paraId="029D07EE">
                  <w:pPr>
                    <w:widowControl w:val="0"/>
                    <w:rPr>
                      <w:b/>
                      <w:sz w:val="24"/>
                      <w:szCs w:val="24"/>
                      <w:lang w:val="pt-PT"/>
                    </w:rPr>
                  </w:pPr>
                  <w:r>
                    <w:rPr>
                      <w:b/>
                      <w:sz w:val="24"/>
                      <w:szCs w:val="24"/>
                      <w:lang w:val="pt-PT"/>
                    </w:rPr>
                    <w:t xml:space="preserve"> Serviço Fixo </w:t>
                  </w:r>
                </w:p>
              </w:tc>
              <w:tc>
                <w:tcPr>
                  <w:tcW w:w="1755" w:type="dxa"/>
                  <w:gridSpan w:val="3"/>
                  <w:vAlign w:val="center"/>
                </w:tcPr>
                <w:p w14:paraId="5D45F8BF">
                  <w:pPr>
                    <w:widowControl w:val="0"/>
                    <w:jc w:val="center"/>
                    <w:rPr>
                      <w:b/>
                      <w:sz w:val="24"/>
                      <w:szCs w:val="24"/>
                      <w:lang w:val="pt-PT"/>
                    </w:rPr>
                  </w:pPr>
                  <w:r>
                    <w:rPr>
                      <w:b/>
                      <w:sz w:val="24"/>
                      <w:szCs w:val="24"/>
                      <w:lang w:val="pt-PT"/>
                    </w:rPr>
                    <w:t>30</w:t>
                  </w:r>
                </w:p>
              </w:tc>
              <w:tc>
                <w:tcPr>
                  <w:tcW w:w="1251" w:type="dxa"/>
                  <w:vAlign w:val="center"/>
                </w:tcPr>
                <w:p w14:paraId="60649593">
                  <w:pPr>
                    <w:widowControl w:val="0"/>
                    <w:rPr>
                      <w:b/>
                      <w:sz w:val="24"/>
                      <w:szCs w:val="24"/>
                      <w:lang w:val="pt-PT"/>
                    </w:rPr>
                  </w:pPr>
                  <w:r>
                    <w:rPr>
                      <w:b/>
                      <w:sz w:val="24"/>
                      <w:szCs w:val="24"/>
                      <w:lang w:val="pt-PT"/>
                    </w:rPr>
                    <w:t xml:space="preserve">R$ 112,50 </w:t>
                  </w:r>
                </w:p>
              </w:tc>
            </w:tr>
            <w:tr w14:paraId="4D7379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25" w:hRule="atLeast"/>
              </w:trPr>
              <w:tc>
                <w:tcPr>
                  <w:tcW w:w="1569" w:type="dxa"/>
                  <w:vAlign w:val="center"/>
                </w:tcPr>
                <w:p w14:paraId="3FAEDB5E">
                  <w:pPr>
                    <w:widowControl w:val="0"/>
                    <w:jc w:val="center"/>
                    <w:rPr>
                      <w:b/>
                      <w:sz w:val="24"/>
                      <w:szCs w:val="24"/>
                      <w:lang w:val="pt-PT"/>
                    </w:rPr>
                  </w:pPr>
                  <w:r>
                    <w:rPr>
                      <w:b/>
                      <w:sz w:val="24"/>
                      <w:szCs w:val="24"/>
                      <w:lang w:val="pt-PT"/>
                    </w:rPr>
                    <w:t>III</w:t>
                  </w:r>
                </w:p>
              </w:tc>
              <w:tc>
                <w:tcPr>
                  <w:tcW w:w="3619" w:type="dxa"/>
                  <w:gridSpan w:val="2"/>
                  <w:vAlign w:val="center"/>
                </w:tcPr>
                <w:p w14:paraId="322289EE">
                  <w:pPr>
                    <w:widowControl w:val="0"/>
                    <w:jc w:val="both"/>
                    <w:rPr>
                      <w:b/>
                      <w:sz w:val="24"/>
                      <w:szCs w:val="24"/>
                      <w:lang w:val="pt-PT"/>
                    </w:rPr>
                  </w:pPr>
                  <w:r>
                    <w:rPr>
                      <w:b/>
                      <w:sz w:val="24"/>
                      <w:szCs w:val="24"/>
                      <w:lang w:val="pt-PT"/>
                    </w:rPr>
                    <w:t>Artigo 14 - § 8º. Nos casos de veículos envolvidos em acidentes que impossibilitem a remoção pela plataforma do guincho, os agentes poderão acionar os serviços de munck para assim fazer a retirada do veículo do local, será cobrada a taxa adicional no valor de 86 (oitenta e seis) U.R.`s - Unidades de Referência.</w:t>
                  </w:r>
                </w:p>
              </w:tc>
              <w:tc>
                <w:tcPr>
                  <w:tcW w:w="878" w:type="dxa"/>
                  <w:gridSpan w:val="2"/>
                  <w:vAlign w:val="center"/>
                </w:tcPr>
                <w:p w14:paraId="72122EB3">
                  <w:pPr>
                    <w:widowControl w:val="0"/>
                    <w:rPr>
                      <w:b/>
                      <w:sz w:val="24"/>
                      <w:szCs w:val="24"/>
                      <w:lang w:val="pt-PT"/>
                    </w:rPr>
                  </w:pPr>
                  <w:r>
                    <w:rPr>
                      <w:b/>
                      <w:sz w:val="24"/>
                      <w:szCs w:val="24"/>
                      <w:lang w:val="pt-PT"/>
                    </w:rPr>
                    <w:t xml:space="preserve"> Serviço Fixo </w:t>
                  </w:r>
                </w:p>
              </w:tc>
              <w:tc>
                <w:tcPr>
                  <w:tcW w:w="1755" w:type="dxa"/>
                  <w:gridSpan w:val="3"/>
                  <w:vAlign w:val="center"/>
                </w:tcPr>
                <w:p w14:paraId="3E966E8E">
                  <w:pPr>
                    <w:widowControl w:val="0"/>
                    <w:jc w:val="center"/>
                    <w:rPr>
                      <w:b/>
                      <w:sz w:val="24"/>
                      <w:szCs w:val="24"/>
                      <w:lang w:val="pt-PT"/>
                    </w:rPr>
                  </w:pPr>
                  <w:r>
                    <w:rPr>
                      <w:b/>
                      <w:sz w:val="24"/>
                      <w:szCs w:val="24"/>
                      <w:lang w:val="pt-PT"/>
                    </w:rPr>
                    <w:t>86</w:t>
                  </w:r>
                </w:p>
              </w:tc>
              <w:tc>
                <w:tcPr>
                  <w:tcW w:w="1251" w:type="dxa"/>
                  <w:vAlign w:val="center"/>
                </w:tcPr>
                <w:p w14:paraId="2C1C1C39">
                  <w:pPr>
                    <w:widowControl w:val="0"/>
                    <w:rPr>
                      <w:b/>
                      <w:sz w:val="24"/>
                      <w:szCs w:val="24"/>
                      <w:lang w:val="pt-PT"/>
                    </w:rPr>
                  </w:pPr>
                  <w:r>
                    <w:rPr>
                      <w:b/>
                      <w:sz w:val="24"/>
                      <w:szCs w:val="24"/>
                      <w:lang w:val="pt-PT"/>
                    </w:rPr>
                    <w:t xml:space="preserve">R$ 322,50 </w:t>
                  </w:r>
                </w:p>
              </w:tc>
            </w:tr>
            <w:tr w14:paraId="750621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3" w:hRule="atLeast"/>
              </w:trPr>
              <w:tc>
                <w:tcPr>
                  <w:tcW w:w="9072" w:type="dxa"/>
                  <w:gridSpan w:val="9"/>
                  <w:shd w:val="clear" w:color="auto" w:fill="EAF1DD"/>
                  <w:vAlign w:val="center"/>
                </w:tcPr>
                <w:p w14:paraId="621BE375">
                  <w:pPr>
                    <w:widowControl w:val="0"/>
                    <w:jc w:val="center"/>
                    <w:rPr>
                      <w:b/>
                      <w:bCs/>
                      <w:sz w:val="24"/>
                      <w:szCs w:val="24"/>
                      <w:lang w:val="pt-PT"/>
                    </w:rPr>
                  </w:pPr>
                  <w:r>
                    <w:rPr>
                      <w:b/>
                      <w:bCs/>
                      <w:sz w:val="24"/>
                      <w:szCs w:val="24"/>
                      <w:lang w:val="pt-PT"/>
                    </w:rPr>
                    <w:t>Anexo I - Lei Municipal 2.985/2021</w:t>
                  </w:r>
                </w:p>
                <w:p w14:paraId="62F1E5B4">
                  <w:pPr>
                    <w:widowControl w:val="0"/>
                    <w:jc w:val="center"/>
                    <w:rPr>
                      <w:b/>
                      <w:bCs/>
                      <w:sz w:val="24"/>
                      <w:szCs w:val="24"/>
                      <w:lang w:val="pt-PT"/>
                    </w:rPr>
                  </w:pPr>
                  <w:r>
                    <w:rPr>
                      <w:b/>
                      <w:bCs/>
                      <w:sz w:val="24"/>
                      <w:szCs w:val="24"/>
                      <w:lang w:val="pt-PT"/>
                    </w:rPr>
                    <w:t>DOS VALORES DO SERVIÇO DE REMOÇÃO/GUINCHO POR TIPO DE VEÍCULO - Art. 14, § 1º</w:t>
                  </w:r>
                </w:p>
              </w:tc>
            </w:tr>
            <w:tr w14:paraId="4C354C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07386AEE">
                  <w:pPr>
                    <w:widowControl w:val="0"/>
                    <w:jc w:val="center"/>
                    <w:rPr>
                      <w:b/>
                      <w:bCs/>
                      <w:sz w:val="24"/>
                      <w:szCs w:val="24"/>
                    </w:rPr>
                  </w:pPr>
                  <w:r>
                    <w:rPr>
                      <w:b/>
                      <w:bCs/>
                      <w:sz w:val="24"/>
                      <w:szCs w:val="24"/>
                      <w:lang w:val="pt-PT"/>
                    </w:rPr>
                    <w:t>Item</w:t>
                  </w:r>
                </w:p>
              </w:tc>
              <w:tc>
                <w:tcPr>
                  <w:tcW w:w="3605" w:type="dxa"/>
                  <w:shd w:val="clear" w:color="auto" w:fill="EAF1DD"/>
                  <w:vAlign w:val="center"/>
                </w:tcPr>
                <w:p w14:paraId="1A6AEBEE">
                  <w:pPr>
                    <w:widowControl w:val="0"/>
                    <w:jc w:val="center"/>
                    <w:rPr>
                      <w:b/>
                      <w:bCs/>
                      <w:sz w:val="24"/>
                      <w:szCs w:val="24"/>
                      <w:lang w:val="pt-PT"/>
                    </w:rPr>
                  </w:pPr>
                  <w:r>
                    <w:rPr>
                      <w:b/>
                      <w:bCs/>
                      <w:sz w:val="24"/>
                      <w:szCs w:val="24"/>
                      <w:lang w:val="pt-PT"/>
                    </w:rPr>
                    <w:t>Descrição dos Serviços</w:t>
                  </w:r>
                </w:p>
              </w:tc>
              <w:tc>
                <w:tcPr>
                  <w:tcW w:w="1604" w:type="dxa"/>
                  <w:gridSpan w:val="3"/>
                  <w:shd w:val="clear" w:color="auto" w:fill="EAF1DD"/>
                  <w:vAlign w:val="center"/>
                </w:tcPr>
                <w:p w14:paraId="12E9B72C">
                  <w:pPr>
                    <w:widowControl w:val="0"/>
                    <w:jc w:val="center"/>
                    <w:rPr>
                      <w:b/>
                      <w:bCs/>
                      <w:sz w:val="24"/>
                      <w:szCs w:val="24"/>
                      <w:lang w:val="pt-PT"/>
                    </w:rPr>
                  </w:pPr>
                  <w:r>
                    <w:rPr>
                      <w:b/>
                      <w:bCs/>
                      <w:sz w:val="24"/>
                      <w:szCs w:val="24"/>
                      <w:lang w:val="pt-PT"/>
                    </w:rPr>
                    <w:t>Unidade</w:t>
                  </w:r>
                </w:p>
              </w:tc>
              <w:tc>
                <w:tcPr>
                  <w:tcW w:w="1029" w:type="dxa"/>
                  <w:gridSpan w:val="2"/>
                  <w:shd w:val="clear" w:color="auto" w:fill="EAF1DD"/>
                  <w:vAlign w:val="center"/>
                </w:tcPr>
                <w:p w14:paraId="2B24BED2">
                  <w:pPr>
                    <w:widowControl w:val="0"/>
                    <w:jc w:val="center"/>
                    <w:rPr>
                      <w:b/>
                      <w:bCs/>
                      <w:sz w:val="24"/>
                      <w:szCs w:val="24"/>
                      <w:lang w:val="pt-PT"/>
                    </w:rPr>
                  </w:pPr>
                  <w:r>
                    <w:rPr>
                      <w:b/>
                      <w:bCs/>
                      <w:sz w:val="24"/>
                      <w:szCs w:val="24"/>
                      <w:lang w:val="pt-PT"/>
                    </w:rPr>
                    <w:t>Valor em UR</w:t>
                  </w:r>
                  <w:r>
                    <w:rPr>
                      <w:b/>
                      <w:bCs/>
                      <w:sz w:val="24"/>
                      <w:szCs w:val="24"/>
                      <w:lang w:val="pt-PT"/>
                    </w:rPr>
                    <w:br w:type="textWrapping"/>
                  </w:r>
                  <w:r>
                    <w:rPr>
                      <w:b/>
                      <w:bCs/>
                      <w:sz w:val="24"/>
                      <w:szCs w:val="24"/>
                      <w:lang w:val="pt-PT"/>
                    </w:rPr>
                    <w:t>Lei Comp. 109/2014</w:t>
                  </w:r>
                  <w:r>
                    <w:rPr>
                      <w:b/>
                      <w:bCs/>
                      <w:sz w:val="24"/>
                      <w:szCs w:val="24"/>
                      <w:lang w:val="pt-PT"/>
                    </w:rPr>
                    <w:br w:type="textWrapping"/>
                  </w:r>
                  <w:r>
                    <w:rPr>
                      <w:b/>
                      <w:bCs/>
                      <w:sz w:val="24"/>
                      <w:szCs w:val="24"/>
                      <w:lang w:val="pt-PT"/>
                    </w:rPr>
                    <w:t>Decreto 356/2024</w:t>
                  </w:r>
                </w:p>
              </w:tc>
              <w:tc>
                <w:tcPr>
                  <w:tcW w:w="1251" w:type="dxa"/>
                  <w:shd w:val="clear" w:color="auto" w:fill="EAF1DD"/>
                  <w:vAlign w:val="center"/>
                </w:tcPr>
                <w:p w14:paraId="3BB93BBB">
                  <w:pPr>
                    <w:widowControl w:val="0"/>
                    <w:jc w:val="center"/>
                    <w:rPr>
                      <w:b/>
                      <w:bCs/>
                      <w:sz w:val="24"/>
                      <w:szCs w:val="24"/>
                      <w:lang w:val="pt-PT"/>
                    </w:rPr>
                  </w:pPr>
                  <w:r>
                    <w:rPr>
                      <w:b/>
                      <w:bCs/>
                      <w:sz w:val="24"/>
                      <w:szCs w:val="24"/>
                      <w:lang w:val="pt-PT"/>
                    </w:rPr>
                    <w:t>Valor em R$</w:t>
                  </w:r>
                  <w:r>
                    <w:rPr>
                      <w:b/>
                      <w:bCs/>
                      <w:sz w:val="24"/>
                      <w:szCs w:val="24"/>
                      <w:lang w:val="pt-PT"/>
                    </w:rPr>
                    <w:br w:type="textWrapping"/>
                  </w:r>
                  <w:r>
                    <w:rPr>
                      <w:b/>
                      <w:bCs/>
                      <w:sz w:val="24"/>
                      <w:szCs w:val="24"/>
                      <w:lang w:val="pt-PT"/>
                    </w:rPr>
                    <w:t>Ano 2025</w:t>
                  </w:r>
                </w:p>
              </w:tc>
            </w:tr>
            <w:tr w14:paraId="2BA195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30" w:hRule="atLeast"/>
              </w:trPr>
              <w:tc>
                <w:tcPr>
                  <w:tcW w:w="1583" w:type="dxa"/>
                  <w:gridSpan w:val="2"/>
                  <w:vAlign w:val="center"/>
                </w:tcPr>
                <w:p w14:paraId="33CB5739">
                  <w:pPr>
                    <w:widowControl w:val="0"/>
                    <w:jc w:val="center"/>
                    <w:rPr>
                      <w:b/>
                      <w:sz w:val="24"/>
                      <w:szCs w:val="24"/>
                      <w:lang w:val="pt-PT"/>
                    </w:rPr>
                  </w:pPr>
                  <w:r>
                    <w:rPr>
                      <w:b/>
                      <w:sz w:val="24"/>
                      <w:szCs w:val="24"/>
                      <w:lang w:val="pt-PT"/>
                    </w:rPr>
                    <w:t>I</w:t>
                  </w:r>
                </w:p>
              </w:tc>
              <w:tc>
                <w:tcPr>
                  <w:tcW w:w="3605" w:type="dxa"/>
                  <w:vAlign w:val="center"/>
                </w:tcPr>
                <w:p w14:paraId="1ADDFF66">
                  <w:pPr>
                    <w:widowControl w:val="0"/>
                    <w:jc w:val="both"/>
                    <w:rPr>
                      <w:b/>
                      <w:sz w:val="24"/>
                      <w:szCs w:val="24"/>
                      <w:lang w:val="pt-PT"/>
                    </w:rPr>
                  </w:pPr>
                  <w:r>
                    <w:rPr>
                      <w:b/>
                      <w:sz w:val="24"/>
                      <w:szCs w:val="24"/>
                      <w:lang w:val="pt-PT"/>
                    </w:rPr>
                    <w:t>Guincho para ciclomotores e motocicletas até 600 cilindradas, com ou sem reboque lateral.</w:t>
                  </w:r>
                </w:p>
              </w:tc>
              <w:tc>
                <w:tcPr>
                  <w:tcW w:w="1604" w:type="dxa"/>
                  <w:gridSpan w:val="3"/>
                  <w:vAlign w:val="center"/>
                </w:tcPr>
                <w:p w14:paraId="519BAFCA">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5CB3BA03">
                  <w:pPr>
                    <w:widowControl w:val="0"/>
                    <w:jc w:val="center"/>
                    <w:rPr>
                      <w:b/>
                      <w:sz w:val="24"/>
                      <w:szCs w:val="24"/>
                      <w:lang w:val="pt-PT"/>
                    </w:rPr>
                  </w:pPr>
                  <w:r>
                    <w:rPr>
                      <w:b/>
                      <w:sz w:val="24"/>
                      <w:szCs w:val="24"/>
                      <w:lang w:val="pt-PT"/>
                    </w:rPr>
                    <w:t>48</w:t>
                  </w:r>
                </w:p>
              </w:tc>
              <w:tc>
                <w:tcPr>
                  <w:tcW w:w="1251" w:type="dxa"/>
                  <w:vAlign w:val="center"/>
                </w:tcPr>
                <w:p w14:paraId="75F3F8ED">
                  <w:pPr>
                    <w:widowControl w:val="0"/>
                    <w:rPr>
                      <w:b/>
                      <w:sz w:val="24"/>
                      <w:szCs w:val="24"/>
                      <w:lang w:val="pt-PT"/>
                    </w:rPr>
                  </w:pPr>
                  <w:r>
                    <w:rPr>
                      <w:b/>
                      <w:sz w:val="24"/>
                      <w:szCs w:val="24"/>
                      <w:lang w:val="pt-PT"/>
                    </w:rPr>
                    <w:t xml:space="preserve">R$ 180,00 </w:t>
                  </w:r>
                </w:p>
              </w:tc>
            </w:tr>
            <w:tr w14:paraId="646290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9" w:hRule="atLeast"/>
              </w:trPr>
              <w:tc>
                <w:tcPr>
                  <w:tcW w:w="1583" w:type="dxa"/>
                  <w:gridSpan w:val="2"/>
                  <w:vAlign w:val="center"/>
                </w:tcPr>
                <w:p w14:paraId="70E7D3E0">
                  <w:pPr>
                    <w:widowControl w:val="0"/>
                    <w:jc w:val="center"/>
                    <w:rPr>
                      <w:b/>
                      <w:sz w:val="24"/>
                      <w:szCs w:val="24"/>
                      <w:lang w:val="pt-PT"/>
                    </w:rPr>
                  </w:pPr>
                  <w:r>
                    <w:rPr>
                      <w:b/>
                      <w:sz w:val="24"/>
                      <w:szCs w:val="24"/>
                      <w:lang w:val="pt-PT"/>
                    </w:rPr>
                    <w:t>II</w:t>
                  </w:r>
                </w:p>
              </w:tc>
              <w:tc>
                <w:tcPr>
                  <w:tcW w:w="3605" w:type="dxa"/>
                  <w:vAlign w:val="center"/>
                </w:tcPr>
                <w:p w14:paraId="08B81C7C">
                  <w:pPr>
                    <w:widowControl w:val="0"/>
                    <w:jc w:val="both"/>
                    <w:rPr>
                      <w:b/>
                      <w:sz w:val="24"/>
                      <w:szCs w:val="24"/>
                      <w:lang w:val="pt-PT"/>
                    </w:rPr>
                  </w:pPr>
                  <w:r>
                    <w:rPr>
                      <w:b/>
                      <w:sz w:val="24"/>
                      <w:szCs w:val="24"/>
                      <w:lang w:val="pt-PT"/>
                    </w:rPr>
                    <w:t>Guincho para Carretinhas.</w:t>
                  </w:r>
                </w:p>
              </w:tc>
              <w:tc>
                <w:tcPr>
                  <w:tcW w:w="1604" w:type="dxa"/>
                  <w:gridSpan w:val="3"/>
                  <w:vAlign w:val="center"/>
                </w:tcPr>
                <w:p w14:paraId="1A2967F0">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41852014">
                  <w:pPr>
                    <w:widowControl w:val="0"/>
                    <w:jc w:val="center"/>
                    <w:rPr>
                      <w:b/>
                      <w:sz w:val="24"/>
                      <w:szCs w:val="24"/>
                      <w:lang w:val="pt-PT"/>
                    </w:rPr>
                  </w:pPr>
                  <w:r>
                    <w:rPr>
                      <w:b/>
                      <w:sz w:val="24"/>
                      <w:szCs w:val="24"/>
                      <w:lang w:val="pt-PT"/>
                    </w:rPr>
                    <w:t>48</w:t>
                  </w:r>
                </w:p>
              </w:tc>
              <w:tc>
                <w:tcPr>
                  <w:tcW w:w="1251" w:type="dxa"/>
                  <w:vAlign w:val="center"/>
                </w:tcPr>
                <w:p w14:paraId="2B2C7A74">
                  <w:pPr>
                    <w:widowControl w:val="0"/>
                    <w:rPr>
                      <w:b/>
                      <w:sz w:val="24"/>
                      <w:szCs w:val="24"/>
                      <w:lang w:val="pt-PT"/>
                    </w:rPr>
                  </w:pPr>
                  <w:r>
                    <w:rPr>
                      <w:b/>
                      <w:sz w:val="24"/>
                      <w:szCs w:val="24"/>
                      <w:lang w:val="pt-PT"/>
                    </w:rPr>
                    <w:t xml:space="preserve">R$ 180,00 </w:t>
                  </w:r>
                </w:p>
              </w:tc>
            </w:tr>
            <w:tr w14:paraId="458F9A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9" w:hRule="atLeast"/>
              </w:trPr>
              <w:tc>
                <w:tcPr>
                  <w:tcW w:w="1583" w:type="dxa"/>
                  <w:gridSpan w:val="2"/>
                  <w:vAlign w:val="center"/>
                </w:tcPr>
                <w:p w14:paraId="3441041B">
                  <w:pPr>
                    <w:widowControl w:val="0"/>
                    <w:jc w:val="center"/>
                    <w:rPr>
                      <w:b/>
                      <w:sz w:val="24"/>
                      <w:szCs w:val="24"/>
                      <w:lang w:val="pt-PT"/>
                    </w:rPr>
                  </w:pPr>
                  <w:r>
                    <w:rPr>
                      <w:b/>
                      <w:sz w:val="24"/>
                      <w:szCs w:val="24"/>
                      <w:lang w:val="pt-PT"/>
                    </w:rPr>
                    <w:t>III</w:t>
                  </w:r>
                </w:p>
              </w:tc>
              <w:tc>
                <w:tcPr>
                  <w:tcW w:w="3605" w:type="dxa"/>
                  <w:vAlign w:val="center"/>
                </w:tcPr>
                <w:p w14:paraId="3D4754C7">
                  <w:pPr>
                    <w:widowControl w:val="0"/>
                    <w:jc w:val="both"/>
                    <w:rPr>
                      <w:b/>
                      <w:sz w:val="24"/>
                      <w:szCs w:val="24"/>
                      <w:lang w:val="pt-PT"/>
                    </w:rPr>
                  </w:pPr>
                  <w:r>
                    <w:rPr>
                      <w:b/>
                      <w:sz w:val="24"/>
                      <w:szCs w:val="24"/>
                      <w:lang w:val="pt-PT"/>
                    </w:rPr>
                    <w:t xml:space="preserve">Guincho para Caçambas, Container e similares. </w:t>
                  </w:r>
                </w:p>
              </w:tc>
              <w:tc>
                <w:tcPr>
                  <w:tcW w:w="1604" w:type="dxa"/>
                  <w:gridSpan w:val="3"/>
                  <w:vAlign w:val="center"/>
                </w:tcPr>
                <w:p w14:paraId="748C2F61">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41029B51">
                  <w:pPr>
                    <w:widowControl w:val="0"/>
                    <w:jc w:val="center"/>
                    <w:rPr>
                      <w:b/>
                      <w:sz w:val="24"/>
                      <w:szCs w:val="24"/>
                      <w:lang w:val="pt-PT"/>
                    </w:rPr>
                  </w:pPr>
                  <w:r>
                    <w:rPr>
                      <w:b/>
                      <w:sz w:val="24"/>
                      <w:szCs w:val="24"/>
                      <w:lang w:val="pt-PT"/>
                    </w:rPr>
                    <w:t>63</w:t>
                  </w:r>
                </w:p>
              </w:tc>
              <w:tc>
                <w:tcPr>
                  <w:tcW w:w="1251" w:type="dxa"/>
                  <w:vAlign w:val="center"/>
                </w:tcPr>
                <w:p w14:paraId="1C0D4EAA">
                  <w:pPr>
                    <w:widowControl w:val="0"/>
                    <w:rPr>
                      <w:b/>
                      <w:sz w:val="24"/>
                      <w:szCs w:val="24"/>
                      <w:lang w:val="pt-PT"/>
                    </w:rPr>
                  </w:pPr>
                  <w:r>
                    <w:rPr>
                      <w:b/>
                      <w:sz w:val="24"/>
                      <w:szCs w:val="24"/>
                      <w:lang w:val="pt-PT"/>
                    </w:rPr>
                    <w:t xml:space="preserve">R$ 236,25 </w:t>
                  </w:r>
                </w:p>
              </w:tc>
            </w:tr>
            <w:tr w14:paraId="298608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311CDEC4">
                  <w:pPr>
                    <w:widowControl w:val="0"/>
                    <w:jc w:val="center"/>
                    <w:rPr>
                      <w:b/>
                      <w:sz w:val="24"/>
                      <w:szCs w:val="24"/>
                      <w:lang w:val="pt-PT"/>
                    </w:rPr>
                  </w:pPr>
                  <w:r>
                    <w:rPr>
                      <w:b/>
                      <w:sz w:val="24"/>
                      <w:szCs w:val="24"/>
                      <w:lang w:val="pt-PT"/>
                    </w:rPr>
                    <w:t>IV</w:t>
                  </w:r>
                </w:p>
              </w:tc>
              <w:tc>
                <w:tcPr>
                  <w:tcW w:w="3605" w:type="dxa"/>
                  <w:vAlign w:val="center"/>
                </w:tcPr>
                <w:p w14:paraId="3B9ADF6B">
                  <w:pPr>
                    <w:widowControl w:val="0"/>
                    <w:jc w:val="both"/>
                    <w:rPr>
                      <w:b/>
                      <w:sz w:val="24"/>
                      <w:szCs w:val="24"/>
                      <w:lang w:val="pt-PT"/>
                    </w:rPr>
                  </w:pPr>
                  <w:r>
                    <w:rPr>
                      <w:b/>
                      <w:sz w:val="24"/>
                      <w:szCs w:val="24"/>
                      <w:lang w:val="pt-PT"/>
                    </w:rPr>
                    <w:t>Guincho para motocicletas acima de 600 cilindradas e triciclos (veículos com 03 rodas), com ou sem reboque lateral.</w:t>
                  </w:r>
                </w:p>
              </w:tc>
              <w:tc>
                <w:tcPr>
                  <w:tcW w:w="1604" w:type="dxa"/>
                  <w:gridSpan w:val="3"/>
                  <w:vAlign w:val="center"/>
                </w:tcPr>
                <w:p w14:paraId="3F79DA06">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40ADDCF7">
                  <w:pPr>
                    <w:widowControl w:val="0"/>
                    <w:jc w:val="center"/>
                    <w:rPr>
                      <w:b/>
                      <w:sz w:val="24"/>
                      <w:szCs w:val="24"/>
                      <w:lang w:val="pt-PT"/>
                    </w:rPr>
                  </w:pPr>
                  <w:r>
                    <w:rPr>
                      <w:b/>
                      <w:sz w:val="24"/>
                      <w:szCs w:val="24"/>
                      <w:lang w:val="pt-PT"/>
                    </w:rPr>
                    <w:t>63</w:t>
                  </w:r>
                </w:p>
              </w:tc>
              <w:tc>
                <w:tcPr>
                  <w:tcW w:w="1251" w:type="dxa"/>
                  <w:vAlign w:val="center"/>
                </w:tcPr>
                <w:p w14:paraId="6902BFD4">
                  <w:pPr>
                    <w:widowControl w:val="0"/>
                    <w:rPr>
                      <w:b/>
                      <w:sz w:val="24"/>
                      <w:szCs w:val="24"/>
                      <w:lang w:val="pt-PT"/>
                    </w:rPr>
                  </w:pPr>
                  <w:r>
                    <w:rPr>
                      <w:b/>
                      <w:sz w:val="24"/>
                      <w:szCs w:val="24"/>
                      <w:lang w:val="pt-PT"/>
                    </w:rPr>
                    <w:t xml:space="preserve">R$ 236,25 </w:t>
                  </w:r>
                </w:p>
              </w:tc>
            </w:tr>
            <w:tr w14:paraId="6068F4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57" w:hRule="atLeast"/>
              </w:trPr>
              <w:tc>
                <w:tcPr>
                  <w:tcW w:w="1583" w:type="dxa"/>
                  <w:gridSpan w:val="2"/>
                  <w:vAlign w:val="center"/>
                </w:tcPr>
                <w:p w14:paraId="1601D4B9">
                  <w:pPr>
                    <w:widowControl w:val="0"/>
                    <w:jc w:val="center"/>
                    <w:rPr>
                      <w:b/>
                      <w:sz w:val="24"/>
                      <w:szCs w:val="24"/>
                      <w:lang w:val="pt-PT"/>
                    </w:rPr>
                  </w:pPr>
                  <w:r>
                    <w:rPr>
                      <w:b/>
                      <w:sz w:val="24"/>
                      <w:szCs w:val="24"/>
                      <w:lang w:val="pt-PT"/>
                    </w:rPr>
                    <w:t>V</w:t>
                  </w:r>
                </w:p>
              </w:tc>
              <w:tc>
                <w:tcPr>
                  <w:tcW w:w="3605" w:type="dxa"/>
                  <w:vAlign w:val="center"/>
                </w:tcPr>
                <w:p w14:paraId="5F4A8117">
                  <w:pPr>
                    <w:widowControl w:val="0"/>
                    <w:jc w:val="both"/>
                    <w:rPr>
                      <w:b/>
                      <w:sz w:val="24"/>
                      <w:szCs w:val="24"/>
                      <w:lang w:val="pt-PT"/>
                    </w:rPr>
                  </w:pPr>
                  <w:r>
                    <w:rPr>
                      <w:b/>
                      <w:sz w:val="24"/>
                      <w:szCs w:val="24"/>
                      <w:lang w:val="pt-PT"/>
                    </w:rPr>
                    <w:t>Guincho para veículos de passeio (Carro Popular).</w:t>
                  </w:r>
                </w:p>
              </w:tc>
              <w:tc>
                <w:tcPr>
                  <w:tcW w:w="1604" w:type="dxa"/>
                  <w:gridSpan w:val="3"/>
                  <w:vAlign w:val="center"/>
                </w:tcPr>
                <w:p w14:paraId="48473EEC">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7045CF54">
                  <w:pPr>
                    <w:widowControl w:val="0"/>
                    <w:jc w:val="center"/>
                    <w:rPr>
                      <w:b/>
                      <w:sz w:val="24"/>
                      <w:szCs w:val="24"/>
                      <w:lang w:val="pt-PT"/>
                    </w:rPr>
                  </w:pPr>
                  <w:r>
                    <w:rPr>
                      <w:b/>
                      <w:sz w:val="24"/>
                      <w:szCs w:val="24"/>
                      <w:lang w:val="pt-PT"/>
                    </w:rPr>
                    <w:t>67</w:t>
                  </w:r>
                </w:p>
              </w:tc>
              <w:tc>
                <w:tcPr>
                  <w:tcW w:w="1251" w:type="dxa"/>
                  <w:vAlign w:val="center"/>
                </w:tcPr>
                <w:p w14:paraId="412FC36D">
                  <w:pPr>
                    <w:widowControl w:val="0"/>
                    <w:rPr>
                      <w:b/>
                      <w:sz w:val="24"/>
                      <w:szCs w:val="24"/>
                      <w:lang w:val="pt-PT"/>
                    </w:rPr>
                  </w:pPr>
                  <w:r>
                    <w:rPr>
                      <w:b/>
                      <w:sz w:val="24"/>
                      <w:szCs w:val="24"/>
                      <w:lang w:val="pt-PT"/>
                    </w:rPr>
                    <w:t xml:space="preserve">R$ 251,25 </w:t>
                  </w:r>
                </w:p>
              </w:tc>
            </w:tr>
            <w:tr w14:paraId="200B84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3576E766">
                  <w:pPr>
                    <w:widowControl w:val="0"/>
                    <w:jc w:val="center"/>
                    <w:rPr>
                      <w:b/>
                      <w:sz w:val="24"/>
                      <w:szCs w:val="24"/>
                      <w:lang w:val="pt-PT"/>
                    </w:rPr>
                  </w:pPr>
                  <w:r>
                    <w:rPr>
                      <w:b/>
                      <w:sz w:val="24"/>
                      <w:szCs w:val="24"/>
                      <w:lang w:val="pt-PT"/>
                    </w:rPr>
                    <w:t>VI</w:t>
                  </w:r>
                </w:p>
              </w:tc>
              <w:tc>
                <w:tcPr>
                  <w:tcW w:w="3605" w:type="dxa"/>
                  <w:vAlign w:val="center"/>
                </w:tcPr>
                <w:p w14:paraId="2D98050E">
                  <w:pPr>
                    <w:widowControl w:val="0"/>
                    <w:jc w:val="both"/>
                    <w:rPr>
                      <w:b/>
                      <w:sz w:val="24"/>
                      <w:szCs w:val="24"/>
                      <w:lang w:val="pt-PT"/>
                    </w:rPr>
                  </w:pPr>
                  <w:r>
                    <w:rPr>
                      <w:b/>
                      <w:sz w:val="24"/>
                      <w:szCs w:val="24"/>
                      <w:lang w:val="pt-PT"/>
                    </w:rPr>
                    <w:t>Guincho para veículos de passeio, utilitário e similares que não ultrapassem o peso bruto total de 2.500 Kg.</w:t>
                  </w:r>
                </w:p>
              </w:tc>
              <w:tc>
                <w:tcPr>
                  <w:tcW w:w="1604" w:type="dxa"/>
                  <w:gridSpan w:val="3"/>
                  <w:vAlign w:val="center"/>
                </w:tcPr>
                <w:p w14:paraId="3C06AB20">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66DFB793">
                  <w:pPr>
                    <w:widowControl w:val="0"/>
                    <w:jc w:val="center"/>
                    <w:rPr>
                      <w:b/>
                      <w:sz w:val="24"/>
                      <w:szCs w:val="24"/>
                      <w:lang w:val="pt-PT"/>
                    </w:rPr>
                  </w:pPr>
                  <w:r>
                    <w:rPr>
                      <w:b/>
                      <w:sz w:val="24"/>
                      <w:szCs w:val="24"/>
                      <w:lang w:val="pt-PT"/>
                    </w:rPr>
                    <w:t>72</w:t>
                  </w:r>
                </w:p>
              </w:tc>
              <w:tc>
                <w:tcPr>
                  <w:tcW w:w="1251" w:type="dxa"/>
                  <w:vAlign w:val="center"/>
                </w:tcPr>
                <w:p w14:paraId="2F927126">
                  <w:pPr>
                    <w:widowControl w:val="0"/>
                    <w:rPr>
                      <w:b/>
                      <w:sz w:val="24"/>
                      <w:szCs w:val="24"/>
                      <w:lang w:val="pt-PT"/>
                    </w:rPr>
                  </w:pPr>
                  <w:r>
                    <w:rPr>
                      <w:b/>
                      <w:sz w:val="24"/>
                      <w:szCs w:val="24"/>
                      <w:lang w:val="pt-PT"/>
                    </w:rPr>
                    <w:t xml:space="preserve">R$ 270,00 </w:t>
                  </w:r>
                </w:p>
              </w:tc>
            </w:tr>
            <w:tr w14:paraId="49CAA6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74D8270C">
                  <w:pPr>
                    <w:widowControl w:val="0"/>
                    <w:jc w:val="center"/>
                    <w:rPr>
                      <w:b/>
                      <w:sz w:val="24"/>
                      <w:szCs w:val="24"/>
                      <w:lang w:val="pt-PT"/>
                    </w:rPr>
                  </w:pPr>
                  <w:r>
                    <w:rPr>
                      <w:b/>
                      <w:sz w:val="24"/>
                      <w:szCs w:val="24"/>
                      <w:lang w:val="pt-PT"/>
                    </w:rPr>
                    <w:t>VII</w:t>
                  </w:r>
                </w:p>
              </w:tc>
              <w:tc>
                <w:tcPr>
                  <w:tcW w:w="3605" w:type="dxa"/>
                  <w:vAlign w:val="center"/>
                </w:tcPr>
                <w:p w14:paraId="235EE163">
                  <w:pPr>
                    <w:widowControl w:val="0"/>
                    <w:jc w:val="both"/>
                    <w:rPr>
                      <w:b/>
                      <w:sz w:val="24"/>
                      <w:szCs w:val="24"/>
                      <w:lang w:val="pt-PT"/>
                    </w:rPr>
                  </w:pPr>
                  <w:r>
                    <w:rPr>
                      <w:b/>
                      <w:sz w:val="24"/>
                      <w:szCs w:val="24"/>
                      <w:lang w:val="pt-PT"/>
                    </w:rPr>
                    <w:t>Guincho para veículos de passeio, utilitário e similares acima de 2.500 KG que não ultrapassem o peso bruto total de 3.500 Kg.</w:t>
                  </w:r>
                </w:p>
              </w:tc>
              <w:tc>
                <w:tcPr>
                  <w:tcW w:w="1604" w:type="dxa"/>
                  <w:gridSpan w:val="3"/>
                  <w:vAlign w:val="center"/>
                </w:tcPr>
                <w:p w14:paraId="09F94758">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3B32AD2C">
                  <w:pPr>
                    <w:widowControl w:val="0"/>
                    <w:jc w:val="center"/>
                    <w:rPr>
                      <w:b/>
                      <w:sz w:val="24"/>
                      <w:szCs w:val="24"/>
                      <w:lang w:val="pt-PT"/>
                    </w:rPr>
                  </w:pPr>
                  <w:r>
                    <w:rPr>
                      <w:b/>
                      <w:sz w:val="24"/>
                      <w:szCs w:val="24"/>
                      <w:lang w:val="pt-PT"/>
                    </w:rPr>
                    <w:t>105</w:t>
                  </w:r>
                </w:p>
              </w:tc>
              <w:tc>
                <w:tcPr>
                  <w:tcW w:w="1251" w:type="dxa"/>
                  <w:vAlign w:val="center"/>
                </w:tcPr>
                <w:p w14:paraId="222A3F49">
                  <w:pPr>
                    <w:widowControl w:val="0"/>
                    <w:rPr>
                      <w:b/>
                      <w:sz w:val="24"/>
                      <w:szCs w:val="24"/>
                      <w:lang w:val="pt-PT"/>
                    </w:rPr>
                  </w:pPr>
                  <w:r>
                    <w:rPr>
                      <w:b/>
                      <w:sz w:val="24"/>
                      <w:szCs w:val="24"/>
                      <w:lang w:val="pt-PT"/>
                    </w:rPr>
                    <w:t xml:space="preserve">R$ 393,75 </w:t>
                  </w:r>
                </w:p>
              </w:tc>
            </w:tr>
            <w:tr w14:paraId="482A08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3" w:hRule="atLeast"/>
              </w:trPr>
              <w:tc>
                <w:tcPr>
                  <w:tcW w:w="1583" w:type="dxa"/>
                  <w:gridSpan w:val="2"/>
                  <w:vAlign w:val="center"/>
                </w:tcPr>
                <w:p w14:paraId="7E586060">
                  <w:pPr>
                    <w:widowControl w:val="0"/>
                    <w:jc w:val="center"/>
                    <w:rPr>
                      <w:b/>
                      <w:sz w:val="24"/>
                      <w:szCs w:val="24"/>
                      <w:lang w:val="pt-PT"/>
                    </w:rPr>
                  </w:pPr>
                  <w:r>
                    <w:rPr>
                      <w:b/>
                      <w:sz w:val="24"/>
                      <w:szCs w:val="24"/>
                      <w:lang w:val="pt-PT"/>
                    </w:rPr>
                    <w:t>VIII</w:t>
                  </w:r>
                </w:p>
              </w:tc>
              <w:tc>
                <w:tcPr>
                  <w:tcW w:w="3605" w:type="dxa"/>
                  <w:vAlign w:val="center"/>
                </w:tcPr>
                <w:p w14:paraId="1F764A7F">
                  <w:pPr>
                    <w:widowControl w:val="0"/>
                    <w:jc w:val="both"/>
                    <w:rPr>
                      <w:b/>
                      <w:sz w:val="24"/>
                      <w:szCs w:val="24"/>
                      <w:lang w:val="pt-PT"/>
                    </w:rPr>
                  </w:pPr>
                  <w:r>
                    <w:rPr>
                      <w:b/>
                      <w:sz w:val="24"/>
                      <w:szCs w:val="24"/>
                      <w:lang w:val="pt-PT"/>
                    </w:rPr>
                    <w:t>Guincho para veículos de carga ou passageiros com peso bruto superior a 3.500 kg.</w:t>
                  </w:r>
                </w:p>
              </w:tc>
              <w:tc>
                <w:tcPr>
                  <w:tcW w:w="1604" w:type="dxa"/>
                  <w:gridSpan w:val="3"/>
                  <w:vAlign w:val="center"/>
                </w:tcPr>
                <w:p w14:paraId="1814BB49">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6E61AE7E">
                  <w:pPr>
                    <w:widowControl w:val="0"/>
                    <w:jc w:val="center"/>
                    <w:rPr>
                      <w:b/>
                      <w:sz w:val="24"/>
                      <w:szCs w:val="24"/>
                      <w:lang w:val="pt-PT"/>
                    </w:rPr>
                  </w:pPr>
                  <w:r>
                    <w:rPr>
                      <w:b/>
                      <w:sz w:val="24"/>
                      <w:szCs w:val="24"/>
                      <w:lang w:val="pt-PT"/>
                    </w:rPr>
                    <w:t>172</w:t>
                  </w:r>
                </w:p>
              </w:tc>
              <w:tc>
                <w:tcPr>
                  <w:tcW w:w="1251" w:type="dxa"/>
                  <w:vAlign w:val="center"/>
                </w:tcPr>
                <w:p w14:paraId="347002D9">
                  <w:pPr>
                    <w:widowControl w:val="0"/>
                    <w:rPr>
                      <w:b/>
                      <w:sz w:val="24"/>
                      <w:szCs w:val="24"/>
                      <w:lang w:val="pt-PT"/>
                    </w:rPr>
                  </w:pPr>
                  <w:r>
                    <w:rPr>
                      <w:b/>
                      <w:sz w:val="24"/>
                      <w:szCs w:val="24"/>
                      <w:lang w:val="pt-PT"/>
                    </w:rPr>
                    <w:t xml:space="preserve">R$ 645,00 </w:t>
                  </w:r>
                </w:p>
              </w:tc>
            </w:tr>
            <w:tr w14:paraId="11588E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8" w:hRule="atLeast"/>
              </w:trPr>
              <w:tc>
                <w:tcPr>
                  <w:tcW w:w="1583" w:type="dxa"/>
                  <w:gridSpan w:val="2"/>
                  <w:vAlign w:val="center"/>
                </w:tcPr>
                <w:p w14:paraId="0F832CDF">
                  <w:pPr>
                    <w:widowControl w:val="0"/>
                    <w:jc w:val="center"/>
                    <w:rPr>
                      <w:b/>
                      <w:sz w:val="24"/>
                      <w:szCs w:val="24"/>
                      <w:lang w:val="pt-PT"/>
                    </w:rPr>
                  </w:pPr>
                  <w:r>
                    <w:rPr>
                      <w:b/>
                      <w:sz w:val="24"/>
                      <w:szCs w:val="24"/>
                      <w:lang w:val="pt-PT"/>
                    </w:rPr>
                    <w:t>IX</w:t>
                  </w:r>
                </w:p>
              </w:tc>
              <w:tc>
                <w:tcPr>
                  <w:tcW w:w="3605" w:type="dxa"/>
                  <w:vAlign w:val="center"/>
                </w:tcPr>
                <w:p w14:paraId="365D1432">
                  <w:pPr>
                    <w:widowControl w:val="0"/>
                    <w:jc w:val="both"/>
                    <w:rPr>
                      <w:b/>
                      <w:sz w:val="24"/>
                      <w:szCs w:val="24"/>
                      <w:lang w:val="pt-PT"/>
                    </w:rPr>
                  </w:pPr>
                  <w:r>
                    <w:rPr>
                      <w:b/>
                      <w:sz w:val="24"/>
                      <w:szCs w:val="24"/>
                      <w:lang w:val="pt-PT"/>
                    </w:rPr>
                    <w:t>Guincho para veículos articulados, reboque e semi-reboque.</w:t>
                  </w:r>
                </w:p>
              </w:tc>
              <w:tc>
                <w:tcPr>
                  <w:tcW w:w="1604" w:type="dxa"/>
                  <w:gridSpan w:val="3"/>
                  <w:vAlign w:val="center"/>
                </w:tcPr>
                <w:p w14:paraId="2BDC89F2">
                  <w:pPr>
                    <w:widowControl w:val="0"/>
                    <w:jc w:val="center"/>
                    <w:rPr>
                      <w:b/>
                      <w:sz w:val="24"/>
                      <w:szCs w:val="24"/>
                      <w:lang w:val="pt-PT"/>
                    </w:rPr>
                  </w:pPr>
                  <w:r>
                    <w:rPr>
                      <w:b/>
                      <w:sz w:val="24"/>
                      <w:szCs w:val="24"/>
                      <w:lang w:val="pt-PT"/>
                    </w:rPr>
                    <w:t>Serviço fixo</w:t>
                  </w:r>
                  <w:r>
                    <w:rPr>
                      <w:b/>
                      <w:sz w:val="24"/>
                      <w:szCs w:val="24"/>
                      <w:lang w:val="pt-PT"/>
                    </w:rPr>
                    <w:br w:type="textWrapping"/>
                  </w:r>
                  <w:r>
                    <w:rPr>
                      <w:b/>
                      <w:sz w:val="24"/>
                      <w:szCs w:val="24"/>
                      <w:lang w:val="pt-PT"/>
                    </w:rPr>
                    <w:t>limitado até 30 km</w:t>
                  </w:r>
                </w:p>
              </w:tc>
              <w:tc>
                <w:tcPr>
                  <w:tcW w:w="1029" w:type="dxa"/>
                  <w:gridSpan w:val="2"/>
                  <w:vAlign w:val="center"/>
                </w:tcPr>
                <w:p w14:paraId="46A4E334">
                  <w:pPr>
                    <w:widowControl w:val="0"/>
                    <w:jc w:val="center"/>
                    <w:rPr>
                      <w:b/>
                      <w:sz w:val="24"/>
                      <w:szCs w:val="24"/>
                      <w:lang w:val="pt-PT"/>
                    </w:rPr>
                  </w:pPr>
                  <w:r>
                    <w:rPr>
                      <w:b/>
                      <w:sz w:val="24"/>
                      <w:szCs w:val="24"/>
                      <w:lang w:val="pt-PT"/>
                    </w:rPr>
                    <w:t>196</w:t>
                  </w:r>
                </w:p>
              </w:tc>
              <w:tc>
                <w:tcPr>
                  <w:tcW w:w="1251" w:type="dxa"/>
                  <w:vAlign w:val="center"/>
                </w:tcPr>
                <w:p w14:paraId="3EAD1702">
                  <w:pPr>
                    <w:widowControl w:val="0"/>
                    <w:rPr>
                      <w:b/>
                      <w:sz w:val="24"/>
                      <w:szCs w:val="24"/>
                      <w:lang w:val="pt-PT"/>
                    </w:rPr>
                  </w:pPr>
                  <w:r>
                    <w:rPr>
                      <w:b/>
                      <w:sz w:val="24"/>
                      <w:szCs w:val="24"/>
                      <w:lang w:val="pt-PT"/>
                    </w:rPr>
                    <w:t xml:space="preserve">R$ 735,00 </w:t>
                  </w:r>
                </w:p>
              </w:tc>
            </w:tr>
            <w:tr w14:paraId="2D1B2F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9" w:hRule="atLeast"/>
              </w:trPr>
              <w:tc>
                <w:tcPr>
                  <w:tcW w:w="9072" w:type="dxa"/>
                  <w:gridSpan w:val="9"/>
                  <w:shd w:val="clear" w:color="auto" w:fill="EAF1DD"/>
                  <w:vAlign w:val="center"/>
                </w:tcPr>
                <w:p w14:paraId="0D695297">
                  <w:pPr>
                    <w:widowControl w:val="0"/>
                    <w:jc w:val="center"/>
                    <w:rPr>
                      <w:b/>
                      <w:bCs/>
                      <w:sz w:val="24"/>
                      <w:szCs w:val="24"/>
                      <w:lang w:val="pt-PT"/>
                    </w:rPr>
                  </w:pPr>
                  <w:r>
                    <w:rPr>
                      <w:b/>
                      <w:bCs/>
                      <w:sz w:val="24"/>
                      <w:szCs w:val="24"/>
                      <w:lang w:val="pt-PT"/>
                    </w:rPr>
                    <w:t>Anexo II - Lei Municipal 2.985/2021</w:t>
                  </w:r>
                </w:p>
                <w:p w14:paraId="1C92217B">
                  <w:pPr>
                    <w:widowControl w:val="0"/>
                    <w:jc w:val="center"/>
                    <w:rPr>
                      <w:b/>
                      <w:bCs/>
                      <w:sz w:val="24"/>
                      <w:szCs w:val="24"/>
                      <w:lang w:val="pt-PT"/>
                    </w:rPr>
                  </w:pPr>
                  <w:r>
                    <w:rPr>
                      <w:b/>
                      <w:bCs/>
                      <w:sz w:val="24"/>
                      <w:szCs w:val="24"/>
                      <w:lang w:val="pt-PT"/>
                    </w:rPr>
                    <w:t>DOS VALORES DA TAXA DO KM ADICIONAL (Acima de 30 KM) - Art. 17</w:t>
                  </w:r>
                </w:p>
              </w:tc>
            </w:tr>
            <w:tr w14:paraId="615B44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06EB7E06">
                  <w:pPr>
                    <w:widowControl w:val="0"/>
                    <w:jc w:val="center"/>
                    <w:rPr>
                      <w:b/>
                      <w:bCs/>
                      <w:sz w:val="24"/>
                      <w:szCs w:val="24"/>
                    </w:rPr>
                  </w:pPr>
                  <w:r>
                    <w:rPr>
                      <w:b/>
                      <w:bCs/>
                      <w:sz w:val="24"/>
                      <w:szCs w:val="24"/>
                      <w:lang w:val="pt-PT"/>
                    </w:rPr>
                    <w:t>Item</w:t>
                  </w:r>
                </w:p>
              </w:tc>
              <w:tc>
                <w:tcPr>
                  <w:tcW w:w="3605" w:type="dxa"/>
                  <w:shd w:val="clear" w:color="auto" w:fill="EAF1DD"/>
                  <w:vAlign w:val="center"/>
                </w:tcPr>
                <w:p w14:paraId="134E63C8">
                  <w:pPr>
                    <w:widowControl w:val="0"/>
                    <w:jc w:val="center"/>
                    <w:rPr>
                      <w:b/>
                      <w:bCs/>
                      <w:sz w:val="24"/>
                      <w:szCs w:val="24"/>
                      <w:lang w:val="pt-PT"/>
                    </w:rPr>
                  </w:pPr>
                  <w:r>
                    <w:rPr>
                      <w:b/>
                      <w:bCs/>
                      <w:sz w:val="24"/>
                      <w:szCs w:val="24"/>
                      <w:lang w:val="pt-PT"/>
                    </w:rPr>
                    <w:t>Descrição dos Serviços</w:t>
                  </w:r>
                </w:p>
              </w:tc>
              <w:tc>
                <w:tcPr>
                  <w:tcW w:w="1620" w:type="dxa"/>
                  <w:gridSpan w:val="4"/>
                  <w:shd w:val="clear" w:color="auto" w:fill="EAF1DD"/>
                  <w:vAlign w:val="center"/>
                </w:tcPr>
                <w:p w14:paraId="41569A97">
                  <w:pPr>
                    <w:widowControl w:val="0"/>
                    <w:jc w:val="center"/>
                    <w:rPr>
                      <w:b/>
                      <w:bCs/>
                      <w:sz w:val="24"/>
                      <w:szCs w:val="24"/>
                      <w:lang w:val="pt-PT"/>
                    </w:rPr>
                  </w:pPr>
                  <w:r>
                    <w:rPr>
                      <w:b/>
                      <w:bCs/>
                      <w:sz w:val="24"/>
                      <w:szCs w:val="24"/>
                      <w:lang w:val="pt-PT"/>
                    </w:rPr>
                    <w:t>Unidade</w:t>
                  </w:r>
                </w:p>
              </w:tc>
              <w:tc>
                <w:tcPr>
                  <w:tcW w:w="1013" w:type="dxa"/>
                  <w:shd w:val="clear" w:color="auto" w:fill="EAF1DD"/>
                  <w:vAlign w:val="center"/>
                </w:tcPr>
                <w:p w14:paraId="32756FC5">
                  <w:pPr>
                    <w:widowControl w:val="0"/>
                    <w:jc w:val="center"/>
                    <w:rPr>
                      <w:b/>
                      <w:bCs/>
                      <w:sz w:val="24"/>
                      <w:szCs w:val="24"/>
                      <w:lang w:val="pt-PT"/>
                    </w:rPr>
                  </w:pPr>
                  <w:r>
                    <w:rPr>
                      <w:b/>
                      <w:bCs/>
                      <w:sz w:val="24"/>
                      <w:szCs w:val="24"/>
                      <w:lang w:val="pt-PT"/>
                    </w:rPr>
                    <w:t>Valor em UR</w:t>
                  </w:r>
                  <w:r>
                    <w:rPr>
                      <w:b/>
                      <w:bCs/>
                      <w:sz w:val="24"/>
                      <w:szCs w:val="24"/>
                      <w:lang w:val="pt-PT"/>
                    </w:rPr>
                    <w:br w:type="textWrapping"/>
                  </w:r>
                  <w:r>
                    <w:rPr>
                      <w:b/>
                      <w:bCs/>
                      <w:sz w:val="24"/>
                      <w:szCs w:val="24"/>
                      <w:lang w:val="pt-PT"/>
                    </w:rPr>
                    <w:t>Lei Comp. 109/2014</w:t>
                  </w:r>
                  <w:r>
                    <w:rPr>
                      <w:b/>
                      <w:bCs/>
                      <w:sz w:val="24"/>
                      <w:szCs w:val="24"/>
                      <w:lang w:val="pt-PT"/>
                    </w:rPr>
                    <w:br w:type="textWrapping"/>
                  </w:r>
                  <w:r>
                    <w:rPr>
                      <w:b/>
                      <w:bCs/>
                      <w:sz w:val="24"/>
                      <w:szCs w:val="24"/>
                      <w:lang w:val="pt-PT"/>
                    </w:rPr>
                    <w:t>Decreto 356/2024</w:t>
                  </w:r>
                </w:p>
              </w:tc>
              <w:tc>
                <w:tcPr>
                  <w:tcW w:w="1251" w:type="dxa"/>
                  <w:shd w:val="clear" w:color="auto" w:fill="EAF1DD"/>
                  <w:vAlign w:val="center"/>
                </w:tcPr>
                <w:p w14:paraId="5E4D9508">
                  <w:pPr>
                    <w:widowControl w:val="0"/>
                    <w:jc w:val="center"/>
                    <w:rPr>
                      <w:b/>
                      <w:bCs/>
                      <w:sz w:val="24"/>
                      <w:szCs w:val="24"/>
                      <w:lang w:val="pt-PT"/>
                    </w:rPr>
                  </w:pPr>
                  <w:r>
                    <w:rPr>
                      <w:b/>
                      <w:bCs/>
                      <w:sz w:val="24"/>
                      <w:szCs w:val="24"/>
                      <w:lang w:val="pt-PT"/>
                    </w:rPr>
                    <w:t>Valor em R$</w:t>
                  </w:r>
                  <w:r>
                    <w:rPr>
                      <w:b/>
                      <w:bCs/>
                      <w:sz w:val="24"/>
                      <w:szCs w:val="24"/>
                      <w:lang w:val="pt-PT"/>
                    </w:rPr>
                    <w:br w:type="textWrapping"/>
                  </w:r>
                  <w:r>
                    <w:rPr>
                      <w:b/>
                      <w:bCs/>
                      <w:sz w:val="24"/>
                      <w:szCs w:val="24"/>
                      <w:lang w:val="pt-PT"/>
                    </w:rPr>
                    <w:t>Ano 2025</w:t>
                  </w:r>
                </w:p>
              </w:tc>
            </w:tr>
            <w:tr w14:paraId="7C62DD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05524365">
                  <w:pPr>
                    <w:widowControl w:val="0"/>
                    <w:jc w:val="center"/>
                    <w:rPr>
                      <w:b/>
                      <w:sz w:val="24"/>
                      <w:szCs w:val="24"/>
                      <w:lang w:val="pt-PT"/>
                    </w:rPr>
                  </w:pPr>
                  <w:r>
                    <w:rPr>
                      <w:b/>
                      <w:sz w:val="24"/>
                      <w:szCs w:val="24"/>
                      <w:lang w:val="pt-PT"/>
                    </w:rPr>
                    <w:t>I</w:t>
                  </w:r>
                </w:p>
              </w:tc>
              <w:tc>
                <w:tcPr>
                  <w:tcW w:w="3605" w:type="dxa"/>
                  <w:vAlign w:val="center"/>
                </w:tcPr>
                <w:p w14:paraId="3FF02826">
                  <w:pPr>
                    <w:widowControl w:val="0"/>
                    <w:jc w:val="both"/>
                    <w:rPr>
                      <w:b/>
                      <w:sz w:val="24"/>
                      <w:szCs w:val="24"/>
                      <w:lang w:val="pt-PT"/>
                    </w:rPr>
                  </w:pPr>
                  <w:r>
                    <w:rPr>
                      <w:b/>
                      <w:sz w:val="24"/>
                      <w:szCs w:val="24"/>
                      <w:lang w:val="pt-PT"/>
                    </w:rPr>
                    <w:t>Guincho para motocicletas, ciclomotores e triciclos (veículos com 03 rodas), com ou sem reboque lateral.</w:t>
                  </w:r>
                </w:p>
              </w:tc>
              <w:tc>
                <w:tcPr>
                  <w:tcW w:w="1620" w:type="dxa"/>
                  <w:gridSpan w:val="4"/>
                  <w:vAlign w:val="center"/>
                </w:tcPr>
                <w:p w14:paraId="7B4104F4">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08680BF7">
                  <w:pPr>
                    <w:widowControl w:val="0"/>
                    <w:jc w:val="center"/>
                    <w:rPr>
                      <w:b/>
                      <w:sz w:val="24"/>
                      <w:szCs w:val="24"/>
                      <w:lang w:val="pt-PT"/>
                    </w:rPr>
                  </w:pPr>
                  <w:r>
                    <w:rPr>
                      <w:b/>
                      <w:sz w:val="24"/>
                      <w:szCs w:val="24"/>
                      <w:lang w:val="pt-PT"/>
                    </w:rPr>
                    <w:t>1,18</w:t>
                  </w:r>
                </w:p>
              </w:tc>
              <w:tc>
                <w:tcPr>
                  <w:tcW w:w="1251" w:type="dxa"/>
                  <w:vAlign w:val="center"/>
                </w:tcPr>
                <w:p w14:paraId="1A9FB802">
                  <w:pPr>
                    <w:widowControl w:val="0"/>
                    <w:rPr>
                      <w:b/>
                      <w:sz w:val="24"/>
                      <w:szCs w:val="24"/>
                      <w:lang w:val="pt-PT"/>
                    </w:rPr>
                  </w:pPr>
                  <w:r>
                    <w:rPr>
                      <w:b/>
                      <w:sz w:val="24"/>
                      <w:szCs w:val="24"/>
                      <w:lang w:val="pt-PT"/>
                    </w:rPr>
                    <w:t xml:space="preserve">R$ 4,43 </w:t>
                  </w:r>
                </w:p>
              </w:tc>
            </w:tr>
            <w:tr w14:paraId="7D29D8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77E4AADC">
                  <w:pPr>
                    <w:widowControl w:val="0"/>
                    <w:jc w:val="center"/>
                    <w:rPr>
                      <w:b/>
                      <w:sz w:val="24"/>
                      <w:szCs w:val="24"/>
                      <w:lang w:val="pt-PT"/>
                    </w:rPr>
                  </w:pPr>
                  <w:r>
                    <w:rPr>
                      <w:b/>
                      <w:sz w:val="24"/>
                      <w:szCs w:val="24"/>
                      <w:lang w:val="pt-PT"/>
                    </w:rPr>
                    <w:t>II</w:t>
                  </w:r>
                </w:p>
              </w:tc>
              <w:tc>
                <w:tcPr>
                  <w:tcW w:w="3605" w:type="dxa"/>
                  <w:vAlign w:val="center"/>
                </w:tcPr>
                <w:p w14:paraId="1A7BB794">
                  <w:pPr>
                    <w:widowControl w:val="0"/>
                    <w:jc w:val="both"/>
                    <w:rPr>
                      <w:b/>
                      <w:sz w:val="24"/>
                      <w:szCs w:val="24"/>
                      <w:lang w:val="pt-PT"/>
                    </w:rPr>
                  </w:pPr>
                  <w:r>
                    <w:rPr>
                      <w:b/>
                      <w:sz w:val="24"/>
                      <w:szCs w:val="24"/>
                      <w:lang w:val="pt-PT"/>
                    </w:rPr>
                    <w:t>Guincho para veículos de passeio, utilitário e similares que não ultrapassem o peso bruto total de 3.500 Kg.</w:t>
                  </w:r>
                </w:p>
              </w:tc>
              <w:tc>
                <w:tcPr>
                  <w:tcW w:w="1620" w:type="dxa"/>
                  <w:gridSpan w:val="4"/>
                  <w:vAlign w:val="center"/>
                </w:tcPr>
                <w:p w14:paraId="173E73C6">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51EC1F96">
                  <w:pPr>
                    <w:widowControl w:val="0"/>
                    <w:jc w:val="center"/>
                    <w:rPr>
                      <w:b/>
                      <w:sz w:val="24"/>
                      <w:szCs w:val="24"/>
                      <w:lang w:val="pt-PT"/>
                    </w:rPr>
                  </w:pPr>
                  <w:r>
                    <w:rPr>
                      <w:b/>
                      <w:sz w:val="24"/>
                      <w:szCs w:val="24"/>
                      <w:lang w:val="pt-PT"/>
                    </w:rPr>
                    <w:t>1,3</w:t>
                  </w:r>
                </w:p>
              </w:tc>
              <w:tc>
                <w:tcPr>
                  <w:tcW w:w="1251" w:type="dxa"/>
                  <w:vAlign w:val="center"/>
                </w:tcPr>
                <w:p w14:paraId="6A84A138">
                  <w:pPr>
                    <w:widowControl w:val="0"/>
                    <w:rPr>
                      <w:b/>
                      <w:sz w:val="24"/>
                      <w:szCs w:val="24"/>
                      <w:lang w:val="pt-PT"/>
                    </w:rPr>
                  </w:pPr>
                  <w:r>
                    <w:rPr>
                      <w:b/>
                      <w:sz w:val="24"/>
                      <w:szCs w:val="24"/>
                      <w:lang w:val="pt-PT"/>
                    </w:rPr>
                    <w:t xml:space="preserve">R$ 4,88 </w:t>
                  </w:r>
                </w:p>
              </w:tc>
            </w:tr>
            <w:tr w14:paraId="03B9D3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4962B92E">
                  <w:pPr>
                    <w:widowControl w:val="0"/>
                    <w:jc w:val="center"/>
                    <w:rPr>
                      <w:b/>
                      <w:sz w:val="24"/>
                      <w:szCs w:val="24"/>
                      <w:lang w:val="pt-PT"/>
                    </w:rPr>
                  </w:pPr>
                  <w:r>
                    <w:rPr>
                      <w:b/>
                      <w:sz w:val="24"/>
                      <w:szCs w:val="24"/>
                      <w:lang w:val="pt-PT"/>
                    </w:rPr>
                    <w:t>III</w:t>
                  </w:r>
                </w:p>
              </w:tc>
              <w:tc>
                <w:tcPr>
                  <w:tcW w:w="3605" w:type="dxa"/>
                  <w:vAlign w:val="center"/>
                </w:tcPr>
                <w:p w14:paraId="6B66F319">
                  <w:pPr>
                    <w:widowControl w:val="0"/>
                    <w:jc w:val="both"/>
                    <w:rPr>
                      <w:b/>
                      <w:sz w:val="24"/>
                      <w:szCs w:val="24"/>
                      <w:lang w:val="pt-PT"/>
                    </w:rPr>
                  </w:pPr>
                  <w:r>
                    <w:rPr>
                      <w:b/>
                      <w:sz w:val="24"/>
                      <w:szCs w:val="24"/>
                      <w:lang w:val="pt-PT"/>
                    </w:rPr>
                    <w:t>Guincho para veículos de carga ou passageiros com peso bruto superior a 3.500 kg.</w:t>
                  </w:r>
                </w:p>
              </w:tc>
              <w:tc>
                <w:tcPr>
                  <w:tcW w:w="1620" w:type="dxa"/>
                  <w:gridSpan w:val="4"/>
                  <w:vAlign w:val="center"/>
                </w:tcPr>
                <w:p w14:paraId="6788FAAB">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0D05643E">
                  <w:pPr>
                    <w:widowControl w:val="0"/>
                    <w:jc w:val="center"/>
                    <w:rPr>
                      <w:b/>
                      <w:sz w:val="24"/>
                      <w:szCs w:val="24"/>
                      <w:lang w:val="pt-PT"/>
                    </w:rPr>
                  </w:pPr>
                  <w:r>
                    <w:rPr>
                      <w:b/>
                      <w:sz w:val="24"/>
                      <w:szCs w:val="24"/>
                      <w:lang w:val="pt-PT"/>
                    </w:rPr>
                    <w:t>2</w:t>
                  </w:r>
                </w:p>
              </w:tc>
              <w:tc>
                <w:tcPr>
                  <w:tcW w:w="1251" w:type="dxa"/>
                  <w:vAlign w:val="center"/>
                </w:tcPr>
                <w:p w14:paraId="22E34424">
                  <w:pPr>
                    <w:widowControl w:val="0"/>
                    <w:rPr>
                      <w:b/>
                      <w:sz w:val="24"/>
                      <w:szCs w:val="24"/>
                      <w:lang w:val="pt-PT"/>
                    </w:rPr>
                  </w:pPr>
                  <w:r>
                    <w:rPr>
                      <w:b/>
                      <w:sz w:val="24"/>
                      <w:szCs w:val="24"/>
                      <w:lang w:val="pt-PT"/>
                    </w:rPr>
                    <w:t xml:space="preserve">R$ 7,50 </w:t>
                  </w:r>
                </w:p>
              </w:tc>
            </w:tr>
            <w:tr w14:paraId="1E8FF0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0AF7691B">
                  <w:pPr>
                    <w:widowControl w:val="0"/>
                    <w:jc w:val="center"/>
                    <w:rPr>
                      <w:b/>
                      <w:sz w:val="24"/>
                      <w:szCs w:val="24"/>
                      <w:lang w:val="pt-PT"/>
                    </w:rPr>
                  </w:pPr>
                  <w:r>
                    <w:rPr>
                      <w:b/>
                      <w:sz w:val="24"/>
                      <w:szCs w:val="24"/>
                      <w:lang w:val="pt-PT"/>
                    </w:rPr>
                    <w:t>IV</w:t>
                  </w:r>
                </w:p>
              </w:tc>
              <w:tc>
                <w:tcPr>
                  <w:tcW w:w="3605" w:type="dxa"/>
                  <w:vAlign w:val="center"/>
                </w:tcPr>
                <w:p w14:paraId="5087E016">
                  <w:pPr>
                    <w:widowControl w:val="0"/>
                    <w:jc w:val="both"/>
                    <w:rPr>
                      <w:b/>
                      <w:sz w:val="24"/>
                      <w:szCs w:val="24"/>
                      <w:lang w:val="pt-PT"/>
                    </w:rPr>
                  </w:pPr>
                  <w:r>
                    <w:rPr>
                      <w:b/>
                      <w:sz w:val="24"/>
                      <w:szCs w:val="24"/>
                      <w:lang w:val="pt-PT"/>
                    </w:rPr>
                    <w:t>Guincho para veículos articulados, reboque e semir-reboque - Vazio.</w:t>
                  </w:r>
                </w:p>
              </w:tc>
              <w:tc>
                <w:tcPr>
                  <w:tcW w:w="1620" w:type="dxa"/>
                  <w:gridSpan w:val="4"/>
                  <w:vAlign w:val="center"/>
                </w:tcPr>
                <w:p w14:paraId="07AC9D70">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04208551">
                  <w:pPr>
                    <w:widowControl w:val="0"/>
                    <w:jc w:val="center"/>
                    <w:rPr>
                      <w:b/>
                      <w:sz w:val="24"/>
                      <w:szCs w:val="24"/>
                      <w:lang w:val="pt-PT"/>
                    </w:rPr>
                  </w:pPr>
                  <w:r>
                    <w:rPr>
                      <w:b/>
                      <w:sz w:val="24"/>
                      <w:szCs w:val="24"/>
                      <w:lang w:val="pt-PT"/>
                    </w:rPr>
                    <w:t>2,2</w:t>
                  </w:r>
                </w:p>
              </w:tc>
              <w:tc>
                <w:tcPr>
                  <w:tcW w:w="1251" w:type="dxa"/>
                  <w:vAlign w:val="center"/>
                </w:tcPr>
                <w:p w14:paraId="6EA72DAB">
                  <w:pPr>
                    <w:widowControl w:val="0"/>
                    <w:rPr>
                      <w:b/>
                      <w:sz w:val="24"/>
                      <w:szCs w:val="24"/>
                      <w:lang w:val="pt-PT"/>
                    </w:rPr>
                  </w:pPr>
                  <w:r>
                    <w:rPr>
                      <w:b/>
                      <w:sz w:val="24"/>
                      <w:szCs w:val="24"/>
                      <w:lang w:val="pt-PT"/>
                    </w:rPr>
                    <w:t xml:space="preserve">R$ 8,25 </w:t>
                  </w:r>
                </w:p>
              </w:tc>
            </w:tr>
            <w:tr w14:paraId="519402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500" w:hRule="atLeast"/>
              </w:trPr>
              <w:tc>
                <w:tcPr>
                  <w:tcW w:w="1583" w:type="dxa"/>
                  <w:gridSpan w:val="2"/>
                  <w:vAlign w:val="center"/>
                </w:tcPr>
                <w:p w14:paraId="130F45E7">
                  <w:pPr>
                    <w:widowControl w:val="0"/>
                    <w:jc w:val="center"/>
                    <w:rPr>
                      <w:b/>
                      <w:sz w:val="24"/>
                      <w:szCs w:val="24"/>
                      <w:lang w:val="pt-PT"/>
                    </w:rPr>
                  </w:pPr>
                  <w:r>
                    <w:rPr>
                      <w:b/>
                      <w:sz w:val="24"/>
                      <w:szCs w:val="24"/>
                      <w:lang w:val="pt-PT"/>
                    </w:rPr>
                    <w:t>V</w:t>
                  </w:r>
                </w:p>
              </w:tc>
              <w:tc>
                <w:tcPr>
                  <w:tcW w:w="3605" w:type="dxa"/>
                  <w:vAlign w:val="center"/>
                </w:tcPr>
                <w:p w14:paraId="4BF97A98">
                  <w:pPr>
                    <w:widowControl w:val="0"/>
                    <w:jc w:val="both"/>
                    <w:rPr>
                      <w:b/>
                      <w:sz w:val="24"/>
                      <w:szCs w:val="24"/>
                      <w:lang w:val="pt-PT"/>
                    </w:rPr>
                  </w:pPr>
                  <w:r>
                    <w:rPr>
                      <w:b/>
                      <w:sz w:val="24"/>
                      <w:szCs w:val="24"/>
                      <w:lang w:val="pt-PT"/>
                    </w:rPr>
                    <w:t>Guincho para veículos articulados, reboque e semir-reboque - Carregado.</w:t>
                  </w:r>
                </w:p>
              </w:tc>
              <w:tc>
                <w:tcPr>
                  <w:tcW w:w="1620" w:type="dxa"/>
                  <w:gridSpan w:val="4"/>
                  <w:vAlign w:val="center"/>
                </w:tcPr>
                <w:p w14:paraId="3CE10497">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1F79F9DC">
                  <w:pPr>
                    <w:widowControl w:val="0"/>
                    <w:jc w:val="center"/>
                    <w:rPr>
                      <w:b/>
                      <w:sz w:val="24"/>
                      <w:szCs w:val="24"/>
                      <w:lang w:val="pt-PT"/>
                    </w:rPr>
                  </w:pPr>
                  <w:r>
                    <w:rPr>
                      <w:b/>
                      <w:sz w:val="24"/>
                      <w:szCs w:val="24"/>
                      <w:lang w:val="pt-PT"/>
                    </w:rPr>
                    <w:t>3</w:t>
                  </w:r>
                </w:p>
              </w:tc>
              <w:tc>
                <w:tcPr>
                  <w:tcW w:w="1251" w:type="dxa"/>
                  <w:vAlign w:val="center"/>
                </w:tcPr>
                <w:p w14:paraId="25734111">
                  <w:pPr>
                    <w:widowControl w:val="0"/>
                    <w:rPr>
                      <w:b/>
                      <w:sz w:val="24"/>
                      <w:szCs w:val="24"/>
                      <w:lang w:val="pt-PT"/>
                    </w:rPr>
                  </w:pPr>
                  <w:r>
                    <w:rPr>
                      <w:b/>
                      <w:sz w:val="24"/>
                      <w:szCs w:val="24"/>
                      <w:lang w:val="pt-PT"/>
                    </w:rPr>
                    <w:t xml:space="preserve">R$ 11,25 </w:t>
                  </w:r>
                </w:p>
              </w:tc>
            </w:tr>
            <w:tr w14:paraId="5313D2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362AA34A">
                  <w:pPr>
                    <w:widowControl w:val="0"/>
                    <w:jc w:val="center"/>
                    <w:rPr>
                      <w:b/>
                      <w:sz w:val="24"/>
                      <w:szCs w:val="24"/>
                      <w:lang w:val="pt-PT"/>
                    </w:rPr>
                  </w:pPr>
                  <w:r>
                    <w:rPr>
                      <w:b/>
                      <w:sz w:val="24"/>
                      <w:szCs w:val="24"/>
                      <w:lang w:val="pt-PT"/>
                    </w:rPr>
                    <w:t>VI</w:t>
                  </w:r>
                </w:p>
              </w:tc>
              <w:tc>
                <w:tcPr>
                  <w:tcW w:w="3605" w:type="dxa"/>
                  <w:vAlign w:val="center"/>
                </w:tcPr>
                <w:p w14:paraId="1CC72600">
                  <w:pPr>
                    <w:widowControl w:val="0"/>
                    <w:jc w:val="both"/>
                    <w:rPr>
                      <w:b/>
                      <w:sz w:val="24"/>
                      <w:szCs w:val="24"/>
                      <w:lang w:val="pt-PT"/>
                    </w:rPr>
                  </w:pPr>
                  <w:r>
                    <w:rPr>
                      <w:b/>
                      <w:sz w:val="24"/>
                      <w:szCs w:val="24"/>
                      <w:lang w:val="pt-PT"/>
                    </w:rPr>
                    <w:t>Guincho para Caçambas, Container e similares.</w:t>
                  </w:r>
                </w:p>
              </w:tc>
              <w:tc>
                <w:tcPr>
                  <w:tcW w:w="1620" w:type="dxa"/>
                  <w:gridSpan w:val="4"/>
                  <w:vAlign w:val="center"/>
                </w:tcPr>
                <w:p w14:paraId="1F0998DB">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4E39CEA4">
                  <w:pPr>
                    <w:widowControl w:val="0"/>
                    <w:jc w:val="center"/>
                    <w:rPr>
                      <w:b/>
                      <w:sz w:val="24"/>
                      <w:szCs w:val="24"/>
                      <w:lang w:val="pt-PT"/>
                    </w:rPr>
                  </w:pPr>
                  <w:r>
                    <w:rPr>
                      <w:b/>
                      <w:sz w:val="24"/>
                      <w:szCs w:val="24"/>
                      <w:lang w:val="pt-PT"/>
                    </w:rPr>
                    <w:t>1,18</w:t>
                  </w:r>
                </w:p>
              </w:tc>
              <w:tc>
                <w:tcPr>
                  <w:tcW w:w="1251" w:type="dxa"/>
                  <w:vAlign w:val="center"/>
                </w:tcPr>
                <w:p w14:paraId="1AB9558D">
                  <w:pPr>
                    <w:widowControl w:val="0"/>
                    <w:rPr>
                      <w:b/>
                      <w:sz w:val="24"/>
                      <w:szCs w:val="24"/>
                      <w:lang w:val="pt-PT"/>
                    </w:rPr>
                  </w:pPr>
                  <w:r>
                    <w:rPr>
                      <w:b/>
                      <w:sz w:val="24"/>
                      <w:szCs w:val="24"/>
                      <w:lang w:val="pt-PT"/>
                    </w:rPr>
                    <w:t xml:space="preserve">R$ 4,43 </w:t>
                  </w:r>
                </w:p>
              </w:tc>
            </w:tr>
            <w:tr w14:paraId="044231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3A75946D">
                  <w:pPr>
                    <w:widowControl w:val="0"/>
                    <w:jc w:val="center"/>
                    <w:rPr>
                      <w:b/>
                      <w:sz w:val="24"/>
                      <w:szCs w:val="24"/>
                      <w:lang w:val="pt-PT"/>
                    </w:rPr>
                  </w:pPr>
                  <w:r>
                    <w:rPr>
                      <w:b/>
                      <w:sz w:val="24"/>
                      <w:szCs w:val="24"/>
                      <w:lang w:val="pt-PT"/>
                    </w:rPr>
                    <w:t>VII</w:t>
                  </w:r>
                </w:p>
              </w:tc>
              <w:tc>
                <w:tcPr>
                  <w:tcW w:w="3605" w:type="dxa"/>
                  <w:vAlign w:val="center"/>
                </w:tcPr>
                <w:p w14:paraId="4BCBF5C2">
                  <w:pPr>
                    <w:widowControl w:val="0"/>
                    <w:jc w:val="both"/>
                    <w:rPr>
                      <w:b/>
                      <w:sz w:val="24"/>
                      <w:szCs w:val="24"/>
                      <w:lang w:val="pt-PT"/>
                    </w:rPr>
                  </w:pPr>
                  <w:r>
                    <w:rPr>
                      <w:b/>
                      <w:sz w:val="24"/>
                      <w:szCs w:val="24"/>
                      <w:lang w:val="pt-PT"/>
                    </w:rPr>
                    <w:t>Guincho para Carretinhas</w:t>
                  </w:r>
                </w:p>
              </w:tc>
              <w:tc>
                <w:tcPr>
                  <w:tcW w:w="1620" w:type="dxa"/>
                  <w:gridSpan w:val="4"/>
                  <w:vAlign w:val="center"/>
                </w:tcPr>
                <w:p w14:paraId="6A9FFD59">
                  <w:pPr>
                    <w:widowControl w:val="0"/>
                    <w:jc w:val="center"/>
                    <w:rPr>
                      <w:b/>
                      <w:sz w:val="24"/>
                      <w:szCs w:val="24"/>
                      <w:lang w:val="pt-PT"/>
                    </w:rPr>
                  </w:pPr>
                  <w:r>
                    <w:rPr>
                      <w:b/>
                      <w:sz w:val="24"/>
                      <w:szCs w:val="24"/>
                      <w:lang w:val="pt-PT"/>
                    </w:rPr>
                    <w:t>Valor do km</w:t>
                  </w:r>
                  <w:r>
                    <w:rPr>
                      <w:b/>
                      <w:sz w:val="24"/>
                      <w:szCs w:val="24"/>
                      <w:lang w:val="pt-PT"/>
                    </w:rPr>
                    <w:br w:type="textWrapping"/>
                  </w:r>
                  <w:r>
                    <w:rPr>
                      <w:b/>
                      <w:sz w:val="24"/>
                      <w:szCs w:val="24"/>
                      <w:lang w:val="pt-PT"/>
                    </w:rPr>
                    <w:t>adicional percurso</w:t>
                  </w:r>
                  <w:r>
                    <w:rPr>
                      <w:b/>
                      <w:sz w:val="24"/>
                      <w:szCs w:val="24"/>
                      <w:lang w:val="pt-PT"/>
                    </w:rPr>
                    <w:br w:type="textWrapping"/>
                  </w:r>
                  <w:r>
                    <w:rPr>
                      <w:b/>
                      <w:sz w:val="24"/>
                      <w:szCs w:val="24"/>
                      <w:lang w:val="pt-PT"/>
                    </w:rPr>
                    <w:t>com mais de 30 km</w:t>
                  </w:r>
                </w:p>
              </w:tc>
              <w:tc>
                <w:tcPr>
                  <w:tcW w:w="1013" w:type="dxa"/>
                  <w:vAlign w:val="center"/>
                </w:tcPr>
                <w:p w14:paraId="16C7326D">
                  <w:pPr>
                    <w:widowControl w:val="0"/>
                    <w:jc w:val="center"/>
                    <w:rPr>
                      <w:b/>
                      <w:sz w:val="24"/>
                      <w:szCs w:val="24"/>
                      <w:lang w:val="pt-PT"/>
                    </w:rPr>
                  </w:pPr>
                  <w:r>
                    <w:rPr>
                      <w:b/>
                      <w:sz w:val="24"/>
                      <w:szCs w:val="24"/>
                      <w:lang w:val="pt-PT"/>
                    </w:rPr>
                    <w:t>1,18</w:t>
                  </w:r>
                </w:p>
              </w:tc>
              <w:tc>
                <w:tcPr>
                  <w:tcW w:w="1251" w:type="dxa"/>
                  <w:vAlign w:val="center"/>
                </w:tcPr>
                <w:p w14:paraId="72E63312">
                  <w:pPr>
                    <w:widowControl w:val="0"/>
                    <w:rPr>
                      <w:b/>
                      <w:sz w:val="24"/>
                      <w:szCs w:val="24"/>
                      <w:lang w:val="pt-PT"/>
                    </w:rPr>
                  </w:pPr>
                  <w:r>
                    <w:rPr>
                      <w:b/>
                      <w:sz w:val="24"/>
                      <w:szCs w:val="24"/>
                      <w:lang w:val="pt-PT"/>
                    </w:rPr>
                    <w:t xml:space="preserve">R$ 4,43 </w:t>
                  </w:r>
                </w:p>
              </w:tc>
            </w:tr>
            <w:tr w14:paraId="1D3D7A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6" w:hRule="atLeast"/>
              </w:trPr>
              <w:tc>
                <w:tcPr>
                  <w:tcW w:w="9072" w:type="dxa"/>
                  <w:gridSpan w:val="9"/>
                  <w:shd w:val="clear" w:color="auto" w:fill="EAF1DD"/>
                  <w:vAlign w:val="center"/>
                </w:tcPr>
                <w:p w14:paraId="7A74ADF0">
                  <w:pPr>
                    <w:widowControl w:val="0"/>
                    <w:jc w:val="center"/>
                    <w:rPr>
                      <w:b/>
                      <w:bCs/>
                      <w:sz w:val="24"/>
                      <w:szCs w:val="24"/>
                      <w:lang w:val="pt-PT"/>
                    </w:rPr>
                  </w:pPr>
                  <w:r>
                    <w:rPr>
                      <w:b/>
                      <w:bCs/>
                      <w:sz w:val="24"/>
                      <w:szCs w:val="24"/>
                      <w:lang w:val="pt-PT"/>
                    </w:rPr>
                    <w:t>Anexo III - Lei Municipal 2.985/2021</w:t>
                  </w:r>
                </w:p>
                <w:p w14:paraId="6941D2B6">
                  <w:pPr>
                    <w:widowControl w:val="0"/>
                    <w:jc w:val="center"/>
                    <w:rPr>
                      <w:b/>
                      <w:bCs/>
                      <w:sz w:val="24"/>
                      <w:szCs w:val="24"/>
                      <w:lang w:val="pt-PT"/>
                    </w:rPr>
                  </w:pPr>
                  <w:r>
                    <w:rPr>
                      <w:b/>
                      <w:bCs/>
                      <w:sz w:val="24"/>
                      <w:szCs w:val="24"/>
                      <w:lang w:val="pt-PT"/>
                    </w:rPr>
                    <w:t>DOS VALORES DA TAXA DE DEPÓSITO EM PÁTIO - Art. 19</w:t>
                  </w:r>
                </w:p>
              </w:tc>
            </w:tr>
            <w:tr w14:paraId="0EB772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5A8391BD">
                  <w:pPr>
                    <w:widowControl w:val="0"/>
                    <w:jc w:val="center"/>
                    <w:rPr>
                      <w:b/>
                      <w:bCs/>
                      <w:sz w:val="24"/>
                      <w:szCs w:val="24"/>
                    </w:rPr>
                  </w:pPr>
                  <w:r>
                    <w:rPr>
                      <w:b/>
                      <w:bCs/>
                      <w:sz w:val="24"/>
                      <w:szCs w:val="24"/>
                      <w:lang w:val="pt-PT"/>
                    </w:rPr>
                    <w:t>Item</w:t>
                  </w:r>
                </w:p>
              </w:tc>
              <w:tc>
                <w:tcPr>
                  <w:tcW w:w="3618" w:type="dxa"/>
                  <w:gridSpan w:val="2"/>
                  <w:shd w:val="clear" w:color="auto" w:fill="EAF1DD"/>
                  <w:vAlign w:val="center"/>
                </w:tcPr>
                <w:p w14:paraId="047AF7A0">
                  <w:pPr>
                    <w:widowControl w:val="0"/>
                    <w:jc w:val="center"/>
                    <w:rPr>
                      <w:b/>
                      <w:bCs/>
                      <w:sz w:val="24"/>
                      <w:szCs w:val="24"/>
                      <w:lang w:val="pt-PT"/>
                    </w:rPr>
                  </w:pPr>
                  <w:r>
                    <w:rPr>
                      <w:b/>
                      <w:bCs/>
                      <w:sz w:val="24"/>
                      <w:szCs w:val="24"/>
                      <w:lang w:val="pt-PT"/>
                    </w:rPr>
                    <w:t>Descrição dos Serviços</w:t>
                  </w:r>
                </w:p>
              </w:tc>
              <w:tc>
                <w:tcPr>
                  <w:tcW w:w="1607" w:type="dxa"/>
                  <w:gridSpan w:val="3"/>
                  <w:shd w:val="clear" w:color="auto" w:fill="EAF1DD"/>
                  <w:vAlign w:val="center"/>
                </w:tcPr>
                <w:p w14:paraId="7C7A612E">
                  <w:pPr>
                    <w:widowControl w:val="0"/>
                    <w:jc w:val="center"/>
                    <w:rPr>
                      <w:b/>
                      <w:bCs/>
                      <w:sz w:val="24"/>
                      <w:szCs w:val="24"/>
                      <w:lang w:val="pt-PT"/>
                    </w:rPr>
                  </w:pPr>
                  <w:r>
                    <w:rPr>
                      <w:b/>
                      <w:bCs/>
                      <w:sz w:val="24"/>
                      <w:szCs w:val="24"/>
                      <w:lang w:val="pt-PT"/>
                    </w:rPr>
                    <w:t>Unidade</w:t>
                  </w:r>
                </w:p>
              </w:tc>
              <w:tc>
                <w:tcPr>
                  <w:tcW w:w="1013" w:type="dxa"/>
                  <w:shd w:val="clear" w:color="auto" w:fill="EAF1DD"/>
                  <w:vAlign w:val="center"/>
                </w:tcPr>
                <w:p w14:paraId="7DEF1A6B">
                  <w:pPr>
                    <w:widowControl w:val="0"/>
                    <w:jc w:val="center"/>
                    <w:rPr>
                      <w:b/>
                      <w:bCs/>
                      <w:sz w:val="24"/>
                      <w:szCs w:val="24"/>
                      <w:lang w:val="pt-PT"/>
                    </w:rPr>
                  </w:pPr>
                  <w:r>
                    <w:rPr>
                      <w:b/>
                      <w:bCs/>
                      <w:sz w:val="24"/>
                      <w:szCs w:val="24"/>
                      <w:lang w:val="pt-PT"/>
                    </w:rPr>
                    <w:t>Valor em UR</w:t>
                  </w:r>
                  <w:r>
                    <w:rPr>
                      <w:b/>
                      <w:bCs/>
                      <w:sz w:val="24"/>
                      <w:szCs w:val="24"/>
                      <w:lang w:val="pt-PT"/>
                    </w:rPr>
                    <w:br w:type="textWrapping"/>
                  </w:r>
                  <w:r>
                    <w:rPr>
                      <w:b/>
                      <w:bCs/>
                      <w:sz w:val="24"/>
                      <w:szCs w:val="24"/>
                      <w:lang w:val="pt-PT"/>
                    </w:rPr>
                    <w:t>Lei Comp. 109/2014</w:t>
                  </w:r>
                  <w:r>
                    <w:rPr>
                      <w:b/>
                      <w:bCs/>
                      <w:sz w:val="24"/>
                      <w:szCs w:val="24"/>
                      <w:lang w:val="pt-PT"/>
                    </w:rPr>
                    <w:br w:type="textWrapping"/>
                  </w:r>
                  <w:r>
                    <w:rPr>
                      <w:b/>
                      <w:bCs/>
                      <w:sz w:val="24"/>
                      <w:szCs w:val="24"/>
                      <w:lang w:val="pt-PT"/>
                    </w:rPr>
                    <w:t>Decreto 356/2024</w:t>
                  </w:r>
                </w:p>
              </w:tc>
              <w:tc>
                <w:tcPr>
                  <w:tcW w:w="1251" w:type="dxa"/>
                  <w:shd w:val="clear" w:color="auto" w:fill="EAF1DD"/>
                  <w:vAlign w:val="center"/>
                </w:tcPr>
                <w:p w14:paraId="58D56CB0">
                  <w:pPr>
                    <w:widowControl w:val="0"/>
                    <w:jc w:val="center"/>
                    <w:rPr>
                      <w:b/>
                      <w:bCs/>
                      <w:sz w:val="24"/>
                      <w:szCs w:val="24"/>
                      <w:lang w:val="pt-PT"/>
                    </w:rPr>
                  </w:pPr>
                  <w:r>
                    <w:rPr>
                      <w:b/>
                      <w:bCs/>
                      <w:sz w:val="24"/>
                      <w:szCs w:val="24"/>
                      <w:lang w:val="pt-PT"/>
                    </w:rPr>
                    <w:t>Valor em R$</w:t>
                  </w:r>
                  <w:r>
                    <w:rPr>
                      <w:b/>
                      <w:bCs/>
                      <w:sz w:val="24"/>
                      <w:szCs w:val="24"/>
                      <w:lang w:val="pt-PT"/>
                    </w:rPr>
                    <w:br w:type="textWrapping"/>
                  </w:r>
                  <w:r>
                    <w:rPr>
                      <w:b/>
                      <w:bCs/>
                      <w:sz w:val="24"/>
                      <w:szCs w:val="24"/>
                      <w:lang w:val="pt-PT"/>
                    </w:rPr>
                    <w:t>Ano 2025</w:t>
                  </w:r>
                </w:p>
              </w:tc>
            </w:tr>
            <w:tr w14:paraId="484131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2EAFAAA8">
                  <w:pPr>
                    <w:widowControl w:val="0"/>
                    <w:jc w:val="center"/>
                    <w:rPr>
                      <w:b/>
                      <w:sz w:val="24"/>
                      <w:szCs w:val="24"/>
                      <w:lang w:val="pt-PT"/>
                    </w:rPr>
                  </w:pPr>
                  <w:r>
                    <w:rPr>
                      <w:b/>
                      <w:sz w:val="24"/>
                      <w:szCs w:val="24"/>
                      <w:lang w:val="pt-PT"/>
                    </w:rPr>
                    <w:t>I</w:t>
                  </w:r>
                </w:p>
              </w:tc>
              <w:tc>
                <w:tcPr>
                  <w:tcW w:w="3618" w:type="dxa"/>
                  <w:gridSpan w:val="2"/>
                  <w:vAlign w:val="center"/>
                </w:tcPr>
                <w:p w14:paraId="2432BDEF">
                  <w:pPr>
                    <w:widowControl w:val="0"/>
                    <w:jc w:val="both"/>
                    <w:rPr>
                      <w:b/>
                      <w:sz w:val="24"/>
                      <w:szCs w:val="24"/>
                      <w:lang w:val="pt-PT"/>
                    </w:rPr>
                  </w:pPr>
                  <w:r>
                    <w:rPr>
                      <w:b/>
                      <w:sz w:val="24"/>
                      <w:szCs w:val="24"/>
                      <w:lang w:val="pt-PT"/>
                    </w:rPr>
                    <w:t>Estada no pátio para motocicletas, ciclomotores e triciclos (veículos com 03 rodas), com ou sem</w:t>
                  </w:r>
                  <w:r>
                    <w:rPr>
                      <w:b/>
                      <w:sz w:val="24"/>
                      <w:szCs w:val="24"/>
                      <w:lang w:val="pt-PT"/>
                    </w:rPr>
                    <w:br w:type="textWrapping"/>
                  </w:r>
                  <w:r>
                    <w:rPr>
                      <w:b/>
                      <w:sz w:val="24"/>
                      <w:szCs w:val="24"/>
                      <w:lang w:val="pt-PT"/>
                    </w:rPr>
                    <w:t>reboque lateral, limitadas a 180 dias.</w:t>
                  </w:r>
                </w:p>
              </w:tc>
              <w:tc>
                <w:tcPr>
                  <w:tcW w:w="1607" w:type="dxa"/>
                  <w:gridSpan w:val="3"/>
                  <w:vAlign w:val="center"/>
                </w:tcPr>
                <w:p w14:paraId="49AD3791">
                  <w:pPr>
                    <w:widowControl w:val="0"/>
                    <w:jc w:val="center"/>
                    <w:rPr>
                      <w:b/>
                      <w:sz w:val="24"/>
                      <w:szCs w:val="24"/>
                      <w:lang w:val="pt-PT"/>
                    </w:rPr>
                  </w:pPr>
                  <w:r>
                    <w:rPr>
                      <w:b/>
                      <w:sz w:val="24"/>
                      <w:szCs w:val="24"/>
                      <w:lang w:val="pt-PT"/>
                    </w:rPr>
                    <w:t>Diária - 24 hs</w:t>
                  </w:r>
                </w:p>
              </w:tc>
              <w:tc>
                <w:tcPr>
                  <w:tcW w:w="1013" w:type="dxa"/>
                  <w:vAlign w:val="center"/>
                </w:tcPr>
                <w:p w14:paraId="153982EE">
                  <w:pPr>
                    <w:widowControl w:val="0"/>
                    <w:jc w:val="center"/>
                    <w:rPr>
                      <w:b/>
                      <w:sz w:val="24"/>
                      <w:szCs w:val="24"/>
                      <w:lang w:val="pt-PT"/>
                    </w:rPr>
                  </w:pPr>
                  <w:r>
                    <w:rPr>
                      <w:b/>
                      <w:sz w:val="24"/>
                      <w:szCs w:val="24"/>
                      <w:lang w:val="pt-PT"/>
                    </w:rPr>
                    <w:t>9,1</w:t>
                  </w:r>
                </w:p>
              </w:tc>
              <w:tc>
                <w:tcPr>
                  <w:tcW w:w="1251" w:type="dxa"/>
                  <w:vAlign w:val="center"/>
                </w:tcPr>
                <w:p w14:paraId="5A60A25A">
                  <w:pPr>
                    <w:widowControl w:val="0"/>
                    <w:rPr>
                      <w:b/>
                      <w:sz w:val="24"/>
                      <w:szCs w:val="24"/>
                      <w:lang w:val="pt-PT"/>
                    </w:rPr>
                  </w:pPr>
                  <w:r>
                    <w:rPr>
                      <w:b/>
                      <w:sz w:val="24"/>
                      <w:szCs w:val="24"/>
                      <w:lang w:val="pt-PT"/>
                    </w:rPr>
                    <w:t xml:space="preserve">R$ 34,13 </w:t>
                  </w:r>
                </w:p>
              </w:tc>
            </w:tr>
            <w:tr w14:paraId="3C4298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0823871E">
                  <w:pPr>
                    <w:widowControl w:val="0"/>
                    <w:jc w:val="center"/>
                    <w:rPr>
                      <w:b/>
                      <w:sz w:val="24"/>
                      <w:szCs w:val="24"/>
                      <w:lang w:val="pt-PT"/>
                    </w:rPr>
                  </w:pPr>
                  <w:r>
                    <w:rPr>
                      <w:b/>
                      <w:sz w:val="24"/>
                      <w:szCs w:val="24"/>
                      <w:lang w:val="pt-PT"/>
                    </w:rPr>
                    <w:t>II</w:t>
                  </w:r>
                </w:p>
              </w:tc>
              <w:tc>
                <w:tcPr>
                  <w:tcW w:w="3618" w:type="dxa"/>
                  <w:gridSpan w:val="2"/>
                  <w:vAlign w:val="center"/>
                </w:tcPr>
                <w:p w14:paraId="56033F79">
                  <w:pPr>
                    <w:widowControl w:val="0"/>
                    <w:jc w:val="both"/>
                    <w:rPr>
                      <w:b/>
                      <w:sz w:val="24"/>
                      <w:szCs w:val="24"/>
                      <w:lang w:val="pt-PT"/>
                    </w:rPr>
                  </w:pPr>
                  <w:r>
                    <w:rPr>
                      <w:b/>
                      <w:sz w:val="24"/>
                      <w:szCs w:val="24"/>
                      <w:lang w:val="pt-PT"/>
                    </w:rPr>
                    <w:t>Estada no pátio para veículos de passeio, utilitário e similares que não ultrapassem o peso bruto total de 3.500 Kg, limitadas a 180 dias.</w:t>
                  </w:r>
                </w:p>
              </w:tc>
              <w:tc>
                <w:tcPr>
                  <w:tcW w:w="1607" w:type="dxa"/>
                  <w:gridSpan w:val="3"/>
                  <w:vAlign w:val="center"/>
                </w:tcPr>
                <w:p w14:paraId="55A6D9ED">
                  <w:pPr>
                    <w:widowControl w:val="0"/>
                    <w:jc w:val="center"/>
                    <w:rPr>
                      <w:b/>
                      <w:sz w:val="24"/>
                      <w:szCs w:val="24"/>
                      <w:lang w:val="pt-PT"/>
                    </w:rPr>
                  </w:pPr>
                  <w:r>
                    <w:rPr>
                      <w:b/>
                      <w:sz w:val="24"/>
                      <w:szCs w:val="24"/>
                      <w:lang w:val="pt-PT"/>
                    </w:rPr>
                    <w:t>Diária - 24 hs</w:t>
                  </w:r>
                </w:p>
              </w:tc>
              <w:tc>
                <w:tcPr>
                  <w:tcW w:w="1013" w:type="dxa"/>
                  <w:vAlign w:val="center"/>
                </w:tcPr>
                <w:p w14:paraId="7D03322F">
                  <w:pPr>
                    <w:widowControl w:val="0"/>
                    <w:jc w:val="center"/>
                    <w:rPr>
                      <w:b/>
                      <w:sz w:val="24"/>
                      <w:szCs w:val="24"/>
                      <w:lang w:val="pt-PT"/>
                    </w:rPr>
                  </w:pPr>
                  <w:r>
                    <w:rPr>
                      <w:b/>
                      <w:sz w:val="24"/>
                      <w:szCs w:val="24"/>
                      <w:lang w:val="pt-PT"/>
                    </w:rPr>
                    <w:t>14,9</w:t>
                  </w:r>
                </w:p>
              </w:tc>
              <w:tc>
                <w:tcPr>
                  <w:tcW w:w="1251" w:type="dxa"/>
                  <w:vAlign w:val="center"/>
                </w:tcPr>
                <w:p w14:paraId="7EA93426">
                  <w:pPr>
                    <w:widowControl w:val="0"/>
                    <w:rPr>
                      <w:b/>
                      <w:sz w:val="24"/>
                      <w:szCs w:val="24"/>
                      <w:lang w:val="pt-PT"/>
                    </w:rPr>
                  </w:pPr>
                  <w:r>
                    <w:rPr>
                      <w:b/>
                      <w:sz w:val="24"/>
                      <w:szCs w:val="24"/>
                      <w:lang w:val="pt-PT"/>
                    </w:rPr>
                    <w:t xml:space="preserve">R$ 55,88 </w:t>
                  </w:r>
                </w:p>
              </w:tc>
            </w:tr>
            <w:tr w14:paraId="5A3D96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62" w:hRule="atLeast"/>
              </w:trPr>
              <w:tc>
                <w:tcPr>
                  <w:tcW w:w="1583" w:type="dxa"/>
                  <w:gridSpan w:val="2"/>
                  <w:vAlign w:val="center"/>
                </w:tcPr>
                <w:p w14:paraId="61DD9855">
                  <w:pPr>
                    <w:widowControl w:val="0"/>
                    <w:jc w:val="center"/>
                    <w:rPr>
                      <w:b/>
                      <w:sz w:val="24"/>
                      <w:szCs w:val="24"/>
                      <w:lang w:val="pt-PT"/>
                    </w:rPr>
                  </w:pPr>
                  <w:r>
                    <w:rPr>
                      <w:b/>
                      <w:sz w:val="24"/>
                      <w:szCs w:val="24"/>
                      <w:lang w:val="pt-PT"/>
                    </w:rPr>
                    <w:t>III</w:t>
                  </w:r>
                </w:p>
              </w:tc>
              <w:tc>
                <w:tcPr>
                  <w:tcW w:w="3618" w:type="dxa"/>
                  <w:gridSpan w:val="2"/>
                  <w:vAlign w:val="center"/>
                </w:tcPr>
                <w:p w14:paraId="0D29EAD2">
                  <w:pPr>
                    <w:widowControl w:val="0"/>
                    <w:jc w:val="both"/>
                    <w:rPr>
                      <w:b/>
                      <w:sz w:val="24"/>
                      <w:szCs w:val="24"/>
                      <w:lang w:val="pt-PT"/>
                    </w:rPr>
                  </w:pPr>
                  <w:r>
                    <w:rPr>
                      <w:b/>
                      <w:sz w:val="24"/>
                      <w:szCs w:val="24"/>
                      <w:lang w:val="pt-PT"/>
                    </w:rPr>
                    <w:t>Estada no pátio para veículos de carga ou passageiros com peso bruto superior a 3.500 kg, limitadas a 180 dias e</w:t>
                  </w:r>
                </w:p>
              </w:tc>
              <w:tc>
                <w:tcPr>
                  <w:tcW w:w="1607" w:type="dxa"/>
                  <w:gridSpan w:val="3"/>
                  <w:vAlign w:val="center"/>
                </w:tcPr>
                <w:p w14:paraId="1C222A05">
                  <w:pPr>
                    <w:widowControl w:val="0"/>
                    <w:jc w:val="center"/>
                    <w:rPr>
                      <w:b/>
                      <w:sz w:val="24"/>
                      <w:szCs w:val="24"/>
                      <w:lang w:val="pt-PT"/>
                    </w:rPr>
                  </w:pPr>
                  <w:r>
                    <w:rPr>
                      <w:b/>
                      <w:sz w:val="24"/>
                      <w:szCs w:val="24"/>
                      <w:lang w:val="pt-PT"/>
                    </w:rPr>
                    <w:t>Diária - 24 hs</w:t>
                  </w:r>
                </w:p>
              </w:tc>
              <w:tc>
                <w:tcPr>
                  <w:tcW w:w="1013" w:type="dxa"/>
                  <w:vAlign w:val="center"/>
                </w:tcPr>
                <w:p w14:paraId="65B2D057">
                  <w:pPr>
                    <w:widowControl w:val="0"/>
                    <w:jc w:val="center"/>
                    <w:rPr>
                      <w:b/>
                      <w:sz w:val="24"/>
                      <w:szCs w:val="24"/>
                      <w:lang w:val="pt-PT"/>
                    </w:rPr>
                  </w:pPr>
                  <w:r>
                    <w:rPr>
                      <w:b/>
                      <w:sz w:val="24"/>
                      <w:szCs w:val="24"/>
                      <w:lang w:val="pt-PT"/>
                    </w:rPr>
                    <w:t>21,8</w:t>
                  </w:r>
                </w:p>
              </w:tc>
              <w:tc>
                <w:tcPr>
                  <w:tcW w:w="1251" w:type="dxa"/>
                  <w:vAlign w:val="center"/>
                </w:tcPr>
                <w:p w14:paraId="17EF813C">
                  <w:pPr>
                    <w:widowControl w:val="0"/>
                    <w:rPr>
                      <w:b/>
                      <w:sz w:val="24"/>
                      <w:szCs w:val="24"/>
                      <w:lang w:val="pt-PT"/>
                    </w:rPr>
                  </w:pPr>
                  <w:r>
                    <w:rPr>
                      <w:b/>
                      <w:sz w:val="24"/>
                      <w:szCs w:val="24"/>
                      <w:lang w:val="pt-PT"/>
                    </w:rPr>
                    <w:t xml:space="preserve">R$ 81,75 </w:t>
                  </w:r>
                </w:p>
              </w:tc>
            </w:tr>
            <w:tr w14:paraId="23791D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52" w:hRule="atLeast"/>
              </w:trPr>
              <w:tc>
                <w:tcPr>
                  <w:tcW w:w="1583" w:type="dxa"/>
                  <w:gridSpan w:val="2"/>
                  <w:vAlign w:val="center"/>
                </w:tcPr>
                <w:p w14:paraId="07BB7744">
                  <w:pPr>
                    <w:widowControl w:val="0"/>
                    <w:jc w:val="center"/>
                    <w:rPr>
                      <w:b/>
                      <w:sz w:val="24"/>
                      <w:szCs w:val="24"/>
                      <w:lang w:val="pt-PT"/>
                    </w:rPr>
                  </w:pPr>
                  <w:r>
                    <w:rPr>
                      <w:b/>
                      <w:sz w:val="24"/>
                      <w:szCs w:val="24"/>
                      <w:lang w:val="pt-PT"/>
                    </w:rPr>
                    <w:t>IV</w:t>
                  </w:r>
                </w:p>
              </w:tc>
              <w:tc>
                <w:tcPr>
                  <w:tcW w:w="3618" w:type="dxa"/>
                  <w:gridSpan w:val="2"/>
                  <w:vAlign w:val="center"/>
                </w:tcPr>
                <w:p w14:paraId="3DDB3223">
                  <w:pPr>
                    <w:widowControl w:val="0"/>
                    <w:jc w:val="both"/>
                    <w:rPr>
                      <w:b/>
                      <w:sz w:val="24"/>
                      <w:szCs w:val="24"/>
                      <w:lang w:val="pt-PT"/>
                    </w:rPr>
                  </w:pPr>
                  <w:r>
                    <w:rPr>
                      <w:b/>
                      <w:sz w:val="24"/>
                      <w:szCs w:val="24"/>
                      <w:lang w:val="pt-PT"/>
                    </w:rPr>
                    <w:t>Estada no pátio para veículos articulados, reboque e semirreboque (por documento), limitadas a 180 dias.</w:t>
                  </w:r>
                </w:p>
              </w:tc>
              <w:tc>
                <w:tcPr>
                  <w:tcW w:w="1607" w:type="dxa"/>
                  <w:gridSpan w:val="3"/>
                  <w:vAlign w:val="center"/>
                </w:tcPr>
                <w:p w14:paraId="1D1F38AA">
                  <w:pPr>
                    <w:widowControl w:val="0"/>
                    <w:jc w:val="center"/>
                    <w:rPr>
                      <w:b/>
                      <w:sz w:val="24"/>
                      <w:szCs w:val="24"/>
                      <w:lang w:val="pt-PT"/>
                    </w:rPr>
                  </w:pPr>
                  <w:r>
                    <w:rPr>
                      <w:b/>
                      <w:sz w:val="24"/>
                      <w:szCs w:val="24"/>
                      <w:lang w:val="pt-PT"/>
                    </w:rPr>
                    <w:t>Diária - 24 hs</w:t>
                  </w:r>
                </w:p>
              </w:tc>
              <w:tc>
                <w:tcPr>
                  <w:tcW w:w="1013" w:type="dxa"/>
                  <w:vAlign w:val="center"/>
                </w:tcPr>
                <w:p w14:paraId="51CDA454">
                  <w:pPr>
                    <w:widowControl w:val="0"/>
                    <w:jc w:val="center"/>
                    <w:rPr>
                      <w:b/>
                      <w:sz w:val="24"/>
                      <w:szCs w:val="24"/>
                      <w:lang w:val="pt-PT"/>
                    </w:rPr>
                  </w:pPr>
                  <w:r>
                    <w:rPr>
                      <w:b/>
                      <w:sz w:val="24"/>
                      <w:szCs w:val="24"/>
                      <w:lang w:val="pt-PT"/>
                    </w:rPr>
                    <w:t>21,8</w:t>
                  </w:r>
                </w:p>
              </w:tc>
              <w:tc>
                <w:tcPr>
                  <w:tcW w:w="1251" w:type="dxa"/>
                  <w:vAlign w:val="center"/>
                </w:tcPr>
                <w:p w14:paraId="59260ACC">
                  <w:pPr>
                    <w:widowControl w:val="0"/>
                    <w:rPr>
                      <w:b/>
                      <w:sz w:val="24"/>
                      <w:szCs w:val="24"/>
                      <w:lang w:val="pt-PT"/>
                    </w:rPr>
                  </w:pPr>
                  <w:r>
                    <w:rPr>
                      <w:b/>
                      <w:sz w:val="24"/>
                      <w:szCs w:val="24"/>
                      <w:lang w:val="pt-PT"/>
                    </w:rPr>
                    <w:t xml:space="preserve">R$ 81,75 </w:t>
                  </w:r>
                </w:p>
              </w:tc>
            </w:tr>
            <w:tr w14:paraId="63C355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5" w:hRule="atLeast"/>
              </w:trPr>
              <w:tc>
                <w:tcPr>
                  <w:tcW w:w="1583" w:type="dxa"/>
                  <w:gridSpan w:val="2"/>
                  <w:vAlign w:val="center"/>
                </w:tcPr>
                <w:p w14:paraId="7871B9EB">
                  <w:pPr>
                    <w:widowControl w:val="0"/>
                    <w:jc w:val="center"/>
                    <w:rPr>
                      <w:b/>
                      <w:sz w:val="24"/>
                      <w:szCs w:val="24"/>
                      <w:lang w:val="pt-PT"/>
                    </w:rPr>
                  </w:pPr>
                  <w:r>
                    <w:rPr>
                      <w:b/>
                      <w:sz w:val="24"/>
                      <w:szCs w:val="24"/>
                      <w:lang w:val="pt-PT"/>
                    </w:rPr>
                    <w:t>V</w:t>
                  </w:r>
                </w:p>
              </w:tc>
              <w:tc>
                <w:tcPr>
                  <w:tcW w:w="3618" w:type="dxa"/>
                  <w:gridSpan w:val="2"/>
                  <w:vAlign w:val="center"/>
                </w:tcPr>
                <w:p w14:paraId="3DF65AD1">
                  <w:pPr>
                    <w:widowControl w:val="0"/>
                    <w:jc w:val="both"/>
                    <w:rPr>
                      <w:b/>
                      <w:sz w:val="24"/>
                      <w:szCs w:val="24"/>
                      <w:lang w:val="pt-PT"/>
                    </w:rPr>
                  </w:pPr>
                  <w:r>
                    <w:rPr>
                      <w:b/>
                      <w:sz w:val="24"/>
                      <w:szCs w:val="24"/>
                      <w:lang w:val="pt-PT"/>
                    </w:rPr>
                    <w:t>Estada no pátio para Caçambas, Container e similares</w:t>
                  </w:r>
                </w:p>
              </w:tc>
              <w:tc>
                <w:tcPr>
                  <w:tcW w:w="1607" w:type="dxa"/>
                  <w:gridSpan w:val="3"/>
                  <w:vAlign w:val="center"/>
                </w:tcPr>
                <w:p w14:paraId="2F06D3E0">
                  <w:pPr>
                    <w:widowControl w:val="0"/>
                    <w:jc w:val="center"/>
                    <w:rPr>
                      <w:b/>
                      <w:sz w:val="24"/>
                      <w:szCs w:val="24"/>
                      <w:lang w:val="pt-PT"/>
                    </w:rPr>
                  </w:pPr>
                  <w:r>
                    <w:rPr>
                      <w:b/>
                      <w:sz w:val="24"/>
                      <w:szCs w:val="24"/>
                      <w:lang w:val="pt-PT"/>
                    </w:rPr>
                    <w:t>Diária - 24 hs</w:t>
                  </w:r>
                </w:p>
              </w:tc>
              <w:tc>
                <w:tcPr>
                  <w:tcW w:w="1013" w:type="dxa"/>
                  <w:vAlign w:val="center"/>
                </w:tcPr>
                <w:p w14:paraId="33FB0AF2">
                  <w:pPr>
                    <w:widowControl w:val="0"/>
                    <w:jc w:val="center"/>
                    <w:rPr>
                      <w:b/>
                      <w:sz w:val="24"/>
                      <w:szCs w:val="24"/>
                      <w:lang w:val="pt-PT"/>
                    </w:rPr>
                  </w:pPr>
                  <w:r>
                    <w:rPr>
                      <w:b/>
                      <w:sz w:val="24"/>
                      <w:szCs w:val="24"/>
                      <w:lang w:val="pt-PT"/>
                    </w:rPr>
                    <w:t>9,1</w:t>
                  </w:r>
                </w:p>
              </w:tc>
              <w:tc>
                <w:tcPr>
                  <w:tcW w:w="1251" w:type="dxa"/>
                  <w:vAlign w:val="center"/>
                </w:tcPr>
                <w:p w14:paraId="40DFC632">
                  <w:pPr>
                    <w:widowControl w:val="0"/>
                    <w:rPr>
                      <w:b/>
                      <w:sz w:val="24"/>
                      <w:szCs w:val="24"/>
                      <w:lang w:val="pt-PT"/>
                    </w:rPr>
                  </w:pPr>
                  <w:r>
                    <w:rPr>
                      <w:b/>
                      <w:sz w:val="24"/>
                      <w:szCs w:val="24"/>
                      <w:lang w:val="pt-PT"/>
                    </w:rPr>
                    <w:t xml:space="preserve">R$ 34,13 </w:t>
                  </w:r>
                </w:p>
              </w:tc>
            </w:tr>
            <w:tr w14:paraId="393B8E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0" w:hRule="atLeast"/>
              </w:trPr>
              <w:tc>
                <w:tcPr>
                  <w:tcW w:w="1583" w:type="dxa"/>
                  <w:gridSpan w:val="2"/>
                  <w:vAlign w:val="center"/>
                </w:tcPr>
                <w:p w14:paraId="57BA2B01">
                  <w:pPr>
                    <w:widowControl w:val="0"/>
                    <w:jc w:val="center"/>
                    <w:rPr>
                      <w:b/>
                      <w:sz w:val="24"/>
                      <w:szCs w:val="24"/>
                      <w:lang w:val="pt-PT"/>
                    </w:rPr>
                  </w:pPr>
                  <w:r>
                    <w:rPr>
                      <w:b/>
                      <w:sz w:val="24"/>
                      <w:szCs w:val="24"/>
                      <w:lang w:val="pt-PT"/>
                    </w:rPr>
                    <w:t>VI</w:t>
                  </w:r>
                </w:p>
              </w:tc>
              <w:tc>
                <w:tcPr>
                  <w:tcW w:w="3618" w:type="dxa"/>
                  <w:gridSpan w:val="2"/>
                  <w:vAlign w:val="center"/>
                </w:tcPr>
                <w:p w14:paraId="1C10B3CF">
                  <w:pPr>
                    <w:widowControl w:val="0"/>
                    <w:jc w:val="both"/>
                    <w:rPr>
                      <w:b/>
                      <w:sz w:val="24"/>
                      <w:szCs w:val="24"/>
                      <w:lang w:val="pt-PT"/>
                    </w:rPr>
                  </w:pPr>
                  <w:r>
                    <w:rPr>
                      <w:b/>
                      <w:sz w:val="24"/>
                      <w:szCs w:val="24"/>
                      <w:lang w:val="pt-PT"/>
                    </w:rPr>
                    <w:t>Estada no pátio para Carretinhas</w:t>
                  </w:r>
                </w:p>
              </w:tc>
              <w:tc>
                <w:tcPr>
                  <w:tcW w:w="1607" w:type="dxa"/>
                  <w:gridSpan w:val="3"/>
                  <w:vAlign w:val="center"/>
                </w:tcPr>
                <w:p w14:paraId="47CEDBFF">
                  <w:pPr>
                    <w:widowControl w:val="0"/>
                    <w:jc w:val="center"/>
                    <w:rPr>
                      <w:b/>
                      <w:sz w:val="24"/>
                      <w:szCs w:val="24"/>
                      <w:lang w:val="pt-PT"/>
                    </w:rPr>
                  </w:pPr>
                  <w:r>
                    <w:rPr>
                      <w:b/>
                      <w:sz w:val="24"/>
                      <w:szCs w:val="24"/>
                      <w:lang w:val="pt-PT"/>
                    </w:rPr>
                    <w:t>Diária - 24 hs</w:t>
                  </w:r>
                </w:p>
              </w:tc>
              <w:tc>
                <w:tcPr>
                  <w:tcW w:w="1013" w:type="dxa"/>
                  <w:vAlign w:val="center"/>
                </w:tcPr>
                <w:p w14:paraId="65DAB0A2">
                  <w:pPr>
                    <w:widowControl w:val="0"/>
                    <w:jc w:val="center"/>
                    <w:rPr>
                      <w:b/>
                      <w:sz w:val="24"/>
                      <w:szCs w:val="24"/>
                      <w:lang w:val="pt-PT"/>
                    </w:rPr>
                  </w:pPr>
                  <w:r>
                    <w:rPr>
                      <w:b/>
                      <w:sz w:val="24"/>
                      <w:szCs w:val="24"/>
                      <w:lang w:val="pt-PT"/>
                    </w:rPr>
                    <w:t>9,1</w:t>
                  </w:r>
                </w:p>
              </w:tc>
              <w:tc>
                <w:tcPr>
                  <w:tcW w:w="1251" w:type="dxa"/>
                  <w:vAlign w:val="center"/>
                </w:tcPr>
                <w:p w14:paraId="11B71F61">
                  <w:pPr>
                    <w:widowControl w:val="0"/>
                    <w:rPr>
                      <w:b/>
                      <w:sz w:val="24"/>
                      <w:szCs w:val="24"/>
                      <w:lang w:val="pt-PT"/>
                    </w:rPr>
                  </w:pPr>
                  <w:r>
                    <w:rPr>
                      <w:b/>
                      <w:sz w:val="24"/>
                      <w:szCs w:val="24"/>
                      <w:lang w:val="pt-PT"/>
                    </w:rPr>
                    <w:t xml:space="preserve">R$ 34,13 </w:t>
                  </w:r>
                </w:p>
              </w:tc>
            </w:tr>
          </w:tbl>
          <w:p w14:paraId="3CDB676B">
            <w:pPr>
              <w:rPr>
                <w:sz w:val="24"/>
                <w:szCs w:val="24"/>
              </w:rPr>
            </w:pPr>
          </w:p>
        </w:tc>
      </w:tr>
    </w:tbl>
    <w:p w14:paraId="2466D852">
      <w:pPr>
        <w:rPr>
          <w:sz w:val="24"/>
          <w:szCs w:val="24"/>
        </w:rPr>
      </w:pPr>
    </w:p>
    <w:tbl>
      <w:tblPr>
        <w:tblStyle w:val="12"/>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9"/>
      </w:tblGrid>
      <w:tr w14:paraId="770B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9" w:type="dxa"/>
            <w:shd w:val="clear" w:color="auto" w:fill="D6E3BC" w:themeFill="accent3" w:themeFillTint="66"/>
          </w:tcPr>
          <w:p w14:paraId="606E003B">
            <w:pPr>
              <w:rPr>
                <w:sz w:val="24"/>
                <w:szCs w:val="24"/>
              </w:rPr>
            </w:pPr>
            <w:r>
              <w:rPr>
                <w:b/>
                <w:bCs/>
                <w:sz w:val="24"/>
                <w:szCs w:val="24"/>
              </w:rPr>
              <w:t>3 - JUSTIFICATIVA/NECESSIDADE DA AQUISIÇÃO</w:t>
            </w:r>
          </w:p>
        </w:tc>
      </w:tr>
      <w:tr w14:paraId="354BD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9" w:type="dxa"/>
            <w:vAlign w:val="center"/>
          </w:tcPr>
          <w:p w14:paraId="1A8D8EB6">
            <w:pPr>
              <w:jc w:val="both"/>
              <w:rPr>
                <w:bCs/>
                <w:sz w:val="24"/>
                <w:szCs w:val="24"/>
              </w:rPr>
            </w:pPr>
            <w:r>
              <w:rPr>
                <w:b/>
                <w:sz w:val="24"/>
                <w:szCs w:val="24"/>
              </w:rPr>
              <w:t>3.1 Justificativa:</w:t>
            </w:r>
            <w:r>
              <w:rPr>
                <w:bCs/>
                <w:sz w:val="24"/>
                <w:szCs w:val="24"/>
              </w:rPr>
              <w:t xml:space="preserve"> </w:t>
            </w:r>
          </w:p>
          <w:p w14:paraId="162304F9">
            <w:pPr>
              <w:ind w:firstLine="708"/>
              <w:jc w:val="both"/>
              <w:rPr>
                <w:color w:val="000000"/>
                <w:sz w:val="24"/>
                <w:szCs w:val="24"/>
              </w:rPr>
            </w:pPr>
            <w:r>
              <w:rPr>
                <w:color w:val="000000"/>
                <w:sz w:val="24"/>
                <w:szCs w:val="24"/>
              </w:rPr>
              <w:t>A Secretaria Municipal de Segurança e Trânsito - SST, vem apresentar suas considerações no sentido de justificar a necessidade de realização de processo licitatório, na modalidade de CREDENCIAMENTO, tendo como objeto a “Contratação de Empresa (s) Especializada (s) na Prestação de Serviços de Guarda com Disponibilização de Pátio e Guincho, para Recolhimento de Veículos Leves e Pesados, Objeto de Medidas Administrativas Previstas na Lei Federal nº 9.503/1997 e Lei Municipal n° 2.985/2021(com alterações trazidas pelas Leis 2998/2021 e 3449/2025), no município de Sinop/MT, bem como, no serviço de remoção, destombamento ou içamento de veículos acidentados ou abandonados nas vias municipais”.</w:t>
            </w:r>
          </w:p>
          <w:p w14:paraId="588278E8">
            <w:pPr>
              <w:ind w:firstLine="708"/>
              <w:jc w:val="both"/>
              <w:rPr>
                <w:color w:val="000000"/>
                <w:sz w:val="24"/>
                <w:szCs w:val="24"/>
              </w:rPr>
            </w:pPr>
            <w:r>
              <w:rPr>
                <w:color w:val="000000"/>
                <w:sz w:val="24"/>
                <w:szCs w:val="24"/>
              </w:rPr>
              <w:t>Antes do ano de 2022, todos os veículos removidos dentro do município de Sinop, pelos órgãos de segurança, eram encaminhados ao Pátio da 19ª CIRETRAN. O pátio deles era pequeno, vivia sempre lotado e a estrutura era precária, o que atrapalhava a realização dos trabalhos de fiscalização. Esse problema era constante e, devido a isso, no ano de 2021, vendo a necessidade de arrumar tal situação, a Secretaria Municipal de Segurança e Trânsito, através da Lei Municipal nº 2.985/2021, assumiu essa responsábilidade.</w:t>
            </w:r>
          </w:p>
          <w:p w14:paraId="20653BD1">
            <w:pPr>
              <w:ind w:firstLine="708"/>
              <w:jc w:val="both"/>
              <w:rPr>
                <w:color w:val="000000"/>
                <w:sz w:val="24"/>
                <w:szCs w:val="24"/>
              </w:rPr>
            </w:pPr>
            <w:r>
              <w:rPr>
                <w:color w:val="000000"/>
                <w:sz w:val="24"/>
                <w:szCs w:val="24"/>
              </w:rPr>
              <w:t xml:space="preserve">Como não tínhamos estrutura própria, recursos técnicos e operacionais suficientes para executar tais serviços de forma contínua e em conformidade com as exigências legais e operacionais, optamos em tercerizar os serviços, por meio de credenciamento, tendo em vista que a Lei Municipal 2.985/2021 previa a terceirização. A Lei 2.985/2021 teve algumas alterações trazidas pela Lei Municipal 2.998/2021, fizemos o processo licitatório e, desde junho de 2022, duas empresas foram credenciadas e estão trabalhando até os dias atuais. </w:t>
            </w:r>
          </w:p>
          <w:p w14:paraId="66B48B1A">
            <w:pPr>
              <w:ind w:firstLine="708"/>
              <w:jc w:val="both"/>
              <w:rPr>
                <w:color w:val="000000"/>
                <w:sz w:val="24"/>
                <w:szCs w:val="24"/>
              </w:rPr>
            </w:pPr>
            <w:r>
              <w:rPr>
                <w:color w:val="000000"/>
                <w:sz w:val="24"/>
                <w:szCs w:val="24"/>
              </w:rPr>
              <w:t>Entretanto, neste ano (2025) houve algumas alterações na Lei (trazidas pela Lei Municipal 3.449/2025), onde foram alterados os valores, principalmente da estadia, bem como, criados alguns outros serviços que não tinham na Lei, razões pelas quais, estamos refazendo e reabrindo o credenciamento com essas alterações e algumas obrigações a mais para a (s) empresa (s), que não constavam no credenciamento inicial.</w:t>
            </w:r>
          </w:p>
          <w:p w14:paraId="37495DE8">
            <w:pPr>
              <w:ind w:firstLine="708"/>
              <w:jc w:val="both"/>
              <w:rPr>
                <w:color w:val="000000"/>
                <w:sz w:val="24"/>
                <w:szCs w:val="24"/>
              </w:rPr>
            </w:pPr>
            <w:r>
              <w:rPr>
                <w:color w:val="000000"/>
                <w:sz w:val="24"/>
                <w:szCs w:val="24"/>
              </w:rPr>
              <w:t>Considerando a necessidade contínua de remoção, transporte e guarda de veículos em situações previstas em lei, como infrações de trânsito, acidentes, obstruções em vias públicas e ações de fiscalização realizadas pelos órgãos de trânsito, torna-se imprescindível o credenciamento de empresa (s) especializada (s) na prestação dos serviços de guincho e pátio.</w:t>
            </w:r>
          </w:p>
          <w:p w14:paraId="14A4519E">
            <w:pPr>
              <w:ind w:firstLine="708"/>
              <w:jc w:val="both"/>
              <w:rPr>
                <w:color w:val="000000"/>
                <w:sz w:val="24"/>
                <w:szCs w:val="24"/>
              </w:rPr>
            </w:pPr>
            <w:r>
              <w:rPr>
                <w:color w:val="000000"/>
                <w:sz w:val="24"/>
                <w:szCs w:val="24"/>
              </w:rPr>
              <w:t>A atuação eficiente e segura no deslocamento e na guarda dos veículos apreendidos contribui diretamente para a fluidez no trânsito, segurança viária, cumprimento da legislação vigente e prestação de serviços de interesse público.</w:t>
            </w:r>
          </w:p>
          <w:p w14:paraId="7EDBE70C">
            <w:pPr>
              <w:ind w:firstLine="708"/>
              <w:jc w:val="both"/>
              <w:rPr>
                <w:color w:val="000000"/>
                <w:sz w:val="24"/>
                <w:szCs w:val="24"/>
              </w:rPr>
            </w:pPr>
            <w:r>
              <w:rPr>
                <w:color w:val="000000"/>
                <w:sz w:val="24"/>
                <w:szCs w:val="24"/>
              </w:rPr>
              <w:t>O credenciamento visa:</w:t>
            </w:r>
          </w:p>
          <w:p w14:paraId="553BB098">
            <w:pPr>
              <w:ind w:firstLine="708"/>
              <w:jc w:val="both"/>
              <w:rPr>
                <w:color w:val="000000"/>
                <w:sz w:val="24"/>
                <w:szCs w:val="24"/>
              </w:rPr>
            </w:pPr>
            <w:r>
              <w:rPr>
                <w:color w:val="000000"/>
                <w:sz w:val="24"/>
                <w:szCs w:val="24"/>
              </w:rPr>
              <w:t>* Atender às demandas de remoção e guarda de veículos conforme o Código de Trânsito Brasileiro (CTB);</w:t>
            </w:r>
          </w:p>
          <w:p w14:paraId="6DF28D29">
            <w:pPr>
              <w:ind w:firstLine="708"/>
              <w:jc w:val="both"/>
              <w:rPr>
                <w:color w:val="000000"/>
                <w:sz w:val="24"/>
                <w:szCs w:val="24"/>
              </w:rPr>
            </w:pPr>
            <w:r>
              <w:rPr>
                <w:color w:val="000000"/>
                <w:sz w:val="24"/>
                <w:szCs w:val="24"/>
              </w:rPr>
              <w:t>* Assegurar a prestação do serviço de forma ininterrupta, eficaz e com responsabilidade técnica;</w:t>
            </w:r>
          </w:p>
          <w:p w14:paraId="0D1E44D9">
            <w:pPr>
              <w:ind w:firstLine="708"/>
              <w:jc w:val="both"/>
              <w:rPr>
                <w:color w:val="000000"/>
                <w:sz w:val="24"/>
                <w:szCs w:val="24"/>
              </w:rPr>
            </w:pPr>
            <w:r>
              <w:rPr>
                <w:color w:val="000000"/>
                <w:sz w:val="24"/>
                <w:szCs w:val="24"/>
              </w:rPr>
              <w:t>* Evitar riscos operacionais, jurídicos e logísticos pela ausência de estrutura adequada para a função;</w:t>
            </w:r>
          </w:p>
          <w:p w14:paraId="5D44027C">
            <w:pPr>
              <w:ind w:firstLine="708"/>
              <w:jc w:val="both"/>
              <w:rPr>
                <w:color w:val="000000"/>
                <w:sz w:val="24"/>
                <w:szCs w:val="24"/>
              </w:rPr>
            </w:pPr>
            <w:r>
              <w:rPr>
                <w:color w:val="000000"/>
                <w:sz w:val="24"/>
                <w:szCs w:val="24"/>
              </w:rPr>
              <w:t>* Garantir a integridade dos veículos removidos e sua correta custódia; e</w:t>
            </w:r>
          </w:p>
          <w:p w14:paraId="15203E18">
            <w:pPr>
              <w:ind w:firstLine="708"/>
              <w:jc w:val="both"/>
              <w:rPr>
                <w:color w:val="000000"/>
                <w:sz w:val="24"/>
                <w:szCs w:val="24"/>
              </w:rPr>
            </w:pPr>
            <w:r>
              <w:rPr>
                <w:color w:val="000000"/>
                <w:sz w:val="24"/>
                <w:szCs w:val="24"/>
              </w:rPr>
              <w:t>* Atuar em situações emergenciais com agilidade e segurança.</w:t>
            </w:r>
          </w:p>
          <w:p w14:paraId="16906BBD">
            <w:pPr>
              <w:ind w:firstLine="708"/>
              <w:jc w:val="both"/>
              <w:rPr>
                <w:color w:val="000000"/>
                <w:sz w:val="24"/>
                <w:szCs w:val="24"/>
              </w:rPr>
            </w:pPr>
            <w:r>
              <w:rPr>
                <w:color w:val="000000"/>
                <w:sz w:val="24"/>
                <w:szCs w:val="24"/>
              </w:rPr>
              <w:t>Dessa forma, o credenciamento de empresa (s) especializada (s) para prestação de serviços de guincho e pátio é justificada pelo interesse público, pela necessidade de atendimento eficiente às ocorrências viárias, pelo cumprimento das normativas legais e pela ausência de estrutura própria para execução dessa atividade essencial.</w:t>
            </w:r>
          </w:p>
          <w:p w14:paraId="3D81EC1B">
            <w:pPr>
              <w:ind w:firstLine="708"/>
              <w:jc w:val="both"/>
              <w:rPr>
                <w:color w:val="000000"/>
                <w:sz w:val="24"/>
                <w:szCs w:val="24"/>
                <w:highlight w:val="yellow"/>
              </w:rPr>
            </w:pPr>
          </w:p>
          <w:p w14:paraId="3C4BAC5D">
            <w:pPr>
              <w:pStyle w:val="20"/>
              <w:jc w:val="both"/>
              <w:rPr>
                <w:color w:val="000000"/>
                <w:sz w:val="24"/>
                <w:szCs w:val="24"/>
                <w:lang w:val="pt-BR"/>
              </w:rPr>
            </w:pPr>
            <w:r>
              <w:rPr>
                <w:b/>
                <w:bCs/>
                <w:color w:val="000000"/>
                <w:sz w:val="24"/>
                <w:szCs w:val="24"/>
                <w:lang w:val="pt-BR"/>
              </w:rPr>
              <w:t>3</w:t>
            </w:r>
            <w:r>
              <w:rPr>
                <w:b/>
                <w:bCs/>
                <w:color w:val="000000"/>
                <w:sz w:val="24"/>
                <w:szCs w:val="24"/>
              </w:rPr>
              <w:t>.2.</w:t>
            </w:r>
            <w:r>
              <w:rPr>
                <w:b/>
                <w:bCs/>
                <w:color w:val="000000"/>
                <w:sz w:val="24"/>
                <w:szCs w:val="24"/>
                <w:lang w:val="pt-BR"/>
              </w:rPr>
              <w:t xml:space="preserve"> Matriz de Risco</w:t>
            </w:r>
          </w:p>
          <w:p w14:paraId="3E203C7C">
            <w:pPr>
              <w:pStyle w:val="20"/>
              <w:ind w:firstLine="600" w:firstLineChars="250"/>
              <w:jc w:val="both"/>
              <w:rPr>
                <w:color w:val="000000"/>
                <w:sz w:val="24"/>
                <w:szCs w:val="24"/>
              </w:rPr>
            </w:pPr>
            <w:r>
              <w:rPr>
                <w:color w:val="000000"/>
                <w:sz w:val="24"/>
                <w:szCs w:val="24"/>
                <w:lang w:val="pt-BR"/>
              </w:rPr>
              <w:t>N</w:t>
            </w:r>
            <w:r>
              <w:rPr>
                <w:color w:val="000000"/>
                <w:sz w:val="24"/>
                <w:szCs w:val="24"/>
              </w:rPr>
              <w:t>ão foi adotada</w:t>
            </w:r>
            <w:r>
              <w:rPr>
                <w:color w:val="000000"/>
                <w:sz w:val="24"/>
                <w:szCs w:val="24"/>
                <w:lang w:val="pt-BR"/>
              </w:rPr>
              <w:t xml:space="preserve"> a</w:t>
            </w:r>
            <w:r>
              <w:rPr>
                <w:color w:val="000000"/>
                <w:sz w:val="24"/>
                <w:szCs w:val="24"/>
              </w:rPr>
              <w:t xml:space="preserve"> matriz de risco para este processo licitatório</w:t>
            </w:r>
            <w:r>
              <w:rPr>
                <w:color w:val="000000"/>
                <w:sz w:val="24"/>
                <w:szCs w:val="24"/>
                <w:lang w:val="pt-BR"/>
              </w:rPr>
              <w:t>. Matriz está, d</w:t>
            </w:r>
            <w:r>
              <w:rPr>
                <w:color w:val="000000"/>
                <w:sz w:val="24"/>
                <w:szCs w:val="24"/>
              </w:rPr>
              <w:t>ispost</w:t>
            </w:r>
            <w:r>
              <w:rPr>
                <w:color w:val="000000"/>
                <w:sz w:val="24"/>
                <w:szCs w:val="24"/>
                <w:lang w:val="pt-BR"/>
              </w:rPr>
              <w:t>a</w:t>
            </w:r>
            <w:r>
              <w:rPr>
                <w:color w:val="000000"/>
                <w:sz w:val="24"/>
                <w:szCs w:val="24"/>
              </w:rPr>
              <w:t xml:space="preserve"> expressamente no inciso XXVII do art. 6° da Lei 14.133/2021</w:t>
            </w:r>
            <w:r>
              <w:rPr>
                <w:color w:val="000000"/>
                <w:sz w:val="24"/>
                <w:szCs w:val="24"/>
                <w:lang w:val="pt-BR"/>
              </w:rPr>
              <w:t>,</w:t>
            </w:r>
            <w:r>
              <w:rPr>
                <w:color w:val="000000"/>
                <w:sz w:val="24"/>
                <w:szCs w:val="24"/>
              </w:rPr>
              <w:t xml:space="preserve"> como cláusula necessária </w:t>
            </w:r>
            <w:r>
              <w:rPr>
                <w:color w:val="000000"/>
                <w:sz w:val="24"/>
                <w:szCs w:val="24"/>
                <w:lang w:val="pt-BR"/>
              </w:rPr>
              <w:t>n</w:t>
            </w:r>
            <w:r>
              <w:rPr>
                <w:color w:val="000000"/>
                <w:sz w:val="24"/>
                <w:szCs w:val="24"/>
              </w:rPr>
              <w:t>os contratos administrativos</w:t>
            </w:r>
            <w:r>
              <w:rPr>
                <w:color w:val="000000"/>
                <w:sz w:val="24"/>
                <w:szCs w:val="24"/>
                <w:lang w:val="pt-BR"/>
              </w:rPr>
              <w:t>.</w:t>
            </w:r>
          </w:p>
          <w:p w14:paraId="75BD2C92">
            <w:pPr>
              <w:pStyle w:val="20"/>
              <w:ind w:firstLine="600" w:firstLineChars="250"/>
              <w:jc w:val="both"/>
              <w:rPr>
                <w:color w:val="000000"/>
                <w:sz w:val="24"/>
                <w:szCs w:val="24"/>
                <w:lang w:val="pt-BR"/>
              </w:rPr>
            </w:pPr>
            <w:r>
              <w:rPr>
                <w:color w:val="000000"/>
                <w:sz w:val="24"/>
                <w:szCs w:val="24"/>
              </w:rPr>
              <w:t>Em regra, de acordo com o art. 92, inciso IX</w:t>
            </w:r>
            <w:r>
              <w:rPr>
                <w:color w:val="000000"/>
                <w:sz w:val="24"/>
                <w:szCs w:val="24"/>
                <w:lang w:val="pt-BR"/>
              </w:rPr>
              <w:t xml:space="preserve"> da Lei 14.133/2021 (quando for o caso),</w:t>
            </w:r>
            <w:r>
              <w:rPr>
                <w:color w:val="000000"/>
                <w:sz w:val="24"/>
                <w:szCs w:val="24"/>
              </w:rPr>
              <w:t xml:space="preserve"> a adoção de matriz de risco é facultativa, levando em consideração que em determinadas contratações, notadamente comuns e simples, não seria adequada</w:t>
            </w:r>
            <w:r>
              <w:rPr>
                <w:color w:val="000000"/>
                <w:sz w:val="24"/>
                <w:szCs w:val="24"/>
                <w:lang w:val="pt-BR"/>
              </w:rPr>
              <w:t>. É o caso em questão, pois se trata de uma simples aquisição de Rádios Transceptores digitais que após licitado, serão adquiridos todos de uma única vez.</w:t>
            </w:r>
          </w:p>
          <w:p w14:paraId="01F529A8">
            <w:pPr>
              <w:jc w:val="both"/>
              <w:rPr>
                <w:bCs/>
                <w:sz w:val="24"/>
                <w:szCs w:val="24"/>
              </w:rPr>
            </w:pPr>
            <w:r>
              <w:rPr>
                <w:color w:val="000000"/>
                <w:sz w:val="24"/>
                <w:szCs w:val="24"/>
              </w:rPr>
              <w:t>Vale ressaltar ainda que, de acordo com o Art. 22, § 3° e Art. 6°, Inciso XXII da Lei 14.133/2021, a matriz de risco se torna obrigatória somente em obras, serviços e fornecimentos de grande vulto, sendo aquelas cujo o seu valor estimado seja superior a R$ 200.000.000,00 (duzentos milhões de reais).</w:t>
            </w:r>
          </w:p>
        </w:tc>
      </w:tr>
    </w:tbl>
    <w:p w14:paraId="387FEB68">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502EE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1E76D750">
            <w:pPr>
              <w:rPr>
                <w:sz w:val="24"/>
                <w:szCs w:val="24"/>
              </w:rPr>
            </w:pPr>
            <w:r>
              <w:rPr>
                <w:b/>
                <w:bCs/>
                <w:sz w:val="24"/>
                <w:szCs w:val="24"/>
              </w:rPr>
              <w:t>4 – DESCRIÇÃO DA SOLUÇÃO (QUANDO APLICÁVEL)</w:t>
            </w:r>
          </w:p>
        </w:tc>
      </w:tr>
      <w:tr w14:paraId="58B68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34D31E48">
            <w:pPr>
              <w:jc w:val="both"/>
              <w:rPr>
                <w:sz w:val="24"/>
                <w:szCs w:val="24"/>
              </w:rPr>
            </w:pPr>
            <w:r>
              <w:rPr>
                <w:sz w:val="24"/>
                <w:szCs w:val="24"/>
              </w:rPr>
              <w:t xml:space="preserve">           Os maiores beneficiários da solução são os órgãos de Segurança do Município, pois com o credenciamento de empresa (s) para prestação dos serviços de remoção e pátio, atendem à demanda operacional sem precisar montar estrutura própria, conseguindo resposta rápida em ações de fiscalização, blitz, remoção por infração ou acidente e ganham agilidade e eficiência com prestadores previamente credenciados e habilitados.</w:t>
            </w:r>
          </w:p>
          <w:p w14:paraId="42D0763B">
            <w:pPr>
              <w:jc w:val="both"/>
              <w:rPr>
                <w:sz w:val="24"/>
                <w:szCs w:val="24"/>
              </w:rPr>
            </w:pPr>
            <w:r>
              <w:rPr>
                <w:sz w:val="24"/>
                <w:szCs w:val="24"/>
              </w:rPr>
              <w:t xml:space="preserve">          Consequentemente traz benefícios a população em geral, tais como:</w:t>
            </w:r>
          </w:p>
          <w:p w14:paraId="52549305">
            <w:pPr>
              <w:jc w:val="both"/>
              <w:rPr>
                <w:sz w:val="24"/>
                <w:szCs w:val="24"/>
              </w:rPr>
            </w:pPr>
            <w:r>
              <w:rPr>
                <w:sz w:val="24"/>
                <w:szCs w:val="24"/>
              </w:rPr>
              <w:t xml:space="preserve">          * Maior segurança no trânsito com a remoção de veículos em situação irregular ou em acidentes;</w:t>
            </w:r>
          </w:p>
          <w:p w14:paraId="3440D95A">
            <w:pPr>
              <w:jc w:val="both"/>
              <w:rPr>
                <w:sz w:val="24"/>
                <w:szCs w:val="24"/>
              </w:rPr>
            </w:pPr>
            <w:r>
              <w:rPr>
                <w:sz w:val="24"/>
                <w:szCs w:val="24"/>
              </w:rPr>
              <w:t xml:space="preserve">          * Redução de obstruções viárias causadas por veículos acidentados, abandonados ou estacionados irregularmente; e</w:t>
            </w:r>
          </w:p>
          <w:p w14:paraId="7F8CD439">
            <w:pPr>
              <w:jc w:val="both"/>
              <w:rPr>
                <w:sz w:val="24"/>
                <w:szCs w:val="24"/>
              </w:rPr>
            </w:pPr>
            <w:r>
              <w:rPr>
                <w:sz w:val="24"/>
                <w:szCs w:val="24"/>
              </w:rPr>
              <w:t xml:space="preserve">          * Preservação do bem público e da fluidez do tráfego urbano.</w:t>
            </w:r>
          </w:p>
        </w:tc>
      </w:tr>
    </w:tbl>
    <w:p w14:paraId="6E7E536C">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2"/>
      </w:tblGrid>
      <w:tr w14:paraId="3B52F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62" w:type="dxa"/>
            <w:shd w:val="clear" w:color="auto" w:fill="D6E3BC" w:themeFill="accent3" w:themeFillTint="66"/>
          </w:tcPr>
          <w:p w14:paraId="7F53578F">
            <w:pPr>
              <w:rPr>
                <w:sz w:val="24"/>
                <w:szCs w:val="24"/>
              </w:rPr>
            </w:pPr>
            <w:r>
              <w:rPr>
                <w:b/>
                <w:bCs/>
                <w:sz w:val="24"/>
                <w:szCs w:val="24"/>
              </w:rPr>
              <w:t>5 – REQUISITOS DO OBJETO DA CONTRATAÇÃO</w:t>
            </w:r>
          </w:p>
        </w:tc>
      </w:tr>
      <w:tr w14:paraId="7AAD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vAlign w:val="center"/>
          </w:tcPr>
          <w:p w14:paraId="78CA0EFC">
            <w:pPr>
              <w:ind w:firstLine="720" w:firstLineChars="300"/>
              <w:jc w:val="both"/>
              <w:rPr>
                <w:sz w:val="24"/>
                <w:szCs w:val="24"/>
              </w:rPr>
            </w:pPr>
            <w:r>
              <w:rPr>
                <w:sz w:val="24"/>
                <w:szCs w:val="24"/>
              </w:rPr>
              <w:t>Para que o objetivo desta licitação possa ser plenamente atingido, é necessário que as empresas participantes atendam aos requisitos mínimos exigidos para o cadastramento e participação no processo. Além disso, deve assegurar o cumprimento dos compromissos firmados no contrato durante toda a sua vigência.</w:t>
            </w:r>
          </w:p>
        </w:tc>
      </w:tr>
    </w:tbl>
    <w:p w14:paraId="7970991D">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2395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9231" w:type="dxa"/>
            <w:shd w:val="clear" w:color="auto" w:fill="D6E3BC" w:themeFill="accent3" w:themeFillTint="66"/>
          </w:tcPr>
          <w:p w14:paraId="6FAEE50B">
            <w:pPr>
              <w:rPr>
                <w:sz w:val="24"/>
                <w:szCs w:val="24"/>
              </w:rPr>
            </w:pPr>
            <w:r>
              <w:rPr>
                <w:b/>
                <w:bCs/>
                <w:sz w:val="24"/>
                <w:szCs w:val="24"/>
              </w:rPr>
              <w:t>6 – EXECUÇÃO DO OBJETO DA CONTRATAÇÃO</w:t>
            </w:r>
          </w:p>
        </w:tc>
      </w:tr>
      <w:tr w14:paraId="6CDA1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31" w:type="dxa"/>
            <w:vAlign w:val="center"/>
          </w:tcPr>
          <w:p w14:paraId="6CCF7A88">
            <w:pPr>
              <w:ind w:firstLine="720" w:firstLineChars="300"/>
              <w:jc w:val="both"/>
              <w:rPr>
                <w:bCs/>
                <w:sz w:val="24"/>
                <w:szCs w:val="24"/>
              </w:rPr>
            </w:pPr>
            <w:r>
              <w:rPr>
                <w:bCs/>
                <w:sz w:val="24"/>
                <w:szCs w:val="24"/>
              </w:rPr>
              <w:t>Depois de feito todos os tramites legais do processo de credenciamento, a (s) empresa (s) que cumprir (em) com todas as exigências e for (em) credenciada (s) por meio de Contrato Administrativo, deverão começar a prestação dos serviços a partir do dia 05/08/2025 (cinco de agosto de dois mil e vinte e cinco).</w:t>
            </w:r>
          </w:p>
          <w:p w14:paraId="45EE4171">
            <w:pPr>
              <w:ind w:firstLine="720" w:firstLineChars="300"/>
              <w:jc w:val="both"/>
              <w:rPr>
                <w:bCs/>
                <w:sz w:val="24"/>
                <w:szCs w:val="24"/>
              </w:rPr>
            </w:pPr>
            <w:r>
              <w:rPr>
                <w:rFonts w:eastAsia="SimSun"/>
                <w:color w:val="000000"/>
                <w:sz w:val="24"/>
                <w:szCs w:val="24"/>
              </w:rPr>
              <w:t>Todos serviços solicitados deverão ser executados em conformidade com as exigências e valores previstos na Lei Municipal 2.985/2021 (com alterações trazidas pelas Leis 2998/2021 e 3449/2025), bem como, algumas exigências adicionais descritas no presente Termo de Referência.</w:t>
            </w:r>
          </w:p>
          <w:p w14:paraId="6E9C9449">
            <w:pPr>
              <w:ind w:firstLine="720" w:firstLineChars="300"/>
              <w:jc w:val="both"/>
              <w:rPr>
                <w:b/>
                <w:bCs/>
                <w:sz w:val="24"/>
                <w:szCs w:val="24"/>
                <w:u w:val="single"/>
              </w:rPr>
            </w:pPr>
            <w:r>
              <w:rPr>
                <w:b/>
                <w:bCs/>
                <w:sz w:val="24"/>
                <w:szCs w:val="24"/>
                <w:u w:val="single"/>
              </w:rPr>
              <w:t>CABERÁ A EMPRESA VENCEDORA DO CERTAME:</w:t>
            </w:r>
          </w:p>
          <w:p w14:paraId="727718E5">
            <w:pPr>
              <w:adjustRightInd w:val="0"/>
              <w:ind w:firstLine="709"/>
              <w:jc w:val="both"/>
              <w:rPr>
                <w:rFonts w:eastAsia="SimSun"/>
                <w:color w:val="000000"/>
                <w:sz w:val="24"/>
                <w:szCs w:val="24"/>
              </w:rPr>
            </w:pPr>
            <w:r>
              <w:rPr>
                <w:rFonts w:eastAsia="SimSun"/>
                <w:color w:val="000000"/>
                <w:sz w:val="24"/>
                <w:szCs w:val="24"/>
              </w:rPr>
              <w:t>* Prestar todos os esclarecimentos que forem solicitados pela SECRETARIA SOLICITANTE, cujas reclamações se obrigam a atender prontamente ao GESTOR FISCAL DO CONTRATO, bem como dar ciência, imediatamente e por escrito, de qualquer anormalidade que verificar quando da execução do Contrato.</w:t>
            </w:r>
          </w:p>
          <w:p w14:paraId="5E02F6A9">
            <w:pPr>
              <w:adjustRightInd w:val="0"/>
              <w:ind w:firstLine="709"/>
              <w:jc w:val="both"/>
              <w:rPr>
                <w:rFonts w:eastAsia="SimSun"/>
                <w:color w:val="000000"/>
                <w:sz w:val="24"/>
                <w:szCs w:val="24"/>
              </w:rPr>
            </w:pPr>
            <w:r>
              <w:rPr>
                <w:rFonts w:eastAsia="SimSun"/>
                <w:b/>
                <w:bCs/>
                <w:color w:val="000000"/>
                <w:sz w:val="24"/>
                <w:szCs w:val="24"/>
              </w:rPr>
              <w:t xml:space="preserve">* </w:t>
            </w:r>
            <w:r>
              <w:rPr>
                <w:rFonts w:eastAsia="SimSun"/>
                <w:color w:val="000000"/>
                <w:sz w:val="24"/>
                <w:szCs w:val="24"/>
              </w:rPr>
              <w:t>Respeitar e fazer cumprir as legislações e normas regulamentadoras pertinentes.</w:t>
            </w:r>
          </w:p>
          <w:p w14:paraId="32BD99C5">
            <w:pPr>
              <w:adjustRightInd w:val="0"/>
              <w:ind w:firstLine="709"/>
              <w:jc w:val="both"/>
              <w:rPr>
                <w:rFonts w:eastAsia="SimSun"/>
                <w:color w:val="000000"/>
                <w:sz w:val="24"/>
                <w:szCs w:val="24"/>
              </w:rPr>
            </w:pPr>
            <w:r>
              <w:rPr>
                <w:rFonts w:eastAsia="SimSun"/>
                <w:color w:val="000000"/>
                <w:sz w:val="24"/>
                <w:szCs w:val="24"/>
              </w:rPr>
              <w:t>* Fiscalizar o perfeito cumprimento da prestação a que se obrigou, cabendo-lhe, integralmente, os ônus decorrentes. Tal fiscalização dar-se à independentemente da que será exercida pela Contratante.</w:t>
            </w:r>
          </w:p>
          <w:p w14:paraId="2EC0F562">
            <w:pPr>
              <w:adjustRightInd w:val="0"/>
              <w:ind w:firstLine="709"/>
              <w:jc w:val="both"/>
              <w:rPr>
                <w:rFonts w:eastAsia="SimSun"/>
                <w:color w:val="000000"/>
                <w:sz w:val="24"/>
                <w:szCs w:val="24"/>
              </w:rPr>
            </w:pPr>
            <w:r>
              <w:rPr>
                <w:rFonts w:eastAsia="SimSun"/>
                <w:color w:val="000000"/>
                <w:sz w:val="24"/>
                <w:szCs w:val="24"/>
              </w:rPr>
              <w:t>* Comunicar imediatamente à Secretaria qualquer alteração ocorrida no endereço e outros julgáveis necessários para o recebimento de correspondências;</w:t>
            </w:r>
          </w:p>
          <w:p w14:paraId="3B9269C6">
            <w:pPr>
              <w:adjustRightInd w:val="0"/>
              <w:ind w:firstLine="709"/>
              <w:jc w:val="both"/>
              <w:rPr>
                <w:rFonts w:eastAsia="SimSun"/>
                <w:color w:val="000000"/>
                <w:sz w:val="24"/>
                <w:szCs w:val="24"/>
              </w:rPr>
            </w:pPr>
            <w:r>
              <w:rPr>
                <w:rFonts w:eastAsia="SimSun"/>
                <w:color w:val="000000"/>
                <w:sz w:val="24"/>
                <w:szCs w:val="24"/>
              </w:rPr>
              <w:t>*</w:t>
            </w:r>
            <w:r>
              <w:rPr>
                <w:rFonts w:eastAsia="SimSun"/>
                <w:b/>
                <w:bCs/>
                <w:color w:val="000000"/>
                <w:sz w:val="24"/>
                <w:szCs w:val="24"/>
              </w:rPr>
              <w:t xml:space="preserve"> </w:t>
            </w:r>
            <w:r>
              <w:rPr>
                <w:rFonts w:eastAsia="SimSun"/>
                <w:color w:val="000000"/>
                <w:sz w:val="24"/>
                <w:szCs w:val="24"/>
              </w:rPr>
              <w:t>Efetuar a imediata correção das deficiências apontadas pela Contratante, com relação à prestação dos serviços.</w:t>
            </w:r>
          </w:p>
          <w:p w14:paraId="7AF09B1B">
            <w:pPr>
              <w:adjustRightInd w:val="0"/>
              <w:ind w:firstLine="709"/>
              <w:jc w:val="both"/>
              <w:rPr>
                <w:rFonts w:eastAsia="SimSun"/>
                <w:color w:val="000000"/>
                <w:sz w:val="24"/>
                <w:szCs w:val="24"/>
              </w:rPr>
            </w:pPr>
            <w:r>
              <w:rPr>
                <w:rFonts w:eastAsia="SimSun"/>
                <w:color w:val="000000"/>
                <w:sz w:val="24"/>
                <w:szCs w:val="24"/>
              </w:rPr>
              <w:t>* Executar os serviços, de acordo com a solicitação, obedecendo as normas, dentro dos padrões estabelecidos, de acordo com as especificações constantes na Lei 2985/2021 e no Termo de Referência, responsabilizando-se por eventuais prejuízos decorrentes do descumprimento de condições estabelecidas.</w:t>
            </w:r>
          </w:p>
          <w:p w14:paraId="7B7B5444">
            <w:pPr>
              <w:adjustRightInd w:val="0"/>
              <w:ind w:firstLine="709"/>
              <w:jc w:val="both"/>
              <w:rPr>
                <w:rFonts w:eastAsia="SimSun"/>
                <w:color w:val="000000"/>
                <w:sz w:val="24"/>
                <w:szCs w:val="24"/>
              </w:rPr>
            </w:pPr>
            <w:r>
              <w:rPr>
                <w:rFonts w:eastAsia="SimSun"/>
                <w:color w:val="000000"/>
                <w:sz w:val="24"/>
                <w:szCs w:val="24"/>
              </w:rPr>
              <w:t>* Prestar os esclarecimentos que forem solicitados pela Contratante, cujas reclamações se obrigam a atender prontamente, bem como, dar ciência a Contratante, imediatamente, por escrito, de qualquer anormalidade que verificar quando fornecimento ora contratado.</w:t>
            </w:r>
          </w:p>
          <w:p w14:paraId="455C9F7A">
            <w:pPr>
              <w:adjustRightInd w:val="0"/>
              <w:ind w:firstLine="709"/>
              <w:jc w:val="both"/>
              <w:rPr>
                <w:rFonts w:eastAsia="SimSun"/>
                <w:color w:val="000000"/>
                <w:sz w:val="24"/>
                <w:szCs w:val="24"/>
              </w:rPr>
            </w:pPr>
            <w:r>
              <w:rPr>
                <w:rFonts w:eastAsia="SimSun"/>
                <w:color w:val="000000"/>
                <w:sz w:val="24"/>
                <w:szCs w:val="24"/>
              </w:rPr>
              <w:t>* Dispor a toda e qualquer fiscalização da CONTRATANTE, no tocante a prestação dos serviços, assim como ao cumprimento das obrigações que constarão no Contrato.</w:t>
            </w:r>
          </w:p>
          <w:p w14:paraId="0D5EDF05">
            <w:pPr>
              <w:adjustRightInd w:val="0"/>
              <w:ind w:firstLine="709"/>
              <w:jc w:val="both"/>
              <w:rPr>
                <w:rFonts w:eastAsia="SimSun"/>
                <w:color w:val="000000"/>
                <w:sz w:val="24"/>
                <w:szCs w:val="24"/>
              </w:rPr>
            </w:pPr>
            <w:r>
              <w:rPr>
                <w:rFonts w:eastAsia="SimSun"/>
                <w:color w:val="000000"/>
                <w:sz w:val="24"/>
                <w:szCs w:val="24"/>
              </w:rPr>
              <w:t>* Indenizar terceiros e/ou este Órgão, mesmo em caso de ausência ou omissão de fiscalização de sua parte, por quaisquer danos ou prejuízos causados, devendo a contratada adotar todas as medidas preventivas, com fiel observância às exigências das autoridades competentes e as disposições legais vigentes.</w:t>
            </w:r>
          </w:p>
          <w:p w14:paraId="0B9E722D">
            <w:pPr>
              <w:adjustRightInd w:val="0"/>
              <w:ind w:firstLine="709"/>
              <w:jc w:val="both"/>
              <w:rPr>
                <w:rFonts w:eastAsia="SimSun"/>
                <w:color w:val="000000"/>
                <w:sz w:val="24"/>
                <w:szCs w:val="24"/>
              </w:rPr>
            </w:pPr>
            <w:r>
              <w:rPr>
                <w:rFonts w:eastAsia="SimSun"/>
                <w:color w:val="000000"/>
                <w:sz w:val="24"/>
                <w:szCs w:val="24"/>
              </w:rPr>
              <w:t>*</w:t>
            </w:r>
            <w:r>
              <w:rPr>
                <w:rFonts w:eastAsia="SimSun"/>
                <w:b/>
                <w:bCs/>
                <w:color w:val="000000"/>
                <w:sz w:val="24"/>
                <w:szCs w:val="24"/>
              </w:rPr>
              <w:t xml:space="preserve"> </w:t>
            </w:r>
            <w:r>
              <w:rPr>
                <w:rFonts w:eastAsia="SimSun"/>
                <w:color w:val="000000"/>
                <w:sz w:val="24"/>
                <w:szCs w:val="24"/>
              </w:rPr>
              <w:t>Todas as despesas relativas ao objeto contratado (tributos, seguros, encargos sociais, etc.) são de inteira responsabilidade da Contratada.</w:t>
            </w:r>
          </w:p>
          <w:p w14:paraId="588ED408">
            <w:pPr>
              <w:adjustRightInd w:val="0"/>
              <w:ind w:firstLine="709"/>
              <w:jc w:val="both"/>
              <w:rPr>
                <w:rFonts w:eastAsia="SimSun"/>
                <w:color w:val="000000"/>
                <w:sz w:val="24"/>
                <w:szCs w:val="24"/>
              </w:rPr>
            </w:pPr>
            <w:r>
              <w:rPr>
                <w:rFonts w:eastAsia="SimSun"/>
                <w:color w:val="000000"/>
                <w:sz w:val="24"/>
                <w:szCs w:val="24"/>
              </w:rPr>
              <w:t>* Responsabilizar- se por todo e qualquer dano que causar ao Órgão ou a terceiros, ainda que culposo praticado por seus prepostos, empregado ou mandatários, não excluindo ou reduzindo essa responsabilidade a fiscalização ou acompanhamento feito pela SECRETARIA.</w:t>
            </w:r>
          </w:p>
          <w:p w14:paraId="7A690CC5">
            <w:pPr>
              <w:adjustRightInd w:val="0"/>
              <w:ind w:firstLine="709"/>
              <w:jc w:val="both"/>
              <w:rPr>
                <w:rFonts w:eastAsia="SimSun"/>
                <w:color w:val="000000"/>
                <w:sz w:val="24"/>
                <w:szCs w:val="24"/>
              </w:rPr>
            </w:pPr>
            <w:r>
              <w:rPr>
                <w:rFonts w:eastAsia="SimSun"/>
                <w:color w:val="000000"/>
                <w:sz w:val="24"/>
                <w:szCs w:val="24"/>
              </w:rPr>
              <w:t>* Responsabilizar-se por todo e qualquer tipo de autuação ou ação que venha a sofrer em decorrência do fornecimento/prestação em questão, bem como pelos Contratos de trabalho de seus empregados, mesmo nos casos que envolvam eventuais decisões judiciais, eximindo esta instituição de qualquer solidariedade ou responsabilidade.</w:t>
            </w:r>
          </w:p>
          <w:p w14:paraId="2B1BE7EA">
            <w:pPr>
              <w:adjustRightInd w:val="0"/>
              <w:ind w:firstLine="709"/>
              <w:jc w:val="both"/>
              <w:rPr>
                <w:rFonts w:eastAsia="SimSun"/>
                <w:color w:val="000000"/>
                <w:sz w:val="24"/>
                <w:szCs w:val="24"/>
              </w:rPr>
            </w:pPr>
            <w:r>
              <w:rPr>
                <w:rFonts w:eastAsia="SimSun"/>
                <w:color w:val="000000"/>
                <w:sz w:val="24"/>
                <w:szCs w:val="24"/>
              </w:rPr>
              <w:t>* Credenciar junto a esta Secretaria um preposto para prestar esclarecimentos e atender às reclamações/solicitações que surgirem durante a execução do Contrato.</w:t>
            </w:r>
          </w:p>
          <w:p w14:paraId="689CC9B5">
            <w:pPr>
              <w:adjustRightInd w:val="0"/>
              <w:ind w:firstLine="709"/>
              <w:jc w:val="both"/>
              <w:rPr>
                <w:rFonts w:eastAsia="SimSun"/>
                <w:color w:val="000000"/>
                <w:sz w:val="24"/>
                <w:szCs w:val="24"/>
              </w:rPr>
            </w:pPr>
            <w:r>
              <w:rPr>
                <w:rFonts w:eastAsia="SimSun"/>
                <w:color w:val="000000"/>
                <w:sz w:val="24"/>
                <w:szCs w:val="24"/>
              </w:rPr>
              <w:t>* Responsabilizar-se por quaisquer ônus decorrentes de omissões ou erros na elaboração de estimativa de custos.</w:t>
            </w:r>
          </w:p>
          <w:p w14:paraId="4C3398BB">
            <w:pPr>
              <w:ind w:firstLine="720" w:firstLineChars="300"/>
              <w:jc w:val="both"/>
              <w:rPr>
                <w:b/>
                <w:bCs/>
                <w:sz w:val="24"/>
                <w:szCs w:val="24"/>
                <w:u w:val="single"/>
              </w:rPr>
            </w:pPr>
            <w:r>
              <w:rPr>
                <w:rFonts w:eastAsia="SimSun"/>
                <w:color w:val="000000"/>
                <w:sz w:val="24"/>
                <w:szCs w:val="24"/>
              </w:rPr>
              <w:t>* A contratada se compromete em prestar apoio jurídico no caso de qualquer questionamento do Ministério Público Estadual, Ministério Público Federal, Polícia Federal, enfim, qualquer outro órgão público que venha a fazer qualquer indagação inerentes à prestação dos serviços.</w:t>
            </w:r>
          </w:p>
          <w:p w14:paraId="62E3BBCB">
            <w:pPr>
              <w:adjustRightInd w:val="0"/>
              <w:jc w:val="both"/>
              <w:rPr>
                <w:b/>
                <w:bCs/>
                <w:sz w:val="24"/>
                <w:szCs w:val="24"/>
              </w:rPr>
            </w:pPr>
            <w:r>
              <w:rPr>
                <w:rFonts w:eastAsia="SimSun"/>
                <w:color w:val="000000"/>
                <w:sz w:val="24"/>
                <w:szCs w:val="24"/>
              </w:rPr>
              <w:t xml:space="preserve">            </w:t>
            </w:r>
            <w:r>
              <w:rPr>
                <w:b/>
                <w:bCs/>
                <w:sz w:val="24"/>
                <w:szCs w:val="24"/>
              </w:rPr>
              <w:t>DOS SERVIÇOS DE GUINCHO</w:t>
            </w:r>
          </w:p>
          <w:p w14:paraId="531373F7">
            <w:pPr>
              <w:adjustRightInd w:val="0"/>
              <w:jc w:val="both"/>
              <w:rPr>
                <w:sz w:val="24"/>
                <w:szCs w:val="24"/>
              </w:rPr>
            </w:pPr>
            <w:r>
              <w:rPr>
                <w:b/>
                <w:bCs/>
                <w:sz w:val="24"/>
                <w:szCs w:val="24"/>
              </w:rPr>
              <w:t xml:space="preserve">            * </w:t>
            </w:r>
            <w:r>
              <w:rPr>
                <w:sz w:val="24"/>
                <w:szCs w:val="24"/>
              </w:rPr>
              <w:t>A (s) empresa (s) habilitada (s) no devido processo licitatório, deverá (ão) obedecer ao seguinte:</w:t>
            </w:r>
          </w:p>
          <w:p w14:paraId="547DD1E6">
            <w:pPr>
              <w:adjustRightInd w:val="0"/>
              <w:jc w:val="both"/>
              <w:rPr>
                <w:sz w:val="24"/>
                <w:szCs w:val="24"/>
              </w:rPr>
            </w:pPr>
            <w:r>
              <w:rPr>
                <w:b/>
                <w:bCs/>
                <w:sz w:val="24"/>
                <w:szCs w:val="24"/>
              </w:rPr>
              <w:t xml:space="preserve">            </w:t>
            </w:r>
            <w:r>
              <w:rPr>
                <w:sz w:val="24"/>
                <w:szCs w:val="24"/>
              </w:rPr>
              <w:t>I - Os serviços serão requisitados de forma parcelada, de acordo com as autuações realizadas pelos agentes da autoridade de trânsito, sendo essas de competência originária ou delegada por convênio, o qual especificará o local e o tipo de veículo a ser recolhido;</w:t>
            </w:r>
          </w:p>
          <w:p w14:paraId="62FECB63">
            <w:pPr>
              <w:adjustRightInd w:val="0"/>
              <w:jc w:val="both"/>
              <w:rPr>
                <w:sz w:val="24"/>
                <w:szCs w:val="24"/>
              </w:rPr>
            </w:pPr>
            <w:r>
              <w:rPr>
                <w:b/>
                <w:bCs/>
                <w:sz w:val="24"/>
                <w:szCs w:val="24"/>
              </w:rPr>
              <w:t xml:space="preserve">            </w:t>
            </w:r>
            <w:r>
              <w:rPr>
                <w:sz w:val="24"/>
                <w:szCs w:val="24"/>
              </w:rPr>
              <w:t>II - A empresa contratada deverá disponibilizar uma central de atendimento, 24 (vinte e quatro) horas por dia, inclusive aos sábados, domingos e feriados para que as autoridades de trânsito possam requisitar os serviços imediatamente após a autuação dos veículos;</w:t>
            </w:r>
          </w:p>
          <w:p w14:paraId="61AF26B1">
            <w:pPr>
              <w:adjustRightInd w:val="0"/>
              <w:jc w:val="both"/>
              <w:rPr>
                <w:sz w:val="24"/>
                <w:szCs w:val="24"/>
              </w:rPr>
            </w:pPr>
            <w:r>
              <w:rPr>
                <w:b/>
                <w:bCs/>
                <w:sz w:val="24"/>
                <w:szCs w:val="24"/>
              </w:rPr>
              <w:t xml:space="preserve">            </w:t>
            </w:r>
            <w:r>
              <w:rPr>
                <w:sz w:val="24"/>
                <w:szCs w:val="24"/>
              </w:rPr>
              <w:t>III - Após a requisição, quando estiver dentro do perímetro urbano, a empresa contratada/conveniada deverá chegar ao local indicado, para transportar o veículo a ser recolhido:</w:t>
            </w:r>
          </w:p>
          <w:p w14:paraId="48CD4DB2">
            <w:pPr>
              <w:adjustRightInd w:val="0"/>
              <w:jc w:val="both"/>
              <w:rPr>
                <w:sz w:val="24"/>
                <w:szCs w:val="24"/>
              </w:rPr>
            </w:pPr>
            <w:r>
              <w:rPr>
                <w:b/>
                <w:bCs/>
                <w:sz w:val="24"/>
                <w:szCs w:val="24"/>
              </w:rPr>
              <w:t xml:space="preserve">            </w:t>
            </w:r>
            <w:r>
              <w:rPr>
                <w:sz w:val="24"/>
                <w:szCs w:val="24"/>
              </w:rPr>
              <w:t>a) num prazo máximo de 20 (vinte) minutos;</w:t>
            </w:r>
          </w:p>
          <w:p w14:paraId="3D279FE7">
            <w:pPr>
              <w:adjustRightInd w:val="0"/>
              <w:jc w:val="both"/>
              <w:rPr>
                <w:sz w:val="24"/>
                <w:szCs w:val="24"/>
              </w:rPr>
            </w:pPr>
            <w:r>
              <w:rPr>
                <w:b/>
                <w:bCs/>
                <w:sz w:val="24"/>
                <w:szCs w:val="24"/>
              </w:rPr>
              <w:t xml:space="preserve">            </w:t>
            </w:r>
            <w:r>
              <w:rPr>
                <w:sz w:val="24"/>
                <w:szCs w:val="24"/>
              </w:rPr>
              <w:t>b) em até 30 (trinta) minutos do acionamento, em locais distantes até 30 (trinta) quilômetros da base operacional da contratada/credenciada;</w:t>
            </w:r>
          </w:p>
          <w:p w14:paraId="34E76486">
            <w:pPr>
              <w:adjustRightInd w:val="0"/>
              <w:jc w:val="both"/>
              <w:rPr>
                <w:sz w:val="24"/>
                <w:szCs w:val="24"/>
              </w:rPr>
            </w:pPr>
            <w:r>
              <w:rPr>
                <w:b/>
                <w:bCs/>
                <w:sz w:val="24"/>
                <w:szCs w:val="24"/>
              </w:rPr>
              <w:t xml:space="preserve">            </w:t>
            </w:r>
            <w:r>
              <w:rPr>
                <w:sz w:val="24"/>
                <w:szCs w:val="24"/>
              </w:rPr>
              <w:t>c) em locais distantes mais do que 30 quilômetros da base operacional da contratada/credenciada, acrescentar-se-ão 10 (dez) minutos de prazo de chegada para cada 10 (dez) quilômetros percorridos.</w:t>
            </w:r>
          </w:p>
          <w:p w14:paraId="6F3F3375">
            <w:pPr>
              <w:adjustRightInd w:val="0"/>
              <w:jc w:val="both"/>
              <w:rPr>
                <w:sz w:val="24"/>
                <w:szCs w:val="24"/>
              </w:rPr>
            </w:pPr>
            <w:r>
              <w:rPr>
                <w:b/>
                <w:bCs/>
                <w:sz w:val="24"/>
                <w:szCs w:val="24"/>
              </w:rPr>
              <w:t xml:space="preserve">            </w:t>
            </w:r>
            <w:r>
              <w:rPr>
                <w:sz w:val="24"/>
                <w:szCs w:val="24"/>
              </w:rPr>
              <w:t>IV - O deslocamento em direção ao local determinado deverá iniciar imediatamente após a mobilização, com obediência integral às normas de circulação e conduta, presentes na legislação de trânsito, e sem paradas ou estacionamentos desnecessários durante o percurso, objetivando a chegada no menor tempo possível, com segurança.</w:t>
            </w:r>
          </w:p>
          <w:p w14:paraId="4A02ACCB">
            <w:pPr>
              <w:adjustRightInd w:val="0"/>
              <w:jc w:val="both"/>
              <w:rPr>
                <w:sz w:val="24"/>
                <w:szCs w:val="24"/>
              </w:rPr>
            </w:pPr>
            <w:r>
              <w:rPr>
                <w:b/>
                <w:bCs/>
                <w:sz w:val="24"/>
                <w:szCs w:val="24"/>
              </w:rPr>
              <w:t xml:space="preserve">            </w:t>
            </w:r>
            <w:r>
              <w:rPr>
                <w:sz w:val="24"/>
                <w:szCs w:val="24"/>
              </w:rPr>
              <w:t>V - Ao chegar ao local solicitado, desde que em condições seguras, deverá iniciar os serviços determinados pela autoridade responsável, sejam eles de remoção, recolhimento e/ou transporte do veículo.</w:t>
            </w:r>
          </w:p>
          <w:p w14:paraId="20506D06">
            <w:pPr>
              <w:adjustRightInd w:val="0"/>
              <w:jc w:val="both"/>
              <w:rPr>
                <w:sz w:val="24"/>
                <w:szCs w:val="24"/>
              </w:rPr>
            </w:pPr>
            <w:r>
              <w:rPr>
                <w:b/>
                <w:bCs/>
                <w:sz w:val="24"/>
                <w:szCs w:val="24"/>
              </w:rPr>
              <w:t xml:space="preserve">            </w:t>
            </w:r>
            <w:r>
              <w:rPr>
                <w:sz w:val="24"/>
                <w:szCs w:val="24"/>
              </w:rPr>
              <w:t>VI - Apresentar o veículo para o proprietário/motorista, a fim de que as irregularidades possam ser sanadas no prazo que lhe for estipulado, não sendo possível sanar a irregularidade dentro do pátio contratado/credenciado, somente será liberado para regularização fora do local de guarda, com autorização da autoridade de trânsito responsável pelo recolhimento.</w:t>
            </w:r>
          </w:p>
          <w:p w14:paraId="5044AE73">
            <w:pPr>
              <w:adjustRightInd w:val="0"/>
              <w:jc w:val="both"/>
              <w:rPr>
                <w:sz w:val="24"/>
                <w:szCs w:val="24"/>
              </w:rPr>
            </w:pPr>
            <w:r>
              <w:rPr>
                <w:b/>
                <w:bCs/>
                <w:sz w:val="24"/>
                <w:szCs w:val="24"/>
              </w:rPr>
              <w:t xml:space="preserve">            </w:t>
            </w:r>
            <w:r>
              <w:rPr>
                <w:sz w:val="24"/>
                <w:szCs w:val="24"/>
              </w:rPr>
              <w:t>VII - Zelar pela manutenção da continuidade do serviço de guincho.</w:t>
            </w:r>
          </w:p>
          <w:p w14:paraId="4FDC3AD0">
            <w:pPr>
              <w:adjustRightInd w:val="0"/>
              <w:jc w:val="both"/>
              <w:rPr>
                <w:sz w:val="24"/>
                <w:szCs w:val="24"/>
              </w:rPr>
            </w:pPr>
            <w:r>
              <w:rPr>
                <w:b/>
                <w:bCs/>
                <w:sz w:val="24"/>
                <w:szCs w:val="24"/>
              </w:rPr>
              <w:t xml:space="preserve">            </w:t>
            </w:r>
            <w:r>
              <w:rPr>
                <w:sz w:val="24"/>
                <w:szCs w:val="24"/>
              </w:rPr>
              <w:t>VIII - Cumprir os itinerários determinados pela Secretaria Municipal de Segurança e Trânsito – SST.</w:t>
            </w:r>
          </w:p>
          <w:p w14:paraId="19B3D118">
            <w:pPr>
              <w:adjustRightInd w:val="0"/>
              <w:jc w:val="both"/>
              <w:rPr>
                <w:sz w:val="24"/>
                <w:szCs w:val="24"/>
              </w:rPr>
            </w:pPr>
            <w:r>
              <w:rPr>
                <w:b/>
                <w:bCs/>
                <w:sz w:val="24"/>
                <w:szCs w:val="24"/>
              </w:rPr>
              <w:t xml:space="preserve">            </w:t>
            </w:r>
            <w:r>
              <w:rPr>
                <w:sz w:val="24"/>
                <w:szCs w:val="24"/>
              </w:rPr>
              <w:t>IX - Responder pelos seus atos, sujeitando-se às normas e penalidades do Código de Trânsito Brasileiro.</w:t>
            </w:r>
          </w:p>
          <w:p w14:paraId="0E0D86C7">
            <w:pPr>
              <w:adjustRightInd w:val="0"/>
              <w:jc w:val="both"/>
              <w:rPr>
                <w:sz w:val="24"/>
                <w:szCs w:val="24"/>
              </w:rPr>
            </w:pPr>
            <w:r>
              <w:rPr>
                <w:b/>
                <w:bCs/>
                <w:sz w:val="24"/>
                <w:szCs w:val="24"/>
              </w:rPr>
              <w:t xml:space="preserve">            </w:t>
            </w:r>
            <w:r>
              <w:rPr>
                <w:sz w:val="24"/>
                <w:szCs w:val="24"/>
              </w:rPr>
              <w:t>X - Submeter-se à fiscalização das autoridades competentes.</w:t>
            </w:r>
          </w:p>
          <w:p w14:paraId="7909916E">
            <w:pPr>
              <w:adjustRightInd w:val="0"/>
              <w:jc w:val="both"/>
              <w:rPr>
                <w:sz w:val="24"/>
                <w:szCs w:val="24"/>
              </w:rPr>
            </w:pPr>
            <w:r>
              <w:rPr>
                <w:b/>
                <w:bCs/>
                <w:sz w:val="24"/>
                <w:szCs w:val="24"/>
              </w:rPr>
              <w:t xml:space="preserve">            </w:t>
            </w:r>
            <w:r>
              <w:rPr>
                <w:sz w:val="24"/>
                <w:szCs w:val="24"/>
              </w:rPr>
              <w:t>XI - Substituir imediatamente o veículo quando este apresentar problemas mecânicos.</w:t>
            </w:r>
          </w:p>
          <w:p w14:paraId="05CF928E">
            <w:pPr>
              <w:adjustRightInd w:val="0"/>
              <w:jc w:val="both"/>
              <w:rPr>
                <w:b/>
                <w:bCs/>
                <w:sz w:val="24"/>
                <w:szCs w:val="24"/>
              </w:rPr>
            </w:pPr>
            <w:r>
              <w:rPr>
                <w:b/>
                <w:bCs/>
                <w:sz w:val="24"/>
                <w:szCs w:val="24"/>
              </w:rPr>
              <w:t xml:space="preserve">            *</w:t>
            </w:r>
            <w:r>
              <w:rPr>
                <w:sz w:val="24"/>
                <w:szCs w:val="24"/>
              </w:rPr>
              <w:t xml:space="preserve"> A ocorrência de atraso na chegada ao local determinado sempre deverá ser justificada à autoridade de trânsito responsável pelo recolhimento, sendo admitida tolerância de 20% (vinte por cento) dos prazos estipulados, desde que eventual e decorrente de fatores alheios à vontade da contratada.</w:t>
            </w:r>
          </w:p>
          <w:p w14:paraId="207E2A29">
            <w:pPr>
              <w:adjustRightInd w:val="0"/>
              <w:jc w:val="both"/>
              <w:rPr>
                <w:sz w:val="24"/>
                <w:szCs w:val="24"/>
              </w:rPr>
            </w:pPr>
            <w:r>
              <w:rPr>
                <w:b/>
                <w:bCs/>
                <w:sz w:val="24"/>
                <w:szCs w:val="24"/>
              </w:rPr>
              <w:t xml:space="preserve">            *</w:t>
            </w:r>
            <w:r>
              <w:rPr>
                <w:sz w:val="24"/>
                <w:szCs w:val="24"/>
              </w:rPr>
              <w:t xml:space="preserve"> Os veículos, objetos das medidas administrativas, serão transportados para o pátio da empresa responsável pela remoção, salvo por necessidade do serviço, onde, havendo mais de um contratado pela Prefeitura Municipal de Sinop, a remoção poderá ser realiza por empresa que conste na escala de serviço.</w:t>
            </w:r>
          </w:p>
          <w:p w14:paraId="56A8A4E9">
            <w:pPr>
              <w:adjustRightInd w:val="0"/>
              <w:jc w:val="both"/>
              <w:rPr>
                <w:sz w:val="24"/>
                <w:szCs w:val="24"/>
              </w:rPr>
            </w:pPr>
            <w:r>
              <w:rPr>
                <w:b/>
                <w:bCs/>
                <w:sz w:val="24"/>
                <w:szCs w:val="24"/>
              </w:rPr>
              <w:t xml:space="preserve">            *</w:t>
            </w:r>
            <w:r>
              <w:rPr>
                <w:sz w:val="24"/>
                <w:szCs w:val="24"/>
              </w:rPr>
              <w:t xml:space="preserve"> A contratada é inteiramente responsável pela integridade do veículo transportado, desde o momento que se inicia o serviço de remoção, durante o trajeto do local do recolhimento do veículo, na permanência do mesmo no seu pátio, até o momento de devolução ao proprietário/motorista ou hasta pública.</w:t>
            </w:r>
          </w:p>
          <w:p w14:paraId="47EDB0E6">
            <w:pPr>
              <w:adjustRightInd w:val="0"/>
              <w:jc w:val="both"/>
              <w:rPr>
                <w:sz w:val="24"/>
                <w:szCs w:val="24"/>
              </w:rPr>
            </w:pPr>
            <w:r>
              <w:rPr>
                <w:b/>
                <w:bCs/>
                <w:sz w:val="24"/>
                <w:szCs w:val="24"/>
              </w:rPr>
              <w:t xml:space="preserve">            * </w:t>
            </w:r>
            <w:r>
              <w:rPr>
                <w:sz w:val="24"/>
                <w:szCs w:val="24"/>
              </w:rPr>
              <w:t>A contratada/credenciada deve atender às obrigações trabalhistas, fiscais, previdenciárias e outras que lhe seja correlata.</w:t>
            </w:r>
          </w:p>
          <w:p w14:paraId="2F5EB6C0">
            <w:pPr>
              <w:adjustRightInd w:val="0"/>
              <w:jc w:val="both"/>
              <w:rPr>
                <w:sz w:val="24"/>
                <w:szCs w:val="24"/>
              </w:rPr>
            </w:pPr>
            <w:r>
              <w:rPr>
                <w:b/>
                <w:bCs/>
                <w:sz w:val="24"/>
                <w:szCs w:val="24"/>
              </w:rPr>
              <w:t xml:space="preserve">            </w:t>
            </w:r>
            <w:r>
              <w:rPr>
                <w:sz w:val="24"/>
                <w:szCs w:val="24"/>
              </w:rPr>
              <w:t>* A empresa contratada de serviços de guincho deverá, no momento em que irá recolher o veículo para remoção ao depósito de Pátio, lacrar com adesivos (Lacres Numerados) todas as portas (com exceção da porta do motorista, que será lacrada no momento do descarregamento no Pátio), capô, porta-malas e tampa do tanque. Sendo necessária qualquer movimentação do veículo ora removido dentro do Pátio da empresa credenciada, em que haja a necessidade de romper o lacre da porta do motorista, a empresa deverá manter uma ficha, a qual, deverá informar o motivo da violação, bem como, número do novo lacre que foi colocado no lugar, após a movimentação. Todo os custos com os Lacres correrão por conta da (s) empresa (s) credenciada (s).</w:t>
            </w:r>
          </w:p>
          <w:p w14:paraId="0F3C3131">
            <w:pPr>
              <w:adjustRightInd w:val="0"/>
              <w:jc w:val="both"/>
              <w:rPr>
                <w:sz w:val="24"/>
                <w:szCs w:val="24"/>
              </w:rPr>
            </w:pPr>
            <w:r>
              <w:rPr>
                <w:b/>
                <w:bCs/>
                <w:sz w:val="24"/>
                <w:szCs w:val="24"/>
              </w:rPr>
              <w:t xml:space="preserve">            *</w:t>
            </w:r>
            <w:r>
              <w:rPr>
                <w:sz w:val="24"/>
                <w:szCs w:val="24"/>
              </w:rPr>
              <w:t xml:space="preserve"> Nos casos em que a Autoridade Solicitante não tenha sistema informatizado para fazer o recolhimento do veículo, fica a empresa contratada de serviços de guincho, responsável em preencher um formulário (em três vias), sendo a 1ª (primeira) destinada a Secretaria Municipal de Segurança e Trânsito, a 2ª (segunda) ao condutor/proprietário e a 3ª (terceira) para arquivo do guincho, contendo data e hora do recolhimento, descrição completa do veículo recolhido, nível de combustível, se a chave foi recolhida ou não, os números dos adesivos/lacres e seu posicionamento, constando ainda informações necessárias sobre o estado de conservação do veículo, falta de algum equipamento obrigatório, se possui som automotivo, presença de algum objeto no interior e/ou capacete, por exemplo, no caso de motocicletas, devendo comprovar todo o procedimento com fotografias.</w:t>
            </w:r>
          </w:p>
          <w:p w14:paraId="22FAEF7A">
            <w:pPr>
              <w:adjustRightInd w:val="0"/>
              <w:jc w:val="both"/>
              <w:rPr>
                <w:sz w:val="24"/>
                <w:szCs w:val="24"/>
              </w:rPr>
            </w:pPr>
            <w:r>
              <w:rPr>
                <w:b/>
                <w:bCs/>
                <w:sz w:val="24"/>
                <w:szCs w:val="24"/>
              </w:rPr>
              <w:t xml:space="preserve">            *</w:t>
            </w:r>
            <w:r>
              <w:rPr>
                <w:sz w:val="24"/>
                <w:szCs w:val="24"/>
              </w:rPr>
              <w:t xml:space="preserve"> Os funcionários da (s) empresa (s) credenciada (s) deverão estar uniformizados, portando equipamentos de proteção individual, nos termos da legislação vigente.</w:t>
            </w:r>
          </w:p>
          <w:p w14:paraId="2E020616">
            <w:pPr>
              <w:adjustRightInd w:val="0"/>
              <w:jc w:val="both"/>
              <w:rPr>
                <w:sz w:val="24"/>
                <w:szCs w:val="24"/>
              </w:rPr>
            </w:pPr>
            <w:r>
              <w:rPr>
                <w:b/>
                <w:bCs/>
                <w:sz w:val="24"/>
                <w:szCs w:val="24"/>
              </w:rPr>
              <w:t xml:space="preserve">            *</w:t>
            </w:r>
            <w:r>
              <w:rPr>
                <w:sz w:val="24"/>
                <w:szCs w:val="24"/>
              </w:rPr>
              <w:t xml:space="preserve"> O veículo de guincho deverá estar em excelente condição de uso nas partes mecânicas e lataria, possuindo equipamentos obrigatórios de segurança, estabelecidos no Código de Trânsito Brasileiro, e os guinchos deverão possuir, além dos equipamentos obrigatórios previstos na legislação de trânsito, os seguintes equipamentos:</w:t>
            </w:r>
          </w:p>
          <w:p w14:paraId="6CF6429C">
            <w:pPr>
              <w:adjustRightInd w:val="0"/>
              <w:jc w:val="both"/>
              <w:rPr>
                <w:sz w:val="24"/>
                <w:szCs w:val="24"/>
              </w:rPr>
            </w:pPr>
            <w:r>
              <w:rPr>
                <w:b/>
                <w:bCs/>
                <w:sz w:val="24"/>
                <w:szCs w:val="24"/>
              </w:rPr>
              <w:t xml:space="preserve">            </w:t>
            </w:r>
            <w:r>
              <w:rPr>
                <w:sz w:val="24"/>
                <w:szCs w:val="24"/>
              </w:rPr>
              <w:t>I - Câmera fotográfica digital profissional, com pelo menos 10 (dez) megapixels de resolução cada.</w:t>
            </w:r>
          </w:p>
          <w:p w14:paraId="215C75F1">
            <w:pPr>
              <w:adjustRightInd w:val="0"/>
              <w:jc w:val="both"/>
              <w:rPr>
                <w:sz w:val="24"/>
                <w:szCs w:val="24"/>
              </w:rPr>
            </w:pPr>
            <w:r>
              <w:rPr>
                <w:b/>
                <w:bCs/>
                <w:sz w:val="24"/>
                <w:szCs w:val="24"/>
              </w:rPr>
              <w:t xml:space="preserve">            </w:t>
            </w:r>
            <w:r>
              <w:rPr>
                <w:sz w:val="24"/>
                <w:szCs w:val="24"/>
              </w:rPr>
              <w:t>II - 01 (um) Extintor de incêndio de pelo menos 06 (seis) kg de pó químico seco ou de gás carbônico, com carga e casco dentro da validade.</w:t>
            </w:r>
          </w:p>
          <w:p w14:paraId="2A226C28">
            <w:pPr>
              <w:adjustRightInd w:val="0"/>
              <w:jc w:val="both"/>
              <w:rPr>
                <w:sz w:val="24"/>
                <w:szCs w:val="24"/>
              </w:rPr>
            </w:pPr>
            <w:r>
              <w:rPr>
                <w:b/>
                <w:bCs/>
                <w:sz w:val="24"/>
                <w:szCs w:val="24"/>
              </w:rPr>
              <w:t xml:space="preserve">            </w:t>
            </w:r>
            <w:r>
              <w:rPr>
                <w:sz w:val="24"/>
                <w:szCs w:val="24"/>
              </w:rPr>
              <w:t>III - Rolo de fita zebrada para delimitação/isolamento de área nas cores preto e amarelo com largura mínima de 70 (setenta) mm e comprimento mínimo de 100 (cem) metros.</w:t>
            </w:r>
          </w:p>
          <w:p w14:paraId="3A89947F">
            <w:pPr>
              <w:adjustRightInd w:val="0"/>
              <w:jc w:val="both"/>
              <w:rPr>
                <w:sz w:val="24"/>
                <w:szCs w:val="24"/>
              </w:rPr>
            </w:pPr>
            <w:r>
              <w:rPr>
                <w:b/>
                <w:bCs/>
                <w:sz w:val="24"/>
                <w:szCs w:val="24"/>
              </w:rPr>
              <w:t xml:space="preserve">            </w:t>
            </w:r>
            <w:r>
              <w:rPr>
                <w:sz w:val="24"/>
                <w:szCs w:val="24"/>
              </w:rPr>
              <w:t>IV - Cones de Sinalização, no mínimo 10 (dez).</w:t>
            </w:r>
          </w:p>
          <w:p w14:paraId="05DF236C">
            <w:pPr>
              <w:adjustRightInd w:val="0"/>
              <w:jc w:val="both"/>
              <w:rPr>
                <w:sz w:val="24"/>
                <w:szCs w:val="24"/>
              </w:rPr>
            </w:pPr>
            <w:r>
              <w:rPr>
                <w:b/>
                <w:bCs/>
                <w:sz w:val="24"/>
                <w:szCs w:val="24"/>
              </w:rPr>
              <w:t xml:space="preserve">            </w:t>
            </w:r>
            <w:r>
              <w:rPr>
                <w:sz w:val="24"/>
                <w:szCs w:val="24"/>
              </w:rPr>
              <w:t>V - Dispositivo luminoso intermitente ou rotativo, na cor amarela âmbar sobre o teto do veículo, de acordo com a legislação vigente (Resolução nº 268, de 15/02/2008, do CONTRAN).</w:t>
            </w:r>
          </w:p>
          <w:p w14:paraId="28B00A26">
            <w:pPr>
              <w:adjustRightInd w:val="0"/>
              <w:jc w:val="both"/>
              <w:rPr>
                <w:sz w:val="24"/>
                <w:szCs w:val="24"/>
              </w:rPr>
            </w:pPr>
            <w:r>
              <w:rPr>
                <w:b/>
                <w:bCs/>
                <w:sz w:val="24"/>
                <w:szCs w:val="24"/>
              </w:rPr>
              <w:t xml:space="preserve">            </w:t>
            </w:r>
            <w:r>
              <w:rPr>
                <w:sz w:val="24"/>
                <w:szCs w:val="24"/>
              </w:rPr>
              <w:t>VI - Farolete portátil de longo alcance ou dispositivo equivalente de iluminação com tecnologia por LED.</w:t>
            </w:r>
          </w:p>
          <w:p w14:paraId="5B5B8F07">
            <w:pPr>
              <w:adjustRightInd w:val="0"/>
              <w:jc w:val="both"/>
              <w:rPr>
                <w:sz w:val="24"/>
                <w:szCs w:val="24"/>
              </w:rPr>
            </w:pPr>
            <w:r>
              <w:rPr>
                <w:b/>
                <w:bCs/>
                <w:sz w:val="24"/>
                <w:szCs w:val="24"/>
              </w:rPr>
              <w:t xml:space="preserve">            </w:t>
            </w:r>
            <w:r>
              <w:rPr>
                <w:sz w:val="24"/>
                <w:szCs w:val="24"/>
              </w:rPr>
              <w:t>VII - Dispositivo mecânico de tração de veículos com cabo de aço.</w:t>
            </w:r>
          </w:p>
          <w:p w14:paraId="6138578C">
            <w:pPr>
              <w:adjustRightInd w:val="0"/>
              <w:jc w:val="both"/>
              <w:rPr>
                <w:sz w:val="24"/>
                <w:szCs w:val="24"/>
              </w:rPr>
            </w:pPr>
            <w:r>
              <w:rPr>
                <w:b/>
                <w:bCs/>
                <w:sz w:val="24"/>
                <w:szCs w:val="24"/>
              </w:rPr>
              <w:t xml:space="preserve">            </w:t>
            </w:r>
            <w:r>
              <w:rPr>
                <w:sz w:val="24"/>
                <w:szCs w:val="24"/>
              </w:rPr>
              <w:t>VIII - Patins para movimentação e remoção de veículos.</w:t>
            </w:r>
          </w:p>
          <w:p w14:paraId="7023E280">
            <w:pPr>
              <w:adjustRightInd w:val="0"/>
              <w:jc w:val="both"/>
              <w:rPr>
                <w:sz w:val="24"/>
                <w:szCs w:val="24"/>
              </w:rPr>
            </w:pPr>
            <w:r>
              <w:rPr>
                <w:b/>
                <w:bCs/>
                <w:sz w:val="24"/>
                <w:szCs w:val="24"/>
              </w:rPr>
              <w:t xml:space="preserve">            </w:t>
            </w:r>
            <w:r>
              <w:rPr>
                <w:sz w:val="24"/>
                <w:szCs w:val="24"/>
              </w:rPr>
              <w:t>* Os veículos que executam o Serviço de Remoção do Local solicitado até o Pátio, deverão possuir apólice de seguro contra danos materiais e pessoais a terceiros, com valor não inferior a 80.000 UR`s (oitenta mil unidades de referência).</w:t>
            </w:r>
          </w:p>
          <w:p w14:paraId="7A1657D3">
            <w:pPr>
              <w:adjustRightInd w:val="0"/>
              <w:jc w:val="both"/>
              <w:rPr>
                <w:sz w:val="24"/>
                <w:szCs w:val="24"/>
              </w:rPr>
            </w:pPr>
            <w:r>
              <w:rPr>
                <w:b/>
                <w:bCs/>
                <w:sz w:val="24"/>
                <w:szCs w:val="24"/>
              </w:rPr>
              <w:t xml:space="preserve">            </w:t>
            </w:r>
            <w:r>
              <w:rPr>
                <w:sz w:val="24"/>
                <w:szCs w:val="24"/>
              </w:rPr>
              <w:t>* Os veículos de guincho deverão serem submetidos a vistorias semestrais periódicas estabelecidas pela Secretaria Municipal de Segurança e Trânsito - SST.</w:t>
            </w:r>
          </w:p>
          <w:p w14:paraId="379BC7CB">
            <w:pPr>
              <w:adjustRightInd w:val="0"/>
              <w:jc w:val="both"/>
              <w:rPr>
                <w:sz w:val="24"/>
                <w:szCs w:val="24"/>
              </w:rPr>
            </w:pPr>
            <w:r>
              <w:rPr>
                <w:b/>
                <w:bCs/>
                <w:sz w:val="24"/>
                <w:szCs w:val="24"/>
              </w:rPr>
              <w:t xml:space="preserve">            *</w:t>
            </w:r>
            <w:r>
              <w:rPr>
                <w:sz w:val="24"/>
                <w:szCs w:val="24"/>
              </w:rPr>
              <w:t xml:space="preserve"> Os condutores/operadores e ajudantes que trabalhem na (s) empresa (s) credenciada (s) deverão ser previamente cadastrados junto à Contratante.</w:t>
            </w:r>
          </w:p>
          <w:p w14:paraId="5DAFC82A">
            <w:pPr>
              <w:adjustRightInd w:val="0"/>
              <w:jc w:val="both"/>
              <w:rPr>
                <w:sz w:val="24"/>
                <w:szCs w:val="24"/>
              </w:rPr>
            </w:pPr>
            <w:r>
              <w:rPr>
                <w:b/>
                <w:bCs/>
                <w:sz w:val="24"/>
                <w:szCs w:val="24"/>
              </w:rPr>
              <w:t xml:space="preserve">            </w:t>
            </w:r>
            <w:r>
              <w:rPr>
                <w:sz w:val="24"/>
                <w:szCs w:val="24"/>
              </w:rPr>
              <w:t>* A (s) empresa (s) credenciada (s) deverá (ão) possuir, pelo menos, 01 (um) veículo regularmente adaptado para a execução segura do serviço de guincho, com capacidade de remoção de motocicletas, ciclomotores, veículos de passeio, utilitários ou similares que não ultrapassem o peso bruto total de 3.500 kg.</w:t>
            </w:r>
          </w:p>
          <w:p w14:paraId="4F569D67">
            <w:pPr>
              <w:adjustRightInd w:val="0"/>
              <w:jc w:val="both"/>
              <w:rPr>
                <w:sz w:val="24"/>
                <w:szCs w:val="24"/>
              </w:rPr>
            </w:pPr>
            <w:r>
              <w:rPr>
                <w:b/>
                <w:bCs/>
                <w:sz w:val="24"/>
                <w:szCs w:val="24"/>
              </w:rPr>
              <w:t xml:space="preserve">            </w:t>
            </w:r>
            <w:r>
              <w:rPr>
                <w:sz w:val="24"/>
                <w:szCs w:val="24"/>
              </w:rPr>
              <w:t>* A (s) empresa (s) credenciada (s) deverá (ão) possuir, pelo menos, 01 (um) veículo regularmente adaptado para a execução segura do serviço de guincho, com capacidade de remoção de veículos de cargas e passageiros com peso bruto superior a 3.500 kg, articulados, reboques e semi-reboques. Caso não possuam o veículo, podem apresentar contrato de locação ou similar que demostre a disponibilização deste veículo para a adequada prestação do serviço. No caso de veículos locados ou similar, os mesmos também deverão serem submetidos a vistorias semestrais periódicas estabelecidas pela Secretaria Municipal de Segurança e Trânsito - SST.</w:t>
            </w:r>
          </w:p>
          <w:p w14:paraId="5244694E">
            <w:pPr>
              <w:adjustRightInd w:val="0"/>
              <w:jc w:val="both"/>
              <w:rPr>
                <w:sz w:val="24"/>
                <w:szCs w:val="24"/>
              </w:rPr>
            </w:pPr>
            <w:r>
              <w:rPr>
                <w:b/>
                <w:bCs/>
                <w:sz w:val="24"/>
                <w:szCs w:val="24"/>
              </w:rPr>
              <w:t xml:space="preserve">            </w:t>
            </w:r>
            <w:r>
              <w:rPr>
                <w:sz w:val="24"/>
                <w:szCs w:val="24"/>
              </w:rPr>
              <w:t xml:space="preserve">* Se for necessário, a empresa deverá disponibilizar mais de um veículo, com as mesmas características, para a realização de todos os serviços contratados, de acordo com a demanda, podendo estes serem locados, porém com o devido cadastro junto ao Departamento de Pátio e Leilão. </w:t>
            </w:r>
          </w:p>
          <w:p w14:paraId="6AB408F8">
            <w:pPr>
              <w:adjustRightInd w:val="0"/>
              <w:jc w:val="both"/>
              <w:rPr>
                <w:sz w:val="24"/>
                <w:szCs w:val="24"/>
              </w:rPr>
            </w:pPr>
            <w:r>
              <w:rPr>
                <w:b/>
                <w:bCs/>
                <w:sz w:val="24"/>
                <w:szCs w:val="24"/>
              </w:rPr>
              <w:t xml:space="preserve">            </w:t>
            </w:r>
            <w:r>
              <w:rPr>
                <w:sz w:val="24"/>
                <w:szCs w:val="24"/>
              </w:rPr>
              <w:t xml:space="preserve">* Condutor/operador deverá possuir capacidade técnica para a realização das operações contratadas, devendo ser habilitado na categoria correspondente ao veículo conduzido, especialmente, quando houver acoplamento de veículos. </w:t>
            </w:r>
          </w:p>
          <w:p w14:paraId="2CCD1B89">
            <w:pPr>
              <w:adjustRightInd w:val="0"/>
              <w:jc w:val="both"/>
              <w:rPr>
                <w:sz w:val="24"/>
                <w:szCs w:val="24"/>
              </w:rPr>
            </w:pPr>
            <w:r>
              <w:rPr>
                <w:b/>
                <w:bCs/>
                <w:sz w:val="24"/>
                <w:szCs w:val="24"/>
              </w:rPr>
              <w:t xml:space="preserve">            *</w:t>
            </w:r>
            <w:r>
              <w:rPr>
                <w:sz w:val="24"/>
                <w:szCs w:val="24"/>
              </w:rPr>
              <w:t xml:space="preserve"> A Contratada não poderá utilizar funcionários cuja conduta ou antecedentes sejam incompatíveis com a execução do serviço contratado, podendo a Contratante, a seu critério, requerer a substituição.</w:t>
            </w:r>
          </w:p>
          <w:p w14:paraId="15F86AC8">
            <w:pPr>
              <w:adjustRightInd w:val="0"/>
              <w:jc w:val="both"/>
              <w:rPr>
                <w:b/>
                <w:bCs/>
                <w:sz w:val="24"/>
                <w:szCs w:val="24"/>
              </w:rPr>
            </w:pPr>
            <w:r>
              <w:rPr>
                <w:b/>
                <w:bCs/>
                <w:sz w:val="24"/>
                <w:szCs w:val="24"/>
              </w:rPr>
              <w:t xml:space="preserve">            SERVIÇOS DE DEPÓSITO EM PÁTIO</w:t>
            </w:r>
          </w:p>
          <w:p w14:paraId="03917CD9">
            <w:pPr>
              <w:adjustRightInd w:val="0"/>
              <w:jc w:val="both"/>
              <w:rPr>
                <w:sz w:val="24"/>
                <w:szCs w:val="24"/>
              </w:rPr>
            </w:pPr>
            <w:r>
              <w:rPr>
                <w:b/>
                <w:bCs/>
                <w:sz w:val="24"/>
                <w:szCs w:val="24"/>
              </w:rPr>
              <w:t xml:space="preserve">            </w:t>
            </w:r>
            <w:r>
              <w:rPr>
                <w:sz w:val="24"/>
                <w:szCs w:val="24"/>
              </w:rPr>
              <w:t>* O serviço de depósito em pátio consiste na guarda e depósito em Pátio de veículo apreendido em decorrência de ação fiscalizatória da Guarda Civil Municipal de Sinop ou de outro órgão de segurança pública, com objetivo de garantir a segurança ao patrimônio particular, até regularização do veículo ou das condições de habilitação por parte do motorista e/ou proprietário do veículo.</w:t>
            </w:r>
          </w:p>
          <w:p w14:paraId="1A154E20">
            <w:pPr>
              <w:adjustRightInd w:val="0"/>
              <w:jc w:val="both"/>
              <w:rPr>
                <w:sz w:val="24"/>
                <w:szCs w:val="24"/>
              </w:rPr>
            </w:pPr>
            <w:r>
              <w:rPr>
                <w:b/>
                <w:bCs/>
                <w:sz w:val="24"/>
                <w:szCs w:val="24"/>
              </w:rPr>
              <w:t xml:space="preserve">            </w:t>
            </w:r>
            <w:r>
              <w:rPr>
                <w:sz w:val="24"/>
                <w:szCs w:val="24"/>
              </w:rPr>
              <w:t>* Para segurança e conservação do patrimônio particular, durante a execução dos serviços de Depósito em Pátio de veículos autuados e apreendidos, a (s) empresa (s) credenciada (s) deverá (ão) possuir (em):</w:t>
            </w:r>
          </w:p>
          <w:p w14:paraId="59B74089">
            <w:pPr>
              <w:adjustRightInd w:val="0"/>
              <w:jc w:val="both"/>
              <w:rPr>
                <w:sz w:val="24"/>
                <w:szCs w:val="24"/>
              </w:rPr>
            </w:pPr>
            <w:r>
              <w:rPr>
                <w:b/>
                <w:bCs/>
                <w:sz w:val="24"/>
                <w:szCs w:val="24"/>
              </w:rPr>
              <w:t xml:space="preserve">            </w:t>
            </w:r>
            <w:r>
              <w:rPr>
                <w:sz w:val="24"/>
                <w:szCs w:val="24"/>
              </w:rPr>
              <w:t>I - A (s) empresa (s) credenciada (s) deverá (ão) possuir local apropriado próprio ou alugado (todo murado, com cerca elétrica e alarme), que permita a guarda em total segurança de todos os veículos removidos, independente do motivo da remoção, peso ou tamanho, não podendo alegar falta de espaço como causa de não prestação dos serviços.</w:t>
            </w:r>
          </w:p>
          <w:p w14:paraId="20DD599B">
            <w:pPr>
              <w:adjustRightInd w:val="0"/>
              <w:jc w:val="both"/>
              <w:rPr>
                <w:sz w:val="24"/>
                <w:szCs w:val="24"/>
              </w:rPr>
            </w:pPr>
            <w:r>
              <w:rPr>
                <w:b/>
                <w:bCs/>
                <w:sz w:val="24"/>
                <w:szCs w:val="24"/>
              </w:rPr>
              <w:t xml:space="preserve">            </w:t>
            </w:r>
            <w:r>
              <w:rPr>
                <w:sz w:val="24"/>
                <w:szCs w:val="24"/>
              </w:rPr>
              <w:t>II - Controle de registro em local visível ao usuário, no qual o condutor ou proprietário, ao retirar o veículo, registrará eventuais danos, ou falta de equipamentos e/ou acessórios, ou, ainda, a sua inconformidade pelo estado do veículo.</w:t>
            </w:r>
          </w:p>
          <w:p w14:paraId="2077EDF4">
            <w:pPr>
              <w:adjustRightInd w:val="0"/>
              <w:jc w:val="both"/>
              <w:rPr>
                <w:sz w:val="24"/>
                <w:szCs w:val="24"/>
              </w:rPr>
            </w:pPr>
            <w:r>
              <w:rPr>
                <w:b/>
                <w:bCs/>
                <w:sz w:val="24"/>
                <w:szCs w:val="24"/>
              </w:rPr>
              <w:t xml:space="preserve">            </w:t>
            </w:r>
            <w:r>
              <w:rPr>
                <w:sz w:val="24"/>
                <w:szCs w:val="24"/>
              </w:rPr>
              <w:t>III - Responsabilidade desde a retirada do veículo do local da remoção, até a entrega do veículo ao proprietário ou representante legal, por danos causados ao veículo e pela comprovada falta de equipamentos e/ou acessórios, assegurado o direito de regresso contra o autor do dano ou responsável pelo fato.</w:t>
            </w:r>
          </w:p>
          <w:p w14:paraId="5E975DA5">
            <w:pPr>
              <w:adjustRightInd w:val="0"/>
              <w:jc w:val="both"/>
              <w:rPr>
                <w:sz w:val="24"/>
                <w:szCs w:val="24"/>
              </w:rPr>
            </w:pPr>
            <w:r>
              <w:rPr>
                <w:b/>
                <w:bCs/>
                <w:sz w:val="24"/>
                <w:szCs w:val="24"/>
              </w:rPr>
              <w:t xml:space="preserve">            </w:t>
            </w:r>
            <w:r>
              <w:rPr>
                <w:sz w:val="24"/>
                <w:szCs w:val="24"/>
              </w:rPr>
              <w:t>IV - Manter, sob suas expensas, durante todo tempo da permissão, seguro de responsabilidade civil destinado a cobrir prejuízos causados por danos materiais (furto, roubo, incêndio e outros), nos veículos depositados sob sua responsabilidade. A empresa deverá apresentar Apólice de Seguro de Responsabilidade Civil de no mínimo 80.000 UR’s (oitenta mil unidades de referência).</w:t>
            </w:r>
          </w:p>
          <w:p w14:paraId="3A09636F">
            <w:pPr>
              <w:adjustRightInd w:val="0"/>
              <w:jc w:val="both"/>
              <w:rPr>
                <w:sz w:val="24"/>
                <w:szCs w:val="24"/>
              </w:rPr>
            </w:pPr>
            <w:r>
              <w:rPr>
                <w:b/>
                <w:bCs/>
                <w:sz w:val="24"/>
                <w:szCs w:val="24"/>
              </w:rPr>
              <w:t xml:space="preserve">            </w:t>
            </w:r>
            <w:r>
              <w:rPr>
                <w:sz w:val="24"/>
                <w:szCs w:val="24"/>
              </w:rPr>
              <w:t>V - Assumir integral responsabilidade pela boa e eficiente execução dos serviços públicos prestados.</w:t>
            </w:r>
          </w:p>
          <w:p w14:paraId="28538B7F">
            <w:pPr>
              <w:adjustRightInd w:val="0"/>
              <w:jc w:val="both"/>
              <w:rPr>
                <w:sz w:val="24"/>
                <w:szCs w:val="24"/>
              </w:rPr>
            </w:pPr>
            <w:r>
              <w:rPr>
                <w:b/>
                <w:bCs/>
                <w:sz w:val="24"/>
                <w:szCs w:val="24"/>
              </w:rPr>
              <w:t xml:space="preserve">            </w:t>
            </w:r>
            <w:r>
              <w:rPr>
                <w:sz w:val="24"/>
                <w:szCs w:val="24"/>
              </w:rPr>
              <w:t>VI - Possuir central de videomonitoramento de todo o pátio, 24 (vinte e quatro) horas por dia, 07 (sete) dias por semana, mantendo gravação mínima de 60 (sessenta) dias, disponibilizando Link de acesso às Câmeras para a Secretaria Municipal de Segurança e Trânsito.</w:t>
            </w:r>
          </w:p>
          <w:p w14:paraId="5F18C297">
            <w:pPr>
              <w:adjustRightInd w:val="0"/>
              <w:jc w:val="both"/>
              <w:rPr>
                <w:sz w:val="24"/>
                <w:szCs w:val="24"/>
              </w:rPr>
            </w:pPr>
            <w:r>
              <w:rPr>
                <w:b/>
                <w:bCs/>
                <w:sz w:val="24"/>
                <w:szCs w:val="24"/>
              </w:rPr>
              <w:t xml:space="preserve">            * </w:t>
            </w:r>
            <w:r>
              <w:rPr>
                <w:sz w:val="24"/>
                <w:szCs w:val="24"/>
              </w:rPr>
              <w:t>Nos casos de Liberações Condicionadas em que as irregularidades possam ser sanadas dentro do Pátio da empresa credenciada, fica a empresa responsável em tirar fotos do veículo com as irregularidades sanadas e encaminhar para o Departamento de Pátio e Leilão.</w:t>
            </w:r>
          </w:p>
          <w:p w14:paraId="687E3303">
            <w:pPr>
              <w:adjustRightInd w:val="0"/>
              <w:jc w:val="both"/>
              <w:rPr>
                <w:sz w:val="24"/>
                <w:szCs w:val="24"/>
              </w:rPr>
            </w:pPr>
            <w:r>
              <w:rPr>
                <w:sz w:val="24"/>
                <w:szCs w:val="24"/>
              </w:rPr>
              <w:t xml:space="preserve">            * A (s) empresa (s) credenciada (s) deverão ter atendimento ao público de segunda a sexta-feira (exceto em feriados), das 07h00min às 17h00min, sem intervalo para almoço.</w:t>
            </w:r>
          </w:p>
          <w:p w14:paraId="1E5C0052">
            <w:pPr>
              <w:adjustRightInd w:val="0"/>
              <w:jc w:val="both"/>
              <w:rPr>
                <w:b/>
                <w:bCs/>
                <w:sz w:val="24"/>
                <w:szCs w:val="24"/>
              </w:rPr>
            </w:pPr>
            <w:r>
              <w:rPr>
                <w:b/>
                <w:bCs/>
                <w:sz w:val="24"/>
                <w:szCs w:val="24"/>
              </w:rPr>
              <w:t xml:space="preserve">            DAS TAXAS DE REMOÇÃO, SERVIÇO DE MUNCK E TAXA DE DEPÓSITO EM PÁTIO.</w:t>
            </w:r>
          </w:p>
          <w:p w14:paraId="4A0AE322">
            <w:pPr>
              <w:adjustRightInd w:val="0"/>
              <w:jc w:val="both"/>
              <w:rPr>
                <w:sz w:val="24"/>
                <w:szCs w:val="24"/>
              </w:rPr>
            </w:pPr>
            <w:r>
              <w:rPr>
                <w:b/>
                <w:bCs/>
                <w:sz w:val="24"/>
                <w:szCs w:val="24"/>
              </w:rPr>
              <w:t xml:space="preserve">            *</w:t>
            </w:r>
            <w:r>
              <w:rPr>
                <w:sz w:val="24"/>
                <w:szCs w:val="24"/>
              </w:rPr>
              <w:t xml:space="preserve"> Os valores das referidas taxas de Remoção, Serviço de Munck e Taxa de Depósito em Pátio estão expressas no Termo de Referência, de acordo com a Lei Municipal 2985/2021, sendo que as taxas são calculadas com base na U. R. - Unidade de Referência, deste modo, atualizando os valores automaticamente todo início de ano.</w:t>
            </w:r>
          </w:p>
          <w:p w14:paraId="639DC023">
            <w:pPr>
              <w:adjustRightInd w:val="0"/>
              <w:jc w:val="both"/>
              <w:rPr>
                <w:sz w:val="24"/>
                <w:szCs w:val="24"/>
              </w:rPr>
            </w:pPr>
            <w:r>
              <w:rPr>
                <w:b/>
                <w:bCs/>
                <w:sz w:val="24"/>
                <w:szCs w:val="24"/>
              </w:rPr>
              <w:t xml:space="preserve">            *</w:t>
            </w:r>
            <w:r>
              <w:rPr>
                <w:sz w:val="24"/>
                <w:szCs w:val="24"/>
              </w:rPr>
              <w:t xml:space="preserve"> Em caso de Contratação dos Serviços, o valor percebido pela empresa contratada para cobrança da Taxa de Remoção, Serviço de Munck e Taxa de Depósito em Pátio do veículo, será descontado a importância de 15% (quinze por cento) sobre o valor total bruto das referidas taxas, para fins de manutenção, custeio e aparelhamento da Secretaria Municipal de Segurança e Trânsito, do município de Sinop, aplicado às necessidades dos serviços prestados pelos Guardas Civis Municipais. No caso da Taxa de Depósito em Pátio, os 15% (quinze por cento) deverão ser calculados com base na quantia total de diárias recebidas pela empresa credenciada.</w:t>
            </w:r>
          </w:p>
          <w:p w14:paraId="149B9244">
            <w:pPr>
              <w:adjustRightInd w:val="0"/>
              <w:jc w:val="both"/>
              <w:rPr>
                <w:sz w:val="24"/>
                <w:szCs w:val="24"/>
              </w:rPr>
            </w:pPr>
            <w:r>
              <w:rPr>
                <w:sz w:val="24"/>
                <w:szCs w:val="24"/>
              </w:rPr>
              <w:t xml:space="preserve">            * A Referida Taxa de 15% (quinze por cento) será calculada mensalmente pelo Departamento de Pátio e Leilão da Secretaria Municipal de Segurança e Trânsito e encaminhada à (s) empresa (s) credenciada (s) até o quinto dia útil do mês subsequente. A referida taxa deverá ser recolhida pela (s) empresa (s) credenciada (s) até o décimo dia útil do mês subsequente, mediante DAM - Documento de Arrecadação Municipal, sob pena de ser descontratada ou descredenciada em caso de inadimplência. Sendo que os valores recebidos da (s) empresa (s) credenciada (s), deverão cair diretamente no Fundo Municipal de Trânsito.</w:t>
            </w:r>
          </w:p>
          <w:p w14:paraId="3F7EE142">
            <w:pPr>
              <w:adjustRightInd w:val="0"/>
              <w:jc w:val="both"/>
              <w:rPr>
                <w:sz w:val="24"/>
                <w:szCs w:val="24"/>
              </w:rPr>
            </w:pPr>
            <w:r>
              <w:rPr>
                <w:b/>
                <w:bCs/>
                <w:sz w:val="24"/>
                <w:szCs w:val="24"/>
              </w:rPr>
              <w:t xml:space="preserve">            </w:t>
            </w:r>
            <w:r>
              <w:rPr>
                <w:sz w:val="24"/>
                <w:szCs w:val="24"/>
              </w:rPr>
              <w:t>* Os valores devidos pelo proprietário do veículo guinchado e removido serão pagos direto ao particular prestador dos serviços, mediante apresentação do termo de liberação do veículo, fornecido pelo Departamento de Pátio e Leilão. A (s) empresa (s) credenciada (s) deverá (ão) oferecer aos proprietários dos veículos as opções de pagamento em dinheiro, PIX, cartão de crédito e cartão de débito.</w:t>
            </w:r>
          </w:p>
          <w:p w14:paraId="69B95B26">
            <w:pPr>
              <w:adjustRightInd w:val="0"/>
              <w:jc w:val="both"/>
              <w:rPr>
                <w:b/>
                <w:bCs/>
                <w:sz w:val="24"/>
                <w:szCs w:val="24"/>
              </w:rPr>
            </w:pPr>
            <w:r>
              <w:rPr>
                <w:b/>
                <w:bCs/>
                <w:sz w:val="24"/>
                <w:szCs w:val="24"/>
              </w:rPr>
              <w:t xml:space="preserve">            METODOLOGIA PARA DISTRIBUIÇÃO DOS SERVIÇOS: </w:t>
            </w:r>
          </w:p>
          <w:p w14:paraId="26712FD4">
            <w:pPr>
              <w:adjustRightInd w:val="0"/>
              <w:jc w:val="both"/>
              <w:rPr>
                <w:b/>
                <w:bCs/>
                <w:sz w:val="24"/>
                <w:szCs w:val="24"/>
              </w:rPr>
            </w:pPr>
            <w:r>
              <w:rPr>
                <w:b/>
                <w:bCs/>
                <w:sz w:val="24"/>
                <w:szCs w:val="24"/>
              </w:rPr>
              <w:t xml:space="preserve">            </w:t>
            </w:r>
            <w:r>
              <w:rPr>
                <w:sz w:val="24"/>
                <w:szCs w:val="24"/>
              </w:rPr>
              <w:t>* Havendo mais de uma empresa credenciada, a ordem de contratação das empresas e profissionais habilitados dar-se-á de acordo com a ordem cronológica de recebimento da documentação na Prefeitura Municipal de Sinop/MT. A Comissão responsável pelo processamento do presente Credenciamento atestará, sob registro no Sistema de Protocolo, a data e hora do efetivo recebimento dos documentos de habilitação. No caso de interessado inabilitado que apresentar a documentação complementar, a data a ser considerada para ordenamento no banco de credenciadas será a última data em que a empresa apresentar a documentação sem os defeitos que deram causa à inabilitação. O credenciado receberá numeração sequencial, a fim de identificá-lo quando da distribuição de serviços.</w:t>
            </w:r>
          </w:p>
          <w:p w14:paraId="788692DA">
            <w:pPr>
              <w:adjustRightInd w:val="0"/>
              <w:jc w:val="both"/>
              <w:rPr>
                <w:sz w:val="24"/>
                <w:szCs w:val="24"/>
              </w:rPr>
            </w:pPr>
            <w:r>
              <w:rPr>
                <w:b/>
                <w:bCs/>
                <w:sz w:val="24"/>
                <w:szCs w:val="24"/>
              </w:rPr>
              <w:t xml:space="preserve">            </w:t>
            </w:r>
            <w:r>
              <w:rPr>
                <w:sz w:val="24"/>
                <w:szCs w:val="24"/>
              </w:rPr>
              <w:t xml:space="preserve">* Os serviços serão distribuídos em escala de plantão 24 (vinte e quatro) horas, iniciando e finalizando as seis horas da manhã. Havendo mais de uma empresa credenciada, trabalhará uma empresa por dia, seguindo a ordem de contratação, garantindo uma distribuição equitativa dos serviços entre os credenciados. </w:t>
            </w:r>
          </w:p>
          <w:p w14:paraId="0AAC4A31">
            <w:pPr>
              <w:adjustRightInd w:val="0"/>
              <w:jc w:val="both"/>
              <w:rPr>
                <w:sz w:val="24"/>
                <w:szCs w:val="24"/>
              </w:rPr>
            </w:pPr>
            <w:r>
              <w:rPr>
                <w:sz w:val="24"/>
                <w:szCs w:val="24"/>
              </w:rPr>
              <w:t xml:space="preserve">            * Havendo mais de uma empresa credenciada, nas operações integradas da Lei Seca, será feito escala diferenciada pelo Departamento de Pátio e Leilão e encaminhada as mesmas.</w:t>
            </w:r>
          </w:p>
          <w:p w14:paraId="72801D35">
            <w:pPr>
              <w:adjustRightInd w:val="0"/>
              <w:jc w:val="both"/>
              <w:rPr>
                <w:rFonts w:eastAsia="SimSun"/>
                <w:color w:val="000000"/>
                <w:sz w:val="24"/>
                <w:szCs w:val="24"/>
              </w:rPr>
            </w:pPr>
            <w:r>
              <w:rPr>
                <w:rFonts w:eastAsia="SimSun"/>
                <w:color w:val="000000"/>
                <w:sz w:val="24"/>
                <w:szCs w:val="24"/>
              </w:rPr>
              <w:t xml:space="preserve">            * Nas Operações Integradas Lei Seca, todos os motoristas dos caminhões do guincho de plantão, serão submetidos ao teste do etilômetro.</w:t>
            </w:r>
          </w:p>
          <w:p w14:paraId="24B12219">
            <w:pPr>
              <w:ind w:firstLine="720" w:firstLineChars="300"/>
              <w:jc w:val="both"/>
              <w:rPr>
                <w:b/>
                <w:bCs/>
                <w:sz w:val="24"/>
                <w:szCs w:val="24"/>
                <w:u w:val="single"/>
              </w:rPr>
            </w:pPr>
            <w:r>
              <w:rPr>
                <w:b/>
                <w:bCs/>
                <w:sz w:val="24"/>
                <w:szCs w:val="24"/>
                <w:u w:val="single"/>
              </w:rPr>
              <w:t>CABERÁ À CONTRATANTE:</w:t>
            </w:r>
          </w:p>
          <w:p w14:paraId="16E0CAAF">
            <w:pPr>
              <w:ind w:firstLine="720" w:firstLineChars="300"/>
              <w:jc w:val="both"/>
              <w:rPr>
                <w:sz w:val="24"/>
                <w:szCs w:val="24"/>
              </w:rPr>
            </w:pPr>
            <w:r>
              <w:rPr>
                <w:sz w:val="24"/>
                <w:szCs w:val="24"/>
              </w:rPr>
              <w:t>* De acordo com o Artigo 11 da Lei Municipal 2985/2021, caberá à contratante, por meio do Departamento de Pátio e Leilão, gerenciar, controlar e executar as atividades de trânsito em todo o território municipal e adotar medidas necessárias para a implementação dos serviços de guincho e de depósito em pátio de veículos que tenham sido recolhidos por infrações de trânsito e aplicação das medidas administrativas e penalidades cabíveis, conforme previsão contida no Código de Trânsito Brasileiro - CTB.</w:t>
            </w:r>
          </w:p>
          <w:p w14:paraId="48CC68E6">
            <w:pPr>
              <w:ind w:firstLine="720" w:firstLineChars="300"/>
              <w:jc w:val="both"/>
              <w:rPr>
                <w:sz w:val="24"/>
                <w:szCs w:val="24"/>
              </w:rPr>
            </w:pPr>
            <w:r>
              <w:rPr>
                <w:sz w:val="24"/>
                <w:szCs w:val="24"/>
              </w:rPr>
              <w:t xml:space="preserve">* A liberação e retirada dos veículos automotores e similares apreendidos no Depósito em Pátio, será solicitado à Secretaria Municipal de Segurança e Trânsito, no Setor de Pátio e Leilão que, mediante autorização da Autoridade Municipal de Trânsito, expedirá documento liberatório. A liberação do veículo será providenciada mediante a comprovação do pagamento de todas as taxas de remoção e de depósito em pátio, registrado pela Secretaria Municipal de Segurança e Trânsito, no Setor de Pátio e Leilão, assim como a regularização de qualquer irregularidade constatada no veículo. Quando não for possível sanar as irregularidades no pátio da (s) empresa (s) credenciada (s), a autoridade municipal de trânsito poderá conceder ao proprietário/representante, liberação condicionada do veículo, com prazo estipulado na liberação, para que o proprietário/representante possa apresentar para vistoria, o veículo com todas as irregularidades sanadas, no Setor de Pátio e Leilão, da Secretaria Municipal de Segurança e Trânsito, mediante o pagamento da taxa de vistoria no valor de 9 (nove) U. R.`s - Unidades de Referência, que, no corrente ano, corresponde a R$ 33,75 (trinta e três reais e setenta e cinco centavos). Neste caso, o veículo deverá ser apresentado fisicamente no setor, não sendo aceito laudo lacrado advindo de outro órgão ou qualquer outro meio de vistoria. </w:t>
            </w:r>
          </w:p>
          <w:p w14:paraId="64E12AC6">
            <w:pPr>
              <w:ind w:firstLine="720" w:firstLineChars="300"/>
              <w:jc w:val="both"/>
              <w:rPr>
                <w:sz w:val="24"/>
                <w:szCs w:val="24"/>
              </w:rPr>
            </w:pPr>
            <w:r>
              <w:rPr>
                <w:sz w:val="24"/>
                <w:szCs w:val="24"/>
              </w:rPr>
              <w:t>* Depois de decorrido o prazo de 60 (sessenta) dias, os veículos apreendidos ou removidos não reclamados, serão levados à hasta pública pela contratante, na forma do Código de Trânsito Brasileiro e da Resolução pertinente do Conselho Nacional de Trânsito - CONTRAN. Os valores arrecadados com a venda dos veículos deverão ser destinados, obedecida as diretrizes estipuladas pela Resolução do CONTRAN pertinente, à quitação dos débitos existentes sobre o prontuário desse veículo e o restante, se houver, depositado à conta do ex-proprietário.</w:t>
            </w:r>
          </w:p>
          <w:p w14:paraId="2D32EB5C">
            <w:pPr>
              <w:ind w:firstLine="720" w:firstLineChars="300"/>
              <w:jc w:val="both"/>
              <w:rPr>
                <w:sz w:val="24"/>
                <w:szCs w:val="24"/>
              </w:rPr>
            </w:pPr>
            <w:r>
              <w:rPr>
                <w:sz w:val="24"/>
                <w:szCs w:val="24"/>
              </w:rPr>
              <w:t>* Caberá a contratante, a responsabilidade de notificar por escrito o proprietário do veículo recolhido ao local utilizado para depósito. Nos casos em que não for possível notificar o proprietário do veículo através de protocolo, a contratante o fará por edital e realizará ampla divulgação no período mínimo de 10 (dez) dias.</w:t>
            </w:r>
          </w:p>
          <w:p w14:paraId="157C04D0">
            <w:pPr>
              <w:ind w:firstLine="720" w:firstLineChars="300"/>
              <w:jc w:val="both"/>
              <w:rPr>
                <w:sz w:val="24"/>
                <w:szCs w:val="24"/>
              </w:rPr>
            </w:pPr>
            <w:r>
              <w:rPr>
                <w:sz w:val="24"/>
                <w:szCs w:val="24"/>
              </w:rPr>
              <w:t>* Caberá a contratante, conjuntamente com a Secretaria Municipal de Administração e Modernização, ouvida a Procuradoria Jurídica do Município, a promoção e execução do leilão, podendo inclusive autorizar a venda através do leilão, observando a legislação vigente. Caso entenda necessário, a contratante poderá atribuir a contratação de leiloeiro para a (s) empresa (s) de Guincho Credenciada (s), ficando a encargo da Secretaria Municipal de Segurança e Trânsito à fiscalização da promoção e execução da hasta pública</w:t>
            </w:r>
          </w:p>
          <w:p w14:paraId="51D1519D">
            <w:pPr>
              <w:ind w:firstLine="720" w:firstLineChars="300"/>
              <w:jc w:val="both"/>
              <w:rPr>
                <w:sz w:val="24"/>
                <w:szCs w:val="24"/>
              </w:rPr>
            </w:pPr>
            <w:r>
              <w:rPr>
                <w:sz w:val="24"/>
                <w:szCs w:val="24"/>
              </w:rPr>
              <w:t>* Prestar quaisquer esclarecimentos que venham a ser formalmente solicitados pela (s) empresa (s) credenciada (s) e pertinente ao objeto do presente termo.</w:t>
            </w:r>
          </w:p>
          <w:p w14:paraId="6634DAC3">
            <w:pPr>
              <w:ind w:firstLine="720" w:firstLineChars="300"/>
              <w:jc w:val="both"/>
              <w:rPr>
                <w:sz w:val="24"/>
                <w:szCs w:val="24"/>
              </w:rPr>
            </w:pPr>
            <w:r>
              <w:rPr>
                <w:sz w:val="24"/>
                <w:szCs w:val="24"/>
              </w:rPr>
              <w:t>* Fiscalizar a execução do (s) contrato (s).</w:t>
            </w:r>
          </w:p>
          <w:p w14:paraId="14B945CE">
            <w:pPr>
              <w:ind w:firstLine="720" w:firstLineChars="300"/>
              <w:jc w:val="both"/>
              <w:rPr>
                <w:sz w:val="24"/>
                <w:szCs w:val="24"/>
              </w:rPr>
            </w:pPr>
            <w:r>
              <w:rPr>
                <w:sz w:val="24"/>
                <w:szCs w:val="24"/>
              </w:rPr>
              <w:t>* Proporcionar todas as facilidades necessárias à (s) empresa (s) vencedora (s), inclusive comunicando por escrito e tempestivamente, qualquer mudança de Administração e conta para pagamento.</w:t>
            </w:r>
          </w:p>
          <w:p w14:paraId="22B7B6F2">
            <w:pPr>
              <w:ind w:firstLine="720" w:firstLineChars="300"/>
              <w:jc w:val="both"/>
              <w:rPr>
                <w:sz w:val="24"/>
                <w:szCs w:val="24"/>
              </w:rPr>
            </w:pPr>
            <w:r>
              <w:rPr>
                <w:sz w:val="24"/>
                <w:szCs w:val="24"/>
              </w:rPr>
              <w:t>* A Secretaria através da área demandante notificará, formal e tempestivamente a (s) empresa (s) credenciada (s), sobre irregularidades observadas no cumprimento da execução do objeto da licitação.</w:t>
            </w:r>
          </w:p>
          <w:p w14:paraId="7CF223D9">
            <w:pPr>
              <w:ind w:firstLine="720" w:firstLineChars="300"/>
              <w:jc w:val="both"/>
              <w:rPr>
                <w:sz w:val="24"/>
                <w:szCs w:val="24"/>
              </w:rPr>
            </w:pPr>
            <w:r>
              <w:rPr>
                <w:sz w:val="24"/>
                <w:szCs w:val="24"/>
              </w:rPr>
              <w:t>* Aplicar à (s) detentora (s) do (s) Contrato (s), penalidades, quando for o caso.</w:t>
            </w:r>
          </w:p>
          <w:p w14:paraId="7056360A">
            <w:pPr>
              <w:ind w:firstLine="720" w:firstLineChars="300"/>
              <w:jc w:val="both"/>
              <w:rPr>
                <w:sz w:val="24"/>
                <w:szCs w:val="24"/>
              </w:rPr>
            </w:pPr>
            <w:r>
              <w:rPr>
                <w:sz w:val="24"/>
                <w:szCs w:val="24"/>
              </w:rPr>
              <w:t>* Prestar à (s) detentora (s) do (s) Contrato (s), toda e qualquer informação, por esta solicitada, necessária à perfeita execução da prestação dos serviços.</w:t>
            </w:r>
          </w:p>
          <w:p w14:paraId="3664015D">
            <w:pPr>
              <w:ind w:firstLine="720" w:firstLineChars="300"/>
              <w:jc w:val="both"/>
              <w:rPr>
                <w:sz w:val="24"/>
                <w:szCs w:val="24"/>
              </w:rPr>
            </w:pPr>
            <w:r>
              <w:rPr>
                <w:sz w:val="24"/>
                <w:szCs w:val="24"/>
              </w:rPr>
              <w:t>* Notificar, por escrito, à (s) detentora (s) do (s) Contrato (s), da aplicação de qualquer sanção.</w:t>
            </w:r>
          </w:p>
          <w:p w14:paraId="57E0F9C0">
            <w:pPr>
              <w:ind w:firstLine="720" w:firstLineChars="300"/>
              <w:jc w:val="both"/>
              <w:rPr>
                <w:b/>
                <w:bCs/>
                <w:sz w:val="24"/>
                <w:szCs w:val="24"/>
                <w:highlight w:val="yellow"/>
                <w:u w:val="single"/>
              </w:rPr>
            </w:pPr>
            <w:r>
              <w:rPr>
                <w:sz w:val="24"/>
                <w:szCs w:val="24"/>
              </w:rPr>
              <w:t>* O preço da prestação dos serviços é fixado por meio da Lei 2985/2021 e encontra-se em U. R. – Unidade de referência, ou seja, todos os anos, o valor dos serviços será reajustado, de acordo com a variação da U. R..</w:t>
            </w:r>
          </w:p>
        </w:tc>
      </w:tr>
    </w:tbl>
    <w:p w14:paraId="0568D5A0">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7A13A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21D817BF">
            <w:pPr>
              <w:rPr>
                <w:sz w:val="24"/>
                <w:szCs w:val="24"/>
              </w:rPr>
            </w:pPr>
            <w:r>
              <w:rPr>
                <w:b/>
                <w:bCs/>
                <w:sz w:val="24"/>
                <w:szCs w:val="24"/>
              </w:rPr>
              <w:t>6.1 - VALOR TOTAL DA CONTRATAÇÃO</w:t>
            </w:r>
          </w:p>
        </w:tc>
      </w:tr>
      <w:tr w14:paraId="1E1A0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5FB42C72">
            <w:pPr>
              <w:jc w:val="both"/>
              <w:rPr>
                <w:sz w:val="24"/>
                <w:szCs w:val="24"/>
              </w:rPr>
            </w:pPr>
            <w:bookmarkStart w:id="0" w:name="_Hlk199926073"/>
            <w:r>
              <w:rPr>
                <w:sz w:val="24"/>
                <w:szCs w:val="24"/>
              </w:rPr>
              <w:t xml:space="preserve">             Este processo de credenciamento vai gerar receitas mensalmente, que devem cair direto no Fundo Municipal de Trânsito, via recolhimento de Documento de Arrecadação Municipal - DAM, por parte da (s) empresa (s) credenciada (s), de acordo com os Artigos 15 e 18 da Lei Municipal 2985/2021 (com alterações trazidas pelas Leis 2998/2021 e 3449/2025). Os valores cobrados para a prestação dos serviços já são pré-fixados na Lei Municipal 2985/2021 e não temos como prever o valor total, pois vai depender da demanda de veículos removidos.</w:t>
            </w:r>
          </w:p>
        </w:tc>
      </w:tr>
    </w:tbl>
    <w:p w14:paraId="6881B34F">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7EFB7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52C8DE0D">
            <w:pPr>
              <w:rPr>
                <w:sz w:val="24"/>
                <w:szCs w:val="24"/>
              </w:rPr>
            </w:pPr>
            <w:r>
              <w:rPr>
                <w:b/>
                <w:bCs/>
                <w:sz w:val="24"/>
                <w:szCs w:val="24"/>
              </w:rPr>
              <w:t>6.2 - DA ENTREGA, DO PRAZO</w:t>
            </w:r>
          </w:p>
        </w:tc>
      </w:tr>
      <w:tr w14:paraId="01341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777FE9AA">
            <w:pPr>
              <w:pStyle w:val="20"/>
              <w:spacing w:line="275" w:lineRule="exact"/>
              <w:ind w:firstLine="600" w:firstLineChars="250"/>
              <w:jc w:val="both"/>
              <w:rPr>
                <w:sz w:val="24"/>
                <w:szCs w:val="24"/>
              </w:rPr>
            </w:pPr>
            <w:r>
              <w:rPr>
                <w:bCs/>
                <w:sz w:val="24"/>
                <w:lang w:val="pt-BR"/>
              </w:rPr>
              <w:t>Depois de feito todos os tramites legais do processo de credenciamento, a (s) empresa (s) que cumprir (em) com todas as exigências e for (em) credenciada (s) por meio de Contrato Administrativo, deverão começar a prestação dos serviços a partir do dia 05/08/2025 (cinco de agosto de dois mil e vinte e cinco).</w:t>
            </w:r>
          </w:p>
        </w:tc>
      </w:tr>
      <w:bookmarkEnd w:id="0"/>
    </w:tbl>
    <w:p w14:paraId="46DC9D64">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3C566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188EE0E5">
            <w:pPr>
              <w:rPr>
                <w:sz w:val="24"/>
                <w:szCs w:val="24"/>
              </w:rPr>
            </w:pPr>
            <w:r>
              <w:rPr>
                <w:b/>
                <w:bCs/>
                <w:sz w:val="24"/>
                <w:szCs w:val="24"/>
              </w:rPr>
              <w:t xml:space="preserve">6.3 - </w:t>
            </w:r>
            <w:bookmarkStart w:id="1" w:name="_Hlk200004504"/>
            <w:r>
              <w:rPr>
                <w:b/>
                <w:bCs/>
                <w:sz w:val="24"/>
                <w:szCs w:val="24"/>
              </w:rPr>
              <w:t>DAS OBRIGAÇÕES DA (S) EMPRESA (S) CREDENCIADA (S)</w:t>
            </w:r>
            <w:bookmarkEnd w:id="1"/>
          </w:p>
        </w:tc>
      </w:tr>
      <w:tr w14:paraId="62502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26302956">
            <w:pPr>
              <w:adjustRightInd w:val="0"/>
              <w:ind w:firstLine="709"/>
              <w:jc w:val="both"/>
              <w:rPr>
                <w:rFonts w:eastAsia="SimSun"/>
                <w:color w:val="000000"/>
                <w:sz w:val="24"/>
                <w:szCs w:val="24"/>
              </w:rPr>
            </w:pPr>
            <w:r>
              <w:rPr>
                <w:rFonts w:eastAsia="SimSun"/>
                <w:color w:val="000000"/>
                <w:sz w:val="24"/>
                <w:szCs w:val="24"/>
              </w:rPr>
              <w:t>* Prestar todos os esclarecimentos que forem solicitados pela SECRETARIA SOLICITANTE, cujas reclamações se obrigam a atender prontamente ao GESTOR FISCAL DO CONTRATO, bem como dar ciência, imediatamente e por escrito, de qualquer anormalidade que verificar quando da execução do Contrato.</w:t>
            </w:r>
          </w:p>
          <w:p w14:paraId="20AE871C">
            <w:pPr>
              <w:adjustRightInd w:val="0"/>
              <w:ind w:firstLine="709"/>
              <w:jc w:val="both"/>
              <w:rPr>
                <w:rFonts w:eastAsia="SimSun"/>
                <w:color w:val="000000"/>
                <w:sz w:val="24"/>
                <w:szCs w:val="24"/>
              </w:rPr>
            </w:pPr>
            <w:r>
              <w:rPr>
                <w:rFonts w:eastAsia="SimSun"/>
                <w:b/>
                <w:bCs/>
                <w:color w:val="000000"/>
                <w:sz w:val="24"/>
                <w:szCs w:val="24"/>
              </w:rPr>
              <w:t xml:space="preserve">* </w:t>
            </w:r>
            <w:r>
              <w:rPr>
                <w:rFonts w:eastAsia="SimSun"/>
                <w:color w:val="000000"/>
                <w:sz w:val="24"/>
                <w:szCs w:val="24"/>
              </w:rPr>
              <w:t>Respeitar e fazer cumprir as legislações e normas regulamentadoras pertinentes.</w:t>
            </w:r>
          </w:p>
          <w:p w14:paraId="6281FFDB">
            <w:pPr>
              <w:adjustRightInd w:val="0"/>
              <w:ind w:firstLine="709"/>
              <w:jc w:val="both"/>
              <w:rPr>
                <w:rFonts w:eastAsia="SimSun"/>
                <w:color w:val="000000"/>
                <w:sz w:val="24"/>
                <w:szCs w:val="24"/>
              </w:rPr>
            </w:pPr>
            <w:r>
              <w:rPr>
                <w:rFonts w:eastAsia="SimSun"/>
                <w:color w:val="000000"/>
                <w:sz w:val="24"/>
                <w:szCs w:val="24"/>
              </w:rPr>
              <w:t>* Fiscalizar o perfeito cumprimento da prestação a que se obrigou, cabendo-lhe, integralmente, os ônus decorrentes. Tal fiscalização dar-se à independentemente da que será exercida pela Contratante.</w:t>
            </w:r>
          </w:p>
          <w:p w14:paraId="304167BA">
            <w:pPr>
              <w:adjustRightInd w:val="0"/>
              <w:ind w:firstLine="709"/>
              <w:jc w:val="both"/>
              <w:rPr>
                <w:rFonts w:eastAsia="SimSun"/>
                <w:color w:val="000000"/>
                <w:sz w:val="24"/>
                <w:szCs w:val="24"/>
              </w:rPr>
            </w:pPr>
            <w:r>
              <w:rPr>
                <w:rFonts w:eastAsia="SimSun"/>
                <w:color w:val="000000"/>
                <w:sz w:val="24"/>
                <w:szCs w:val="24"/>
              </w:rPr>
              <w:t>* Comunicar imediatamente à Secretaria qualquer alteração ocorrida no endereço e outros julgáveis necessários para o recebimento de correspondências;</w:t>
            </w:r>
          </w:p>
          <w:p w14:paraId="58350503">
            <w:pPr>
              <w:adjustRightInd w:val="0"/>
              <w:ind w:firstLine="709"/>
              <w:jc w:val="both"/>
              <w:rPr>
                <w:rFonts w:eastAsia="SimSun"/>
                <w:color w:val="000000"/>
                <w:sz w:val="24"/>
                <w:szCs w:val="24"/>
              </w:rPr>
            </w:pPr>
            <w:r>
              <w:rPr>
                <w:rFonts w:eastAsia="SimSun"/>
                <w:color w:val="000000"/>
                <w:sz w:val="24"/>
                <w:szCs w:val="24"/>
              </w:rPr>
              <w:t>*</w:t>
            </w:r>
            <w:r>
              <w:rPr>
                <w:rFonts w:eastAsia="SimSun"/>
                <w:b/>
                <w:bCs/>
                <w:color w:val="000000"/>
                <w:sz w:val="24"/>
                <w:szCs w:val="24"/>
              </w:rPr>
              <w:t xml:space="preserve"> </w:t>
            </w:r>
            <w:r>
              <w:rPr>
                <w:rFonts w:eastAsia="SimSun"/>
                <w:color w:val="000000"/>
                <w:sz w:val="24"/>
                <w:szCs w:val="24"/>
              </w:rPr>
              <w:t>Efetuar a imediata correção das deficiências apontadas pela Contratante, com relação à prestação dos serviços.</w:t>
            </w:r>
          </w:p>
          <w:p w14:paraId="050E3802">
            <w:pPr>
              <w:adjustRightInd w:val="0"/>
              <w:ind w:firstLine="709"/>
              <w:jc w:val="both"/>
              <w:rPr>
                <w:rFonts w:eastAsia="SimSun"/>
                <w:color w:val="000000"/>
                <w:sz w:val="24"/>
                <w:szCs w:val="24"/>
              </w:rPr>
            </w:pPr>
            <w:r>
              <w:rPr>
                <w:rFonts w:eastAsia="SimSun"/>
                <w:color w:val="000000"/>
                <w:sz w:val="24"/>
                <w:szCs w:val="24"/>
              </w:rPr>
              <w:t>* Executar os serviços, de acordo com a solicitação, obedecendo as normas, dentro dos padrões estabelecidos, de acordo com as especificações constantes na Lei 2985/2021 e no Termo de Referência, responsabilizando-se por eventuais prejuízos decorrentes do descumprimento de condições estabelecidas.</w:t>
            </w:r>
          </w:p>
          <w:p w14:paraId="0D875821">
            <w:pPr>
              <w:adjustRightInd w:val="0"/>
              <w:ind w:firstLine="709"/>
              <w:jc w:val="both"/>
              <w:rPr>
                <w:rFonts w:eastAsia="SimSun"/>
                <w:color w:val="000000"/>
                <w:sz w:val="24"/>
                <w:szCs w:val="24"/>
              </w:rPr>
            </w:pPr>
            <w:r>
              <w:rPr>
                <w:rFonts w:eastAsia="SimSun"/>
                <w:color w:val="000000"/>
                <w:sz w:val="24"/>
                <w:szCs w:val="24"/>
              </w:rPr>
              <w:t>* Prestar os esclarecimentos que forem solicitados pela Contratante, cujas reclamações se obrigam a atender prontamente, bem como, dar ciência a Contratante, imediatamente, por escrito, de qualquer anormalidade que verificar quando fornecimento ora contratado.</w:t>
            </w:r>
          </w:p>
          <w:p w14:paraId="1C4CB4B2">
            <w:pPr>
              <w:adjustRightInd w:val="0"/>
              <w:ind w:firstLine="709"/>
              <w:jc w:val="both"/>
              <w:rPr>
                <w:rFonts w:eastAsia="SimSun"/>
                <w:color w:val="000000"/>
                <w:sz w:val="24"/>
                <w:szCs w:val="24"/>
              </w:rPr>
            </w:pPr>
            <w:r>
              <w:rPr>
                <w:rFonts w:eastAsia="SimSun"/>
                <w:color w:val="000000"/>
                <w:sz w:val="24"/>
                <w:szCs w:val="24"/>
              </w:rPr>
              <w:t>* Dispor a toda e qualquer fiscalização da CONTRATANTE, no tocante a prestação dos serviços, assim como ao cumprimento das obrigações que constarão no Contrato.</w:t>
            </w:r>
          </w:p>
          <w:p w14:paraId="45BCC7D0">
            <w:pPr>
              <w:adjustRightInd w:val="0"/>
              <w:ind w:firstLine="709"/>
              <w:jc w:val="both"/>
              <w:rPr>
                <w:rFonts w:eastAsia="SimSun"/>
                <w:color w:val="000000"/>
                <w:sz w:val="24"/>
                <w:szCs w:val="24"/>
              </w:rPr>
            </w:pPr>
            <w:r>
              <w:rPr>
                <w:rFonts w:eastAsia="SimSun"/>
                <w:color w:val="000000"/>
                <w:sz w:val="24"/>
                <w:szCs w:val="24"/>
              </w:rPr>
              <w:t>* Indenizar terceiros e/ou este Órgão, mesmo em caso de ausência ou omissão de fiscalização de sua parte, por quaisquer danos ou prejuízos causados, devendo a contratada adotar todas as medidas preventivas, com fiel observância às exigências das autoridades competentes e as disposições legais vigentes.</w:t>
            </w:r>
          </w:p>
          <w:p w14:paraId="764A4469">
            <w:pPr>
              <w:adjustRightInd w:val="0"/>
              <w:ind w:firstLine="709"/>
              <w:jc w:val="both"/>
              <w:rPr>
                <w:rFonts w:eastAsia="SimSun"/>
                <w:color w:val="000000"/>
                <w:sz w:val="24"/>
                <w:szCs w:val="24"/>
              </w:rPr>
            </w:pPr>
            <w:r>
              <w:rPr>
                <w:rFonts w:eastAsia="SimSun"/>
                <w:color w:val="000000"/>
                <w:sz w:val="24"/>
                <w:szCs w:val="24"/>
              </w:rPr>
              <w:t>*</w:t>
            </w:r>
            <w:r>
              <w:rPr>
                <w:rFonts w:eastAsia="SimSun"/>
                <w:b/>
                <w:bCs/>
                <w:color w:val="000000"/>
                <w:sz w:val="24"/>
                <w:szCs w:val="24"/>
              </w:rPr>
              <w:t xml:space="preserve"> </w:t>
            </w:r>
            <w:r>
              <w:rPr>
                <w:rFonts w:eastAsia="SimSun"/>
                <w:color w:val="000000"/>
                <w:sz w:val="24"/>
                <w:szCs w:val="24"/>
              </w:rPr>
              <w:t>Todas as despesas relativas ao objeto contratado (tributos, seguros, encargos sociais, etc.) são de inteira responsabilidade da Contratada.</w:t>
            </w:r>
          </w:p>
          <w:p w14:paraId="1A2F65C9">
            <w:pPr>
              <w:adjustRightInd w:val="0"/>
              <w:ind w:firstLine="709"/>
              <w:jc w:val="both"/>
              <w:rPr>
                <w:rFonts w:eastAsia="SimSun"/>
                <w:color w:val="000000"/>
                <w:sz w:val="24"/>
                <w:szCs w:val="24"/>
              </w:rPr>
            </w:pPr>
            <w:r>
              <w:rPr>
                <w:rFonts w:eastAsia="SimSun"/>
                <w:color w:val="000000"/>
                <w:sz w:val="24"/>
                <w:szCs w:val="24"/>
              </w:rPr>
              <w:t>* Responsabilizar- se por todo e qualquer dano que causar ao Órgão ou a terceiros, ainda que culposo praticado por seus prepostos, empregado ou mandatários, não excluindo ou reduzindo essa responsabilidade a fiscalização ou acompanhamento feito pela SECRETARIA.</w:t>
            </w:r>
          </w:p>
          <w:p w14:paraId="27608A64">
            <w:pPr>
              <w:adjustRightInd w:val="0"/>
              <w:ind w:firstLine="709"/>
              <w:jc w:val="both"/>
              <w:rPr>
                <w:rFonts w:eastAsia="SimSun"/>
                <w:color w:val="000000"/>
                <w:sz w:val="24"/>
                <w:szCs w:val="24"/>
              </w:rPr>
            </w:pPr>
            <w:r>
              <w:rPr>
                <w:rFonts w:eastAsia="SimSun"/>
                <w:color w:val="000000"/>
                <w:sz w:val="24"/>
                <w:szCs w:val="24"/>
              </w:rPr>
              <w:t>* Responsabilizar-se por todo e qualquer tipo de autuação ou ação que venha a sofrer em decorrência do fornecimento/prestação em questão, bem como pelos Contratos de trabalho de seus empregados, mesmo nos casos que envolvam eventuais decisões judiciais, eximindo esta instituição de qualquer solidariedade ou responsabilidade.</w:t>
            </w:r>
          </w:p>
          <w:p w14:paraId="3DA9E4E9">
            <w:pPr>
              <w:adjustRightInd w:val="0"/>
              <w:ind w:firstLine="709"/>
              <w:jc w:val="both"/>
              <w:rPr>
                <w:rFonts w:eastAsia="SimSun"/>
                <w:color w:val="000000"/>
                <w:sz w:val="24"/>
                <w:szCs w:val="24"/>
              </w:rPr>
            </w:pPr>
            <w:r>
              <w:rPr>
                <w:rFonts w:eastAsia="SimSun"/>
                <w:color w:val="000000"/>
                <w:sz w:val="24"/>
                <w:szCs w:val="24"/>
              </w:rPr>
              <w:t>* Credenciar junto a esta Secretaria um preposto para prestar esclarecimentos e atender às reclamações/solicitações que surgirem durante a execução do Contrato.</w:t>
            </w:r>
          </w:p>
          <w:p w14:paraId="39BF9C88">
            <w:pPr>
              <w:adjustRightInd w:val="0"/>
              <w:ind w:firstLine="709"/>
              <w:jc w:val="both"/>
              <w:rPr>
                <w:rFonts w:eastAsia="SimSun"/>
                <w:color w:val="000000"/>
                <w:sz w:val="24"/>
                <w:szCs w:val="24"/>
              </w:rPr>
            </w:pPr>
            <w:r>
              <w:rPr>
                <w:rFonts w:eastAsia="SimSun"/>
                <w:color w:val="000000"/>
                <w:sz w:val="24"/>
                <w:szCs w:val="24"/>
              </w:rPr>
              <w:t>* Responsabilizar-se por quaisquer ônus decorrentes de omissões ou erros na elaboração de estimativa de custos.</w:t>
            </w:r>
          </w:p>
          <w:p w14:paraId="06E4D7BD">
            <w:pPr>
              <w:ind w:firstLine="720" w:firstLineChars="300"/>
              <w:jc w:val="both"/>
              <w:rPr>
                <w:b/>
                <w:bCs/>
                <w:sz w:val="24"/>
                <w:szCs w:val="24"/>
                <w:u w:val="single"/>
              </w:rPr>
            </w:pPr>
            <w:r>
              <w:rPr>
                <w:rFonts w:eastAsia="SimSun"/>
                <w:color w:val="000000"/>
                <w:sz w:val="24"/>
                <w:szCs w:val="24"/>
              </w:rPr>
              <w:t>* A contratada se compromete em prestar apoio jurídico no caso de qualquer questionamento do Ministério Público Estadual, Ministério Público Federal, Polícia Federal, enfim, qualquer outro órgão público que venha a fazer qualquer indagação inerentes à prestação dos serviços.</w:t>
            </w:r>
          </w:p>
          <w:p w14:paraId="14352855">
            <w:pPr>
              <w:adjustRightInd w:val="0"/>
              <w:jc w:val="both"/>
              <w:rPr>
                <w:b/>
                <w:bCs/>
                <w:sz w:val="24"/>
                <w:szCs w:val="24"/>
              </w:rPr>
            </w:pPr>
            <w:r>
              <w:rPr>
                <w:rFonts w:eastAsia="SimSun"/>
                <w:color w:val="000000"/>
                <w:sz w:val="24"/>
                <w:szCs w:val="24"/>
              </w:rPr>
              <w:t xml:space="preserve">            </w:t>
            </w:r>
            <w:r>
              <w:rPr>
                <w:b/>
                <w:bCs/>
                <w:sz w:val="24"/>
                <w:szCs w:val="24"/>
              </w:rPr>
              <w:t>DOS SERVIÇOS DE GUINCHO</w:t>
            </w:r>
          </w:p>
          <w:p w14:paraId="565900F8">
            <w:pPr>
              <w:adjustRightInd w:val="0"/>
              <w:jc w:val="both"/>
              <w:rPr>
                <w:sz w:val="24"/>
                <w:szCs w:val="24"/>
              </w:rPr>
            </w:pPr>
            <w:r>
              <w:rPr>
                <w:b/>
                <w:bCs/>
                <w:sz w:val="24"/>
                <w:szCs w:val="24"/>
              </w:rPr>
              <w:t xml:space="preserve">            * </w:t>
            </w:r>
            <w:r>
              <w:rPr>
                <w:sz w:val="24"/>
                <w:szCs w:val="24"/>
              </w:rPr>
              <w:t>A (s) empresa (s) habilitada (s) no devido processo licitatório, deverá (ão) obedecer ao seguinte:</w:t>
            </w:r>
          </w:p>
          <w:p w14:paraId="2F871DDC">
            <w:pPr>
              <w:adjustRightInd w:val="0"/>
              <w:jc w:val="both"/>
              <w:rPr>
                <w:sz w:val="24"/>
                <w:szCs w:val="24"/>
              </w:rPr>
            </w:pPr>
            <w:r>
              <w:rPr>
                <w:b/>
                <w:bCs/>
                <w:sz w:val="24"/>
                <w:szCs w:val="24"/>
              </w:rPr>
              <w:t xml:space="preserve">            </w:t>
            </w:r>
            <w:r>
              <w:rPr>
                <w:sz w:val="24"/>
                <w:szCs w:val="24"/>
              </w:rPr>
              <w:t>I - Os serviços serão requisitados de forma parcelada, de acordo com as autuações realizadas pelos agentes da autoridade de trânsito, sendo essas de competência originária ou delegada por convênio, o qual especificará o local e o tipo de veículo a ser recolhido;</w:t>
            </w:r>
          </w:p>
          <w:p w14:paraId="6D914CBF">
            <w:pPr>
              <w:adjustRightInd w:val="0"/>
              <w:jc w:val="both"/>
              <w:rPr>
                <w:sz w:val="24"/>
                <w:szCs w:val="24"/>
              </w:rPr>
            </w:pPr>
            <w:r>
              <w:rPr>
                <w:b/>
                <w:bCs/>
                <w:sz w:val="24"/>
                <w:szCs w:val="24"/>
              </w:rPr>
              <w:t xml:space="preserve">            </w:t>
            </w:r>
            <w:r>
              <w:rPr>
                <w:sz w:val="24"/>
                <w:szCs w:val="24"/>
              </w:rPr>
              <w:t>II - A empresa contratada deverá disponibilizar uma central de atendimento, 24 (vinte e quatro) horas por dia, inclusive aos sábados, domingos e feriados para que as autoridades de trânsito possam requisitar os serviços imediatamente após a autuação dos veículos;</w:t>
            </w:r>
          </w:p>
          <w:p w14:paraId="7A3A34B1">
            <w:pPr>
              <w:adjustRightInd w:val="0"/>
              <w:jc w:val="both"/>
              <w:rPr>
                <w:sz w:val="24"/>
                <w:szCs w:val="24"/>
              </w:rPr>
            </w:pPr>
            <w:r>
              <w:rPr>
                <w:b/>
                <w:bCs/>
                <w:sz w:val="24"/>
                <w:szCs w:val="24"/>
              </w:rPr>
              <w:t xml:space="preserve">            </w:t>
            </w:r>
            <w:r>
              <w:rPr>
                <w:sz w:val="24"/>
                <w:szCs w:val="24"/>
              </w:rPr>
              <w:t>III - Após a requisição, quando estiver dentro do perímetro urbano, a empresa contratada/conveniada deverá chegar ao local indicado, para transportar o veículo a ser recolhido:</w:t>
            </w:r>
          </w:p>
          <w:p w14:paraId="26046D81">
            <w:pPr>
              <w:adjustRightInd w:val="0"/>
              <w:jc w:val="both"/>
              <w:rPr>
                <w:sz w:val="24"/>
                <w:szCs w:val="24"/>
              </w:rPr>
            </w:pPr>
            <w:r>
              <w:rPr>
                <w:b/>
                <w:bCs/>
                <w:sz w:val="24"/>
                <w:szCs w:val="24"/>
              </w:rPr>
              <w:t xml:space="preserve">            </w:t>
            </w:r>
            <w:r>
              <w:rPr>
                <w:sz w:val="24"/>
                <w:szCs w:val="24"/>
              </w:rPr>
              <w:t>a) num prazo máximo de 20 (vinte) minutos;</w:t>
            </w:r>
          </w:p>
          <w:p w14:paraId="12E9A371">
            <w:pPr>
              <w:adjustRightInd w:val="0"/>
              <w:jc w:val="both"/>
              <w:rPr>
                <w:sz w:val="24"/>
                <w:szCs w:val="24"/>
              </w:rPr>
            </w:pPr>
            <w:r>
              <w:rPr>
                <w:b/>
                <w:bCs/>
                <w:sz w:val="24"/>
                <w:szCs w:val="24"/>
              </w:rPr>
              <w:t xml:space="preserve">            </w:t>
            </w:r>
            <w:r>
              <w:rPr>
                <w:sz w:val="24"/>
                <w:szCs w:val="24"/>
              </w:rPr>
              <w:t>b) em até 30 (trinta) minutos do acionamento, em locais distantes até 30 (trinta) quilômetros da base operacional da contratada/credenciada;</w:t>
            </w:r>
          </w:p>
          <w:p w14:paraId="282FD4A8">
            <w:pPr>
              <w:adjustRightInd w:val="0"/>
              <w:jc w:val="both"/>
              <w:rPr>
                <w:sz w:val="24"/>
                <w:szCs w:val="24"/>
              </w:rPr>
            </w:pPr>
            <w:r>
              <w:rPr>
                <w:b/>
                <w:bCs/>
                <w:sz w:val="24"/>
                <w:szCs w:val="24"/>
              </w:rPr>
              <w:t xml:space="preserve">            </w:t>
            </w:r>
            <w:r>
              <w:rPr>
                <w:sz w:val="24"/>
                <w:szCs w:val="24"/>
              </w:rPr>
              <w:t>c) em locais distantes mais do que 30 quilômetros da base operacional da contratada/credenciada, acrescentar-se-ão 10 (dez) minutos de prazo de chegada para cada 10 (dez) quilômetros percorridos.</w:t>
            </w:r>
          </w:p>
          <w:p w14:paraId="4DFE0A1F">
            <w:pPr>
              <w:adjustRightInd w:val="0"/>
              <w:jc w:val="both"/>
              <w:rPr>
                <w:sz w:val="24"/>
                <w:szCs w:val="24"/>
              </w:rPr>
            </w:pPr>
            <w:r>
              <w:rPr>
                <w:b/>
                <w:bCs/>
                <w:sz w:val="24"/>
                <w:szCs w:val="24"/>
              </w:rPr>
              <w:t xml:space="preserve">            </w:t>
            </w:r>
            <w:r>
              <w:rPr>
                <w:sz w:val="24"/>
                <w:szCs w:val="24"/>
              </w:rPr>
              <w:t>IV - O deslocamento em direção ao local determinado deverá iniciar imediatamente após a mobilização, com obediência integral às normas de circulação e conduta, presentes na legislação de trânsito, e sem paradas ou estacionamentos desnecessários durante o percurso, objetivando a chegada no menor tempo possível, com segurança.</w:t>
            </w:r>
          </w:p>
          <w:p w14:paraId="25D71FFB">
            <w:pPr>
              <w:adjustRightInd w:val="0"/>
              <w:jc w:val="both"/>
              <w:rPr>
                <w:sz w:val="24"/>
                <w:szCs w:val="24"/>
              </w:rPr>
            </w:pPr>
            <w:r>
              <w:rPr>
                <w:b/>
                <w:bCs/>
                <w:sz w:val="24"/>
                <w:szCs w:val="24"/>
              </w:rPr>
              <w:t xml:space="preserve">            </w:t>
            </w:r>
            <w:r>
              <w:rPr>
                <w:sz w:val="24"/>
                <w:szCs w:val="24"/>
              </w:rPr>
              <w:t>V - Ao chegar ao local solicitado, desde que em condições seguras, deverá iniciar os serviços determinados pela autoridade responsável, sejam eles de remoção, recolhimento e/ou transporte do veículo.</w:t>
            </w:r>
          </w:p>
          <w:p w14:paraId="48F2960F">
            <w:pPr>
              <w:adjustRightInd w:val="0"/>
              <w:jc w:val="both"/>
              <w:rPr>
                <w:sz w:val="24"/>
                <w:szCs w:val="24"/>
              </w:rPr>
            </w:pPr>
            <w:r>
              <w:rPr>
                <w:b/>
                <w:bCs/>
                <w:sz w:val="24"/>
                <w:szCs w:val="24"/>
              </w:rPr>
              <w:t xml:space="preserve">            </w:t>
            </w:r>
            <w:r>
              <w:rPr>
                <w:sz w:val="24"/>
                <w:szCs w:val="24"/>
              </w:rPr>
              <w:t>VI - Apresentar o veículo para o proprietário/motorista, a fim de que as irregularidades possam ser sanadas no prazo que lhe for estipulado, não sendo possível sanar a irregularidade dentro do pátio contratado/credenciado, somente será liberado para regularização fora do local de guarda, com autorização da autoridade de trânsito responsável pelo recolhimento.</w:t>
            </w:r>
          </w:p>
          <w:p w14:paraId="1D7387EE">
            <w:pPr>
              <w:adjustRightInd w:val="0"/>
              <w:jc w:val="both"/>
              <w:rPr>
                <w:sz w:val="24"/>
                <w:szCs w:val="24"/>
              </w:rPr>
            </w:pPr>
            <w:r>
              <w:rPr>
                <w:b/>
                <w:bCs/>
                <w:sz w:val="24"/>
                <w:szCs w:val="24"/>
              </w:rPr>
              <w:t xml:space="preserve">            </w:t>
            </w:r>
            <w:r>
              <w:rPr>
                <w:sz w:val="24"/>
                <w:szCs w:val="24"/>
              </w:rPr>
              <w:t>VII - Zelar pela manutenção da continuidade do serviço de guincho.</w:t>
            </w:r>
          </w:p>
          <w:p w14:paraId="74327E10">
            <w:pPr>
              <w:adjustRightInd w:val="0"/>
              <w:jc w:val="both"/>
              <w:rPr>
                <w:sz w:val="24"/>
                <w:szCs w:val="24"/>
              </w:rPr>
            </w:pPr>
            <w:r>
              <w:rPr>
                <w:b/>
                <w:bCs/>
                <w:sz w:val="24"/>
                <w:szCs w:val="24"/>
              </w:rPr>
              <w:t xml:space="preserve">            </w:t>
            </w:r>
            <w:r>
              <w:rPr>
                <w:sz w:val="24"/>
                <w:szCs w:val="24"/>
              </w:rPr>
              <w:t>VIII - Cumprir os itinerários determinados pela Secretaria Municipal de Segurança e Trânsito – SST.</w:t>
            </w:r>
          </w:p>
          <w:p w14:paraId="501B2C64">
            <w:pPr>
              <w:adjustRightInd w:val="0"/>
              <w:jc w:val="both"/>
              <w:rPr>
                <w:sz w:val="24"/>
                <w:szCs w:val="24"/>
              </w:rPr>
            </w:pPr>
            <w:r>
              <w:rPr>
                <w:b/>
                <w:bCs/>
                <w:sz w:val="24"/>
                <w:szCs w:val="24"/>
              </w:rPr>
              <w:t xml:space="preserve">            </w:t>
            </w:r>
            <w:r>
              <w:rPr>
                <w:sz w:val="24"/>
                <w:szCs w:val="24"/>
              </w:rPr>
              <w:t>IX - Responder pelos seus atos, sujeitando-se às normas e penalidades do Código de Trânsito Brasileiro.</w:t>
            </w:r>
          </w:p>
          <w:p w14:paraId="3D82C67B">
            <w:pPr>
              <w:adjustRightInd w:val="0"/>
              <w:jc w:val="both"/>
              <w:rPr>
                <w:sz w:val="24"/>
                <w:szCs w:val="24"/>
              </w:rPr>
            </w:pPr>
            <w:r>
              <w:rPr>
                <w:b/>
                <w:bCs/>
                <w:sz w:val="24"/>
                <w:szCs w:val="24"/>
              </w:rPr>
              <w:t xml:space="preserve">            </w:t>
            </w:r>
            <w:r>
              <w:rPr>
                <w:sz w:val="24"/>
                <w:szCs w:val="24"/>
              </w:rPr>
              <w:t>X - Submeter-se à fiscalização das autoridades competentes.</w:t>
            </w:r>
          </w:p>
          <w:p w14:paraId="5D052177">
            <w:pPr>
              <w:adjustRightInd w:val="0"/>
              <w:jc w:val="both"/>
              <w:rPr>
                <w:sz w:val="24"/>
                <w:szCs w:val="24"/>
              </w:rPr>
            </w:pPr>
            <w:r>
              <w:rPr>
                <w:b/>
                <w:bCs/>
                <w:sz w:val="24"/>
                <w:szCs w:val="24"/>
              </w:rPr>
              <w:t xml:space="preserve">            </w:t>
            </w:r>
            <w:r>
              <w:rPr>
                <w:sz w:val="24"/>
                <w:szCs w:val="24"/>
              </w:rPr>
              <w:t>XI - Substituir imediatamente o veículo quando este apresentar problemas mecânicos.</w:t>
            </w:r>
          </w:p>
          <w:p w14:paraId="28E1C8B2">
            <w:pPr>
              <w:adjustRightInd w:val="0"/>
              <w:jc w:val="both"/>
              <w:rPr>
                <w:b/>
                <w:bCs/>
                <w:sz w:val="24"/>
                <w:szCs w:val="24"/>
              </w:rPr>
            </w:pPr>
            <w:r>
              <w:rPr>
                <w:b/>
                <w:bCs/>
                <w:sz w:val="24"/>
                <w:szCs w:val="24"/>
              </w:rPr>
              <w:t xml:space="preserve">            *</w:t>
            </w:r>
            <w:r>
              <w:rPr>
                <w:sz w:val="24"/>
                <w:szCs w:val="24"/>
              </w:rPr>
              <w:t xml:space="preserve"> A ocorrência de atraso na chegada ao local determinado sempre deverá ser justificada à autoridade de trânsito responsável pelo recolhimento, sendo admitida tolerância de 20% (vinte por cento) dos prazos estipulados, desde que eventual e decorrente de fatores alheios à vontade da contratada.</w:t>
            </w:r>
          </w:p>
          <w:p w14:paraId="78DD0ECE">
            <w:pPr>
              <w:adjustRightInd w:val="0"/>
              <w:jc w:val="both"/>
              <w:rPr>
                <w:sz w:val="24"/>
                <w:szCs w:val="24"/>
              </w:rPr>
            </w:pPr>
            <w:r>
              <w:rPr>
                <w:b/>
                <w:bCs/>
                <w:sz w:val="24"/>
                <w:szCs w:val="24"/>
              </w:rPr>
              <w:t xml:space="preserve">            *</w:t>
            </w:r>
            <w:r>
              <w:rPr>
                <w:sz w:val="24"/>
                <w:szCs w:val="24"/>
              </w:rPr>
              <w:t xml:space="preserve"> Os veículos, objetos das medidas administrativas, serão transportados para o pátio da empresa responsável pela remoção, salvo por necessidade do serviço, onde, havendo mais de um contratado pela Prefeitura Municipal de Sinop, a remoção poderá ser realiza por empresa que conste na escala de serviço.</w:t>
            </w:r>
          </w:p>
          <w:p w14:paraId="538DF33D">
            <w:pPr>
              <w:adjustRightInd w:val="0"/>
              <w:jc w:val="both"/>
              <w:rPr>
                <w:sz w:val="24"/>
                <w:szCs w:val="24"/>
              </w:rPr>
            </w:pPr>
            <w:r>
              <w:rPr>
                <w:b/>
                <w:bCs/>
                <w:sz w:val="24"/>
                <w:szCs w:val="24"/>
              </w:rPr>
              <w:t xml:space="preserve">            *</w:t>
            </w:r>
            <w:r>
              <w:rPr>
                <w:sz w:val="24"/>
                <w:szCs w:val="24"/>
              </w:rPr>
              <w:t xml:space="preserve"> A contratada é inteiramente responsável pela integridade do veículo transportado, desde o momento que se inicia o serviço de remoção, durante o trajeto do local do recolhimento do veículo, na permanência do mesmo no seu pátio, até o momento de devolução ao proprietário/motorista ou hasta pública.</w:t>
            </w:r>
          </w:p>
          <w:p w14:paraId="07B9557D">
            <w:pPr>
              <w:adjustRightInd w:val="0"/>
              <w:jc w:val="both"/>
              <w:rPr>
                <w:sz w:val="24"/>
                <w:szCs w:val="24"/>
              </w:rPr>
            </w:pPr>
            <w:r>
              <w:rPr>
                <w:b/>
                <w:bCs/>
                <w:sz w:val="24"/>
                <w:szCs w:val="24"/>
              </w:rPr>
              <w:t xml:space="preserve">            * </w:t>
            </w:r>
            <w:r>
              <w:rPr>
                <w:sz w:val="24"/>
                <w:szCs w:val="24"/>
              </w:rPr>
              <w:t>A contratada/credenciada deve atender às obrigações trabalhistas, fiscais, previdenciárias e outras que lhe seja correlata.</w:t>
            </w:r>
          </w:p>
          <w:p w14:paraId="6C114638">
            <w:pPr>
              <w:adjustRightInd w:val="0"/>
              <w:jc w:val="both"/>
              <w:rPr>
                <w:sz w:val="24"/>
                <w:szCs w:val="24"/>
              </w:rPr>
            </w:pPr>
            <w:r>
              <w:rPr>
                <w:b/>
                <w:bCs/>
                <w:sz w:val="24"/>
                <w:szCs w:val="24"/>
              </w:rPr>
              <w:t xml:space="preserve">            </w:t>
            </w:r>
            <w:r>
              <w:rPr>
                <w:sz w:val="24"/>
                <w:szCs w:val="24"/>
              </w:rPr>
              <w:t>* A empresa contratada de serviços de guincho deverá, no momento em que irá recolher o veículo para remoção ao depósito de Pátio, lacrar com adesivos (Lacres Numerados) todas as portas (com exceção da porta do motorista, que será lacrada no momento do descarregamento no Pátio), capô, porta-malas e tampa do tanque. Sendo necessária qualquer movimentação do veículo ora removido dentro do Pátio da empresa credenciada, em que haja a necessidade de romper o lacre da porta do motorista, a empresa deverá manter uma ficha, a qual, deverá informar o motivo da violação, bem como, número do novo lacre que foi colocado no lugar, após a movimentação. Todo os custos com os Lacres correrão por conta da (s) empresa (s) credenciada (s).</w:t>
            </w:r>
          </w:p>
          <w:p w14:paraId="6DBFB9D1">
            <w:pPr>
              <w:adjustRightInd w:val="0"/>
              <w:jc w:val="both"/>
              <w:rPr>
                <w:sz w:val="24"/>
                <w:szCs w:val="24"/>
              </w:rPr>
            </w:pPr>
            <w:r>
              <w:rPr>
                <w:sz w:val="24"/>
                <w:szCs w:val="24"/>
              </w:rPr>
              <w:t xml:space="preserve">            * Nos casos em que a Autoridade Solicitante não tenha sistema informatizado para fazer o recolhimento do veículo, fica a empresa contratada de serviços de guincho, responsável em preencher um formulário (em três vias), sendo a 1ª (primeira) destinada a Secretaria Municipal de Segurança e Trânsito, a 2ª (segunda) ao condutor/proprietário e a 3ª (terceira) para arquivo do guincho, contendo data e hora do recolhimento, descrição completa do veículo recolhido, nível de combustível, se a chave foi recolhida ou não, os números dos adesivos/lacres e seu posicionamento, constando ainda informações necessárias sobre o estado de conservação do veículo, falta de algum equipamento obrigatório, se possui som automotivo, presença de algum objeto no interior e/ou capacete, por exemplo, no caso de motocicletas, devendo comprovar todo o procedimento com fotografias.</w:t>
            </w:r>
          </w:p>
          <w:p w14:paraId="6F488148">
            <w:pPr>
              <w:adjustRightInd w:val="0"/>
              <w:jc w:val="both"/>
              <w:rPr>
                <w:sz w:val="24"/>
                <w:szCs w:val="24"/>
              </w:rPr>
            </w:pPr>
            <w:r>
              <w:rPr>
                <w:b/>
                <w:bCs/>
                <w:sz w:val="24"/>
                <w:szCs w:val="24"/>
              </w:rPr>
              <w:t xml:space="preserve">            *</w:t>
            </w:r>
            <w:r>
              <w:rPr>
                <w:sz w:val="24"/>
                <w:szCs w:val="24"/>
              </w:rPr>
              <w:t xml:space="preserve"> Os funcionários da (s) empresa (s) credenciada (s) deverão estar uniformizados, portando equipamentos de proteção individual, nos termos da legislação vigente.</w:t>
            </w:r>
          </w:p>
          <w:p w14:paraId="4B9498D2">
            <w:pPr>
              <w:adjustRightInd w:val="0"/>
              <w:jc w:val="both"/>
              <w:rPr>
                <w:sz w:val="24"/>
                <w:szCs w:val="24"/>
              </w:rPr>
            </w:pPr>
            <w:r>
              <w:rPr>
                <w:b/>
                <w:bCs/>
                <w:sz w:val="24"/>
                <w:szCs w:val="24"/>
              </w:rPr>
              <w:t xml:space="preserve">            *</w:t>
            </w:r>
            <w:r>
              <w:rPr>
                <w:sz w:val="24"/>
                <w:szCs w:val="24"/>
              </w:rPr>
              <w:t xml:space="preserve"> O veículo de guincho deverá estar em excelente condição de uso nas partes mecânicas e lataria, possuindo equipamentos obrigatórios de segurança, estabelecidos no Código de Trânsito Brasileiro, e os guinchos deverão possuir, além dos equipamentos obrigatórios previstos na legislação de trânsito, os seguintes equipamentos:</w:t>
            </w:r>
          </w:p>
          <w:p w14:paraId="1EB79F43">
            <w:pPr>
              <w:adjustRightInd w:val="0"/>
              <w:jc w:val="both"/>
              <w:rPr>
                <w:sz w:val="24"/>
                <w:szCs w:val="24"/>
              </w:rPr>
            </w:pPr>
            <w:r>
              <w:rPr>
                <w:b/>
                <w:bCs/>
                <w:sz w:val="24"/>
                <w:szCs w:val="24"/>
              </w:rPr>
              <w:t xml:space="preserve">            </w:t>
            </w:r>
            <w:r>
              <w:rPr>
                <w:sz w:val="24"/>
                <w:szCs w:val="24"/>
              </w:rPr>
              <w:t>I - Câmera fotográfica digital profissional, com pelo menos 10 (dez) megapixels de resolução cada.</w:t>
            </w:r>
          </w:p>
          <w:p w14:paraId="05658132">
            <w:pPr>
              <w:adjustRightInd w:val="0"/>
              <w:jc w:val="both"/>
              <w:rPr>
                <w:sz w:val="24"/>
                <w:szCs w:val="24"/>
              </w:rPr>
            </w:pPr>
            <w:r>
              <w:rPr>
                <w:b/>
                <w:bCs/>
                <w:sz w:val="24"/>
                <w:szCs w:val="24"/>
              </w:rPr>
              <w:t xml:space="preserve">            </w:t>
            </w:r>
            <w:r>
              <w:rPr>
                <w:sz w:val="24"/>
                <w:szCs w:val="24"/>
              </w:rPr>
              <w:t>II - 01 (um) Extintor de incêndio de pelo menos 06 (seis) kg de pó químico seco ou de gás carbônico, com carga e casco dentro da validade.</w:t>
            </w:r>
          </w:p>
          <w:p w14:paraId="221A02F4">
            <w:pPr>
              <w:adjustRightInd w:val="0"/>
              <w:jc w:val="both"/>
              <w:rPr>
                <w:sz w:val="24"/>
                <w:szCs w:val="24"/>
              </w:rPr>
            </w:pPr>
            <w:r>
              <w:rPr>
                <w:b/>
                <w:bCs/>
                <w:sz w:val="24"/>
                <w:szCs w:val="24"/>
              </w:rPr>
              <w:t xml:space="preserve">            </w:t>
            </w:r>
            <w:r>
              <w:rPr>
                <w:sz w:val="24"/>
                <w:szCs w:val="24"/>
              </w:rPr>
              <w:t>III - Rolo de fita zebrada para delimitação/isolamento de área nas cores preto e amarelo com largura mínima de 70 (setenta) mm e comprimento mínimo de 100 (cem) metros.</w:t>
            </w:r>
          </w:p>
          <w:p w14:paraId="5AF00F6C">
            <w:pPr>
              <w:adjustRightInd w:val="0"/>
              <w:jc w:val="both"/>
              <w:rPr>
                <w:sz w:val="24"/>
                <w:szCs w:val="24"/>
              </w:rPr>
            </w:pPr>
            <w:r>
              <w:rPr>
                <w:b/>
                <w:bCs/>
                <w:sz w:val="24"/>
                <w:szCs w:val="24"/>
              </w:rPr>
              <w:t xml:space="preserve">            </w:t>
            </w:r>
            <w:r>
              <w:rPr>
                <w:sz w:val="24"/>
                <w:szCs w:val="24"/>
              </w:rPr>
              <w:t>IV - Cones de Sinalização, no mínimo 10 (dez).</w:t>
            </w:r>
          </w:p>
          <w:p w14:paraId="468C98B2">
            <w:pPr>
              <w:adjustRightInd w:val="0"/>
              <w:jc w:val="both"/>
              <w:rPr>
                <w:sz w:val="24"/>
                <w:szCs w:val="24"/>
              </w:rPr>
            </w:pPr>
            <w:r>
              <w:rPr>
                <w:b/>
                <w:bCs/>
                <w:sz w:val="24"/>
                <w:szCs w:val="24"/>
              </w:rPr>
              <w:t xml:space="preserve">            </w:t>
            </w:r>
            <w:r>
              <w:rPr>
                <w:sz w:val="24"/>
                <w:szCs w:val="24"/>
              </w:rPr>
              <w:t>V - Dispositivo luminoso intermitente ou rotativo, na cor amarela âmbar sobre o teto do veículo, de acordo com a legislação vigente (Resolução nº 268, de 15/02/2008, do CONTRAN).</w:t>
            </w:r>
          </w:p>
          <w:p w14:paraId="1ACAC52D">
            <w:pPr>
              <w:adjustRightInd w:val="0"/>
              <w:jc w:val="both"/>
              <w:rPr>
                <w:sz w:val="24"/>
                <w:szCs w:val="24"/>
              </w:rPr>
            </w:pPr>
            <w:r>
              <w:rPr>
                <w:b/>
                <w:bCs/>
                <w:sz w:val="24"/>
                <w:szCs w:val="24"/>
              </w:rPr>
              <w:t xml:space="preserve">            </w:t>
            </w:r>
            <w:r>
              <w:rPr>
                <w:sz w:val="24"/>
                <w:szCs w:val="24"/>
              </w:rPr>
              <w:t>VI - Farolete portátil de longo alcance ou dispositivo equivalente de iluminação com tecnologia por LED.</w:t>
            </w:r>
          </w:p>
          <w:p w14:paraId="6FFB0106">
            <w:pPr>
              <w:adjustRightInd w:val="0"/>
              <w:jc w:val="both"/>
              <w:rPr>
                <w:sz w:val="24"/>
                <w:szCs w:val="24"/>
              </w:rPr>
            </w:pPr>
            <w:r>
              <w:rPr>
                <w:b/>
                <w:bCs/>
                <w:sz w:val="24"/>
                <w:szCs w:val="24"/>
              </w:rPr>
              <w:t xml:space="preserve">            </w:t>
            </w:r>
            <w:r>
              <w:rPr>
                <w:sz w:val="24"/>
                <w:szCs w:val="24"/>
              </w:rPr>
              <w:t>VII - Dispositivo mecânico de tração de veículos com cabo de aço.</w:t>
            </w:r>
          </w:p>
          <w:p w14:paraId="0B632D6E">
            <w:pPr>
              <w:adjustRightInd w:val="0"/>
              <w:jc w:val="both"/>
              <w:rPr>
                <w:sz w:val="24"/>
                <w:szCs w:val="24"/>
              </w:rPr>
            </w:pPr>
            <w:r>
              <w:rPr>
                <w:b/>
                <w:bCs/>
                <w:sz w:val="24"/>
                <w:szCs w:val="24"/>
              </w:rPr>
              <w:t xml:space="preserve">            </w:t>
            </w:r>
            <w:r>
              <w:rPr>
                <w:sz w:val="24"/>
                <w:szCs w:val="24"/>
              </w:rPr>
              <w:t>VIII - Patins para movimentação e remoção de veículos.</w:t>
            </w:r>
          </w:p>
          <w:p w14:paraId="76D29E50">
            <w:pPr>
              <w:adjustRightInd w:val="0"/>
              <w:jc w:val="both"/>
              <w:rPr>
                <w:sz w:val="24"/>
                <w:szCs w:val="24"/>
              </w:rPr>
            </w:pPr>
            <w:r>
              <w:rPr>
                <w:b/>
                <w:bCs/>
                <w:sz w:val="24"/>
                <w:szCs w:val="24"/>
              </w:rPr>
              <w:t xml:space="preserve">            </w:t>
            </w:r>
            <w:r>
              <w:rPr>
                <w:sz w:val="24"/>
                <w:szCs w:val="24"/>
              </w:rPr>
              <w:t>* Os veículos que executam o Serviço de Remoção do Local solicitado até o Pátio, deverão possuir apólice de seguro contra danos materiais e pessoais a terceiros, com valor não inferior a 80.000 UR`s (oitenta mil unidades de referência).</w:t>
            </w:r>
          </w:p>
          <w:p w14:paraId="09105C9A">
            <w:pPr>
              <w:adjustRightInd w:val="0"/>
              <w:jc w:val="both"/>
              <w:rPr>
                <w:sz w:val="24"/>
                <w:szCs w:val="24"/>
              </w:rPr>
            </w:pPr>
            <w:r>
              <w:rPr>
                <w:b/>
                <w:bCs/>
                <w:sz w:val="24"/>
                <w:szCs w:val="24"/>
              </w:rPr>
              <w:t xml:space="preserve">            </w:t>
            </w:r>
            <w:r>
              <w:rPr>
                <w:sz w:val="24"/>
                <w:szCs w:val="24"/>
              </w:rPr>
              <w:t>* Os veículos de guincho deverão serem submetidos a vistorias semestrais periódicas estabelecidas pela Secretaria Municipal de Segurança e Trânsito - SST.</w:t>
            </w:r>
          </w:p>
          <w:p w14:paraId="53BD2509">
            <w:pPr>
              <w:adjustRightInd w:val="0"/>
              <w:jc w:val="both"/>
              <w:rPr>
                <w:sz w:val="24"/>
                <w:szCs w:val="24"/>
              </w:rPr>
            </w:pPr>
            <w:r>
              <w:rPr>
                <w:b/>
                <w:bCs/>
                <w:sz w:val="24"/>
                <w:szCs w:val="24"/>
              </w:rPr>
              <w:t xml:space="preserve">            *</w:t>
            </w:r>
            <w:r>
              <w:rPr>
                <w:sz w:val="24"/>
                <w:szCs w:val="24"/>
              </w:rPr>
              <w:t xml:space="preserve"> Os condutores/operadores e ajudantes que trabalhem na (s) empresa (s) credenciada (s) deverão ser previamente cadastrados junto à Contratante.</w:t>
            </w:r>
          </w:p>
          <w:p w14:paraId="1A42A0BD">
            <w:pPr>
              <w:adjustRightInd w:val="0"/>
              <w:jc w:val="both"/>
              <w:rPr>
                <w:sz w:val="24"/>
                <w:szCs w:val="24"/>
              </w:rPr>
            </w:pPr>
            <w:r>
              <w:rPr>
                <w:b/>
                <w:bCs/>
                <w:sz w:val="24"/>
                <w:szCs w:val="24"/>
              </w:rPr>
              <w:t xml:space="preserve">            </w:t>
            </w:r>
            <w:r>
              <w:rPr>
                <w:sz w:val="24"/>
                <w:szCs w:val="24"/>
              </w:rPr>
              <w:t>* A (s) empresa (s) credenciada (s) deverá (ão) possuir, pelo menos, 01 (um) veículo regularmente adaptado para a execução segura do serviço de guincho, com capacidade de remoção de motocicletas, ciclomotores, veículos de passeio, utilitários ou similares que não ultrapassem o peso bruto total de 3.500 kg.</w:t>
            </w:r>
          </w:p>
          <w:p w14:paraId="091D3DAB">
            <w:pPr>
              <w:adjustRightInd w:val="0"/>
              <w:jc w:val="both"/>
              <w:rPr>
                <w:sz w:val="24"/>
                <w:szCs w:val="24"/>
              </w:rPr>
            </w:pPr>
            <w:r>
              <w:rPr>
                <w:b/>
                <w:bCs/>
                <w:sz w:val="24"/>
                <w:szCs w:val="24"/>
              </w:rPr>
              <w:t xml:space="preserve">            </w:t>
            </w:r>
            <w:r>
              <w:rPr>
                <w:sz w:val="24"/>
                <w:szCs w:val="24"/>
              </w:rPr>
              <w:t>* A (s) empresa (s) credenciada (s) deverá (ão) possuir, pelo menos, 01 (um) veículo regularmente adaptado para a execução segura do serviço de guincho, com capacidade de remoção de veículos de cargas e passageiros com peso bruto superior a 3.500 kg, articulados, reboques e semi-reboques. Caso não possuam o veículo, podem apresentar contrato de locação ou similar que demostre a disponibilização deste veículo para a adequada prestação do serviço. No caso de veículos locados ou similar, os mesmos também deverão serem submetidos a vistorias semestrais periódicas estabelecidas pela Secretaria Municipal de Segurança e Trânsito - SST.</w:t>
            </w:r>
          </w:p>
          <w:p w14:paraId="41D375C7">
            <w:pPr>
              <w:adjustRightInd w:val="0"/>
              <w:jc w:val="both"/>
              <w:rPr>
                <w:sz w:val="24"/>
                <w:szCs w:val="24"/>
              </w:rPr>
            </w:pPr>
            <w:r>
              <w:rPr>
                <w:b/>
                <w:bCs/>
                <w:sz w:val="24"/>
                <w:szCs w:val="24"/>
              </w:rPr>
              <w:t xml:space="preserve">            </w:t>
            </w:r>
            <w:r>
              <w:rPr>
                <w:sz w:val="24"/>
                <w:szCs w:val="24"/>
              </w:rPr>
              <w:t xml:space="preserve">* Se for necessário, a empresa deverá disponibilizar mais de um veículo, com as mesmas características, para a realização de todos os serviços contratados, de acordo com a demanda, podendo estes serem locados, porém com o devido cadastro junto ao Departamento de Pátio e Leilão. </w:t>
            </w:r>
          </w:p>
          <w:p w14:paraId="685A3705">
            <w:pPr>
              <w:adjustRightInd w:val="0"/>
              <w:jc w:val="both"/>
              <w:rPr>
                <w:sz w:val="24"/>
                <w:szCs w:val="24"/>
              </w:rPr>
            </w:pPr>
            <w:r>
              <w:rPr>
                <w:b/>
                <w:bCs/>
                <w:sz w:val="24"/>
                <w:szCs w:val="24"/>
              </w:rPr>
              <w:t xml:space="preserve">            </w:t>
            </w:r>
            <w:r>
              <w:rPr>
                <w:sz w:val="24"/>
                <w:szCs w:val="24"/>
              </w:rPr>
              <w:t xml:space="preserve">* Condutor/operador deverá possuir capacidade técnica para a realização das operações contratadas, devendo ser habilitado na categoria correspondente ao veículo conduzido, especialmente, quando houver acoplamento de veículos. </w:t>
            </w:r>
          </w:p>
          <w:p w14:paraId="67FDB1F3">
            <w:pPr>
              <w:adjustRightInd w:val="0"/>
              <w:jc w:val="both"/>
              <w:rPr>
                <w:sz w:val="24"/>
                <w:szCs w:val="24"/>
              </w:rPr>
            </w:pPr>
            <w:r>
              <w:rPr>
                <w:b/>
                <w:bCs/>
                <w:sz w:val="24"/>
                <w:szCs w:val="24"/>
              </w:rPr>
              <w:t xml:space="preserve">            *</w:t>
            </w:r>
            <w:r>
              <w:rPr>
                <w:sz w:val="24"/>
                <w:szCs w:val="24"/>
              </w:rPr>
              <w:t xml:space="preserve"> A Contratada não poderá utilizar funcionários cuja conduta ou antecedentes sejam incompatíveis com a execução do serviço contratado, podendo a Contratante, a seu critério, requerer a substituição.</w:t>
            </w:r>
          </w:p>
          <w:p w14:paraId="0AA0B024">
            <w:pPr>
              <w:adjustRightInd w:val="0"/>
              <w:jc w:val="both"/>
              <w:rPr>
                <w:b/>
                <w:bCs/>
                <w:sz w:val="24"/>
                <w:szCs w:val="24"/>
              </w:rPr>
            </w:pPr>
            <w:r>
              <w:rPr>
                <w:b/>
                <w:bCs/>
                <w:sz w:val="24"/>
                <w:szCs w:val="24"/>
              </w:rPr>
              <w:t xml:space="preserve">            SERVIÇOS DE DEPÓSITO EM PÁTIO</w:t>
            </w:r>
          </w:p>
          <w:p w14:paraId="51920807">
            <w:pPr>
              <w:adjustRightInd w:val="0"/>
              <w:jc w:val="both"/>
              <w:rPr>
                <w:sz w:val="24"/>
                <w:szCs w:val="24"/>
              </w:rPr>
            </w:pPr>
            <w:r>
              <w:rPr>
                <w:b/>
                <w:bCs/>
                <w:sz w:val="24"/>
                <w:szCs w:val="24"/>
              </w:rPr>
              <w:t xml:space="preserve">            </w:t>
            </w:r>
            <w:r>
              <w:rPr>
                <w:sz w:val="24"/>
                <w:szCs w:val="24"/>
              </w:rPr>
              <w:t>* O serviço de depósito em pátio consiste na guarda e depósito em Pátio de veículo apreendido em decorrência de ação fiscalizatória da Guarda Civil Municipal de Sinop ou de outro órgão de segurança pública, com objetivo de garantir a segurança ao patrimônio particular, até regularização do veículo ou das condições de habilitação por parte do motorista e/ou proprietário do veículo.</w:t>
            </w:r>
          </w:p>
          <w:p w14:paraId="6A4AE229">
            <w:pPr>
              <w:adjustRightInd w:val="0"/>
              <w:jc w:val="both"/>
              <w:rPr>
                <w:sz w:val="24"/>
                <w:szCs w:val="24"/>
              </w:rPr>
            </w:pPr>
            <w:r>
              <w:rPr>
                <w:b/>
                <w:bCs/>
                <w:sz w:val="24"/>
                <w:szCs w:val="24"/>
              </w:rPr>
              <w:t xml:space="preserve">            </w:t>
            </w:r>
            <w:r>
              <w:rPr>
                <w:sz w:val="24"/>
                <w:szCs w:val="24"/>
              </w:rPr>
              <w:t>* Para segurança e conservação do patrimônio particular, durante a execução dos serviços de Depósito em Pátio de veículos autuados e apreendidos, a (s) empresa (s) credenciada (s) deverá (ão) possuir (em):</w:t>
            </w:r>
          </w:p>
          <w:p w14:paraId="55D33521">
            <w:pPr>
              <w:adjustRightInd w:val="0"/>
              <w:jc w:val="both"/>
              <w:rPr>
                <w:sz w:val="24"/>
                <w:szCs w:val="24"/>
              </w:rPr>
            </w:pPr>
            <w:r>
              <w:rPr>
                <w:b/>
                <w:bCs/>
                <w:sz w:val="24"/>
                <w:szCs w:val="24"/>
              </w:rPr>
              <w:t xml:space="preserve">            </w:t>
            </w:r>
            <w:r>
              <w:rPr>
                <w:sz w:val="24"/>
                <w:szCs w:val="24"/>
              </w:rPr>
              <w:t>I - A (s) empresa (s) credenciada (s) deverá (ão) possuir local apropriado próprio ou alugado (todo murado, com cerca elétrica e alarme), que permita a guarda em total segurança de todos os veículos removidos, independente do motivo da remoção, peso ou tamanho, não podendo alegar falta de espaço como causa de não prestação dos serviços.</w:t>
            </w:r>
          </w:p>
          <w:p w14:paraId="22AA24F5">
            <w:pPr>
              <w:adjustRightInd w:val="0"/>
              <w:jc w:val="both"/>
              <w:rPr>
                <w:sz w:val="24"/>
                <w:szCs w:val="24"/>
              </w:rPr>
            </w:pPr>
            <w:r>
              <w:rPr>
                <w:b/>
                <w:bCs/>
                <w:sz w:val="24"/>
                <w:szCs w:val="24"/>
              </w:rPr>
              <w:t xml:space="preserve">            </w:t>
            </w:r>
            <w:r>
              <w:rPr>
                <w:sz w:val="24"/>
                <w:szCs w:val="24"/>
              </w:rPr>
              <w:t>II - Controle de registro em local visível ao usuário, no qual o condutor ou proprietário, ao retirar o veículo, registrará eventuais danos, ou falta de equipamentos e/ou acessórios, ou, ainda, a sua inconformidade pelo estado do veículo.</w:t>
            </w:r>
          </w:p>
          <w:p w14:paraId="7458890B">
            <w:pPr>
              <w:adjustRightInd w:val="0"/>
              <w:jc w:val="both"/>
              <w:rPr>
                <w:sz w:val="24"/>
                <w:szCs w:val="24"/>
              </w:rPr>
            </w:pPr>
            <w:r>
              <w:rPr>
                <w:b/>
                <w:bCs/>
                <w:sz w:val="24"/>
                <w:szCs w:val="24"/>
              </w:rPr>
              <w:t xml:space="preserve">            </w:t>
            </w:r>
            <w:r>
              <w:rPr>
                <w:sz w:val="24"/>
                <w:szCs w:val="24"/>
              </w:rPr>
              <w:t>III - Responsabilidade desde a retirada do veículo do local da remoção, até a entrega do veículo ao proprietário ou representante legal, por danos causados ao veículo e pela comprovada falta de equipamentos e/ou acessórios, assegurado o direito de regresso contra o autor do dano ou responsável pelo fato.</w:t>
            </w:r>
          </w:p>
          <w:p w14:paraId="038E5420">
            <w:pPr>
              <w:adjustRightInd w:val="0"/>
              <w:jc w:val="both"/>
              <w:rPr>
                <w:sz w:val="24"/>
                <w:szCs w:val="24"/>
              </w:rPr>
            </w:pPr>
            <w:r>
              <w:rPr>
                <w:b/>
                <w:bCs/>
                <w:sz w:val="24"/>
                <w:szCs w:val="24"/>
              </w:rPr>
              <w:t xml:space="preserve">            </w:t>
            </w:r>
            <w:r>
              <w:rPr>
                <w:sz w:val="24"/>
                <w:szCs w:val="24"/>
              </w:rPr>
              <w:t>IV - Manter, sob suas expensas, durante todo tempo da permissão, seguro de responsabilidade civil destinado a cobrir prejuízos causados por danos materiais (furto, roubo, incêndio e outros), nos veículos depositados sob sua responsabilidade. A empresa deverá apresentar Apólice de Seguro de Responsabilidade Civil de no mínimo 80.000 UR’s (oitenta mil unidades de referência).</w:t>
            </w:r>
          </w:p>
          <w:p w14:paraId="063DFD1C">
            <w:pPr>
              <w:adjustRightInd w:val="0"/>
              <w:jc w:val="both"/>
              <w:rPr>
                <w:sz w:val="24"/>
                <w:szCs w:val="24"/>
              </w:rPr>
            </w:pPr>
            <w:r>
              <w:rPr>
                <w:b/>
                <w:bCs/>
                <w:sz w:val="24"/>
                <w:szCs w:val="24"/>
              </w:rPr>
              <w:t xml:space="preserve">            </w:t>
            </w:r>
            <w:r>
              <w:rPr>
                <w:sz w:val="24"/>
                <w:szCs w:val="24"/>
              </w:rPr>
              <w:t>V - Assumir integral responsabilidade pela boa e eficiente execução dos serviços públicos prestados.</w:t>
            </w:r>
          </w:p>
          <w:p w14:paraId="1323D877">
            <w:pPr>
              <w:adjustRightInd w:val="0"/>
              <w:jc w:val="both"/>
              <w:rPr>
                <w:sz w:val="24"/>
                <w:szCs w:val="24"/>
              </w:rPr>
            </w:pPr>
            <w:r>
              <w:rPr>
                <w:b/>
                <w:bCs/>
                <w:sz w:val="24"/>
                <w:szCs w:val="24"/>
              </w:rPr>
              <w:t xml:space="preserve">            </w:t>
            </w:r>
            <w:r>
              <w:rPr>
                <w:sz w:val="24"/>
                <w:szCs w:val="24"/>
              </w:rPr>
              <w:t>VI - Possuir central de videomonitoramento de todo o pátio, 24 (vinte e quatro) horas por dia, 07 (sete) dias por semana, mantendo gravação mínima de 60 (sessenta) dias, disponibilizando Link de acesso às Câmeras para a Secretaria Municipal de Segurança e Trânsito.</w:t>
            </w:r>
          </w:p>
          <w:p w14:paraId="61341708">
            <w:pPr>
              <w:adjustRightInd w:val="0"/>
              <w:jc w:val="both"/>
              <w:rPr>
                <w:sz w:val="24"/>
                <w:szCs w:val="24"/>
              </w:rPr>
            </w:pPr>
            <w:r>
              <w:rPr>
                <w:b/>
                <w:bCs/>
                <w:sz w:val="24"/>
                <w:szCs w:val="24"/>
              </w:rPr>
              <w:t xml:space="preserve">            * </w:t>
            </w:r>
            <w:r>
              <w:rPr>
                <w:sz w:val="24"/>
                <w:szCs w:val="24"/>
              </w:rPr>
              <w:t>Nos casos de Liberações Condicionadas em que as irregularidades possam ser sanadas dentro do Pátio da empresa credenciada, fica a empresa responsável em tirar fotos do veículo com as irregularidades sanadas e encaminhar para o Departamento de Pátio e Leilão.</w:t>
            </w:r>
          </w:p>
          <w:p w14:paraId="26648AE3">
            <w:pPr>
              <w:adjustRightInd w:val="0"/>
              <w:jc w:val="both"/>
              <w:rPr>
                <w:sz w:val="24"/>
                <w:szCs w:val="24"/>
              </w:rPr>
            </w:pPr>
            <w:r>
              <w:rPr>
                <w:sz w:val="24"/>
                <w:szCs w:val="24"/>
              </w:rPr>
              <w:t xml:space="preserve">            * A (s) empresa (s) credenciada (s) deverão ter atendimento ao público de segunda a sexta-feira (exceto em feriados), das 07h00min às 17h00min, sem intervalo para almoço.</w:t>
            </w:r>
          </w:p>
          <w:p w14:paraId="7A30FF67">
            <w:pPr>
              <w:adjustRightInd w:val="0"/>
              <w:jc w:val="both"/>
              <w:rPr>
                <w:b/>
                <w:bCs/>
                <w:sz w:val="24"/>
                <w:szCs w:val="24"/>
              </w:rPr>
            </w:pPr>
            <w:r>
              <w:rPr>
                <w:b/>
                <w:bCs/>
                <w:sz w:val="24"/>
                <w:szCs w:val="24"/>
              </w:rPr>
              <w:t xml:space="preserve">            DAS TAXAS DE REMOÇÃO, SERVIÇO DE MUNCK E TAXA DE DEPÓSITO EM PÁTIO.</w:t>
            </w:r>
          </w:p>
          <w:p w14:paraId="44C3038F">
            <w:pPr>
              <w:adjustRightInd w:val="0"/>
              <w:jc w:val="both"/>
              <w:rPr>
                <w:sz w:val="24"/>
                <w:szCs w:val="24"/>
              </w:rPr>
            </w:pPr>
            <w:r>
              <w:rPr>
                <w:b/>
                <w:bCs/>
                <w:sz w:val="24"/>
                <w:szCs w:val="24"/>
              </w:rPr>
              <w:t xml:space="preserve">            *</w:t>
            </w:r>
            <w:r>
              <w:rPr>
                <w:sz w:val="24"/>
                <w:szCs w:val="24"/>
              </w:rPr>
              <w:t xml:space="preserve"> Os valores das referidas taxas de Remoção, Serviço de Munck e Taxa de Depósito em Pátio estão expressas no Termo de Referência, de acordo com a Lei Municipal 2985/2021, sendo que as taxas são calculadas com base na U. R. - Unidade de Referência, deste modo, atualizando os valores automaticamente todo início de ano.</w:t>
            </w:r>
          </w:p>
          <w:p w14:paraId="086C6995">
            <w:pPr>
              <w:adjustRightInd w:val="0"/>
              <w:jc w:val="both"/>
              <w:rPr>
                <w:sz w:val="24"/>
                <w:szCs w:val="24"/>
              </w:rPr>
            </w:pPr>
            <w:r>
              <w:rPr>
                <w:b/>
                <w:bCs/>
                <w:sz w:val="24"/>
                <w:szCs w:val="24"/>
              </w:rPr>
              <w:t xml:space="preserve">            *</w:t>
            </w:r>
            <w:r>
              <w:rPr>
                <w:sz w:val="24"/>
                <w:szCs w:val="24"/>
              </w:rPr>
              <w:t xml:space="preserve"> Em caso de Contratação dos Serviços, o valor percebido pela empresa contratada para cobrança da Taxa de Remoção, Serviço de Munck e Taxa de Depósito em Pátio do veículo, será descontado a importância de 15% (quinze por cento) sobre o valor total bruto das referidas taxas, para fins de manutenção, custeio e aparelhamento da Secretaria Municipal de Segurança e Trânsito, do município de Sinop, aplicado às necessidades dos serviços prestados pelos Guardas Civis Municipais. No caso da Taxa de Depósito em Pátio, os 15% (quinze por cento) deverão ser calculados com base na quantia total de diárias recebidas pela empresa credenciada.</w:t>
            </w:r>
          </w:p>
          <w:p w14:paraId="421B2A6F">
            <w:pPr>
              <w:adjustRightInd w:val="0"/>
              <w:jc w:val="both"/>
              <w:rPr>
                <w:sz w:val="24"/>
                <w:szCs w:val="24"/>
              </w:rPr>
            </w:pPr>
            <w:r>
              <w:rPr>
                <w:sz w:val="24"/>
                <w:szCs w:val="24"/>
              </w:rPr>
              <w:t xml:space="preserve">            * A Referida Taxa de 15% (quinze por cento) será calculada mensalmente pelo Departamento de Pátio e Leilão da Secretaria Municipal de Segurança e Trânsito e encaminhada à (s) empresa (s) credenciada (s) até o quinto dia útil do mês subsequente. A referida taxa deverá ser recolhida pela (s) empresa (s) credenciada (s) até o décimo dia útil do mês subsequente, mediante DAM - Documento de Arrecadação Municipal, sob pena de ser descontratada ou descredenciada em caso de inadimplência. Sendo que os valores recebidos da (s) empresa (s) credenciada (s), deverão cair diretamente no Fundo Municipal de Trânsito.</w:t>
            </w:r>
          </w:p>
          <w:p w14:paraId="2737ABBC">
            <w:pPr>
              <w:adjustRightInd w:val="0"/>
              <w:jc w:val="both"/>
              <w:rPr>
                <w:sz w:val="24"/>
                <w:szCs w:val="24"/>
              </w:rPr>
            </w:pPr>
            <w:r>
              <w:rPr>
                <w:b/>
                <w:bCs/>
                <w:sz w:val="24"/>
                <w:szCs w:val="24"/>
              </w:rPr>
              <w:t xml:space="preserve">            </w:t>
            </w:r>
            <w:r>
              <w:rPr>
                <w:sz w:val="24"/>
                <w:szCs w:val="24"/>
              </w:rPr>
              <w:t>* Os valores devidos pelo proprietário do veículo guinchado e removido serão pagos direto ao particular prestador dos serviços, mediante apresentação do termo de liberação do veículo, fornecido pelo Departamento de Pátio e Leilão. A (s) empresa (s) credenciada (s) deverá (ão) oferecer aos proprietários dos veículos as opções de pagamento em dinheiro, PIX, cartão de crédito e cartão de débito.</w:t>
            </w:r>
          </w:p>
          <w:p w14:paraId="1DC402BF">
            <w:pPr>
              <w:adjustRightInd w:val="0"/>
              <w:jc w:val="both"/>
              <w:rPr>
                <w:b/>
                <w:bCs/>
                <w:sz w:val="24"/>
                <w:szCs w:val="24"/>
              </w:rPr>
            </w:pPr>
            <w:r>
              <w:rPr>
                <w:b/>
                <w:bCs/>
                <w:sz w:val="24"/>
                <w:szCs w:val="24"/>
              </w:rPr>
              <w:t xml:space="preserve">            METODOLOGIA PARA DISTRIBUIÇÃO DOS SERVIÇOS: </w:t>
            </w:r>
          </w:p>
          <w:p w14:paraId="03AA1CC0">
            <w:pPr>
              <w:adjustRightInd w:val="0"/>
              <w:jc w:val="both"/>
              <w:rPr>
                <w:b/>
                <w:bCs/>
                <w:sz w:val="24"/>
                <w:szCs w:val="24"/>
              </w:rPr>
            </w:pPr>
            <w:r>
              <w:rPr>
                <w:b/>
                <w:bCs/>
                <w:sz w:val="24"/>
                <w:szCs w:val="24"/>
              </w:rPr>
              <w:t xml:space="preserve">            </w:t>
            </w:r>
            <w:r>
              <w:rPr>
                <w:sz w:val="24"/>
                <w:szCs w:val="24"/>
              </w:rPr>
              <w:t>* Havendo mais de uma empresa credenciada, a ordem de contratação das empresas e profissionais habilitados dar-se-á de acordo com a ordem cronológica de recebimento da documentação na Prefeitura Municipal de Sinop/MT. A Comissão responsável pelo processamento do presente Credenciamento atestará, sob registro no Sistema de Protocolo, a data e hora do efetivo recebimento dos documentos de habilitação. No caso de interessado inabilitado que apresentar a documentação complementar, a data a ser considerada para ordenamento no banco de credenciadas será a última data em que a empresa apresentar a documentação sem os defeitos que deram causa à inabilitação. O credenciado receberá numeração sequencial, a fim de identificá-lo quando da distribuição de serviços.</w:t>
            </w:r>
          </w:p>
          <w:p w14:paraId="301DB08B">
            <w:pPr>
              <w:adjustRightInd w:val="0"/>
              <w:jc w:val="both"/>
              <w:rPr>
                <w:sz w:val="24"/>
                <w:szCs w:val="24"/>
              </w:rPr>
            </w:pPr>
            <w:r>
              <w:rPr>
                <w:b/>
                <w:bCs/>
                <w:sz w:val="24"/>
                <w:szCs w:val="24"/>
              </w:rPr>
              <w:t xml:space="preserve">            </w:t>
            </w:r>
            <w:r>
              <w:rPr>
                <w:sz w:val="24"/>
                <w:szCs w:val="24"/>
              </w:rPr>
              <w:t xml:space="preserve">* Os serviços serão distribuídos em escala de plantão 24 (vinte e quatro) horas, iniciando e finalizando as seis horas da manhã. Havendo mais de uma empresa credenciada, trabalhará uma empresa por dia, seguindo a ordem de contratação, garantindo uma distribuição equitativa dos serviços entre os credenciados. </w:t>
            </w:r>
          </w:p>
          <w:p w14:paraId="7E0A8036">
            <w:pPr>
              <w:adjustRightInd w:val="0"/>
              <w:jc w:val="both"/>
              <w:rPr>
                <w:sz w:val="24"/>
                <w:szCs w:val="24"/>
              </w:rPr>
            </w:pPr>
            <w:r>
              <w:rPr>
                <w:sz w:val="24"/>
                <w:szCs w:val="24"/>
              </w:rPr>
              <w:t xml:space="preserve">            * Havendo mais de uma empresa credenciada, nas operações integradas da Lei Seca, será feito escala diferenciada pelo Departamento de Pátio e Leilão e encaminhada as mesmas.</w:t>
            </w:r>
          </w:p>
          <w:p w14:paraId="7C1F92D0">
            <w:pPr>
              <w:adjustRightInd w:val="0"/>
              <w:jc w:val="both"/>
              <w:rPr>
                <w:rFonts w:eastAsia="SimSun"/>
                <w:color w:val="000000"/>
                <w:sz w:val="24"/>
                <w:szCs w:val="24"/>
              </w:rPr>
            </w:pPr>
            <w:r>
              <w:rPr>
                <w:rFonts w:eastAsia="SimSun"/>
                <w:color w:val="000000"/>
                <w:sz w:val="24"/>
                <w:szCs w:val="24"/>
              </w:rPr>
              <w:t xml:space="preserve">            * Nas Operações Integradas Lei Seca, todos os motoristas dos caminhões do guincho de plantão, serão submetidos ao teste do etilômetro.</w:t>
            </w:r>
          </w:p>
        </w:tc>
      </w:tr>
    </w:tbl>
    <w:p w14:paraId="38E6A0A4">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5428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02AD79DD">
            <w:pPr>
              <w:rPr>
                <w:sz w:val="24"/>
                <w:szCs w:val="24"/>
              </w:rPr>
            </w:pPr>
            <w:r>
              <w:rPr>
                <w:b/>
                <w:bCs/>
                <w:sz w:val="24"/>
                <w:szCs w:val="24"/>
              </w:rPr>
              <w:t>6.4 - DAS OBRIGAÇÕES DA CONTRATANTE</w:t>
            </w:r>
          </w:p>
        </w:tc>
      </w:tr>
      <w:tr w14:paraId="7793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75C3AFFD">
            <w:pPr>
              <w:ind w:firstLine="720" w:firstLineChars="300"/>
              <w:jc w:val="both"/>
              <w:rPr>
                <w:sz w:val="24"/>
                <w:szCs w:val="24"/>
              </w:rPr>
            </w:pPr>
            <w:r>
              <w:rPr>
                <w:sz w:val="24"/>
                <w:szCs w:val="24"/>
              </w:rPr>
              <w:t>* De acordo com o Artigo 11 da Lei Municipal 2985/2021, caberá à contratante, por meio do Departamento de Pátio e Leilão, gerenciar, controlar e executar as atividades de trânsito em todo o território municipal e adotar medidas necessárias para a implementação dos serviços de guincho e de depósito em pátio de veículos que tenham sido recolhidos por infrações de trânsito e aplicação das medidas administrativas e penalidades cabíveis, conforme previsão contida no Código de Trânsito Brasileiro - CTB.</w:t>
            </w:r>
          </w:p>
          <w:p w14:paraId="6F437FBB">
            <w:pPr>
              <w:ind w:firstLine="720" w:firstLineChars="300"/>
              <w:jc w:val="both"/>
              <w:rPr>
                <w:sz w:val="24"/>
                <w:szCs w:val="24"/>
              </w:rPr>
            </w:pPr>
            <w:r>
              <w:rPr>
                <w:sz w:val="24"/>
                <w:szCs w:val="24"/>
              </w:rPr>
              <w:t xml:space="preserve">* A liberação e retirada dos veículos automotores e similares apreendidos no Depósito em Pátio, será solicitado à Secretaria Municipal de Segurança e Trânsito, no Setor de Pátio e Leilão que, mediante autorização da Autoridade Municipal de Trânsito, expedirá documento liberatório. A liberação do veículo será providenciada mediante a comprovação do pagamento de todas as taxas de remoção e de depósito em pátio, registrado pela Secretaria Municipal de Segurança e Trânsito, no Setor de Pátio e Leilão, assim como a regularização de qualquer irregularidade constatada no veículo. Quando não for possível sanar as irregularidades no pátio da (s) empresa (s) credenciada (s), a autoridade municipal de trânsito poderá conceder ao proprietário/representante, liberação condicionada do veículo, com prazo estipulado na liberação, para que o proprietário/representante possa apresentar para vistoria, o veículo com todas as irregularidades sanadas, no Setor de Pátio e Leilão, da Secretaria Municipal de Segurança e Trânsito, mediante o pagamento da taxa de vistoria no valor de 9 (nove) U. R.`s - Unidades de Referência, que, no corrente ano, corresponde a R$ 33,75 (trinta e três reais e setenta e cinco centavos). Neste caso, o veículo deverá ser apresentado fisicamente no setor, não sendo aceito laudo lacrado advindo de outro órgão ou qualquer outro meio de vistoria. </w:t>
            </w:r>
          </w:p>
          <w:p w14:paraId="0B882ED5">
            <w:pPr>
              <w:ind w:firstLine="720" w:firstLineChars="300"/>
              <w:jc w:val="both"/>
              <w:rPr>
                <w:sz w:val="24"/>
                <w:szCs w:val="24"/>
              </w:rPr>
            </w:pPr>
            <w:r>
              <w:rPr>
                <w:sz w:val="24"/>
                <w:szCs w:val="24"/>
              </w:rPr>
              <w:t>* Depois de decorrido o prazo de 60 (sessenta) dias, os veículos apreendidos ou removidos não reclamados, serão levados à hasta pública pela contratante, na forma do Código de Trânsito Brasileiro e da Resolução pertinente do Conselho Nacional de Trânsito - CONTRAN. Os valores arrecadados com a venda dos veículos deverão ser destinados, obedecida as diretrizes estipuladas pela Resolução do CONTRAN pertinente, à quitação dos débitos existentes sobre o prontuário desse veículo e o restante, se houver, depositado à conta do ex-proprietário.</w:t>
            </w:r>
          </w:p>
          <w:p w14:paraId="02796BA3">
            <w:pPr>
              <w:ind w:firstLine="720" w:firstLineChars="300"/>
              <w:jc w:val="both"/>
              <w:rPr>
                <w:sz w:val="24"/>
                <w:szCs w:val="24"/>
              </w:rPr>
            </w:pPr>
            <w:r>
              <w:rPr>
                <w:sz w:val="24"/>
                <w:szCs w:val="24"/>
              </w:rPr>
              <w:t>* Caberá a contratante, a responsabilidade de notificar por escrito o proprietário do veículo recolhido ao local utilizado para depósito. Nos casos em que não for possível notificar o proprietário do veículo através de protocolo, a contratante o fará por edital e realizará ampla divulgação no período mínimo de 10 (dez) dias.</w:t>
            </w:r>
          </w:p>
          <w:p w14:paraId="0722FFEB">
            <w:pPr>
              <w:ind w:firstLine="720" w:firstLineChars="300"/>
              <w:jc w:val="both"/>
              <w:rPr>
                <w:sz w:val="24"/>
                <w:szCs w:val="24"/>
              </w:rPr>
            </w:pPr>
            <w:r>
              <w:rPr>
                <w:sz w:val="24"/>
                <w:szCs w:val="24"/>
              </w:rPr>
              <w:t>* Caberá a contratante, conjuntamente com a Secretaria Municipal de Administração e Modernização, ouvida a Procuradoria Jurídica do Município, a promoção e execução do leilão, podendo inclusive autorizar a venda através do leilão, observando a legislação vigente. Caso entenda necessário, a contratante poderá atribuir a contratação de leiloeiro para a (s) empresa (s) de Guincho Credenciada (s), ficando a encargo da Secretaria Municipal de Segurança e Trânsito à fiscalização da promoção e execução da hasta pública</w:t>
            </w:r>
          </w:p>
          <w:p w14:paraId="64C09A96">
            <w:pPr>
              <w:ind w:firstLine="720" w:firstLineChars="300"/>
              <w:jc w:val="both"/>
              <w:rPr>
                <w:sz w:val="24"/>
                <w:szCs w:val="24"/>
              </w:rPr>
            </w:pPr>
            <w:r>
              <w:rPr>
                <w:sz w:val="24"/>
                <w:szCs w:val="24"/>
              </w:rPr>
              <w:t>* Prestar quaisquer esclarecimentos que venham a ser formalmente solicitados pela (s) empresa (s) credenciada (s) e pertinente ao objeto do presente termo.</w:t>
            </w:r>
          </w:p>
          <w:p w14:paraId="4BF75083">
            <w:pPr>
              <w:ind w:firstLine="720" w:firstLineChars="300"/>
              <w:jc w:val="both"/>
              <w:rPr>
                <w:sz w:val="24"/>
                <w:szCs w:val="24"/>
              </w:rPr>
            </w:pPr>
            <w:r>
              <w:rPr>
                <w:sz w:val="24"/>
                <w:szCs w:val="24"/>
              </w:rPr>
              <w:t>* Fiscalizar a execução do (s) contrato (s).</w:t>
            </w:r>
          </w:p>
          <w:p w14:paraId="69D88EF3">
            <w:pPr>
              <w:ind w:firstLine="720" w:firstLineChars="300"/>
              <w:jc w:val="both"/>
              <w:rPr>
                <w:sz w:val="24"/>
                <w:szCs w:val="24"/>
              </w:rPr>
            </w:pPr>
            <w:r>
              <w:rPr>
                <w:sz w:val="24"/>
                <w:szCs w:val="24"/>
              </w:rPr>
              <w:t>* Proporcionar todas as facilidades necessárias à (s) empresa (s) vencedora (s), inclusive comunicando por escrito e tempestivamente, qualquer mudança de Administração e conta para pagamento.</w:t>
            </w:r>
          </w:p>
          <w:p w14:paraId="33F0E68E">
            <w:pPr>
              <w:ind w:firstLine="720" w:firstLineChars="300"/>
              <w:jc w:val="both"/>
              <w:rPr>
                <w:sz w:val="24"/>
                <w:szCs w:val="24"/>
              </w:rPr>
            </w:pPr>
            <w:r>
              <w:rPr>
                <w:sz w:val="24"/>
                <w:szCs w:val="24"/>
              </w:rPr>
              <w:t>* A Secretaria através da área demandante notificará, formal e tempestivamente a (s) empresa (s) credenciada (s), sobre irregularidades observadas no cumprimento da execução do objeto da licitação.</w:t>
            </w:r>
          </w:p>
          <w:p w14:paraId="3BC9AD1A">
            <w:pPr>
              <w:ind w:firstLine="720" w:firstLineChars="300"/>
              <w:jc w:val="both"/>
              <w:rPr>
                <w:sz w:val="24"/>
                <w:szCs w:val="24"/>
              </w:rPr>
            </w:pPr>
            <w:r>
              <w:rPr>
                <w:sz w:val="24"/>
                <w:szCs w:val="24"/>
              </w:rPr>
              <w:t>* Aplicar à (s) detentora (s) do (s) Contrato (s), penalidades, quando for o caso.</w:t>
            </w:r>
          </w:p>
          <w:p w14:paraId="43029E47">
            <w:pPr>
              <w:ind w:firstLine="720" w:firstLineChars="300"/>
              <w:jc w:val="both"/>
              <w:rPr>
                <w:sz w:val="24"/>
                <w:szCs w:val="24"/>
              </w:rPr>
            </w:pPr>
            <w:r>
              <w:rPr>
                <w:sz w:val="24"/>
                <w:szCs w:val="24"/>
              </w:rPr>
              <w:t>* Prestar à (s) detentora (s) do (s) Contrato (s), toda e qualquer informação, por esta solicitada, necessária à perfeita execução da prestação dos serviços.</w:t>
            </w:r>
          </w:p>
          <w:p w14:paraId="567EEFD8">
            <w:pPr>
              <w:ind w:firstLine="720" w:firstLineChars="300"/>
              <w:jc w:val="both"/>
              <w:rPr>
                <w:sz w:val="24"/>
                <w:szCs w:val="24"/>
              </w:rPr>
            </w:pPr>
            <w:r>
              <w:rPr>
                <w:sz w:val="24"/>
                <w:szCs w:val="24"/>
              </w:rPr>
              <w:t>* Notificar, por escrito, à (s) detentora (s) do (s) Contrato (s), da aplicação de qualquer sanção.</w:t>
            </w:r>
          </w:p>
          <w:p w14:paraId="557B55B5">
            <w:pPr>
              <w:ind w:firstLine="720" w:firstLineChars="300"/>
              <w:jc w:val="both"/>
              <w:rPr>
                <w:sz w:val="24"/>
                <w:szCs w:val="24"/>
              </w:rPr>
            </w:pPr>
            <w:r>
              <w:rPr>
                <w:sz w:val="24"/>
                <w:szCs w:val="24"/>
              </w:rPr>
              <w:t>* O preço da prestação dos serviços é fixado por meio da Lei 2985/2021 e encontra-se em U. R. – Unidade de referência, ou seja, todos os anos, o valor dos serviços será reajustado, de acordo com a variação da U. R.</w:t>
            </w:r>
          </w:p>
        </w:tc>
      </w:tr>
    </w:tbl>
    <w:p w14:paraId="7D3BB623">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5B32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76C769CD">
            <w:pPr>
              <w:rPr>
                <w:sz w:val="24"/>
                <w:szCs w:val="24"/>
              </w:rPr>
            </w:pPr>
            <w:r>
              <w:rPr>
                <w:b/>
                <w:bCs/>
                <w:sz w:val="24"/>
                <w:szCs w:val="24"/>
              </w:rPr>
              <w:t>6.5 - FISCAL DO CONTRATO</w:t>
            </w:r>
          </w:p>
        </w:tc>
      </w:tr>
      <w:tr w14:paraId="4BD9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499D0586">
            <w:pPr>
              <w:ind w:firstLine="720" w:firstLineChars="300"/>
              <w:jc w:val="both"/>
              <w:rPr>
                <w:sz w:val="24"/>
                <w:szCs w:val="24"/>
              </w:rPr>
            </w:pPr>
            <w:r>
              <w:rPr>
                <w:sz w:val="24"/>
                <w:szCs w:val="24"/>
              </w:rPr>
              <w:t>O acompanhamento e a fiscalização da execução do (s) contrato (s) consistem na verificação da conformidade da prestação dos serviços continuados, de forma a assegurar o perfeito cumprimento do ajustado.</w:t>
            </w:r>
          </w:p>
          <w:p w14:paraId="27E9D0D4">
            <w:pPr>
              <w:ind w:firstLine="720" w:firstLineChars="300"/>
              <w:jc w:val="both"/>
              <w:rPr>
                <w:sz w:val="24"/>
                <w:szCs w:val="24"/>
              </w:rPr>
            </w:pPr>
            <w:r>
              <w:rPr>
                <w:sz w:val="24"/>
                <w:szCs w:val="24"/>
              </w:rPr>
              <w:t>A fiscalização do (s) Contrato (s) ficará a cargo da Contratante, através da Secretaria Municipal de Segurança e Trânsito, por intermédio dos servidores abaixo relacionados:</w:t>
            </w:r>
          </w:p>
          <w:p w14:paraId="4FFD251D">
            <w:pPr>
              <w:numPr>
                <w:ilvl w:val="0"/>
                <w:numId w:val="1"/>
              </w:numPr>
              <w:ind w:firstLine="720" w:firstLineChars="300"/>
              <w:jc w:val="both"/>
              <w:rPr>
                <w:sz w:val="24"/>
                <w:szCs w:val="24"/>
              </w:rPr>
            </w:pPr>
            <w:r>
              <w:rPr>
                <w:b/>
                <w:bCs/>
                <w:sz w:val="24"/>
                <w:szCs w:val="24"/>
              </w:rPr>
              <w:t xml:space="preserve">Fiscal/Gestor: </w:t>
            </w:r>
            <w:r>
              <w:rPr>
                <w:b/>
                <w:color w:val="000000"/>
                <w:sz w:val="24"/>
                <w:szCs w:val="24"/>
              </w:rPr>
              <w:t xml:space="preserve">MARCIA REGINA PACHECO SOCREPPA, </w:t>
            </w:r>
            <w:r>
              <w:rPr>
                <w:bCs/>
                <w:color w:val="000000"/>
                <w:sz w:val="24"/>
                <w:szCs w:val="24"/>
              </w:rPr>
              <w:t xml:space="preserve">inscrita no CPF sob n.º 581.791.941-91 e Matrícula sob n.º 6.732, ocupante do cargo de Guarda Civil Municipal, lotada na Secretaria Municipal de Segurança e Trânsito - SST, telefone (66) 9.9955-0910 e e-mail </w:t>
            </w:r>
            <w:r>
              <w:fldChar w:fldCharType="begin"/>
            </w:r>
            <w:r>
              <w:instrText xml:space="preserve"> HYPERLINK "mailto:marciapachecosocreppa@gmail.com" </w:instrText>
            </w:r>
            <w:r>
              <w:fldChar w:fldCharType="separate"/>
            </w:r>
            <w:r>
              <w:rPr>
                <w:rStyle w:val="5"/>
                <w:bCs/>
                <w:sz w:val="24"/>
                <w:szCs w:val="24"/>
              </w:rPr>
              <w:t>marciapachecosocreppa@gmail.com</w:t>
            </w:r>
            <w:r>
              <w:rPr>
                <w:rStyle w:val="5"/>
                <w:bCs/>
                <w:sz w:val="24"/>
                <w:szCs w:val="24"/>
              </w:rPr>
              <w:fldChar w:fldCharType="end"/>
            </w:r>
            <w:r>
              <w:rPr>
                <w:bCs/>
                <w:color w:val="000000"/>
                <w:sz w:val="24"/>
                <w:szCs w:val="24"/>
              </w:rPr>
              <w:t xml:space="preserve">. </w:t>
            </w:r>
          </w:p>
          <w:p w14:paraId="3D85AA0B">
            <w:pPr>
              <w:numPr>
                <w:ilvl w:val="0"/>
                <w:numId w:val="1"/>
              </w:numPr>
              <w:ind w:firstLine="720" w:firstLineChars="300"/>
              <w:jc w:val="both"/>
              <w:rPr>
                <w:sz w:val="24"/>
                <w:szCs w:val="24"/>
              </w:rPr>
            </w:pPr>
            <w:r>
              <w:rPr>
                <w:b/>
                <w:bCs/>
                <w:sz w:val="24"/>
                <w:szCs w:val="24"/>
              </w:rPr>
              <w:t xml:space="preserve">Suplente: HUDSON GONÇALVES LIMA, </w:t>
            </w:r>
            <w:r>
              <w:rPr>
                <w:sz w:val="24"/>
                <w:szCs w:val="24"/>
              </w:rPr>
              <w:t xml:space="preserve">inscrito no CPF sob o n.° 906.835.361-68 e Matrícula sob n.° 6720, ocupante do cargo de Guarda Civil Municipal, lotado na Secretaria Municipal de Segurança e Trânsito- SST, telefone (66) 9.9903-9270 e e-mail </w:t>
            </w:r>
            <w:r>
              <w:fldChar w:fldCharType="begin"/>
            </w:r>
            <w:r>
              <w:instrText xml:space="preserve"> HYPERLINK "mailto:cmtehudsonlima@hotmail.com" </w:instrText>
            </w:r>
            <w:r>
              <w:fldChar w:fldCharType="separate"/>
            </w:r>
            <w:r>
              <w:rPr>
                <w:rStyle w:val="5"/>
                <w:sz w:val="24"/>
                <w:szCs w:val="24"/>
              </w:rPr>
              <w:t>cmtehudsonlima@hotmail.com</w:t>
            </w:r>
            <w:r>
              <w:rPr>
                <w:rStyle w:val="5"/>
                <w:sz w:val="24"/>
                <w:szCs w:val="24"/>
              </w:rPr>
              <w:fldChar w:fldCharType="end"/>
            </w:r>
            <w:r>
              <w:rPr>
                <w:sz w:val="24"/>
                <w:szCs w:val="24"/>
              </w:rPr>
              <w:t>.</w:t>
            </w:r>
          </w:p>
        </w:tc>
      </w:tr>
    </w:tbl>
    <w:p w14:paraId="687A8384">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09152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3F144E86">
            <w:pPr>
              <w:rPr>
                <w:sz w:val="24"/>
                <w:szCs w:val="24"/>
              </w:rPr>
            </w:pPr>
            <w:r>
              <w:rPr>
                <w:b/>
                <w:bCs/>
                <w:sz w:val="24"/>
                <w:szCs w:val="24"/>
              </w:rPr>
              <w:t>7 – CONTROLE E FISCALIZAÇÃO DO CONTRATO</w:t>
            </w:r>
          </w:p>
        </w:tc>
      </w:tr>
      <w:tr w14:paraId="22A7C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0CDBF78E">
            <w:pPr>
              <w:pStyle w:val="20"/>
              <w:spacing w:line="275" w:lineRule="exact"/>
              <w:ind w:firstLine="600" w:firstLineChars="250"/>
              <w:jc w:val="both"/>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lang w:val="pt-BR"/>
              </w:rPr>
              <w:t>* O Contrato deverá ser executado fielmente pelas partes, de acordo com as cláusulas avençadas e as normas da Lei Federal nº 14.133/2021, e cada parte responderá pelas consequências de sua inexecução total ou parcial;</w:t>
            </w:r>
          </w:p>
          <w:p w14:paraId="6DB4CA5D">
            <w:pPr>
              <w:pStyle w:val="20"/>
              <w:spacing w:line="275" w:lineRule="exact"/>
              <w:ind w:firstLine="600" w:firstLineChars="250"/>
              <w:jc w:val="both"/>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lang w:val="pt-BR"/>
              </w:rPr>
              <w:t>* As comunicações entre a Secretaria Municipal de Segurança e Trânsito e a (s) contratada (s) devem ser realizadas por escrito sempre que o ato exigir tal formalidade, admitindo-se o uso de mensagem eletrônica para esse fim;</w:t>
            </w:r>
          </w:p>
          <w:p w14:paraId="4BC45270">
            <w:pPr>
              <w:pStyle w:val="20"/>
              <w:spacing w:line="275" w:lineRule="exact"/>
              <w:ind w:firstLine="600" w:firstLineChars="250"/>
              <w:jc w:val="both"/>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lang w:val="pt-BR"/>
              </w:rPr>
              <w:t>* A execução do Contrato deverá ser acompanhada e fiscalizada pelo (s) fiscal (is) acima elencados;</w:t>
            </w:r>
          </w:p>
          <w:p w14:paraId="459B67E2">
            <w:pPr>
              <w:pStyle w:val="20"/>
              <w:spacing w:line="275" w:lineRule="exact"/>
              <w:ind w:firstLine="600" w:firstLineChars="250"/>
              <w:jc w:val="both"/>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lang w:val="pt-BR"/>
              </w:rPr>
              <w:t>* O fiscal/gestor do Contrato tomará providências para a formalização de processo administrativo de responsabilização para fins de aplicação de sanções;</w:t>
            </w:r>
          </w:p>
          <w:p w14:paraId="75ED10BB">
            <w:pPr>
              <w:pStyle w:val="20"/>
              <w:spacing w:line="275" w:lineRule="exact"/>
              <w:ind w:firstLine="600" w:firstLineChars="250"/>
              <w:jc w:val="both"/>
              <w:rPr>
                <w:rFonts w:hint="default" w:ascii="Times New Roman" w:hAnsi="Times New Roman" w:eastAsia="SimSun" w:cs="Times New Roman"/>
                <w:sz w:val="24"/>
                <w:szCs w:val="24"/>
                <w:lang w:val="pt-BR"/>
              </w:rPr>
            </w:pPr>
            <w:r>
              <w:rPr>
                <w:rFonts w:hint="default" w:ascii="Times New Roman" w:hAnsi="Times New Roman" w:eastAsia="SimSun" w:cs="Times New Roman"/>
                <w:sz w:val="24"/>
                <w:szCs w:val="24"/>
                <w:lang w:val="pt-BR"/>
              </w:rPr>
              <w:t>* A fiscalização do Contrato ficará a cargo da contratante, através da Secretaria Municipal de Segurança e Trânsito, por intermédio do fiscal gestor e/ou substituto.</w:t>
            </w:r>
          </w:p>
          <w:p w14:paraId="7FC1DC5A">
            <w:pPr>
              <w:pStyle w:val="18"/>
              <w:spacing w:before="120" w:beforeLines="50" w:after="120" w:afterLines="50" w:line="360" w:lineRule="auto"/>
              <w:jc w:val="both"/>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 xml:space="preserve"> </w:t>
            </w:r>
            <w:r>
              <w:rPr>
                <w:rFonts w:hint="default" w:ascii="Times New Roman" w:hAnsi="Times New Roman" w:cs="Times New Roman"/>
                <w:b/>
                <w:bCs/>
                <w:color w:val="auto"/>
                <w:sz w:val="24"/>
                <w:szCs w:val="24"/>
                <w:lang w:val="pt-BR"/>
              </w:rPr>
              <w:t xml:space="preserve">         * </w:t>
            </w:r>
            <w:r>
              <w:rPr>
                <w:rFonts w:hint="default" w:ascii="Times New Roman" w:hAnsi="Times New Roman" w:cs="Times New Roman"/>
                <w:color w:val="auto"/>
                <w:sz w:val="24"/>
                <w:szCs w:val="24"/>
              </w:rPr>
              <w:t xml:space="preserve">O Contrato deverá ser executada fielmente pelas partes, de acordo com as cláusulas avençadas e as normas da Lei Federal n.º 14.133/2021, e cada parte responderá pelas consequências de sua inexecução total ou parcial. </w:t>
            </w:r>
          </w:p>
          <w:p w14:paraId="4B2F6048">
            <w:pPr>
              <w:pStyle w:val="18"/>
              <w:spacing w:before="120" w:beforeLines="50" w:after="120" w:afterLines="50" w:line="360" w:lineRule="auto"/>
              <w:ind w:left="0" w:leftChars="0" w:firstLine="600" w:firstLineChars="250"/>
              <w:jc w:val="both"/>
              <w:rPr>
                <w:rFonts w:hint="default" w:ascii="Times New Roman" w:hAnsi="Times New Roman" w:cs="Times New Roman"/>
                <w:b/>
                <w:bCs/>
                <w:color w:val="FF0000"/>
                <w:sz w:val="24"/>
                <w:szCs w:val="24"/>
              </w:rPr>
            </w:pPr>
            <w:r>
              <w:rPr>
                <w:rFonts w:hint="default" w:ascii="Times New Roman" w:hAnsi="Times New Roman" w:cs="Times New Roman"/>
                <w:b/>
                <w:bCs/>
                <w:color w:val="auto"/>
                <w:sz w:val="24"/>
                <w:szCs w:val="24"/>
                <w:lang w:val="pt-BR"/>
              </w:rPr>
              <w:t xml:space="preserve"> </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pt-BR"/>
              </w:rPr>
              <w:t xml:space="preserve">* </w:t>
            </w:r>
            <w:r>
              <w:rPr>
                <w:rFonts w:hint="default" w:ascii="Times New Roman" w:hAnsi="Times New Roman" w:cs="Times New Roman"/>
                <w:color w:val="auto"/>
                <w:sz w:val="24"/>
                <w:szCs w:val="24"/>
              </w:rPr>
              <w:t xml:space="preserve">O Contrato será acompanhada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hint="default" w:ascii="Times New Roman" w:hAnsi="Times New Roman" w:eastAsia="Arial" w:cs="Times New Roman"/>
                <w:color w:val="auto"/>
                <w:sz w:val="24"/>
                <w:szCs w:val="24"/>
              </w:rPr>
              <w:t>Decreto Municipal n.º 359/2023</w:t>
            </w:r>
            <w:r>
              <w:rPr>
                <w:rFonts w:hint="default" w:ascii="Times New Roman" w:hAnsi="Times New Roman" w:cs="Times New Roman"/>
                <w:color w:val="auto"/>
                <w:sz w:val="24"/>
                <w:szCs w:val="24"/>
              </w:rPr>
              <w:t>.</w:t>
            </w:r>
          </w:p>
          <w:p w14:paraId="738D8019">
            <w:pPr>
              <w:pStyle w:val="18"/>
              <w:spacing w:before="120" w:beforeLines="50" w:after="120" w:afterLines="50" w:line="360" w:lineRule="auto"/>
              <w:ind w:left="0" w:leftChars="0" w:firstLine="600" w:firstLineChars="250"/>
              <w:jc w:val="both"/>
              <w:rPr>
                <w:rFonts w:hint="default" w:ascii="Times New Roman" w:hAnsi="Times New Roman" w:cs="Times New Roman"/>
                <w:b/>
                <w:bCs/>
                <w:color w:val="FF0000"/>
                <w:sz w:val="24"/>
                <w:szCs w:val="24"/>
              </w:rPr>
            </w:pPr>
            <w:r>
              <w:rPr>
                <w:rFonts w:hint="default" w:ascii="Times New Roman" w:hAnsi="Times New Roman" w:cs="Times New Roman"/>
                <w:color w:val="auto"/>
                <w:sz w:val="24"/>
                <w:szCs w:val="24"/>
                <w:lang w:val="pt-BR"/>
              </w:rPr>
              <w:t xml:space="preserve">* </w:t>
            </w:r>
            <w:r>
              <w:rPr>
                <w:rFonts w:hint="default" w:ascii="Times New Roman" w:hAnsi="Times New Roman" w:cs="Times New Roman"/>
                <w:color w:val="auto"/>
                <w:sz w:val="24"/>
                <w:szCs w:val="24"/>
              </w:rPr>
              <w:t xml:space="preserve">O Contrato será fiscalizada por um fiscal cujas atribuições são relativas à execução do objeto contratual, conforme estabelecido no </w:t>
            </w:r>
            <w:r>
              <w:rPr>
                <w:rFonts w:hint="default" w:ascii="Times New Roman" w:hAnsi="Times New Roman" w:eastAsia="Arial" w:cs="Times New Roman"/>
                <w:color w:val="auto"/>
                <w:sz w:val="24"/>
                <w:szCs w:val="24"/>
              </w:rPr>
              <w:t>Decreto Municipal n.º 359/2023</w:t>
            </w:r>
            <w:r>
              <w:rPr>
                <w:rFonts w:hint="default" w:ascii="Times New Roman" w:hAnsi="Times New Roman" w:cs="Times New Roman"/>
                <w:color w:val="auto"/>
                <w:sz w:val="24"/>
                <w:szCs w:val="24"/>
              </w:rPr>
              <w:t>.</w:t>
            </w:r>
          </w:p>
          <w:p w14:paraId="16782609">
            <w:pPr>
              <w:autoSpaceDE w:val="0"/>
              <w:autoSpaceDN w:val="0"/>
              <w:adjustRightInd w:val="0"/>
              <w:spacing w:before="120" w:beforeLines="50" w:after="120" w:afterLines="50" w:line="360" w:lineRule="auto"/>
              <w:ind w:left="0" w:leftChars="0" w:firstLine="600" w:firstLineChars="250"/>
              <w:jc w:val="both"/>
              <w:rPr>
                <w:rFonts w:hint="default" w:ascii="Times New Roman" w:hAnsi="Times New Roman" w:cs="Times New Roman"/>
                <w:b/>
                <w:bCs/>
                <w:sz w:val="24"/>
                <w:szCs w:val="24"/>
              </w:rPr>
            </w:pPr>
            <w:r>
              <w:rPr>
                <w:rFonts w:hint="default" w:cs="Times New Roman"/>
                <w:b/>
                <w:bCs/>
                <w:sz w:val="24"/>
                <w:szCs w:val="24"/>
                <w:lang w:val="pt-BR"/>
              </w:rPr>
              <w:t xml:space="preserve">* </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Após a assinatura do Contrato, será elaborado o plano de fiscalização que terá como referência o Termo de Referência, Edital e instrumento contratual e constará as estratégias de execução e fiscalização, conforme estabelecido no</w:t>
            </w:r>
            <w:r>
              <w:rPr>
                <w:rFonts w:hint="default" w:ascii="Times New Roman" w:hAnsi="Times New Roman" w:eastAsia="Arial" w:cs="Times New Roman"/>
                <w:sz w:val="24"/>
                <w:szCs w:val="24"/>
              </w:rPr>
              <w:t xml:space="preserve"> Decreto Municipal n.º 359/2023</w:t>
            </w:r>
            <w:r>
              <w:rPr>
                <w:rFonts w:hint="default" w:ascii="Times New Roman" w:hAnsi="Times New Roman" w:cs="Times New Roman"/>
                <w:sz w:val="24"/>
                <w:szCs w:val="24"/>
              </w:rPr>
              <w:t>.</w:t>
            </w:r>
          </w:p>
          <w:p w14:paraId="1A57F0ED">
            <w:pPr>
              <w:pStyle w:val="18"/>
              <w:spacing w:before="120" w:beforeLines="50" w:after="120" w:afterLines="50" w:line="360" w:lineRule="auto"/>
              <w:ind w:left="0" w:leftChars="0" w:firstLine="600" w:firstLineChars="250"/>
              <w:jc w:val="both"/>
              <w:rPr>
                <w:rStyle w:val="25"/>
                <w:rFonts w:hint="default" w:ascii="Times New Roman" w:hAnsi="Times New Roman" w:cs="Times New Roman"/>
                <w:color w:val="auto"/>
                <w:sz w:val="24"/>
                <w:szCs w:val="24"/>
              </w:rPr>
            </w:pPr>
            <w:r>
              <w:rPr>
                <w:rStyle w:val="25"/>
                <w:rFonts w:hint="default" w:ascii="Times New Roman" w:hAnsi="Times New Roman" w:cs="Times New Roman"/>
                <w:color w:val="auto"/>
                <w:sz w:val="24"/>
                <w:szCs w:val="24"/>
                <w:lang w:val="pt-BR"/>
              </w:rPr>
              <w:t xml:space="preserve">* </w:t>
            </w:r>
            <w:r>
              <w:rPr>
                <w:rStyle w:val="25"/>
                <w:rFonts w:hint="default" w:ascii="Times New Roman" w:hAnsi="Times New Roman" w:cs="Times New Roman"/>
                <w:color w:val="auto"/>
                <w:sz w:val="24"/>
                <w:szCs w:val="24"/>
              </w:rPr>
              <w:t xml:space="preserve"> A execução </w:t>
            </w:r>
            <w:r>
              <w:rPr>
                <w:rFonts w:hint="default" w:ascii="Times New Roman" w:hAnsi="Times New Roman" w:cs="Times New Roman"/>
                <w:color w:val="auto"/>
                <w:sz w:val="24"/>
                <w:szCs w:val="24"/>
              </w:rPr>
              <w:t>do Contrato</w:t>
            </w:r>
            <w:r>
              <w:rPr>
                <w:rStyle w:val="25"/>
                <w:rFonts w:hint="default" w:ascii="Times New Roman" w:hAnsi="Times New Roman" w:cs="Times New Roman"/>
                <w:color w:val="auto"/>
                <w:sz w:val="24"/>
                <w:szCs w:val="24"/>
              </w:rPr>
              <w:t xml:space="preserve"> deverá ser acompanhada e fiscalizada por meio de instrumentos de control</w:t>
            </w:r>
            <w:bookmarkStart w:id="2" w:name="_GoBack"/>
            <w:bookmarkEnd w:id="2"/>
            <w:r>
              <w:rPr>
                <w:rStyle w:val="25"/>
                <w:rFonts w:hint="default" w:ascii="Times New Roman" w:hAnsi="Times New Roman" w:cs="Times New Roman"/>
                <w:color w:val="auto"/>
                <w:sz w:val="24"/>
                <w:szCs w:val="24"/>
              </w:rPr>
              <w:t>e, que compreendam, quando for o caso, a mensuração dos seguintes aspectos:</w:t>
            </w:r>
          </w:p>
          <w:p w14:paraId="3AC27CC7">
            <w:pPr>
              <w:pStyle w:val="18"/>
              <w:spacing w:before="120" w:beforeLines="50" w:after="120" w:afterLines="50" w:line="360" w:lineRule="auto"/>
              <w:ind w:firstLine="523" w:firstLineChars="218"/>
              <w:jc w:val="both"/>
              <w:rPr>
                <w:rStyle w:val="25"/>
                <w:rFonts w:hint="default" w:ascii="Times New Roman" w:hAnsi="Times New Roman" w:cs="Times New Roman"/>
                <w:color w:val="auto"/>
                <w:sz w:val="24"/>
                <w:szCs w:val="24"/>
              </w:rPr>
            </w:pPr>
            <w:r>
              <w:rPr>
                <w:rStyle w:val="25"/>
                <w:rFonts w:hint="default" w:ascii="Times New Roman" w:hAnsi="Times New Roman" w:cs="Times New Roman"/>
                <w:b/>
                <w:bCs/>
                <w:color w:val="auto"/>
                <w:sz w:val="24"/>
                <w:szCs w:val="24"/>
              </w:rPr>
              <w:t xml:space="preserve">a) </w:t>
            </w:r>
            <w:r>
              <w:rPr>
                <w:rStyle w:val="25"/>
                <w:rFonts w:hint="default" w:ascii="Times New Roman" w:hAnsi="Times New Roman" w:cs="Times New Roman"/>
                <w:color w:val="auto"/>
                <w:sz w:val="24"/>
                <w:szCs w:val="24"/>
              </w:rPr>
              <w:t xml:space="preserve">os resultados alcançados em relação ao contrato, com a verificação dos prazos de execução e da qualidade demandada; </w:t>
            </w:r>
          </w:p>
          <w:p w14:paraId="5239BF79">
            <w:pPr>
              <w:pStyle w:val="18"/>
              <w:spacing w:before="120" w:beforeLines="50" w:after="120" w:afterLines="50" w:line="360" w:lineRule="auto"/>
              <w:ind w:firstLine="523" w:firstLineChars="218"/>
              <w:jc w:val="both"/>
              <w:rPr>
                <w:rStyle w:val="25"/>
                <w:rFonts w:hint="default" w:ascii="Times New Roman" w:hAnsi="Times New Roman" w:cs="Times New Roman"/>
                <w:color w:val="auto"/>
                <w:sz w:val="24"/>
                <w:szCs w:val="24"/>
              </w:rPr>
            </w:pPr>
            <w:r>
              <w:rPr>
                <w:rStyle w:val="25"/>
                <w:rFonts w:hint="default" w:ascii="Times New Roman" w:hAnsi="Times New Roman" w:cs="Times New Roman"/>
                <w:b/>
                <w:bCs/>
                <w:color w:val="auto"/>
                <w:sz w:val="24"/>
                <w:szCs w:val="24"/>
              </w:rPr>
              <w:t xml:space="preserve">b) </w:t>
            </w:r>
            <w:r>
              <w:rPr>
                <w:rStyle w:val="25"/>
                <w:rFonts w:hint="default" w:ascii="Times New Roman" w:hAnsi="Times New Roman" w:cs="Times New Roman"/>
                <w:color w:val="auto"/>
                <w:sz w:val="24"/>
                <w:szCs w:val="24"/>
              </w:rPr>
              <w:t>os recursos humanos empregados, em função da quantidade e da formação profissional exigida, quando se tratar de contrato com dedicação exclusiva de mão de obra;</w:t>
            </w:r>
          </w:p>
          <w:p w14:paraId="0C73755A">
            <w:pPr>
              <w:pStyle w:val="18"/>
              <w:spacing w:before="120" w:beforeLines="50" w:after="120" w:afterLines="50" w:line="360" w:lineRule="auto"/>
              <w:ind w:firstLine="523" w:firstLineChars="218"/>
              <w:jc w:val="both"/>
              <w:rPr>
                <w:rStyle w:val="25"/>
                <w:rFonts w:hint="default" w:ascii="Times New Roman" w:hAnsi="Times New Roman" w:cs="Times New Roman"/>
                <w:color w:val="auto"/>
                <w:sz w:val="24"/>
                <w:szCs w:val="24"/>
              </w:rPr>
            </w:pPr>
            <w:r>
              <w:rPr>
                <w:rStyle w:val="25"/>
                <w:rFonts w:hint="default" w:ascii="Times New Roman" w:hAnsi="Times New Roman" w:cs="Times New Roman"/>
                <w:b/>
                <w:bCs/>
                <w:color w:val="auto"/>
                <w:sz w:val="24"/>
                <w:szCs w:val="24"/>
              </w:rPr>
              <w:t xml:space="preserve">c) </w:t>
            </w:r>
            <w:r>
              <w:rPr>
                <w:rStyle w:val="25"/>
                <w:rFonts w:hint="default" w:ascii="Times New Roman" w:hAnsi="Times New Roman" w:cs="Times New Roman"/>
                <w:color w:val="auto"/>
                <w:sz w:val="24"/>
                <w:szCs w:val="24"/>
              </w:rPr>
              <w:t>a qualidade e quantidade dos recursos materiais utilizados;</w:t>
            </w:r>
          </w:p>
          <w:p w14:paraId="4469C2DB">
            <w:pPr>
              <w:pStyle w:val="18"/>
              <w:spacing w:before="120" w:beforeLines="50" w:after="120" w:afterLines="50" w:line="360" w:lineRule="auto"/>
              <w:ind w:firstLine="523" w:firstLineChars="218"/>
              <w:jc w:val="both"/>
              <w:rPr>
                <w:rStyle w:val="25"/>
                <w:rFonts w:hint="default" w:ascii="Times New Roman" w:hAnsi="Times New Roman" w:cs="Times New Roman"/>
                <w:color w:val="auto"/>
                <w:sz w:val="24"/>
                <w:szCs w:val="24"/>
              </w:rPr>
            </w:pPr>
            <w:r>
              <w:rPr>
                <w:rStyle w:val="25"/>
                <w:rFonts w:hint="default" w:ascii="Times New Roman" w:hAnsi="Times New Roman" w:cs="Times New Roman"/>
                <w:b/>
                <w:bCs/>
                <w:color w:val="auto"/>
                <w:sz w:val="24"/>
                <w:szCs w:val="24"/>
              </w:rPr>
              <w:t xml:space="preserve">d) </w:t>
            </w:r>
            <w:r>
              <w:rPr>
                <w:rStyle w:val="25"/>
                <w:rFonts w:hint="default" w:ascii="Times New Roman" w:hAnsi="Times New Roman" w:cs="Times New Roman"/>
                <w:color w:val="auto"/>
                <w:sz w:val="24"/>
                <w:szCs w:val="24"/>
              </w:rPr>
              <w:t>a adequação dos serviços prestados à rotina de execução estabelecida;</w:t>
            </w:r>
          </w:p>
          <w:p w14:paraId="28651823">
            <w:pPr>
              <w:pStyle w:val="18"/>
              <w:spacing w:before="120" w:beforeLines="50" w:after="120" w:afterLines="50" w:line="360" w:lineRule="auto"/>
              <w:ind w:firstLine="523" w:firstLineChars="218"/>
              <w:jc w:val="both"/>
              <w:rPr>
                <w:rStyle w:val="25"/>
                <w:rFonts w:hint="default" w:ascii="Times New Roman" w:hAnsi="Times New Roman" w:cs="Times New Roman"/>
                <w:color w:val="auto"/>
                <w:sz w:val="24"/>
                <w:szCs w:val="24"/>
              </w:rPr>
            </w:pPr>
            <w:r>
              <w:rPr>
                <w:rStyle w:val="25"/>
                <w:rFonts w:hint="default" w:ascii="Times New Roman" w:hAnsi="Times New Roman" w:cs="Times New Roman"/>
                <w:b/>
                <w:bCs/>
                <w:color w:val="auto"/>
                <w:sz w:val="24"/>
                <w:szCs w:val="24"/>
              </w:rPr>
              <w:t xml:space="preserve">e) </w:t>
            </w:r>
            <w:r>
              <w:rPr>
                <w:rStyle w:val="25"/>
                <w:rFonts w:hint="default" w:ascii="Times New Roman" w:hAnsi="Times New Roman" w:cs="Times New Roman"/>
                <w:color w:val="auto"/>
                <w:sz w:val="24"/>
                <w:szCs w:val="24"/>
              </w:rPr>
              <w:t xml:space="preserve">o cumprimento das demais obrigações decorrentes </w:t>
            </w:r>
            <w:r>
              <w:rPr>
                <w:rFonts w:hint="default" w:ascii="Times New Roman" w:hAnsi="Times New Roman" w:cs="Times New Roman"/>
                <w:color w:val="auto"/>
                <w:sz w:val="24"/>
                <w:szCs w:val="24"/>
              </w:rPr>
              <w:t>do Contrato</w:t>
            </w:r>
            <w:r>
              <w:rPr>
                <w:rStyle w:val="25"/>
                <w:rFonts w:hint="default" w:ascii="Times New Roman" w:hAnsi="Times New Roman" w:cs="Times New Roman"/>
                <w:color w:val="auto"/>
                <w:sz w:val="24"/>
                <w:szCs w:val="24"/>
              </w:rPr>
              <w:t xml:space="preserve">; e </w:t>
            </w:r>
          </w:p>
          <w:p w14:paraId="495BC29E">
            <w:pPr>
              <w:pStyle w:val="18"/>
              <w:spacing w:before="120" w:beforeLines="50" w:after="120" w:afterLines="50" w:line="360" w:lineRule="auto"/>
              <w:ind w:firstLine="523" w:firstLineChars="218"/>
              <w:jc w:val="both"/>
              <w:rPr>
                <w:rFonts w:hint="default" w:ascii="Times New Roman" w:hAnsi="Times New Roman" w:cs="Times New Roman"/>
                <w:b/>
                <w:bCs/>
                <w:color w:val="auto"/>
                <w:sz w:val="24"/>
                <w:szCs w:val="24"/>
              </w:rPr>
            </w:pPr>
            <w:r>
              <w:rPr>
                <w:rStyle w:val="25"/>
                <w:rFonts w:hint="default" w:ascii="Times New Roman" w:hAnsi="Times New Roman" w:cs="Times New Roman"/>
                <w:b/>
                <w:bCs/>
                <w:color w:val="auto"/>
                <w:sz w:val="24"/>
                <w:szCs w:val="24"/>
              </w:rPr>
              <w:t xml:space="preserve">f) </w:t>
            </w:r>
            <w:r>
              <w:rPr>
                <w:rStyle w:val="25"/>
                <w:rFonts w:hint="default" w:ascii="Times New Roman" w:hAnsi="Times New Roman" w:cs="Times New Roman"/>
                <w:color w:val="auto"/>
                <w:sz w:val="24"/>
                <w:szCs w:val="24"/>
              </w:rPr>
              <w:t>a satisfação do público usuário, quando cabível.</w:t>
            </w:r>
          </w:p>
          <w:p w14:paraId="5C2ECB3A">
            <w:pPr>
              <w:pStyle w:val="20"/>
              <w:spacing w:line="275" w:lineRule="exact"/>
              <w:ind w:firstLine="600" w:firstLineChars="250"/>
              <w:jc w:val="both"/>
              <w:rPr>
                <w:rFonts w:hint="default" w:ascii="Times New Roman" w:hAnsi="Times New Roman" w:eastAsia="SimSun" w:cs="Times New Roman"/>
                <w:sz w:val="24"/>
                <w:szCs w:val="24"/>
                <w:lang w:val="pt-BR"/>
              </w:rPr>
            </w:pPr>
          </w:p>
        </w:tc>
      </w:tr>
    </w:tbl>
    <w:p w14:paraId="19C965BE">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6236C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5E50F0E7">
            <w:pPr>
              <w:rPr>
                <w:sz w:val="24"/>
                <w:szCs w:val="24"/>
              </w:rPr>
            </w:pPr>
            <w:r>
              <w:rPr>
                <w:b/>
                <w:bCs/>
                <w:sz w:val="24"/>
                <w:szCs w:val="24"/>
              </w:rPr>
              <w:t>8 – EXECUÇÃO E PAGAMENTO</w:t>
            </w:r>
          </w:p>
        </w:tc>
      </w:tr>
      <w:tr w14:paraId="0AED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3CAEA461">
            <w:pPr>
              <w:ind w:firstLine="720" w:firstLineChars="300"/>
              <w:jc w:val="both"/>
              <w:rPr>
                <w:sz w:val="24"/>
                <w:szCs w:val="24"/>
              </w:rPr>
            </w:pPr>
            <w:r>
              <w:rPr>
                <w:sz w:val="24"/>
                <w:szCs w:val="24"/>
              </w:rPr>
              <w:t>Depois de feito todos os tramites legais do processo de credenciamento, a (s) empresa (s) que cumprir (em) com todas as exigências e for (em) credenciada (s) por meio de Contrato Administrativo, deverão começar a prestação dos serviços a partir do dia 05/08/2025 (cinco de agosto de dois mil e vinte e cinco).</w:t>
            </w:r>
          </w:p>
          <w:p w14:paraId="7B01B0ED">
            <w:pPr>
              <w:ind w:firstLine="720" w:firstLineChars="300"/>
              <w:jc w:val="both"/>
              <w:rPr>
                <w:sz w:val="24"/>
                <w:szCs w:val="24"/>
              </w:rPr>
            </w:pPr>
            <w:r>
              <w:rPr>
                <w:sz w:val="24"/>
                <w:szCs w:val="24"/>
              </w:rPr>
              <w:t>Este processo de credenciamento vai gerar receitas mensalmente, que devem cair direto no Fundo Municipal de Trânsito, via recolhimento de Documento de Arrecadação Municipal - DAM, por parte da (s) empresa (s) credenciada (s), de acordo com os Artigos 15 e 18 da Lei Municipal 2985/2021 (com alterações trazidas pelas Leis 2998/2021 e 3449/2025). Os valores cobrados para a prestação dos serviços já são pré-fixados na Lei Municipal 2985/2021 e não temos como prever o valor total, pois vai depender da demanda de veículos removidos.</w:t>
            </w:r>
          </w:p>
        </w:tc>
      </w:tr>
    </w:tbl>
    <w:p w14:paraId="4EF0299F">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48D49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6E7991A0">
            <w:pPr>
              <w:rPr>
                <w:sz w:val="24"/>
                <w:szCs w:val="24"/>
              </w:rPr>
            </w:pPr>
            <w:r>
              <w:rPr>
                <w:b/>
                <w:bCs/>
                <w:sz w:val="24"/>
                <w:szCs w:val="24"/>
              </w:rPr>
              <w:t>9 – FORMA E CRITÉRIOS DE SELEÇÃO DO FORNECEDOR</w:t>
            </w:r>
          </w:p>
        </w:tc>
      </w:tr>
      <w:tr w14:paraId="2B04C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vAlign w:val="center"/>
          </w:tcPr>
          <w:p w14:paraId="1EFD9788">
            <w:pPr>
              <w:ind w:firstLine="840" w:firstLineChars="350"/>
              <w:jc w:val="both"/>
              <w:rPr>
                <w:sz w:val="24"/>
                <w:szCs w:val="24"/>
              </w:rPr>
            </w:pPr>
            <w:r>
              <w:rPr>
                <w:sz w:val="24"/>
                <w:szCs w:val="24"/>
              </w:rPr>
              <w:t>O credenciamento de fornecedores será realizado por meio de chamada pública, em que os interessados deverão apresentar a documentação exigida e comprovar o atendimento aos critérios técnicos, legais e operacionais estabelecidos na Lei Municipal 2985/2021 e no presente Termo de Referência.</w:t>
            </w:r>
          </w:p>
          <w:p w14:paraId="58190A72">
            <w:pPr>
              <w:ind w:firstLine="840" w:firstLineChars="350"/>
              <w:jc w:val="both"/>
              <w:rPr>
                <w:b/>
                <w:sz w:val="24"/>
                <w:szCs w:val="24"/>
                <w:u w:val="single"/>
              </w:rPr>
            </w:pPr>
            <w:r>
              <w:rPr>
                <w:b/>
                <w:sz w:val="24"/>
                <w:szCs w:val="24"/>
                <w:u w:val="single"/>
              </w:rPr>
              <w:t>DOS DOCUMENTOS DE HABILITAÇÃO</w:t>
            </w:r>
          </w:p>
          <w:p w14:paraId="53B28BC8">
            <w:pPr>
              <w:ind w:firstLine="840" w:firstLineChars="350"/>
              <w:jc w:val="both"/>
              <w:rPr>
                <w:sz w:val="24"/>
                <w:szCs w:val="24"/>
              </w:rPr>
            </w:pPr>
            <w:r>
              <w:rPr>
                <w:sz w:val="24"/>
                <w:szCs w:val="24"/>
              </w:rPr>
              <w:t>9.1. No prazo de 02 (duas) horas, juntamente com o aceite da empresa em prestar os serviços nas condições estipuladas na Lei Municipal 2985/2021 e neste termo de referência, a empresa deverá apresentar os Documentos de Habilitação, nos termos dos arts. 62 a 70 da Lei Federal nº 14.133/2021, conforme documentos listados a partir do item 9.2.</w:t>
            </w:r>
          </w:p>
          <w:p w14:paraId="03A965BB">
            <w:pPr>
              <w:ind w:firstLine="840" w:firstLineChars="350"/>
              <w:jc w:val="both"/>
              <w:rPr>
                <w:sz w:val="24"/>
                <w:szCs w:val="24"/>
              </w:rPr>
            </w:pPr>
            <w:r>
              <w:rPr>
                <w:sz w:val="24"/>
                <w:szCs w:val="24"/>
              </w:rPr>
              <w:t>9.1.1. Não serão aceitos protocolos, documentos em cópia não, nem documentos com prazo de validade vencido.</w:t>
            </w:r>
          </w:p>
          <w:p w14:paraId="14B063E5">
            <w:pPr>
              <w:ind w:firstLine="840" w:firstLineChars="350"/>
              <w:jc w:val="both"/>
              <w:rPr>
                <w:sz w:val="24"/>
                <w:szCs w:val="24"/>
              </w:rPr>
            </w:pPr>
            <w:r>
              <w:rPr>
                <w:sz w:val="24"/>
                <w:szCs w:val="24"/>
              </w:rPr>
              <w:t>9.1.2. Os documentos deverão ser apresentados com impressão apenas no anverso (frente) das folhas, não sendo aceitas quaisquer impressões no verso das folhas.</w:t>
            </w:r>
          </w:p>
          <w:p w14:paraId="4DF4FB11">
            <w:pPr>
              <w:ind w:firstLine="840" w:firstLineChars="350"/>
              <w:jc w:val="both"/>
              <w:rPr>
                <w:sz w:val="24"/>
                <w:szCs w:val="24"/>
              </w:rPr>
            </w:pPr>
            <w:r>
              <w:rPr>
                <w:sz w:val="24"/>
                <w:szCs w:val="24"/>
              </w:rPr>
              <w:t xml:space="preserve">9.1.2.1. O descumprimento do item 9.1.2 não será motivo de inabilitação do proponente. </w:t>
            </w:r>
          </w:p>
          <w:p w14:paraId="4A50A1D4">
            <w:pPr>
              <w:ind w:firstLine="840" w:firstLineChars="350"/>
              <w:jc w:val="both"/>
              <w:rPr>
                <w:sz w:val="24"/>
                <w:szCs w:val="24"/>
              </w:rPr>
            </w:pPr>
            <w:r>
              <w:rPr>
                <w:sz w:val="24"/>
                <w:szCs w:val="24"/>
              </w:rPr>
              <w:t>9.1.3. Todos os documentos exigidos para habilitação deverão estar no prazo de validade. Caso o órgão emissor não declare a validade do documento, esta será de 90 (noventa) dias contados a partir da data de emissão.</w:t>
            </w:r>
          </w:p>
          <w:p w14:paraId="125D1603">
            <w:pPr>
              <w:ind w:firstLine="840" w:firstLineChars="350"/>
              <w:jc w:val="both"/>
              <w:rPr>
                <w:sz w:val="24"/>
                <w:szCs w:val="24"/>
              </w:rPr>
            </w:pPr>
            <w:r>
              <w:rPr>
                <w:sz w:val="24"/>
                <w:szCs w:val="24"/>
              </w:rPr>
              <w:t>9.1.4. Após a entrega dos documentos para habilitação, não será permitida a substituição ou a apresentação de novos documentos, salvo em sede de diligência, para (Lei Federal nº 14.133/2021, art. 64):</w:t>
            </w:r>
          </w:p>
          <w:p w14:paraId="18223C52">
            <w:pPr>
              <w:ind w:firstLine="840" w:firstLineChars="350"/>
              <w:jc w:val="both"/>
              <w:rPr>
                <w:sz w:val="24"/>
                <w:szCs w:val="24"/>
              </w:rPr>
            </w:pPr>
            <w:r>
              <w:rPr>
                <w:sz w:val="24"/>
                <w:szCs w:val="24"/>
              </w:rPr>
              <w:t>9.1.4.1. Complementação de informações acerca dos documentos já apresentados pelos licitantes e desde que necessária para apurar fatos existentes à época da abertura do certame; e</w:t>
            </w:r>
          </w:p>
          <w:p w14:paraId="7470D759">
            <w:pPr>
              <w:ind w:firstLine="840" w:firstLineChars="350"/>
              <w:jc w:val="both"/>
              <w:rPr>
                <w:sz w:val="24"/>
                <w:szCs w:val="24"/>
              </w:rPr>
            </w:pPr>
            <w:r>
              <w:rPr>
                <w:sz w:val="24"/>
                <w:szCs w:val="24"/>
              </w:rPr>
              <w:t>9.1.4.2. Atualização de documentos cuja validade tenha expirado após a data de recebimento das propostas.</w:t>
            </w:r>
          </w:p>
          <w:p w14:paraId="28026F10">
            <w:pPr>
              <w:ind w:firstLine="840" w:firstLineChars="350"/>
              <w:jc w:val="both"/>
              <w:rPr>
                <w:sz w:val="24"/>
                <w:szCs w:val="24"/>
              </w:rPr>
            </w:pPr>
            <w:r>
              <w:rPr>
                <w:sz w:val="24"/>
                <w:szCs w:val="24"/>
              </w:rPr>
              <w:t>9.1.5.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006B8ADD">
            <w:pPr>
              <w:ind w:firstLine="840" w:firstLineChars="350"/>
              <w:jc w:val="both"/>
              <w:rPr>
                <w:sz w:val="24"/>
                <w:szCs w:val="24"/>
              </w:rPr>
            </w:pPr>
            <w:r>
              <w:rPr>
                <w:sz w:val="24"/>
                <w:szCs w:val="24"/>
              </w:rPr>
              <w:t>9.1.6. Na hipótese de o licitante não atender às exigências para habilitação, o Pregoeiro examinará a proposta subsequente e assim sucessivamente, na ordem de classificação, até a apuração de uma proposta que atenda ao presente Edital.</w:t>
            </w:r>
          </w:p>
          <w:p w14:paraId="38BAEFCA">
            <w:pPr>
              <w:ind w:firstLine="840" w:firstLineChars="350"/>
              <w:jc w:val="both"/>
              <w:rPr>
                <w:sz w:val="24"/>
                <w:szCs w:val="24"/>
              </w:rPr>
            </w:pPr>
            <w:r>
              <w:rPr>
                <w:sz w:val="24"/>
                <w:szCs w:val="24"/>
              </w:rPr>
              <w:t>9.1.7. Somente serão disponibilizados para acesso público os documentos de habilitação do licitante cuja proposta atenda ao Edital de licitação, após concluídos os procedimentos de que trata o subitem anterior.</w:t>
            </w:r>
          </w:p>
          <w:p w14:paraId="768DF85D">
            <w:pPr>
              <w:ind w:firstLine="840" w:firstLineChars="350"/>
              <w:jc w:val="both"/>
              <w:rPr>
                <w:sz w:val="24"/>
                <w:szCs w:val="24"/>
              </w:rPr>
            </w:pPr>
            <w:r>
              <w:rPr>
                <w:sz w:val="24"/>
                <w:szCs w:val="24"/>
              </w:rPr>
              <w:t>9.1.8.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3F7E073D">
            <w:pPr>
              <w:ind w:firstLine="840" w:firstLineChars="350"/>
              <w:jc w:val="both"/>
              <w:rPr>
                <w:sz w:val="24"/>
                <w:szCs w:val="24"/>
              </w:rPr>
            </w:pPr>
            <w:r>
              <w:rPr>
                <w:sz w:val="24"/>
                <w:szCs w:val="24"/>
              </w:rPr>
              <w:t>9.2. Habilitação jurídica:</w:t>
            </w:r>
          </w:p>
          <w:p w14:paraId="60E887F3">
            <w:pPr>
              <w:ind w:firstLine="840" w:firstLineChars="350"/>
              <w:jc w:val="both"/>
              <w:rPr>
                <w:sz w:val="24"/>
                <w:szCs w:val="24"/>
              </w:rPr>
            </w:pPr>
            <w:r>
              <w:rPr>
                <w:sz w:val="24"/>
                <w:szCs w:val="24"/>
              </w:rPr>
              <w:t xml:space="preserve">9.2.1. Empresário individual: inscrição no Registro Público de Empresas Mercantis, a cargo da Junta Comercial da respectiva sede; </w:t>
            </w:r>
          </w:p>
          <w:p w14:paraId="53B4587B">
            <w:pPr>
              <w:ind w:firstLine="840" w:firstLineChars="350"/>
              <w:jc w:val="both"/>
              <w:rPr>
                <w:sz w:val="24"/>
                <w:szCs w:val="24"/>
              </w:rPr>
            </w:pPr>
            <w:r>
              <w:rPr>
                <w:sz w:val="24"/>
                <w:szCs w:val="24"/>
              </w:rPr>
              <w:t>9.2.2. Microempreendedor Individual - MEI: Certificado da Condição de Microempreendedor Individual - CCMEI, cuja aceitação ficará condicionada à verificação da autenticidade no sítio https://www.gov.br/empresas-e-negocios/pt-br/empreendedor;</w:t>
            </w:r>
          </w:p>
          <w:p w14:paraId="48B35368">
            <w:pPr>
              <w:ind w:firstLine="840" w:firstLineChars="350"/>
              <w:jc w:val="both"/>
              <w:rPr>
                <w:sz w:val="24"/>
                <w:szCs w:val="24"/>
              </w:rPr>
            </w:pPr>
            <w:r>
              <w:rPr>
                <w:sz w:val="24"/>
                <w:szCs w:val="24"/>
              </w:rPr>
              <w:t>9.2.3.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29385C3">
            <w:pPr>
              <w:ind w:firstLine="840" w:firstLineChars="350"/>
              <w:jc w:val="both"/>
              <w:rPr>
                <w:sz w:val="24"/>
                <w:szCs w:val="24"/>
              </w:rPr>
            </w:pPr>
            <w:r>
              <w:rPr>
                <w:sz w:val="24"/>
                <w:szCs w:val="24"/>
              </w:rPr>
              <w:t>9.2.4.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7F6089">
            <w:pPr>
              <w:ind w:firstLine="840" w:firstLineChars="350"/>
              <w:jc w:val="both"/>
              <w:rPr>
                <w:sz w:val="24"/>
                <w:szCs w:val="24"/>
              </w:rPr>
            </w:pPr>
            <w:r>
              <w:rPr>
                <w:sz w:val="24"/>
                <w:szCs w:val="24"/>
              </w:rPr>
              <w:t>9.2.5. Sociedade simples: inscrição do ato constitutivo no Registro Civil de Pessoas Jurídicas do local de sua sede, acompanhada de documento comprobatório de seus administradores;</w:t>
            </w:r>
          </w:p>
          <w:p w14:paraId="01A72152">
            <w:pPr>
              <w:ind w:firstLine="840" w:firstLineChars="350"/>
              <w:jc w:val="both"/>
              <w:rPr>
                <w:sz w:val="24"/>
                <w:szCs w:val="24"/>
              </w:rPr>
            </w:pPr>
            <w:r>
              <w:rPr>
                <w:sz w:val="24"/>
                <w:szCs w:val="24"/>
              </w:rPr>
              <w:t>9.2.6.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3B5E716">
            <w:pPr>
              <w:ind w:firstLine="840" w:firstLineChars="350"/>
              <w:jc w:val="both"/>
              <w:rPr>
                <w:sz w:val="24"/>
                <w:szCs w:val="24"/>
              </w:rPr>
            </w:pPr>
            <w:r>
              <w:rPr>
                <w:sz w:val="24"/>
                <w:szCs w:val="24"/>
              </w:rPr>
              <w:t>9.2.7. 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746EF57B">
            <w:pPr>
              <w:ind w:firstLine="840" w:firstLineChars="350"/>
              <w:jc w:val="both"/>
              <w:rPr>
                <w:sz w:val="24"/>
                <w:szCs w:val="24"/>
              </w:rPr>
            </w:pPr>
            <w:r>
              <w:rPr>
                <w:sz w:val="24"/>
                <w:szCs w:val="24"/>
              </w:rPr>
              <w:t>9.2.8. 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5FCC67C0">
            <w:pPr>
              <w:ind w:firstLine="840" w:firstLineChars="350"/>
              <w:jc w:val="both"/>
              <w:rPr>
                <w:sz w:val="24"/>
                <w:szCs w:val="24"/>
              </w:rPr>
            </w:pPr>
            <w:r>
              <w:rPr>
                <w:sz w:val="24"/>
                <w:szCs w:val="24"/>
              </w:rPr>
              <w:t>9.3.  Regularidade fiscal, social e trabalhista:</w:t>
            </w:r>
          </w:p>
          <w:p w14:paraId="3FB51946">
            <w:pPr>
              <w:ind w:firstLine="840" w:firstLineChars="350"/>
              <w:jc w:val="both"/>
              <w:rPr>
                <w:sz w:val="24"/>
                <w:szCs w:val="24"/>
              </w:rPr>
            </w:pPr>
            <w:r>
              <w:rPr>
                <w:sz w:val="24"/>
                <w:szCs w:val="24"/>
              </w:rPr>
              <w:t>9.3.1. Inscrição no Cadastro Nacional de Pessoas Jurídicas (CNPJ);</w:t>
            </w:r>
          </w:p>
          <w:p w14:paraId="21977B2E">
            <w:pPr>
              <w:ind w:firstLine="840" w:firstLineChars="350"/>
              <w:jc w:val="both"/>
              <w:rPr>
                <w:sz w:val="24"/>
                <w:szCs w:val="24"/>
              </w:rPr>
            </w:pPr>
            <w:r>
              <w:rPr>
                <w:sz w:val="24"/>
                <w:szCs w:val="24"/>
              </w:rPr>
              <w:t>9.3.2. Inscrição no cadastro de contribuintes estadual ou municipal, relativo ao domicilio ou sede do licitante, pertinente ao seu ramo de atividade e compatível com o objeto contratual;</w:t>
            </w:r>
          </w:p>
          <w:p w14:paraId="4B5D6B01">
            <w:pPr>
              <w:ind w:firstLine="840" w:firstLineChars="350"/>
              <w:jc w:val="both"/>
              <w:rPr>
                <w:sz w:val="24"/>
                <w:szCs w:val="24"/>
              </w:rPr>
            </w:pPr>
            <w:r>
              <w:rPr>
                <w:sz w:val="24"/>
                <w:szCs w:val="24"/>
              </w:rPr>
              <w:t>9.3.3. Regularidade perante a Fazenda Federal (incluindo Seguridade Social), Estadual e Municipal do domicílio ou sede do licitante, ou outra equivalente, na forma da lei;</w:t>
            </w:r>
          </w:p>
          <w:p w14:paraId="59DED04A">
            <w:pPr>
              <w:ind w:firstLine="840" w:firstLineChars="350"/>
              <w:jc w:val="both"/>
              <w:rPr>
                <w:sz w:val="24"/>
                <w:szCs w:val="24"/>
              </w:rPr>
            </w:pPr>
            <w:r>
              <w:rPr>
                <w:sz w:val="24"/>
                <w:szCs w:val="24"/>
              </w:rPr>
              <w:t>9.3.4. Regularidade relativa ao Fundo de Garantia por Tempo de Serviço (FGTS), que demonstre cumprimento dos encargos sociais instituídos por lei;</w:t>
            </w:r>
          </w:p>
          <w:p w14:paraId="53E9994C">
            <w:pPr>
              <w:ind w:firstLine="840" w:firstLineChars="350"/>
              <w:jc w:val="both"/>
              <w:rPr>
                <w:sz w:val="24"/>
                <w:szCs w:val="24"/>
              </w:rPr>
            </w:pPr>
            <w:r>
              <w:rPr>
                <w:sz w:val="24"/>
                <w:szCs w:val="24"/>
              </w:rPr>
              <w:t xml:space="preserve">9.3.5. Regularidade perante a Justiça do Trabalho, mediante a apresentação de Certidão Negativa de Débitos Trabalhistas (CNDT); </w:t>
            </w:r>
          </w:p>
          <w:p w14:paraId="43AAE076">
            <w:pPr>
              <w:ind w:firstLine="840" w:firstLineChars="350"/>
              <w:jc w:val="both"/>
              <w:rPr>
                <w:sz w:val="24"/>
                <w:szCs w:val="24"/>
              </w:rPr>
            </w:pPr>
            <w:r>
              <w:rPr>
                <w:sz w:val="24"/>
                <w:szCs w:val="24"/>
              </w:rPr>
              <w:t>9.3.6.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0839B8B0">
            <w:pPr>
              <w:ind w:firstLine="840" w:firstLineChars="350"/>
              <w:jc w:val="both"/>
              <w:rPr>
                <w:sz w:val="24"/>
                <w:szCs w:val="24"/>
              </w:rPr>
            </w:pPr>
            <w:r>
              <w:rPr>
                <w:sz w:val="24"/>
                <w:szCs w:val="24"/>
              </w:rPr>
              <w:t>9.4. Certidão negativa de feitos sobre falência expedida pelo distribuidor da sede do licitante (Lei nº 14.133, de 2021, art. 69, inciso II).</w:t>
            </w:r>
          </w:p>
          <w:p w14:paraId="296EE366">
            <w:pPr>
              <w:ind w:firstLine="840" w:firstLineChars="350"/>
              <w:jc w:val="both"/>
              <w:rPr>
                <w:sz w:val="24"/>
                <w:szCs w:val="24"/>
              </w:rPr>
            </w:pPr>
            <w:r>
              <w:rPr>
                <w:sz w:val="24"/>
                <w:szCs w:val="24"/>
              </w:rPr>
              <w:t>9.5. Declarações Conjuntas (Anexo III):</w:t>
            </w:r>
          </w:p>
          <w:p w14:paraId="1E168105">
            <w:pPr>
              <w:ind w:firstLine="840" w:firstLineChars="350"/>
              <w:jc w:val="both"/>
              <w:rPr>
                <w:sz w:val="24"/>
                <w:szCs w:val="24"/>
              </w:rPr>
            </w:pPr>
            <w:r>
              <w:rPr>
                <w:sz w:val="24"/>
                <w:szCs w:val="24"/>
              </w:rPr>
              <w:t>9.5.1. Declaração de conhecimento do edital e dos requisitos de habilitação:</w:t>
            </w:r>
          </w:p>
          <w:p w14:paraId="606062CC">
            <w:pPr>
              <w:ind w:firstLine="840" w:firstLineChars="350"/>
              <w:jc w:val="both"/>
              <w:rPr>
                <w:sz w:val="24"/>
                <w:szCs w:val="24"/>
              </w:rPr>
            </w:pPr>
            <w:r>
              <w:rPr>
                <w:sz w:val="24"/>
                <w:szCs w:val="24"/>
              </w:rPr>
              <w:t>9.5.1.1. A licitante deverá apresentar declaração de que possui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conforme modelo no Anexo III.</w:t>
            </w:r>
          </w:p>
          <w:p w14:paraId="6CBB1EF9">
            <w:pPr>
              <w:ind w:firstLine="840" w:firstLineChars="350"/>
              <w:jc w:val="both"/>
              <w:rPr>
                <w:sz w:val="24"/>
                <w:szCs w:val="24"/>
              </w:rPr>
            </w:pPr>
            <w:r>
              <w:rPr>
                <w:sz w:val="24"/>
                <w:szCs w:val="24"/>
              </w:rPr>
              <w:t>9.5.2. Declaração de inexistência de fatos impeditivos:</w:t>
            </w:r>
          </w:p>
          <w:p w14:paraId="61A021C1">
            <w:pPr>
              <w:ind w:firstLine="840" w:firstLineChars="350"/>
              <w:jc w:val="both"/>
              <w:rPr>
                <w:sz w:val="24"/>
                <w:szCs w:val="24"/>
              </w:rPr>
            </w:pPr>
            <w:r>
              <w:rPr>
                <w:sz w:val="24"/>
                <w:szCs w:val="24"/>
              </w:rPr>
              <w:t>9.5.2.1. A licitante deverá apresentar declaração de inexistência de fatos supervenientes e/ou impeditivos para sua habilitação no processo licitatório e que não consta nos cadastros oficiais de impedimentos, conforme Modelo de Declaração do Anexo III.</w:t>
            </w:r>
          </w:p>
          <w:p w14:paraId="573BC726">
            <w:pPr>
              <w:ind w:firstLine="840" w:firstLineChars="350"/>
              <w:jc w:val="both"/>
              <w:rPr>
                <w:sz w:val="24"/>
                <w:szCs w:val="24"/>
              </w:rPr>
            </w:pPr>
            <w:r>
              <w:rPr>
                <w:sz w:val="24"/>
                <w:szCs w:val="24"/>
              </w:rPr>
              <w:t>9.5.2.2. Juntamente com esta declaração deverá ser apresentada a certidão de Consulta Consolidada de Pessoa Jurídica, disponível através do site https://certidoes-apf.apps.tcu.gov.br/, expedida em até 90 (noventa) dias imediatamente anteriores à data prevista para abertura do certame.</w:t>
            </w:r>
          </w:p>
          <w:p w14:paraId="2B53D512">
            <w:pPr>
              <w:ind w:firstLine="840" w:firstLineChars="350"/>
              <w:jc w:val="both"/>
              <w:rPr>
                <w:sz w:val="24"/>
                <w:szCs w:val="24"/>
              </w:rPr>
            </w:pPr>
            <w:r>
              <w:rPr>
                <w:sz w:val="24"/>
                <w:szCs w:val="24"/>
              </w:rPr>
              <w:t>9.5.3. Declaração de reserva de cargos e de trabalho não degradante:</w:t>
            </w:r>
          </w:p>
          <w:p w14:paraId="4A21EC54">
            <w:pPr>
              <w:ind w:firstLine="840" w:firstLineChars="350"/>
              <w:jc w:val="both"/>
              <w:rPr>
                <w:sz w:val="24"/>
                <w:szCs w:val="24"/>
              </w:rPr>
            </w:pPr>
            <w:r>
              <w:rPr>
                <w:sz w:val="24"/>
                <w:szCs w:val="24"/>
              </w:rPr>
              <w:t>9.5.3.1. A licitante deverá apresentar declaração de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incisos III e IV do art. 1º e no inciso III do art. 5º da Constituição Federal., conforme Modelo de Declaração do Anexo III.</w:t>
            </w:r>
          </w:p>
          <w:p w14:paraId="127435B9">
            <w:pPr>
              <w:ind w:firstLine="840" w:firstLineChars="350"/>
              <w:jc w:val="both"/>
              <w:rPr>
                <w:sz w:val="24"/>
                <w:szCs w:val="24"/>
              </w:rPr>
            </w:pPr>
            <w:r>
              <w:rPr>
                <w:sz w:val="24"/>
                <w:szCs w:val="24"/>
              </w:rPr>
              <w:t>9.5.4. Declaração de não parentesco:</w:t>
            </w:r>
          </w:p>
          <w:p w14:paraId="0F3DC091">
            <w:pPr>
              <w:ind w:firstLine="840" w:firstLineChars="350"/>
              <w:jc w:val="both"/>
              <w:rPr>
                <w:sz w:val="24"/>
                <w:szCs w:val="24"/>
              </w:rPr>
            </w:pPr>
            <w:r>
              <w:rPr>
                <w:sz w:val="24"/>
                <w:szCs w:val="24"/>
              </w:rPr>
              <w:t>9.5.4.1.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  conforme Modelo de Declaração do Anexo III.</w:t>
            </w:r>
          </w:p>
          <w:p w14:paraId="4F1143A8">
            <w:pPr>
              <w:ind w:firstLine="840" w:firstLineChars="350"/>
              <w:jc w:val="both"/>
              <w:rPr>
                <w:sz w:val="24"/>
                <w:szCs w:val="24"/>
              </w:rPr>
            </w:pPr>
            <w:r>
              <w:rPr>
                <w:sz w:val="24"/>
                <w:szCs w:val="24"/>
              </w:rPr>
              <w:t>9.5.5. Declaração de que não emprega menor de idade:</w:t>
            </w:r>
          </w:p>
          <w:p w14:paraId="645D5AB9">
            <w:pPr>
              <w:ind w:firstLine="840" w:firstLineChars="350"/>
              <w:jc w:val="both"/>
              <w:rPr>
                <w:sz w:val="24"/>
                <w:szCs w:val="24"/>
              </w:rPr>
            </w:pPr>
            <w:r>
              <w:rPr>
                <w:sz w:val="24"/>
                <w:szCs w:val="24"/>
              </w:rPr>
              <w:t>9.5.5.1.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bem como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trabalhistaconforme Modelo de Declaração do Anexo III.</w:t>
            </w:r>
          </w:p>
          <w:p w14:paraId="6C6E4B1D">
            <w:pPr>
              <w:ind w:firstLine="840" w:firstLineChars="350"/>
              <w:jc w:val="both"/>
              <w:rPr>
                <w:sz w:val="24"/>
                <w:szCs w:val="24"/>
              </w:rPr>
            </w:pPr>
            <w:r>
              <w:rPr>
                <w:sz w:val="24"/>
                <w:szCs w:val="24"/>
              </w:rPr>
              <w:t>9.6. Observações:</w:t>
            </w:r>
          </w:p>
          <w:p w14:paraId="5E44848E">
            <w:pPr>
              <w:ind w:firstLine="840" w:firstLineChars="350"/>
              <w:jc w:val="both"/>
              <w:rPr>
                <w:sz w:val="24"/>
                <w:szCs w:val="24"/>
              </w:rPr>
            </w:pPr>
            <w:r>
              <w:rPr>
                <w:sz w:val="24"/>
                <w:szCs w:val="24"/>
              </w:rPr>
              <w:t>9.6.1. O objeto constante do ato constitutivo da empresa deve ser compatível com o objeto licitado.</w:t>
            </w:r>
          </w:p>
          <w:p w14:paraId="059E2085">
            <w:pPr>
              <w:ind w:firstLine="840" w:firstLineChars="350"/>
              <w:jc w:val="both"/>
              <w:rPr>
                <w:sz w:val="24"/>
                <w:szCs w:val="24"/>
              </w:rPr>
            </w:pPr>
            <w:r>
              <w:rPr>
                <w:sz w:val="24"/>
                <w:szCs w:val="24"/>
              </w:rPr>
              <w:t>9.6.2. Não serão aceitas certidões positivas de débito, exceto quando constar da própria certidão ressalva que autorize a sua aceitação.</w:t>
            </w:r>
          </w:p>
          <w:p w14:paraId="1E523522">
            <w:pPr>
              <w:ind w:firstLine="840" w:firstLineChars="350"/>
              <w:jc w:val="both"/>
              <w:rPr>
                <w:sz w:val="24"/>
                <w:szCs w:val="24"/>
              </w:rPr>
            </w:pPr>
            <w:r>
              <w:rPr>
                <w:sz w:val="24"/>
                <w:szCs w:val="24"/>
              </w:rPr>
              <w:t>9.6.3. A documentação exigida no item 9 deverá ser compatível com as respectivas inscrições nas esferas federal, estadual e municipal.</w:t>
            </w:r>
          </w:p>
          <w:p w14:paraId="52CD1046">
            <w:pPr>
              <w:ind w:firstLine="840" w:firstLineChars="350"/>
              <w:jc w:val="both"/>
              <w:rPr>
                <w:sz w:val="24"/>
                <w:szCs w:val="24"/>
              </w:rPr>
            </w:pPr>
            <w:r>
              <w:rPr>
                <w:sz w:val="24"/>
                <w:szCs w:val="24"/>
              </w:rPr>
              <w:t>9.6.4. A aceitação dos documentos obtidos via Internet ficará condicionada à confirmação de sua validade, também por esse meio, se dúvida houver quanto à sua autenticidade, pelo Pregoeiro.</w:t>
            </w:r>
          </w:p>
          <w:p w14:paraId="1FF62CBE">
            <w:pPr>
              <w:ind w:firstLine="840" w:firstLineChars="350"/>
              <w:jc w:val="both"/>
              <w:rPr>
                <w:sz w:val="24"/>
                <w:szCs w:val="24"/>
              </w:rPr>
            </w:pPr>
            <w:r>
              <w:rPr>
                <w:sz w:val="24"/>
                <w:szCs w:val="24"/>
              </w:rPr>
              <w:t>9.6.5.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421F2A4C">
            <w:pPr>
              <w:ind w:firstLine="840" w:firstLineChars="350"/>
              <w:jc w:val="both"/>
              <w:rPr>
                <w:sz w:val="24"/>
                <w:szCs w:val="24"/>
              </w:rPr>
            </w:pPr>
            <w:r>
              <w:rPr>
                <w:sz w:val="24"/>
                <w:szCs w:val="24"/>
              </w:rPr>
              <w:t>9.6.6. Os documentos poderão ser apresentados no original, por qualquer processo de cópia reprográfica autenticada por tabelião por força de lei ou a publicação em órgão da imprensa na forma da lei.</w:t>
            </w:r>
          </w:p>
          <w:p w14:paraId="40A68511">
            <w:pPr>
              <w:ind w:firstLine="840" w:firstLineChars="350"/>
              <w:jc w:val="both"/>
              <w:rPr>
                <w:sz w:val="24"/>
                <w:szCs w:val="24"/>
              </w:rPr>
            </w:pPr>
            <w:r>
              <w:rPr>
                <w:sz w:val="24"/>
                <w:szCs w:val="24"/>
              </w:rPr>
              <w:t>9.6.7. As autenticações serão aceitas quando feitas em cartório ou através de certificação digital.</w:t>
            </w:r>
          </w:p>
          <w:p w14:paraId="4F4BC6C0">
            <w:pPr>
              <w:ind w:firstLine="840" w:firstLineChars="350"/>
              <w:jc w:val="both"/>
              <w:rPr>
                <w:sz w:val="24"/>
                <w:szCs w:val="24"/>
              </w:rPr>
            </w:pPr>
            <w:r>
              <w:rPr>
                <w:sz w:val="24"/>
                <w:szCs w:val="24"/>
              </w:rPr>
              <w:t>9.6.8. Na hipótese da apresentação de documentos originais, estes serão anexados ao processo licitatório.</w:t>
            </w:r>
          </w:p>
          <w:p w14:paraId="29148AF8">
            <w:pPr>
              <w:ind w:firstLine="840" w:firstLineChars="350"/>
              <w:jc w:val="both"/>
              <w:rPr>
                <w:sz w:val="24"/>
                <w:szCs w:val="24"/>
              </w:rPr>
            </w:pPr>
            <w:r>
              <w:rPr>
                <w:sz w:val="24"/>
                <w:szCs w:val="24"/>
              </w:rPr>
              <w:t>9.6.9. Os documentos exigidos para habilitação, consoante o estabelecido no item 9 do Edital, não poderão, em hipótese alguma, ser substituídos por protocolos que configurem o seu requerimento, ou apresentados por meio de fitas, discos magnéticos e filmes.</w:t>
            </w:r>
          </w:p>
          <w:p w14:paraId="1424100F">
            <w:pPr>
              <w:ind w:firstLine="840" w:firstLineChars="350"/>
              <w:jc w:val="both"/>
              <w:rPr>
                <w:sz w:val="24"/>
                <w:szCs w:val="24"/>
              </w:rPr>
            </w:pPr>
            <w:r>
              <w:rPr>
                <w:sz w:val="24"/>
                <w:szCs w:val="24"/>
              </w:rPr>
              <w:t>9.6.10. A ausência de documento ou a apresentação dos documentos de habilitação em desacordo com o previsto no item 9 inabilitará 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4688B942">
            <w:pPr>
              <w:ind w:firstLine="840" w:firstLineChars="350"/>
              <w:jc w:val="both"/>
              <w:rPr>
                <w:sz w:val="24"/>
                <w:szCs w:val="24"/>
              </w:rPr>
            </w:pPr>
            <w:r>
              <w:rPr>
                <w:sz w:val="24"/>
                <w:szCs w:val="24"/>
              </w:rPr>
              <w:t>9.6.11. Uma vez incluído no processo licitatório, nenhum documento será devolvido, salvo se original a ser substituído por cópia reprográfica autenticada.</w:t>
            </w:r>
          </w:p>
          <w:p w14:paraId="06380075">
            <w:pPr>
              <w:ind w:firstLine="840" w:firstLineChars="350"/>
              <w:jc w:val="both"/>
              <w:rPr>
                <w:sz w:val="24"/>
                <w:szCs w:val="24"/>
              </w:rPr>
            </w:pPr>
            <w:r>
              <w:rPr>
                <w:sz w:val="24"/>
                <w:szCs w:val="24"/>
              </w:rPr>
              <w:t>9.6.12. A licitante que declarar que cumpre os requisitos de habilitação e não os cumprir será inabilitada e sujeita às penalidades legais.</w:t>
            </w:r>
          </w:p>
          <w:p w14:paraId="2D763610">
            <w:pPr>
              <w:ind w:firstLine="840" w:firstLineChars="350"/>
              <w:jc w:val="both"/>
              <w:rPr>
                <w:sz w:val="24"/>
                <w:szCs w:val="24"/>
              </w:rPr>
            </w:pPr>
            <w:r>
              <w:rPr>
                <w:sz w:val="24"/>
                <w:szCs w:val="24"/>
              </w:rPr>
              <w:t>9.6.13. Se a vencedora não encaminhar os documentos de habilitação dentro do prazo estabelecido no Edital será penalizada de acordo com as sanções dispostas no art. 156 da Lei Federal nº 14.133/2021.</w:t>
            </w:r>
          </w:p>
        </w:tc>
      </w:tr>
    </w:tbl>
    <w:p w14:paraId="717C4695">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493AC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47ACBF7C">
            <w:pPr>
              <w:rPr>
                <w:sz w:val="24"/>
                <w:szCs w:val="24"/>
              </w:rPr>
            </w:pPr>
            <w:r>
              <w:rPr>
                <w:b/>
                <w:bCs/>
                <w:sz w:val="24"/>
                <w:szCs w:val="24"/>
              </w:rPr>
              <w:t>10 – CUSTO ESTIMADO DA CONTRATAÇÃO/PREÇO DE REFERÊNCIA</w:t>
            </w:r>
          </w:p>
        </w:tc>
      </w:tr>
      <w:tr w14:paraId="4D60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6FEC0AA3">
            <w:pPr>
              <w:jc w:val="both"/>
              <w:rPr>
                <w:sz w:val="24"/>
                <w:szCs w:val="24"/>
              </w:rPr>
            </w:pPr>
            <w:r>
              <w:rPr>
                <w:sz w:val="24"/>
                <w:szCs w:val="24"/>
              </w:rPr>
              <w:t xml:space="preserve">              Este processo de credenciamento vai gerar receitas mensalmente, que devem cair direto no Fundo Municipal de Trânsito, via recolhimento de Documento de Arrecadação Municipal – DAM, por parte da (s) empresa (s) credenciada (s), de acordo com os Artigos 15 e 18 da Lei Municipal 2985/2021 (com alterações trazidas pelas Leis 2998/2021 e 3449/2025). Os valores cobrados para a prestação dos serviços já são pré-fixados na Lei Municipal 2985/2021 e não temos como prever o valor total, pois vai depender da demanda de veículos removidos.</w:t>
            </w:r>
          </w:p>
        </w:tc>
      </w:tr>
    </w:tbl>
    <w:p w14:paraId="1B1B815A">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2D583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093E127F">
            <w:pPr>
              <w:rPr>
                <w:sz w:val="24"/>
                <w:szCs w:val="24"/>
              </w:rPr>
            </w:pPr>
            <w:r>
              <w:rPr>
                <w:b/>
                <w:bCs/>
                <w:sz w:val="24"/>
                <w:szCs w:val="24"/>
              </w:rPr>
              <w:t>11 – DOTAÇÃO ORÇAMENTÁRIA</w:t>
            </w:r>
          </w:p>
        </w:tc>
      </w:tr>
      <w:tr w14:paraId="5565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541C1BDB">
            <w:pPr>
              <w:jc w:val="both"/>
              <w:rPr>
                <w:sz w:val="24"/>
                <w:szCs w:val="24"/>
              </w:rPr>
            </w:pPr>
            <w:r>
              <w:rPr>
                <w:sz w:val="24"/>
                <w:szCs w:val="24"/>
              </w:rPr>
              <w:t xml:space="preserve">              Não existe dotação orçamentária para este processo de credenciamento. Ele não vai gerar nenhum custo ao município, pelo contrário, irá gerar receitas, as quais, deverão cair direto no Fundo Municipal de Trânsito, mediante pagamento de Documento de Arrecadação Municipal - DAM.</w:t>
            </w:r>
          </w:p>
        </w:tc>
      </w:tr>
    </w:tbl>
    <w:p w14:paraId="31BF0519">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3570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08335C83">
            <w:pPr>
              <w:rPr>
                <w:sz w:val="24"/>
                <w:szCs w:val="24"/>
              </w:rPr>
            </w:pPr>
            <w:r>
              <w:rPr>
                <w:b/>
                <w:bCs/>
                <w:sz w:val="24"/>
                <w:szCs w:val="24"/>
              </w:rPr>
              <w:t>12 – DEMAIS INFORMAÇÕES ESPECÍFICAS DO PROJETO BÁSICO</w:t>
            </w:r>
          </w:p>
        </w:tc>
      </w:tr>
      <w:tr w14:paraId="3916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433DE8BE">
            <w:pPr>
              <w:jc w:val="both"/>
              <w:rPr>
                <w:sz w:val="24"/>
                <w:szCs w:val="24"/>
              </w:rPr>
            </w:pPr>
            <w:r>
              <w:rPr>
                <w:sz w:val="24"/>
                <w:szCs w:val="24"/>
              </w:rPr>
              <w:t xml:space="preserve">             Não se aplica.</w:t>
            </w:r>
          </w:p>
        </w:tc>
      </w:tr>
    </w:tbl>
    <w:p w14:paraId="01B1B189">
      <w:pPr>
        <w:rPr>
          <w:sz w:val="24"/>
          <w:szCs w:val="24"/>
        </w:rPr>
      </w:pPr>
    </w:p>
    <w:p w14:paraId="01A58C3E">
      <w:pPr>
        <w:rPr>
          <w:sz w:val="24"/>
          <w:szCs w:val="24"/>
        </w:rPr>
      </w:pPr>
      <w:r>
        <w:rPr>
          <w:sz w:val="24"/>
          <w:szCs w:val="24"/>
        </w:rPr>
        <w:t>Sinop/MT, 18 de junho 2025.</w:t>
      </w:r>
    </w:p>
    <w:p w14:paraId="4701C4A5">
      <w:pPr>
        <w:rPr>
          <w:sz w:val="24"/>
          <w:szCs w:val="24"/>
        </w:rPr>
      </w:pPr>
    </w:p>
    <w:p w14:paraId="29E1C888">
      <w:pPr>
        <w:rPr>
          <w:sz w:val="16"/>
          <w:szCs w:val="16"/>
        </w:rPr>
      </w:pPr>
    </w:p>
    <w:p w14:paraId="13BE8D22">
      <w:pPr>
        <w:rPr>
          <w:sz w:val="24"/>
          <w:szCs w:val="24"/>
        </w:rPr>
      </w:pPr>
    </w:p>
    <w:p w14:paraId="55D6DF7F">
      <w:pPr>
        <w:rPr>
          <w:sz w:val="24"/>
          <w:szCs w:val="24"/>
        </w:rPr>
      </w:pPr>
    </w:p>
    <w:p w14:paraId="2F490007">
      <w:pPr>
        <w:jc w:val="center"/>
        <w:rPr>
          <w:b/>
          <w:bCs/>
          <w:sz w:val="24"/>
          <w:szCs w:val="24"/>
        </w:rPr>
      </w:pPr>
      <w:r>
        <w:rPr>
          <w:b/>
          <w:bCs/>
          <w:sz w:val="24"/>
          <w:szCs w:val="24"/>
        </w:rPr>
        <w:t>JONAS CLEUNIR SIMON</w:t>
      </w:r>
    </w:p>
    <w:p w14:paraId="1E92CDCF">
      <w:pPr>
        <w:jc w:val="center"/>
        <w:rPr>
          <w:sz w:val="24"/>
          <w:szCs w:val="24"/>
        </w:rPr>
      </w:pPr>
      <w:r>
        <w:rPr>
          <w:sz w:val="24"/>
          <w:szCs w:val="24"/>
        </w:rPr>
        <w:t>Responsável pelo TR/PB</w:t>
      </w:r>
    </w:p>
    <w:p w14:paraId="00EE39B2">
      <w:pPr>
        <w:jc w:val="center"/>
        <w:rPr>
          <w:sz w:val="24"/>
          <w:szCs w:val="24"/>
        </w:rPr>
      </w:pPr>
      <w:r>
        <w:rPr>
          <w:sz w:val="24"/>
          <w:szCs w:val="24"/>
        </w:rPr>
        <w:t>Matrícula 8079</w:t>
      </w:r>
    </w:p>
    <w:p w14:paraId="4E281DAE">
      <w:pPr>
        <w:rPr>
          <w:sz w:val="24"/>
          <w:szCs w:val="24"/>
        </w:rPr>
      </w:pPr>
    </w:p>
    <w:p w14:paraId="601FED23">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01C43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43D948A2">
            <w:pPr>
              <w:rPr>
                <w:sz w:val="24"/>
                <w:szCs w:val="24"/>
              </w:rPr>
            </w:pPr>
            <w:r>
              <w:rPr>
                <w:b/>
                <w:bCs/>
                <w:sz w:val="24"/>
                <w:szCs w:val="24"/>
              </w:rPr>
              <w:t>13 – CIÊNCIA DA AUTORIDADE COMPETENTE</w:t>
            </w:r>
          </w:p>
        </w:tc>
      </w:tr>
      <w:tr w14:paraId="36B27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609BB1B0">
            <w:pPr>
              <w:jc w:val="both"/>
              <w:rPr>
                <w:sz w:val="24"/>
                <w:szCs w:val="24"/>
              </w:rPr>
            </w:pPr>
            <w:r>
              <w:rPr>
                <w:sz w:val="24"/>
                <w:szCs w:val="24"/>
              </w:rPr>
              <w:t xml:space="preserve">( </w:t>
            </w:r>
            <w:r>
              <w:rPr>
                <w:b/>
                <w:bCs/>
                <w:sz w:val="24"/>
                <w:szCs w:val="24"/>
              </w:rPr>
              <w:t>X</w:t>
            </w:r>
            <w:r>
              <w:rPr>
                <w:sz w:val="24"/>
                <w:szCs w:val="24"/>
              </w:rPr>
              <w:t xml:space="preserve"> ) Concordo com o Termo de Referência/Projeto Básico realizado e autorizo a aquisição nos termos da Lei 14.133/2021.</w:t>
            </w:r>
          </w:p>
          <w:p w14:paraId="4FFCA1D4">
            <w:pPr>
              <w:jc w:val="both"/>
              <w:rPr>
                <w:sz w:val="24"/>
                <w:szCs w:val="24"/>
              </w:rPr>
            </w:pPr>
          </w:p>
          <w:p w14:paraId="29D91A48">
            <w:pPr>
              <w:jc w:val="both"/>
              <w:rPr>
                <w:sz w:val="24"/>
                <w:szCs w:val="24"/>
              </w:rPr>
            </w:pPr>
            <w:r>
              <w:rPr>
                <w:sz w:val="24"/>
                <w:szCs w:val="24"/>
              </w:rPr>
              <w:t>Sinop/MT, 18 de junho de 2025.</w:t>
            </w:r>
          </w:p>
          <w:p w14:paraId="08D214F3">
            <w:pPr>
              <w:jc w:val="both"/>
              <w:rPr>
                <w:sz w:val="24"/>
                <w:szCs w:val="24"/>
              </w:rPr>
            </w:pPr>
          </w:p>
          <w:p w14:paraId="7E7A6B1E">
            <w:pPr>
              <w:jc w:val="both"/>
              <w:rPr>
                <w:sz w:val="24"/>
                <w:szCs w:val="24"/>
              </w:rPr>
            </w:pPr>
          </w:p>
          <w:p w14:paraId="396C4A9F">
            <w:pPr>
              <w:jc w:val="both"/>
              <w:rPr>
                <w:sz w:val="24"/>
                <w:szCs w:val="24"/>
              </w:rPr>
            </w:pPr>
          </w:p>
          <w:p w14:paraId="0A777ED2">
            <w:pPr>
              <w:jc w:val="both"/>
              <w:rPr>
                <w:sz w:val="24"/>
                <w:szCs w:val="24"/>
              </w:rPr>
            </w:pPr>
          </w:p>
          <w:p w14:paraId="2548F597">
            <w:pPr>
              <w:jc w:val="both"/>
              <w:rPr>
                <w:sz w:val="24"/>
                <w:szCs w:val="24"/>
              </w:rPr>
            </w:pPr>
          </w:p>
          <w:p w14:paraId="7B025747">
            <w:pPr>
              <w:jc w:val="center"/>
              <w:rPr>
                <w:sz w:val="24"/>
                <w:szCs w:val="24"/>
              </w:rPr>
            </w:pPr>
            <w:r>
              <w:rPr>
                <w:b/>
                <w:bCs/>
                <w:sz w:val="24"/>
                <w:szCs w:val="24"/>
              </w:rPr>
              <w:t>WESNEY DE CASTRO SODRE</w:t>
            </w:r>
          </w:p>
          <w:p w14:paraId="23DB2C31">
            <w:pPr>
              <w:jc w:val="center"/>
              <w:rPr>
                <w:sz w:val="24"/>
                <w:szCs w:val="24"/>
              </w:rPr>
            </w:pPr>
            <w:r>
              <w:rPr>
                <w:sz w:val="24"/>
                <w:szCs w:val="24"/>
              </w:rPr>
              <w:t>Secretário Municipal de Segurança e Trânsito</w:t>
            </w:r>
          </w:p>
          <w:p w14:paraId="2A3B0EC5">
            <w:pPr>
              <w:jc w:val="both"/>
              <w:rPr>
                <w:sz w:val="24"/>
                <w:szCs w:val="24"/>
              </w:rPr>
            </w:pPr>
          </w:p>
        </w:tc>
      </w:tr>
    </w:tbl>
    <w:p w14:paraId="77070BAF">
      <w:pPr>
        <w:rPr>
          <w:sz w:val="24"/>
          <w:szCs w:val="24"/>
        </w:rPr>
      </w:pPr>
    </w:p>
    <w:sectPr>
      <w:headerReference r:id="rId3" w:type="default"/>
      <w:footerReference r:id="rId5" w:type="default"/>
      <w:headerReference r:id="rId4" w:type="even"/>
      <w:footerReference r:id="rId6" w:type="even"/>
      <w:pgSz w:w="11907" w:h="16840"/>
      <w:pgMar w:top="1701" w:right="1134" w:bottom="1134" w:left="1701" w:header="425" w:footer="56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F11F8">
    <w:pPr>
      <w:pStyle w:val="10"/>
      <w:jc w:val="center"/>
      <w:rPr>
        <w:bCs/>
        <w:sz w:val="16"/>
        <w:szCs w:val="16"/>
      </w:rPr>
    </w:pPr>
    <w:r>
      <w:rPr>
        <w:bCs/>
        <w:sz w:val="16"/>
        <w:szCs w:val="16"/>
      </w:rPr>
      <w:t>Secretaria Municipal de Segurança e Trânsito - SST</w:t>
    </w:r>
  </w:p>
  <w:p w14:paraId="60C11CA0">
    <w:pPr>
      <w:pStyle w:val="10"/>
      <w:jc w:val="center"/>
      <w:rPr>
        <w:bCs/>
        <w:sz w:val="16"/>
        <w:szCs w:val="16"/>
      </w:rPr>
    </w:pPr>
    <w:r>
      <w:rPr>
        <w:bCs/>
        <w:sz w:val="16"/>
        <w:szCs w:val="16"/>
      </w:rPr>
      <w:t>Avenida dos Jacarandás, n° 6.271, rotatória Avenida dos Pinheiros, Parque das Araras, CEP 78.550-456 - Fone (66) 3511-1854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1F7DF">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10</w:t>
    </w:r>
    <w:r>
      <w:rPr>
        <w:rStyle w:val="6"/>
      </w:rPr>
      <w:fldChar w:fldCharType="end"/>
    </w:r>
  </w:p>
  <w:p w14:paraId="21FEEEC5">
    <w:pPr>
      <w:pStyle w:val="1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E5034">
    <w:pPr>
      <w:pStyle w:val="9"/>
      <w:jc w:val="center"/>
    </w:pPr>
    <w:r>
      <w:drawing>
        <wp:inline distT="0" distB="0" distL="0" distR="0">
          <wp:extent cx="2842260" cy="1079500"/>
          <wp:effectExtent l="0" t="0" r="0" b="6350"/>
          <wp:docPr id="115633737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337370" name="Imagem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42839" cy="1080000"/>
                  </a:xfrm>
                  <a:prstGeom prst="rect">
                    <a:avLst/>
                  </a:prstGeom>
                </pic:spPr>
              </pic:pic>
            </a:graphicData>
          </a:graphic>
        </wp:inline>
      </w:drawing>
    </w:r>
    <w:r>
      <w:t xml:space="preserve">           </w:t>
    </w:r>
    <w:r>
      <w:drawing>
        <wp:inline distT="0" distB="0" distL="0" distR="0">
          <wp:extent cx="1034415" cy="1079500"/>
          <wp:effectExtent l="0" t="0" r="0" b="6350"/>
          <wp:docPr id="8401991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99141" name="Imagem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035000" cy="1080000"/>
                  </a:xfrm>
                  <a:prstGeom prst="rect">
                    <a:avLst/>
                  </a:prstGeom>
                </pic:spPr>
              </pic:pic>
            </a:graphicData>
          </a:graphic>
        </wp:inline>
      </w:drawing>
    </w:r>
    <w:r>
      <w:t xml:space="preserve">            </w:t>
    </w:r>
    <w:r>
      <w:drawing>
        <wp:inline distT="0" distB="0" distL="0" distR="0">
          <wp:extent cx="890270" cy="1079500"/>
          <wp:effectExtent l="19050" t="0" r="4968" b="0"/>
          <wp:docPr id="5" name="Imagem 1" descr="Brasão GCM Sin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Brasão GCM Sinop.jpg"/>
                  <pic:cNvPicPr>
                    <a:picLocks noChangeAspect="1"/>
                  </pic:cNvPicPr>
                </pic:nvPicPr>
                <pic:blipFill>
                  <a:blip r:embed="rId3"/>
                  <a:stretch>
                    <a:fillRect/>
                  </a:stretch>
                </pic:blipFill>
                <pic:spPr>
                  <a:xfrm>
                    <a:off x="0" y="0"/>
                    <a:ext cx="890382" cy="108000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93927">
    <w:pPr>
      <w:pStyle w:val="9"/>
      <w:framePr w:wrap="around"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14:paraId="5BE2861A">
    <w:pPr>
      <w:pStyle w:val="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DBF804"/>
    <w:multiLevelType w:val="singleLevel"/>
    <w:tmpl w:val="E6DBF804"/>
    <w:lvl w:ilvl="0" w:tentative="0">
      <w:start w:val="1"/>
      <w:numFmt w:val="lowerLetter"/>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18E"/>
    <w:rsid w:val="00001B83"/>
    <w:rsid w:val="00004264"/>
    <w:rsid w:val="00005331"/>
    <w:rsid w:val="00006358"/>
    <w:rsid w:val="00007D21"/>
    <w:rsid w:val="00012042"/>
    <w:rsid w:val="00014BBA"/>
    <w:rsid w:val="00015BC2"/>
    <w:rsid w:val="000179F2"/>
    <w:rsid w:val="00020FAF"/>
    <w:rsid w:val="00021D90"/>
    <w:rsid w:val="00025070"/>
    <w:rsid w:val="0003039E"/>
    <w:rsid w:val="00031F1F"/>
    <w:rsid w:val="00034775"/>
    <w:rsid w:val="00037C02"/>
    <w:rsid w:val="00040AA0"/>
    <w:rsid w:val="00041B0B"/>
    <w:rsid w:val="00050AEC"/>
    <w:rsid w:val="00051BF1"/>
    <w:rsid w:val="0005242D"/>
    <w:rsid w:val="0005318E"/>
    <w:rsid w:val="00054A31"/>
    <w:rsid w:val="0005772B"/>
    <w:rsid w:val="00057D59"/>
    <w:rsid w:val="00060F5F"/>
    <w:rsid w:val="0006520A"/>
    <w:rsid w:val="00076FFE"/>
    <w:rsid w:val="0008235A"/>
    <w:rsid w:val="00082A27"/>
    <w:rsid w:val="00084300"/>
    <w:rsid w:val="0009638A"/>
    <w:rsid w:val="000A0F06"/>
    <w:rsid w:val="000A196D"/>
    <w:rsid w:val="000A1D06"/>
    <w:rsid w:val="000A6463"/>
    <w:rsid w:val="000A7DB2"/>
    <w:rsid w:val="000B2AAF"/>
    <w:rsid w:val="000B3504"/>
    <w:rsid w:val="000B4FE7"/>
    <w:rsid w:val="000C0ADB"/>
    <w:rsid w:val="000C0D15"/>
    <w:rsid w:val="000C13DC"/>
    <w:rsid w:val="000C1680"/>
    <w:rsid w:val="000C3429"/>
    <w:rsid w:val="000D1E0D"/>
    <w:rsid w:val="000D3763"/>
    <w:rsid w:val="000D441F"/>
    <w:rsid w:val="000E3023"/>
    <w:rsid w:val="000F0BFD"/>
    <w:rsid w:val="000F764C"/>
    <w:rsid w:val="00100712"/>
    <w:rsid w:val="001056E2"/>
    <w:rsid w:val="00107E87"/>
    <w:rsid w:val="0011152F"/>
    <w:rsid w:val="00116441"/>
    <w:rsid w:val="00121D3B"/>
    <w:rsid w:val="00131DBD"/>
    <w:rsid w:val="0013257F"/>
    <w:rsid w:val="00136FC0"/>
    <w:rsid w:val="00163CD8"/>
    <w:rsid w:val="00167786"/>
    <w:rsid w:val="001728BA"/>
    <w:rsid w:val="00176B5E"/>
    <w:rsid w:val="0018222C"/>
    <w:rsid w:val="0018799C"/>
    <w:rsid w:val="0019047B"/>
    <w:rsid w:val="001B00CA"/>
    <w:rsid w:val="001B0A76"/>
    <w:rsid w:val="001B0C28"/>
    <w:rsid w:val="001C0A7A"/>
    <w:rsid w:val="001C4ED3"/>
    <w:rsid w:val="001C7294"/>
    <w:rsid w:val="001C75D6"/>
    <w:rsid w:val="001D3FE0"/>
    <w:rsid w:val="001D6F9C"/>
    <w:rsid w:val="001E27E9"/>
    <w:rsid w:val="001E3EA2"/>
    <w:rsid w:val="001E40B6"/>
    <w:rsid w:val="001E4B01"/>
    <w:rsid w:val="001E51DA"/>
    <w:rsid w:val="001E6B8D"/>
    <w:rsid w:val="001F0BB7"/>
    <w:rsid w:val="001F24EA"/>
    <w:rsid w:val="001F2FF0"/>
    <w:rsid w:val="00203569"/>
    <w:rsid w:val="0021344F"/>
    <w:rsid w:val="00213CC1"/>
    <w:rsid w:val="00220CEB"/>
    <w:rsid w:val="00225498"/>
    <w:rsid w:val="002310AF"/>
    <w:rsid w:val="00236421"/>
    <w:rsid w:val="00236FBE"/>
    <w:rsid w:val="002416D1"/>
    <w:rsid w:val="002420DA"/>
    <w:rsid w:val="002472B3"/>
    <w:rsid w:val="002510C6"/>
    <w:rsid w:val="002545AF"/>
    <w:rsid w:val="002546F8"/>
    <w:rsid w:val="00262001"/>
    <w:rsid w:val="00267572"/>
    <w:rsid w:val="00275040"/>
    <w:rsid w:val="00280D6C"/>
    <w:rsid w:val="00297CF5"/>
    <w:rsid w:val="002A06BE"/>
    <w:rsid w:val="002B06B5"/>
    <w:rsid w:val="002C3753"/>
    <w:rsid w:val="002D0350"/>
    <w:rsid w:val="002D2247"/>
    <w:rsid w:val="002E2A41"/>
    <w:rsid w:val="002E5DA0"/>
    <w:rsid w:val="002F7A67"/>
    <w:rsid w:val="003017A8"/>
    <w:rsid w:val="00302FC7"/>
    <w:rsid w:val="00305B38"/>
    <w:rsid w:val="0031023D"/>
    <w:rsid w:val="00316696"/>
    <w:rsid w:val="00332E9E"/>
    <w:rsid w:val="00340210"/>
    <w:rsid w:val="00340FFA"/>
    <w:rsid w:val="003419BA"/>
    <w:rsid w:val="00347C09"/>
    <w:rsid w:val="00350CBC"/>
    <w:rsid w:val="003559C8"/>
    <w:rsid w:val="00355BA6"/>
    <w:rsid w:val="0035607A"/>
    <w:rsid w:val="003560AF"/>
    <w:rsid w:val="00363BBF"/>
    <w:rsid w:val="00364445"/>
    <w:rsid w:val="0036610C"/>
    <w:rsid w:val="0037558C"/>
    <w:rsid w:val="00376B95"/>
    <w:rsid w:val="00377485"/>
    <w:rsid w:val="00382F9D"/>
    <w:rsid w:val="003C52C2"/>
    <w:rsid w:val="003D0029"/>
    <w:rsid w:val="003D241F"/>
    <w:rsid w:val="003D357F"/>
    <w:rsid w:val="003D5355"/>
    <w:rsid w:val="003D69D9"/>
    <w:rsid w:val="003D6EDB"/>
    <w:rsid w:val="003D77A6"/>
    <w:rsid w:val="003E1B28"/>
    <w:rsid w:val="003E50E6"/>
    <w:rsid w:val="003E55CD"/>
    <w:rsid w:val="003F27BF"/>
    <w:rsid w:val="003F4AE9"/>
    <w:rsid w:val="003F4E18"/>
    <w:rsid w:val="00400880"/>
    <w:rsid w:val="00400C42"/>
    <w:rsid w:val="0040188A"/>
    <w:rsid w:val="00404D9A"/>
    <w:rsid w:val="0040672E"/>
    <w:rsid w:val="004072D9"/>
    <w:rsid w:val="0041180E"/>
    <w:rsid w:val="00411E99"/>
    <w:rsid w:val="004176DD"/>
    <w:rsid w:val="00422A8F"/>
    <w:rsid w:val="00424828"/>
    <w:rsid w:val="004278A4"/>
    <w:rsid w:val="004310F5"/>
    <w:rsid w:val="004334F5"/>
    <w:rsid w:val="00437F15"/>
    <w:rsid w:val="00443B82"/>
    <w:rsid w:val="0044430C"/>
    <w:rsid w:val="00450806"/>
    <w:rsid w:val="00472F7D"/>
    <w:rsid w:val="00484DE1"/>
    <w:rsid w:val="0049426E"/>
    <w:rsid w:val="00495234"/>
    <w:rsid w:val="004A051E"/>
    <w:rsid w:val="004A274F"/>
    <w:rsid w:val="004A2A50"/>
    <w:rsid w:val="004A57A9"/>
    <w:rsid w:val="004A63AE"/>
    <w:rsid w:val="004A6AAC"/>
    <w:rsid w:val="004B3750"/>
    <w:rsid w:val="004B69B8"/>
    <w:rsid w:val="004C03D1"/>
    <w:rsid w:val="004C0F8F"/>
    <w:rsid w:val="004C1C73"/>
    <w:rsid w:val="004C4496"/>
    <w:rsid w:val="004C56BB"/>
    <w:rsid w:val="004D41CB"/>
    <w:rsid w:val="004D6C86"/>
    <w:rsid w:val="004D7175"/>
    <w:rsid w:val="004E6199"/>
    <w:rsid w:val="004E7C31"/>
    <w:rsid w:val="004E7D2E"/>
    <w:rsid w:val="004F243E"/>
    <w:rsid w:val="004F727D"/>
    <w:rsid w:val="00500047"/>
    <w:rsid w:val="005125E0"/>
    <w:rsid w:val="0051629B"/>
    <w:rsid w:val="00524441"/>
    <w:rsid w:val="00525EB9"/>
    <w:rsid w:val="0052631B"/>
    <w:rsid w:val="00526E71"/>
    <w:rsid w:val="005305B6"/>
    <w:rsid w:val="00532BA6"/>
    <w:rsid w:val="0053690F"/>
    <w:rsid w:val="00540B42"/>
    <w:rsid w:val="00543540"/>
    <w:rsid w:val="0054678E"/>
    <w:rsid w:val="005547FE"/>
    <w:rsid w:val="005564EA"/>
    <w:rsid w:val="00561891"/>
    <w:rsid w:val="00561DEE"/>
    <w:rsid w:val="00576547"/>
    <w:rsid w:val="00576CA9"/>
    <w:rsid w:val="00577F56"/>
    <w:rsid w:val="0058148F"/>
    <w:rsid w:val="00581A6A"/>
    <w:rsid w:val="00582380"/>
    <w:rsid w:val="005852D4"/>
    <w:rsid w:val="00587979"/>
    <w:rsid w:val="00590711"/>
    <w:rsid w:val="005954B4"/>
    <w:rsid w:val="005A4633"/>
    <w:rsid w:val="005B7564"/>
    <w:rsid w:val="005C08A3"/>
    <w:rsid w:val="005C3A2A"/>
    <w:rsid w:val="005C4CA0"/>
    <w:rsid w:val="005C69AB"/>
    <w:rsid w:val="005C6F0E"/>
    <w:rsid w:val="005E3B08"/>
    <w:rsid w:val="005E6D78"/>
    <w:rsid w:val="005F270D"/>
    <w:rsid w:val="005F29ED"/>
    <w:rsid w:val="005F4C1A"/>
    <w:rsid w:val="005F6435"/>
    <w:rsid w:val="006104D0"/>
    <w:rsid w:val="00610A81"/>
    <w:rsid w:val="006126E9"/>
    <w:rsid w:val="00615599"/>
    <w:rsid w:val="00617C4D"/>
    <w:rsid w:val="00631DA9"/>
    <w:rsid w:val="006329EB"/>
    <w:rsid w:val="006362A6"/>
    <w:rsid w:val="006374AC"/>
    <w:rsid w:val="0064525D"/>
    <w:rsid w:val="00647EC1"/>
    <w:rsid w:val="00653B6F"/>
    <w:rsid w:val="006563EA"/>
    <w:rsid w:val="00660AF7"/>
    <w:rsid w:val="00662DE8"/>
    <w:rsid w:val="006648D5"/>
    <w:rsid w:val="00674A0D"/>
    <w:rsid w:val="00683C6C"/>
    <w:rsid w:val="00683FD3"/>
    <w:rsid w:val="006845D0"/>
    <w:rsid w:val="006863CA"/>
    <w:rsid w:val="0068649E"/>
    <w:rsid w:val="00687963"/>
    <w:rsid w:val="006949F2"/>
    <w:rsid w:val="006A1125"/>
    <w:rsid w:val="006A5A53"/>
    <w:rsid w:val="006B5AF6"/>
    <w:rsid w:val="006C03D3"/>
    <w:rsid w:val="006C2FC5"/>
    <w:rsid w:val="006C364E"/>
    <w:rsid w:val="006C7F38"/>
    <w:rsid w:val="006D3196"/>
    <w:rsid w:val="006D49E4"/>
    <w:rsid w:val="006D4CF5"/>
    <w:rsid w:val="006D6C69"/>
    <w:rsid w:val="006E0B80"/>
    <w:rsid w:val="006E3CA3"/>
    <w:rsid w:val="006E5E06"/>
    <w:rsid w:val="006E6351"/>
    <w:rsid w:val="006E7D53"/>
    <w:rsid w:val="006F56EF"/>
    <w:rsid w:val="00700820"/>
    <w:rsid w:val="00702560"/>
    <w:rsid w:val="00702DE4"/>
    <w:rsid w:val="007035EB"/>
    <w:rsid w:val="007057BA"/>
    <w:rsid w:val="00707CF2"/>
    <w:rsid w:val="00711BE2"/>
    <w:rsid w:val="00713877"/>
    <w:rsid w:val="007156C4"/>
    <w:rsid w:val="00730A69"/>
    <w:rsid w:val="00732A72"/>
    <w:rsid w:val="00744220"/>
    <w:rsid w:val="00745847"/>
    <w:rsid w:val="007511DF"/>
    <w:rsid w:val="007534B2"/>
    <w:rsid w:val="00755252"/>
    <w:rsid w:val="00761756"/>
    <w:rsid w:val="00764557"/>
    <w:rsid w:val="00766A85"/>
    <w:rsid w:val="007714FE"/>
    <w:rsid w:val="007927F4"/>
    <w:rsid w:val="00794CC5"/>
    <w:rsid w:val="00795590"/>
    <w:rsid w:val="007A5D59"/>
    <w:rsid w:val="007A7F2E"/>
    <w:rsid w:val="007B1994"/>
    <w:rsid w:val="007B19B6"/>
    <w:rsid w:val="007B1E77"/>
    <w:rsid w:val="007C24AB"/>
    <w:rsid w:val="007D2C1E"/>
    <w:rsid w:val="007D4B5E"/>
    <w:rsid w:val="007D731A"/>
    <w:rsid w:val="007E0B6D"/>
    <w:rsid w:val="007E1463"/>
    <w:rsid w:val="007E1DD1"/>
    <w:rsid w:val="007F03F3"/>
    <w:rsid w:val="007F20B8"/>
    <w:rsid w:val="007F57F7"/>
    <w:rsid w:val="008136A6"/>
    <w:rsid w:val="0081505F"/>
    <w:rsid w:val="00825FAF"/>
    <w:rsid w:val="008305F3"/>
    <w:rsid w:val="0083510D"/>
    <w:rsid w:val="00836D5B"/>
    <w:rsid w:val="008422E2"/>
    <w:rsid w:val="00853F49"/>
    <w:rsid w:val="00860D8D"/>
    <w:rsid w:val="00861799"/>
    <w:rsid w:val="00862469"/>
    <w:rsid w:val="00862ABB"/>
    <w:rsid w:val="00865CBC"/>
    <w:rsid w:val="00865ED2"/>
    <w:rsid w:val="008729C6"/>
    <w:rsid w:val="0088202D"/>
    <w:rsid w:val="0088295D"/>
    <w:rsid w:val="00884741"/>
    <w:rsid w:val="0088543F"/>
    <w:rsid w:val="00893BA1"/>
    <w:rsid w:val="00893C98"/>
    <w:rsid w:val="008B101F"/>
    <w:rsid w:val="008B2EA6"/>
    <w:rsid w:val="008B7E6B"/>
    <w:rsid w:val="008C0FBC"/>
    <w:rsid w:val="008C34BD"/>
    <w:rsid w:val="008C3E3E"/>
    <w:rsid w:val="008D103F"/>
    <w:rsid w:val="008D1D20"/>
    <w:rsid w:val="008D7766"/>
    <w:rsid w:val="008E1720"/>
    <w:rsid w:val="008E3571"/>
    <w:rsid w:val="008E44E3"/>
    <w:rsid w:val="008E543F"/>
    <w:rsid w:val="008E5DBF"/>
    <w:rsid w:val="008F32CB"/>
    <w:rsid w:val="008F3D51"/>
    <w:rsid w:val="00904FA9"/>
    <w:rsid w:val="00907B08"/>
    <w:rsid w:val="00914E92"/>
    <w:rsid w:val="00921183"/>
    <w:rsid w:val="0092180D"/>
    <w:rsid w:val="00921B55"/>
    <w:rsid w:val="00921B5F"/>
    <w:rsid w:val="00924F47"/>
    <w:rsid w:val="00940266"/>
    <w:rsid w:val="00942DD6"/>
    <w:rsid w:val="0095670E"/>
    <w:rsid w:val="0096001F"/>
    <w:rsid w:val="00963236"/>
    <w:rsid w:val="00965E5F"/>
    <w:rsid w:val="00973BF7"/>
    <w:rsid w:val="0097446A"/>
    <w:rsid w:val="0097688A"/>
    <w:rsid w:val="00977455"/>
    <w:rsid w:val="00982566"/>
    <w:rsid w:val="0098392B"/>
    <w:rsid w:val="00986678"/>
    <w:rsid w:val="00987D43"/>
    <w:rsid w:val="0099348B"/>
    <w:rsid w:val="0099382F"/>
    <w:rsid w:val="00994183"/>
    <w:rsid w:val="00995DB9"/>
    <w:rsid w:val="009A4405"/>
    <w:rsid w:val="009B2B67"/>
    <w:rsid w:val="009B2D1A"/>
    <w:rsid w:val="009C7D3C"/>
    <w:rsid w:val="009D0438"/>
    <w:rsid w:val="009D28BE"/>
    <w:rsid w:val="009D6246"/>
    <w:rsid w:val="009D6AF5"/>
    <w:rsid w:val="009D71A0"/>
    <w:rsid w:val="009D798F"/>
    <w:rsid w:val="009E113E"/>
    <w:rsid w:val="009F6ADA"/>
    <w:rsid w:val="00A02693"/>
    <w:rsid w:val="00A0459B"/>
    <w:rsid w:val="00A06B8B"/>
    <w:rsid w:val="00A143B2"/>
    <w:rsid w:val="00A145C3"/>
    <w:rsid w:val="00A22A74"/>
    <w:rsid w:val="00A23055"/>
    <w:rsid w:val="00A24BF0"/>
    <w:rsid w:val="00A27DBC"/>
    <w:rsid w:val="00A32B68"/>
    <w:rsid w:val="00A345F6"/>
    <w:rsid w:val="00A34A7D"/>
    <w:rsid w:val="00A35442"/>
    <w:rsid w:val="00A361FB"/>
    <w:rsid w:val="00A423E5"/>
    <w:rsid w:val="00A44318"/>
    <w:rsid w:val="00A46715"/>
    <w:rsid w:val="00A47317"/>
    <w:rsid w:val="00A51C89"/>
    <w:rsid w:val="00A55045"/>
    <w:rsid w:val="00A568D7"/>
    <w:rsid w:val="00A647DD"/>
    <w:rsid w:val="00A64F5B"/>
    <w:rsid w:val="00A6769A"/>
    <w:rsid w:val="00A76B24"/>
    <w:rsid w:val="00A819CA"/>
    <w:rsid w:val="00A82126"/>
    <w:rsid w:val="00A83291"/>
    <w:rsid w:val="00A861E4"/>
    <w:rsid w:val="00AA1DC4"/>
    <w:rsid w:val="00AA21F3"/>
    <w:rsid w:val="00AA60CB"/>
    <w:rsid w:val="00AC1F95"/>
    <w:rsid w:val="00AC5902"/>
    <w:rsid w:val="00AC5FC0"/>
    <w:rsid w:val="00AC6973"/>
    <w:rsid w:val="00AC7D0C"/>
    <w:rsid w:val="00AD0BD3"/>
    <w:rsid w:val="00AD4203"/>
    <w:rsid w:val="00AD4BE1"/>
    <w:rsid w:val="00AD605A"/>
    <w:rsid w:val="00AD71C4"/>
    <w:rsid w:val="00AE18E4"/>
    <w:rsid w:val="00AE318A"/>
    <w:rsid w:val="00AE6C64"/>
    <w:rsid w:val="00AF0036"/>
    <w:rsid w:val="00AF0429"/>
    <w:rsid w:val="00AF67D3"/>
    <w:rsid w:val="00B00591"/>
    <w:rsid w:val="00B01487"/>
    <w:rsid w:val="00B01D75"/>
    <w:rsid w:val="00B030FB"/>
    <w:rsid w:val="00B05663"/>
    <w:rsid w:val="00B07E2E"/>
    <w:rsid w:val="00B11A81"/>
    <w:rsid w:val="00B16F2C"/>
    <w:rsid w:val="00B25835"/>
    <w:rsid w:val="00B314A0"/>
    <w:rsid w:val="00B34EC3"/>
    <w:rsid w:val="00B36D9A"/>
    <w:rsid w:val="00B373B1"/>
    <w:rsid w:val="00B43884"/>
    <w:rsid w:val="00B46804"/>
    <w:rsid w:val="00B54644"/>
    <w:rsid w:val="00B54CEB"/>
    <w:rsid w:val="00B56340"/>
    <w:rsid w:val="00B62471"/>
    <w:rsid w:val="00B64DDD"/>
    <w:rsid w:val="00B66DCE"/>
    <w:rsid w:val="00B70C97"/>
    <w:rsid w:val="00B762C5"/>
    <w:rsid w:val="00B76F9D"/>
    <w:rsid w:val="00B84148"/>
    <w:rsid w:val="00B86785"/>
    <w:rsid w:val="00B9192F"/>
    <w:rsid w:val="00B9442B"/>
    <w:rsid w:val="00B947FB"/>
    <w:rsid w:val="00B96D6F"/>
    <w:rsid w:val="00BA4977"/>
    <w:rsid w:val="00BC082A"/>
    <w:rsid w:val="00BC5F29"/>
    <w:rsid w:val="00BC6F73"/>
    <w:rsid w:val="00BC6FED"/>
    <w:rsid w:val="00BD0E75"/>
    <w:rsid w:val="00BD5089"/>
    <w:rsid w:val="00BD5F46"/>
    <w:rsid w:val="00BE1C0A"/>
    <w:rsid w:val="00BF4C2D"/>
    <w:rsid w:val="00C024ED"/>
    <w:rsid w:val="00C042A9"/>
    <w:rsid w:val="00C04892"/>
    <w:rsid w:val="00C0514A"/>
    <w:rsid w:val="00C05FBB"/>
    <w:rsid w:val="00C14317"/>
    <w:rsid w:val="00C15B86"/>
    <w:rsid w:val="00C24855"/>
    <w:rsid w:val="00C2514E"/>
    <w:rsid w:val="00C263DC"/>
    <w:rsid w:val="00C30E11"/>
    <w:rsid w:val="00C31C35"/>
    <w:rsid w:val="00C4070E"/>
    <w:rsid w:val="00C5299C"/>
    <w:rsid w:val="00C5703B"/>
    <w:rsid w:val="00C574BD"/>
    <w:rsid w:val="00C611DD"/>
    <w:rsid w:val="00C6202E"/>
    <w:rsid w:val="00C6217E"/>
    <w:rsid w:val="00C64609"/>
    <w:rsid w:val="00C64852"/>
    <w:rsid w:val="00C71BAB"/>
    <w:rsid w:val="00C72BBD"/>
    <w:rsid w:val="00C77224"/>
    <w:rsid w:val="00C81917"/>
    <w:rsid w:val="00C8431A"/>
    <w:rsid w:val="00C92057"/>
    <w:rsid w:val="00C944C5"/>
    <w:rsid w:val="00C96271"/>
    <w:rsid w:val="00CA3846"/>
    <w:rsid w:val="00CA4492"/>
    <w:rsid w:val="00CA6399"/>
    <w:rsid w:val="00CB4CF8"/>
    <w:rsid w:val="00CC657D"/>
    <w:rsid w:val="00CD311B"/>
    <w:rsid w:val="00CD31B9"/>
    <w:rsid w:val="00CD34A6"/>
    <w:rsid w:val="00CD4197"/>
    <w:rsid w:val="00CD4C76"/>
    <w:rsid w:val="00CD7E5E"/>
    <w:rsid w:val="00CE355C"/>
    <w:rsid w:val="00CF5A43"/>
    <w:rsid w:val="00CF5D79"/>
    <w:rsid w:val="00CF5E6D"/>
    <w:rsid w:val="00CF6F3A"/>
    <w:rsid w:val="00D05D68"/>
    <w:rsid w:val="00D16DF9"/>
    <w:rsid w:val="00D17768"/>
    <w:rsid w:val="00D30057"/>
    <w:rsid w:val="00D315A7"/>
    <w:rsid w:val="00D3367F"/>
    <w:rsid w:val="00D41CB3"/>
    <w:rsid w:val="00D423C6"/>
    <w:rsid w:val="00D459E2"/>
    <w:rsid w:val="00D468DC"/>
    <w:rsid w:val="00D46961"/>
    <w:rsid w:val="00D51351"/>
    <w:rsid w:val="00D544FC"/>
    <w:rsid w:val="00D55E65"/>
    <w:rsid w:val="00D611F4"/>
    <w:rsid w:val="00D64B52"/>
    <w:rsid w:val="00D71289"/>
    <w:rsid w:val="00D7310F"/>
    <w:rsid w:val="00D77F99"/>
    <w:rsid w:val="00D80BC1"/>
    <w:rsid w:val="00D86842"/>
    <w:rsid w:val="00D962C1"/>
    <w:rsid w:val="00D9780E"/>
    <w:rsid w:val="00DA15A9"/>
    <w:rsid w:val="00DA34E5"/>
    <w:rsid w:val="00DB5950"/>
    <w:rsid w:val="00DB63E1"/>
    <w:rsid w:val="00DC6913"/>
    <w:rsid w:val="00DD13D0"/>
    <w:rsid w:val="00DE04A9"/>
    <w:rsid w:val="00DE1C85"/>
    <w:rsid w:val="00DE3BD2"/>
    <w:rsid w:val="00DE5CAE"/>
    <w:rsid w:val="00DE5E01"/>
    <w:rsid w:val="00DF23DA"/>
    <w:rsid w:val="00DF244A"/>
    <w:rsid w:val="00DF2793"/>
    <w:rsid w:val="00E05ACC"/>
    <w:rsid w:val="00E1258A"/>
    <w:rsid w:val="00E17CBA"/>
    <w:rsid w:val="00E2081C"/>
    <w:rsid w:val="00E23531"/>
    <w:rsid w:val="00E237CA"/>
    <w:rsid w:val="00E251E8"/>
    <w:rsid w:val="00E26B13"/>
    <w:rsid w:val="00E26E92"/>
    <w:rsid w:val="00E30338"/>
    <w:rsid w:val="00E3468E"/>
    <w:rsid w:val="00E4664A"/>
    <w:rsid w:val="00E47692"/>
    <w:rsid w:val="00E52A0F"/>
    <w:rsid w:val="00E6354B"/>
    <w:rsid w:val="00E757D6"/>
    <w:rsid w:val="00E76496"/>
    <w:rsid w:val="00E77309"/>
    <w:rsid w:val="00E8082B"/>
    <w:rsid w:val="00E82983"/>
    <w:rsid w:val="00E857CC"/>
    <w:rsid w:val="00E92889"/>
    <w:rsid w:val="00EA1130"/>
    <w:rsid w:val="00EA530E"/>
    <w:rsid w:val="00EA5D78"/>
    <w:rsid w:val="00EA6062"/>
    <w:rsid w:val="00EB71AA"/>
    <w:rsid w:val="00EC34C6"/>
    <w:rsid w:val="00EC57B0"/>
    <w:rsid w:val="00ED4749"/>
    <w:rsid w:val="00EE1E9A"/>
    <w:rsid w:val="00EE2AEC"/>
    <w:rsid w:val="00EF7B48"/>
    <w:rsid w:val="00F00C1C"/>
    <w:rsid w:val="00F04290"/>
    <w:rsid w:val="00F052FF"/>
    <w:rsid w:val="00F0687E"/>
    <w:rsid w:val="00F0786D"/>
    <w:rsid w:val="00F13AE2"/>
    <w:rsid w:val="00F2076D"/>
    <w:rsid w:val="00F21CD9"/>
    <w:rsid w:val="00F263E1"/>
    <w:rsid w:val="00F31FA2"/>
    <w:rsid w:val="00F34F0B"/>
    <w:rsid w:val="00F351E5"/>
    <w:rsid w:val="00F42519"/>
    <w:rsid w:val="00F42AD2"/>
    <w:rsid w:val="00F42F6C"/>
    <w:rsid w:val="00F43EC0"/>
    <w:rsid w:val="00F43FD7"/>
    <w:rsid w:val="00F44063"/>
    <w:rsid w:val="00F539BA"/>
    <w:rsid w:val="00F60D0D"/>
    <w:rsid w:val="00F618F0"/>
    <w:rsid w:val="00F70AA3"/>
    <w:rsid w:val="00F744A3"/>
    <w:rsid w:val="00F80DD5"/>
    <w:rsid w:val="00F84DF0"/>
    <w:rsid w:val="00F857D0"/>
    <w:rsid w:val="00F92C74"/>
    <w:rsid w:val="00FA0E3D"/>
    <w:rsid w:val="00FA1EE9"/>
    <w:rsid w:val="00FA320A"/>
    <w:rsid w:val="00FA3C76"/>
    <w:rsid w:val="00FA4773"/>
    <w:rsid w:val="00FA5A29"/>
    <w:rsid w:val="00FB6145"/>
    <w:rsid w:val="00FB7DC2"/>
    <w:rsid w:val="00FC4BF4"/>
    <w:rsid w:val="00FC4EA3"/>
    <w:rsid w:val="00FC7BA8"/>
    <w:rsid w:val="00FD02F1"/>
    <w:rsid w:val="00FD3B9C"/>
    <w:rsid w:val="00FE1196"/>
    <w:rsid w:val="00FE164C"/>
    <w:rsid w:val="00FE3E3E"/>
    <w:rsid w:val="00FE4805"/>
    <w:rsid w:val="00FF07C5"/>
    <w:rsid w:val="00FF1A92"/>
    <w:rsid w:val="00FF7DD2"/>
    <w:rsid w:val="013A3525"/>
    <w:rsid w:val="034C3044"/>
    <w:rsid w:val="04C5668F"/>
    <w:rsid w:val="051A128C"/>
    <w:rsid w:val="05761A1B"/>
    <w:rsid w:val="058344F1"/>
    <w:rsid w:val="062D534F"/>
    <w:rsid w:val="062E33B9"/>
    <w:rsid w:val="072E2590"/>
    <w:rsid w:val="08710556"/>
    <w:rsid w:val="08D12C20"/>
    <w:rsid w:val="08FB1BD1"/>
    <w:rsid w:val="09722EE8"/>
    <w:rsid w:val="0C2C0940"/>
    <w:rsid w:val="0C572DDE"/>
    <w:rsid w:val="0E1A7D0F"/>
    <w:rsid w:val="0ED32F72"/>
    <w:rsid w:val="0F5528EB"/>
    <w:rsid w:val="0F5F5F60"/>
    <w:rsid w:val="0F74650F"/>
    <w:rsid w:val="0FD5101A"/>
    <w:rsid w:val="108B4D67"/>
    <w:rsid w:val="115E2820"/>
    <w:rsid w:val="144D7FE1"/>
    <w:rsid w:val="14A91370"/>
    <w:rsid w:val="152F449F"/>
    <w:rsid w:val="15EC0095"/>
    <w:rsid w:val="162A1F05"/>
    <w:rsid w:val="16920F27"/>
    <w:rsid w:val="17077019"/>
    <w:rsid w:val="174C2277"/>
    <w:rsid w:val="174C786E"/>
    <w:rsid w:val="17D74B81"/>
    <w:rsid w:val="18422CDC"/>
    <w:rsid w:val="186526F1"/>
    <w:rsid w:val="1899684D"/>
    <w:rsid w:val="194B58BA"/>
    <w:rsid w:val="1A864E70"/>
    <w:rsid w:val="1AA607BB"/>
    <w:rsid w:val="1AB172BA"/>
    <w:rsid w:val="1BDA6BC7"/>
    <w:rsid w:val="1D4541D6"/>
    <w:rsid w:val="1EC30DE9"/>
    <w:rsid w:val="20CC233A"/>
    <w:rsid w:val="21276BFE"/>
    <w:rsid w:val="219656CA"/>
    <w:rsid w:val="23C855C2"/>
    <w:rsid w:val="24A258D1"/>
    <w:rsid w:val="253A5E64"/>
    <w:rsid w:val="274F000B"/>
    <w:rsid w:val="2BE5194F"/>
    <w:rsid w:val="2DA61330"/>
    <w:rsid w:val="2E7A41F5"/>
    <w:rsid w:val="2EEC2F96"/>
    <w:rsid w:val="2EF70140"/>
    <w:rsid w:val="2F845F0D"/>
    <w:rsid w:val="30071004"/>
    <w:rsid w:val="300C0BA5"/>
    <w:rsid w:val="3125365F"/>
    <w:rsid w:val="31630B5A"/>
    <w:rsid w:val="321E3CF0"/>
    <w:rsid w:val="32BC30CF"/>
    <w:rsid w:val="3507280B"/>
    <w:rsid w:val="35914279"/>
    <w:rsid w:val="37640B10"/>
    <w:rsid w:val="378C05D2"/>
    <w:rsid w:val="385661ED"/>
    <w:rsid w:val="38C522B1"/>
    <w:rsid w:val="3B0308F8"/>
    <w:rsid w:val="3C5E78A1"/>
    <w:rsid w:val="3DF83E38"/>
    <w:rsid w:val="3E5654D6"/>
    <w:rsid w:val="3E6202EF"/>
    <w:rsid w:val="403F5DDF"/>
    <w:rsid w:val="40E53168"/>
    <w:rsid w:val="41B4021C"/>
    <w:rsid w:val="42234190"/>
    <w:rsid w:val="427D68F4"/>
    <w:rsid w:val="442D2686"/>
    <w:rsid w:val="46785BA9"/>
    <w:rsid w:val="470805C4"/>
    <w:rsid w:val="48143A14"/>
    <w:rsid w:val="4A0D7AA1"/>
    <w:rsid w:val="4A150FD8"/>
    <w:rsid w:val="4A1F41DE"/>
    <w:rsid w:val="4A4764FF"/>
    <w:rsid w:val="4B705DE9"/>
    <w:rsid w:val="4B7F4031"/>
    <w:rsid w:val="4BD750C0"/>
    <w:rsid w:val="4E167ABB"/>
    <w:rsid w:val="4ECC4356"/>
    <w:rsid w:val="4EFE6C7E"/>
    <w:rsid w:val="4F5A501D"/>
    <w:rsid w:val="4F727D31"/>
    <w:rsid w:val="509D3715"/>
    <w:rsid w:val="50E12107"/>
    <w:rsid w:val="51665F92"/>
    <w:rsid w:val="523555EC"/>
    <w:rsid w:val="53E32981"/>
    <w:rsid w:val="542962C9"/>
    <w:rsid w:val="571E107A"/>
    <w:rsid w:val="57EC65D1"/>
    <w:rsid w:val="58085E8A"/>
    <w:rsid w:val="584162DC"/>
    <w:rsid w:val="589D7DC4"/>
    <w:rsid w:val="58AB517C"/>
    <w:rsid w:val="59722B21"/>
    <w:rsid w:val="5A904D92"/>
    <w:rsid w:val="5AA62FC9"/>
    <w:rsid w:val="5AF53713"/>
    <w:rsid w:val="5C255026"/>
    <w:rsid w:val="5C3D17A7"/>
    <w:rsid w:val="5C9F5A23"/>
    <w:rsid w:val="5E0F4C15"/>
    <w:rsid w:val="5EC31518"/>
    <w:rsid w:val="5F451495"/>
    <w:rsid w:val="5F847079"/>
    <w:rsid w:val="5F8529C6"/>
    <w:rsid w:val="5FD30547"/>
    <w:rsid w:val="61717DF9"/>
    <w:rsid w:val="621839B4"/>
    <w:rsid w:val="62B41630"/>
    <w:rsid w:val="63E61658"/>
    <w:rsid w:val="646A2F20"/>
    <w:rsid w:val="672C2A24"/>
    <w:rsid w:val="678872C9"/>
    <w:rsid w:val="67AD18E4"/>
    <w:rsid w:val="69183462"/>
    <w:rsid w:val="6A3D5BDA"/>
    <w:rsid w:val="6B2626B6"/>
    <w:rsid w:val="6BF10919"/>
    <w:rsid w:val="6CBB323A"/>
    <w:rsid w:val="6D766CF5"/>
    <w:rsid w:val="6F8D4047"/>
    <w:rsid w:val="6FD34AFA"/>
    <w:rsid w:val="709F2B54"/>
    <w:rsid w:val="71011A97"/>
    <w:rsid w:val="710D4E5C"/>
    <w:rsid w:val="72222C9A"/>
    <w:rsid w:val="742A5B7E"/>
    <w:rsid w:val="74544E51"/>
    <w:rsid w:val="76F42BD1"/>
    <w:rsid w:val="7A114D1B"/>
    <w:rsid w:val="7B4D7D47"/>
    <w:rsid w:val="7BF27257"/>
    <w:rsid w:val="7C2648BF"/>
    <w:rsid w:val="7C80392D"/>
    <w:rsid w:val="7D7232C6"/>
    <w:rsid w:val="7F5E2F4F"/>
    <w:rsid w:val="7F6C00E1"/>
    <w:rsid w:val="FFFD50FF"/>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iPriority="34" w:semiHidden="0" w:name="List Paragraph"/>
  </w:latentStyles>
  <w:style w:type="paragraph" w:default="1" w:styleId="1">
    <w:name w:val="Normal"/>
    <w:qFormat/>
    <w:uiPriority w:val="0"/>
    <w:pPr>
      <w:autoSpaceDE w:val="0"/>
      <w:autoSpaceDN w:val="0"/>
    </w:pPr>
    <w:rPr>
      <w:rFonts w:ascii="Times New Roman" w:hAnsi="Times New Roman" w:eastAsia="Times New Roman" w:cs="Times New Roman"/>
      <w:lang w:val="pt-BR" w:eastAsia="pt-BR" w:bidi="ar-SA"/>
    </w:rPr>
  </w:style>
  <w:style w:type="paragraph" w:styleId="2">
    <w:name w:val="heading 3"/>
    <w:basedOn w:val="1"/>
    <w:next w:val="1"/>
    <w:link w:val="21"/>
    <w:semiHidden/>
    <w:unhideWhenUsed/>
    <w:qFormat/>
    <w:uiPriority w:val="9"/>
    <w:pPr>
      <w:keepNext/>
      <w:keepLines/>
      <w:autoSpaceDE/>
      <w:autoSpaceDN/>
      <w:spacing w:before="200"/>
      <w:outlineLvl w:val="2"/>
    </w:pPr>
    <w:rPr>
      <w:rFonts w:asciiTheme="majorHAnsi" w:hAnsiTheme="majorHAnsi" w:eastAsiaTheme="majorEastAsia" w:cstheme="majorBidi"/>
      <w:b/>
      <w:bCs/>
      <w:color w:val="4F81BD" w:themeColor="accent1"/>
      <w:sz w:val="24"/>
      <w:szCs w:val="24"/>
      <w14:textFill>
        <w14:solidFill>
          <w14:schemeClr w14:val="accent1"/>
        </w14:solidFill>
      </w14:textFill>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qFormat/>
    <w:uiPriority w:val="99"/>
    <w:rPr>
      <w:color w:val="0000FF" w:themeColor="hyperlink"/>
      <w:u w:val="single"/>
      <w14:textFill>
        <w14:solidFill>
          <w14:schemeClr w14:val="hlink"/>
        </w14:solidFill>
      </w14:textFill>
    </w:rPr>
  </w:style>
  <w:style w:type="character" w:styleId="6">
    <w:name w:val="page number"/>
    <w:basedOn w:val="3"/>
    <w:qFormat/>
    <w:uiPriority w:val="0"/>
  </w:style>
  <w:style w:type="paragraph" w:styleId="7">
    <w:name w:val="Body Text"/>
    <w:basedOn w:val="1"/>
    <w:link w:val="15"/>
    <w:unhideWhenUsed/>
    <w:qFormat/>
    <w:uiPriority w:val="99"/>
    <w:pPr>
      <w:spacing w:after="120"/>
    </w:pPr>
  </w:style>
  <w:style w:type="paragraph" w:styleId="8">
    <w:name w:val="Normal (Web)"/>
    <w:basedOn w:val="1"/>
    <w:unhideWhenUsed/>
    <w:qFormat/>
    <w:uiPriority w:val="99"/>
    <w:pPr>
      <w:autoSpaceDE/>
      <w:autoSpaceDN/>
      <w:spacing w:before="240" w:after="240"/>
      <w:jc w:val="both"/>
    </w:pPr>
    <w:rPr>
      <w:sz w:val="24"/>
      <w:szCs w:val="24"/>
    </w:rPr>
  </w:style>
  <w:style w:type="paragraph" w:styleId="9">
    <w:name w:val="header"/>
    <w:basedOn w:val="1"/>
    <w:link w:val="14"/>
    <w:qFormat/>
    <w:uiPriority w:val="0"/>
    <w:pPr>
      <w:tabs>
        <w:tab w:val="center" w:pos="4419"/>
        <w:tab w:val="right" w:pos="8838"/>
      </w:tabs>
    </w:pPr>
  </w:style>
  <w:style w:type="paragraph" w:styleId="10">
    <w:name w:val="footer"/>
    <w:basedOn w:val="1"/>
    <w:link w:val="13"/>
    <w:qFormat/>
    <w:uiPriority w:val="0"/>
    <w:pPr>
      <w:tabs>
        <w:tab w:val="center" w:pos="4419"/>
        <w:tab w:val="right" w:pos="8838"/>
      </w:tabs>
    </w:pPr>
  </w:style>
  <w:style w:type="paragraph" w:styleId="11">
    <w:name w:val="Balloon Text"/>
    <w:basedOn w:val="1"/>
    <w:link w:val="17"/>
    <w:unhideWhenUsed/>
    <w:qFormat/>
    <w:uiPriority w:val="99"/>
    <w:rPr>
      <w:rFonts w:ascii="Tahoma" w:hAnsi="Tahoma" w:cs="Tahoma"/>
      <w:sz w:val="16"/>
      <w:szCs w:val="16"/>
    </w:rPr>
  </w:style>
  <w:style w:type="table" w:styleId="12">
    <w:name w:val="Table Grid"/>
    <w:basedOn w:val="4"/>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3">
    <w:name w:val="Rodapé Char"/>
    <w:basedOn w:val="3"/>
    <w:link w:val="10"/>
    <w:qFormat/>
    <w:uiPriority w:val="0"/>
    <w:rPr>
      <w:rFonts w:ascii="Times New Roman" w:hAnsi="Times New Roman" w:eastAsia="Times New Roman" w:cs="Times New Roman"/>
      <w:sz w:val="20"/>
      <w:szCs w:val="20"/>
      <w:lang w:eastAsia="pt-BR"/>
    </w:rPr>
  </w:style>
  <w:style w:type="character" w:customStyle="1" w:styleId="14">
    <w:name w:val="Cabeçalho Char"/>
    <w:basedOn w:val="3"/>
    <w:link w:val="9"/>
    <w:qFormat/>
    <w:uiPriority w:val="0"/>
    <w:rPr>
      <w:rFonts w:ascii="Times New Roman" w:hAnsi="Times New Roman" w:eastAsia="Times New Roman" w:cs="Times New Roman"/>
      <w:sz w:val="20"/>
      <w:szCs w:val="20"/>
      <w:lang w:eastAsia="pt-BR"/>
    </w:rPr>
  </w:style>
  <w:style w:type="character" w:customStyle="1" w:styleId="15">
    <w:name w:val="Corpo de texto Char"/>
    <w:basedOn w:val="3"/>
    <w:link w:val="7"/>
    <w:qFormat/>
    <w:uiPriority w:val="99"/>
    <w:rPr>
      <w:rFonts w:ascii="Times New Roman" w:hAnsi="Times New Roman" w:eastAsia="Times New Roman" w:cs="Times New Roman"/>
      <w:sz w:val="20"/>
      <w:szCs w:val="20"/>
      <w:lang w:eastAsia="pt-BR"/>
    </w:rPr>
  </w:style>
  <w:style w:type="paragraph" w:customStyle="1" w:styleId="16">
    <w:name w:val="Parágrafo da Lista1"/>
    <w:basedOn w:val="1"/>
    <w:qFormat/>
    <w:uiPriority w:val="34"/>
    <w:pPr>
      <w:ind w:left="720"/>
      <w:contextualSpacing/>
    </w:pPr>
  </w:style>
  <w:style w:type="character" w:customStyle="1" w:styleId="17">
    <w:name w:val="Texto de balão Char"/>
    <w:basedOn w:val="3"/>
    <w:link w:val="11"/>
    <w:semiHidden/>
    <w:qFormat/>
    <w:uiPriority w:val="99"/>
    <w:rPr>
      <w:rFonts w:ascii="Tahoma" w:hAnsi="Tahoma" w:eastAsia="Times New Roman" w:cs="Tahoma"/>
      <w:sz w:val="16"/>
      <w:szCs w:val="16"/>
      <w:lang w:eastAsia="pt-BR"/>
    </w:rPr>
  </w:style>
  <w:style w:type="paragraph" w:customStyle="1" w:styleId="18">
    <w:name w:val="Default"/>
    <w:qFormat/>
    <w:uiPriority w:val="0"/>
    <w:pPr>
      <w:autoSpaceDE w:val="0"/>
      <w:autoSpaceDN w:val="0"/>
      <w:adjustRightInd w:val="0"/>
    </w:pPr>
    <w:rPr>
      <w:rFonts w:ascii="Arial" w:hAnsi="Arial" w:cs="Arial" w:eastAsiaTheme="minorHAnsi"/>
      <w:color w:val="000000"/>
      <w:sz w:val="24"/>
      <w:szCs w:val="24"/>
      <w:lang w:val="pt-BR" w:eastAsia="en-US" w:bidi="ar-SA"/>
    </w:rPr>
  </w:style>
  <w:style w:type="paragraph" w:customStyle="1" w:styleId="19">
    <w:name w:val="Sem Espaçamento1"/>
    <w:qFormat/>
    <w:uiPriority w:val="1"/>
    <w:rPr>
      <w:rFonts w:asciiTheme="minorHAnsi" w:hAnsiTheme="minorHAnsi" w:eastAsiaTheme="minorHAnsi" w:cstheme="minorBidi"/>
      <w:sz w:val="22"/>
      <w:szCs w:val="22"/>
      <w:lang w:val="pt-BR" w:eastAsia="en-US" w:bidi="ar-SA"/>
    </w:rPr>
  </w:style>
  <w:style w:type="paragraph" w:customStyle="1" w:styleId="20">
    <w:name w:val="Table Paragraph"/>
    <w:basedOn w:val="1"/>
    <w:qFormat/>
    <w:uiPriority w:val="1"/>
    <w:pPr>
      <w:widowControl w:val="0"/>
      <w:ind w:left="105"/>
    </w:pPr>
    <w:rPr>
      <w:sz w:val="22"/>
      <w:szCs w:val="22"/>
      <w:lang w:val="en-US" w:eastAsia="en-US"/>
    </w:rPr>
  </w:style>
  <w:style w:type="character" w:customStyle="1" w:styleId="21">
    <w:name w:val="Título 3 Char"/>
    <w:basedOn w:val="3"/>
    <w:link w:val="2"/>
    <w:semiHidden/>
    <w:qFormat/>
    <w:uiPriority w:val="9"/>
    <w:rPr>
      <w:rFonts w:asciiTheme="majorHAnsi" w:hAnsiTheme="majorHAnsi" w:eastAsiaTheme="majorEastAsia" w:cstheme="majorBidi"/>
      <w:b/>
      <w:bCs/>
      <w:color w:val="4F81BD" w:themeColor="accent1"/>
      <w:sz w:val="24"/>
      <w:szCs w:val="24"/>
      <w14:textFill>
        <w14:solidFill>
          <w14:schemeClr w14:val="accent1"/>
        </w14:solidFill>
      </w14:textFill>
    </w:rPr>
  </w:style>
  <w:style w:type="paragraph" w:customStyle="1" w:styleId="22">
    <w:name w:val="x_m_6497026663868770949gmail-msobodytext"/>
    <w:basedOn w:val="1"/>
    <w:qFormat/>
    <w:uiPriority w:val="0"/>
    <w:pPr>
      <w:autoSpaceDE/>
      <w:autoSpaceDN/>
      <w:spacing w:before="100" w:beforeAutospacing="1" w:after="100" w:afterAutospacing="1"/>
    </w:pPr>
    <w:rPr>
      <w:sz w:val="24"/>
      <w:szCs w:val="24"/>
    </w:rPr>
  </w:style>
  <w:style w:type="paragraph" w:styleId="23">
    <w:name w:val="List Paragraph"/>
    <w:basedOn w:val="1"/>
    <w:unhideWhenUsed/>
    <w:qFormat/>
    <w:uiPriority w:val="34"/>
    <w:pPr>
      <w:ind w:left="720"/>
      <w:contextualSpacing/>
    </w:pPr>
  </w:style>
  <w:style w:type="character" w:customStyle="1" w:styleId="24">
    <w:name w:val="Unresolved Mention"/>
    <w:basedOn w:val="3"/>
    <w:semiHidden/>
    <w:unhideWhenUsed/>
    <w:qFormat/>
    <w:uiPriority w:val="99"/>
    <w:rPr>
      <w:color w:val="605E5C"/>
      <w:shd w:val="clear" w:color="auto" w:fill="E1DFDD"/>
    </w:rPr>
  </w:style>
  <w:style w:type="character" w:customStyle="1" w:styleId="25">
    <w:name w:val="markedcontent"/>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59FF4-FE1E-4A79-8DF6-7B21CB3D7833}">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30</Pages>
  <Words>12802</Words>
  <Characters>69134</Characters>
  <Lines>576</Lines>
  <Paragraphs>163</Paragraphs>
  <TotalTime>34</TotalTime>
  <ScaleCrop>false</ScaleCrop>
  <LinksUpToDate>false</LinksUpToDate>
  <CharactersWithSpaces>81773</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2023-02-28T13:20:00Z</dcterms:created>
  <dc:creator>silvia.oliveira</dc:creator>
  <cp:lastModifiedBy>EDNA.ESCOBAR</cp:lastModifiedBy>
  <cp:lastPrinted>2025-06-18T11:59:00Z</cp:lastPrinted>
  <dcterms:modified xsi:type="dcterms:W3CDTF">2025-09-17T16:53:18Z</dcterms:modified>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DAD1B60BE6B34548B850AB1F981CC1C3_13</vt:lpwstr>
  </property>
</Properties>
</file>