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1E460E">
      <w:pPr>
        <w:pStyle w:val="2"/>
        <w:spacing w:before="90"/>
        <w:ind w:left="0"/>
        <w:rPr>
          <w:sz w:val="22"/>
          <w:szCs w:val="22"/>
        </w:rPr>
      </w:pPr>
      <w:bookmarkStart w:id="6" w:name="_GoBack"/>
      <w:bookmarkEnd w:id="6"/>
      <w:bookmarkStart w:id="0" w:name="_bookmark315"/>
      <w:bookmarkEnd w:id="0"/>
      <w:bookmarkStart w:id="1" w:name="_bookmark223"/>
      <w:bookmarkEnd w:id="1"/>
      <w:bookmarkStart w:id="2" w:name="_bookmark313"/>
      <w:bookmarkEnd w:id="2"/>
      <w:r>
        <w:rPr>
          <w:sz w:val="22"/>
          <w:szCs w:val="22"/>
        </w:rPr>
        <w:t>ANEXO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III</w:t>
      </w:r>
    </w:p>
    <w:p w14:paraId="307273A9">
      <w:pPr>
        <w:pStyle w:val="9"/>
        <w:spacing w:before="5"/>
        <w:jc w:val="center"/>
        <w:rPr>
          <w:b/>
          <w:sz w:val="22"/>
          <w:szCs w:val="22"/>
        </w:rPr>
      </w:pPr>
    </w:p>
    <w:p w14:paraId="31CBD584">
      <w:pPr>
        <w:pStyle w:val="2"/>
        <w:ind w:left="0"/>
        <w:rPr>
          <w:sz w:val="22"/>
          <w:szCs w:val="22"/>
        </w:rPr>
      </w:pPr>
      <w:bookmarkStart w:id="3" w:name="_bookmark316"/>
      <w:bookmarkEnd w:id="3"/>
      <w:r>
        <w:rPr>
          <w:sz w:val="22"/>
          <w:szCs w:val="22"/>
        </w:rPr>
        <w:t>ESTUDO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TÉCNICO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PRELIMINAR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ETP</w:t>
      </w:r>
    </w:p>
    <w:p w14:paraId="73CAE87D">
      <w:pPr>
        <w:pStyle w:val="9"/>
        <w:rPr>
          <w:b/>
          <w:sz w:val="22"/>
          <w:szCs w:val="22"/>
        </w:rPr>
      </w:pPr>
    </w:p>
    <w:p w14:paraId="4A4604D0">
      <w:pPr>
        <w:pStyle w:val="9"/>
        <w:spacing w:before="2"/>
        <w:rPr>
          <w:b/>
          <w:sz w:val="22"/>
          <w:szCs w:val="22"/>
        </w:rPr>
      </w:pPr>
    </w:p>
    <w:p w14:paraId="7B336DB6">
      <w:pPr>
        <w:pStyle w:val="2"/>
        <w:ind w:left="402" w:right="0"/>
        <w:jc w:val="left"/>
        <w:rPr>
          <w:sz w:val="22"/>
          <w:szCs w:val="22"/>
          <w:lang w:val="pt-BR"/>
        </w:rPr>
      </w:pPr>
      <w:r>
        <w:rPr>
          <w:sz w:val="22"/>
          <w:szCs w:val="22"/>
        </w:rPr>
        <w:t>PROCESSO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ADMINISTRATIVO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z w:val="22"/>
          <w:szCs w:val="22"/>
          <w:lang w:val="pt-BR"/>
        </w:rPr>
        <w:t>°</w:t>
      </w:r>
      <w:r>
        <w:rPr>
          <w:sz w:val="22"/>
          <w:szCs w:val="22"/>
        </w:rPr>
        <w:t>.:</w:t>
      </w:r>
      <w:r>
        <w:rPr>
          <w:sz w:val="22"/>
          <w:szCs w:val="22"/>
          <w:lang w:val="pt-BR"/>
        </w:rPr>
        <w:t xml:space="preserve"> </w:t>
      </w:r>
    </w:p>
    <w:p w14:paraId="7F04CA43">
      <w:pPr>
        <w:tabs>
          <w:tab w:val="left" w:pos="1716"/>
          <w:tab w:val="left" w:pos="2609"/>
          <w:tab w:val="left" w:pos="2928"/>
        </w:tabs>
        <w:spacing w:before="1"/>
        <w:ind w:left="402" w:right="3510"/>
        <w:rPr>
          <w:b/>
          <w:lang w:val="pt-BR"/>
        </w:rPr>
      </w:pPr>
      <w:r>
        <w:rPr>
          <w:b/>
        </w:rPr>
        <w:t>SOLICITAÇÃO</w:t>
      </w:r>
      <w:r>
        <w:rPr>
          <w:b/>
          <w:spacing w:val="-1"/>
        </w:rPr>
        <w:t xml:space="preserve"> </w:t>
      </w:r>
      <w:r>
        <w:rPr>
          <w:b/>
        </w:rPr>
        <w:t>DE DESPESA</w:t>
      </w:r>
      <w:r>
        <w:rPr>
          <w:b/>
          <w:lang w:val="pt-BR"/>
        </w:rPr>
        <w:t xml:space="preserve"> </w:t>
      </w:r>
      <w:r>
        <w:rPr>
          <w:b/>
        </w:rPr>
        <w:t>N</w:t>
      </w:r>
      <w:r>
        <w:rPr>
          <w:b/>
          <w:lang w:val="pt-BR"/>
        </w:rPr>
        <w:t>°</w:t>
      </w:r>
      <w:r>
        <w:rPr>
          <w:b/>
        </w:rPr>
        <w:t>.:</w:t>
      </w:r>
      <w:r>
        <w:rPr>
          <w:b/>
          <w:lang w:val="pt-BR"/>
        </w:rPr>
        <w:t xml:space="preserve"> </w:t>
      </w:r>
    </w:p>
    <w:p w14:paraId="75D062F3">
      <w:pPr>
        <w:tabs>
          <w:tab w:val="left" w:pos="1716"/>
          <w:tab w:val="left" w:pos="2609"/>
          <w:tab w:val="left" w:pos="2928"/>
        </w:tabs>
        <w:spacing w:before="1"/>
        <w:ind w:left="402" w:right="3510"/>
        <w:rPr>
          <w:b/>
          <w:lang w:val="pt-BR"/>
        </w:rPr>
      </w:pPr>
      <w:r>
        <w:rPr>
          <w:b/>
        </w:rPr>
        <w:t>OFÍCIO DA AREA DEMANDANTE N</w:t>
      </w:r>
      <w:r>
        <w:rPr>
          <w:b/>
          <w:lang w:val="pt-BR"/>
        </w:rPr>
        <w:t>º</w:t>
      </w:r>
      <w:r>
        <w:rPr>
          <w:b/>
        </w:rPr>
        <w:t>.:</w:t>
      </w:r>
      <w:r>
        <w:rPr>
          <w:b/>
          <w:lang w:val="pt-BR"/>
        </w:rPr>
        <w:t xml:space="preserve"> </w:t>
      </w:r>
    </w:p>
    <w:p w14:paraId="5670F2CC">
      <w:pPr>
        <w:tabs>
          <w:tab w:val="left" w:pos="1716"/>
          <w:tab w:val="left" w:pos="2609"/>
          <w:tab w:val="left" w:pos="2928"/>
        </w:tabs>
        <w:spacing w:before="1"/>
        <w:ind w:left="402" w:right="3510"/>
        <w:rPr>
          <w:b/>
        </w:rPr>
      </w:pPr>
      <w:r>
        <w:rPr>
          <w:b/>
        </w:rPr>
        <w:t>SIGILO:</w:t>
      </w:r>
      <w:r>
        <w:rPr>
          <w:b/>
          <w:spacing w:val="-1"/>
        </w:rPr>
        <w:t xml:space="preserve"> </w:t>
      </w:r>
      <w:r>
        <w:rPr>
          <w:b/>
        </w:rPr>
        <w:t>(</w:t>
      </w:r>
      <w:r>
        <w:rPr>
          <w:b/>
          <w:lang w:val="pt-BR"/>
        </w:rPr>
        <w:t xml:space="preserve">   </w:t>
      </w:r>
      <w:r>
        <w:rPr>
          <w:b/>
        </w:rPr>
        <w:t>) SIM</w:t>
      </w:r>
      <w:r>
        <w:rPr>
          <w:b/>
        </w:rPr>
        <w:tab/>
      </w:r>
      <w:r>
        <w:rPr>
          <w:b/>
        </w:rPr>
        <w:t>(</w:t>
      </w:r>
      <w:r>
        <w:rPr>
          <w:b/>
          <w:lang w:val="pt-BR"/>
        </w:rPr>
        <w:t xml:space="preserve"> X </w:t>
      </w:r>
      <w:r>
        <w:rPr>
          <w:b/>
        </w:rPr>
        <w:t>) NÃO</w:t>
      </w:r>
    </w:p>
    <w:p w14:paraId="461F52F4">
      <w:pPr>
        <w:pStyle w:val="2"/>
        <w:tabs>
          <w:tab w:val="left" w:pos="6553"/>
          <w:tab w:val="left" w:pos="7766"/>
          <w:tab w:val="left" w:pos="8086"/>
        </w:tabs>
        <w:ind w:left="402" w:right="0"/>
        <w:jc w:val="left"/>
        <w:rPr>
          <w:sz w:val="22"/>
          <w:szCs w:val="22"/>
        </w:rPr>
      </w:pPr>
      <w:r>
        <w:rPr>
          <w:sz w:val="22"/>
          <w:szCs w:val="22"/>
        </w:rPr>
        <w:t>PREVISÃO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NO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PLANO DE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CONTRATAÇÃO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ANUAL:</w:t>
      </w:r>
      <w:r>
        <w:rPr>
          <w:sz w:val="22"/>
          <w:szCs w:val="22"/>
          <w:lang w:val="pt-BR"/>
        </w:rPr>
        <w:t xml:space="preserve">    </w:t>
      </w:r>
      <w:r>
        <w:rPr>
          <w:sz w:val="22"/>
          <w:szCs w:val="22"/>
        </w:rPr>
        <w:t>(   ) SIM</w:t>
      </w:r>
      <w:r>
        <w:rPr>
          <w:sz w:val="22"/>
          <w:szCs w:val="22"/>
          <w:lang w:val="pt-BR"/>
        </w:rPr>
        <w:t xml:space="preserve">     </w:t>
      </w:r>
      <w:r>
        <w:rPr>
          <w:sz w:val="22"/>
          <w:szCs w:val="22"/>
        </w:rPr>
        <w:t>(</w:t>
      </w:r>
      <w:r>
        <w:rPr>
          <w:sz w:val="22"/>
          <w:szCs w:val="22"/>
          <w:lang w:val="pt-BR"/>
        </w:rPr>
        <w:t xml:space="preserve"> X </w:t>
      </w:r>
      <w:r>
        <w:rPr>
          <w:sz w:val="22"/>
          <w:szCs w:val="22"/>
        </w:rPr>
        <w:t>)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NÃO</w:t>
      </w:r>
    </w:p>
    <w:p w14:paraId="3ABE221F">
      <w:pPr>
        <w:pStyle w:val="9"/>
        <w:rPr>
          <w:b/>
          <w:sz w:val="22"/>
          <w:szCs w:val="22"/>
        </w:rPr>
      </w:pPr>
    </w:p>
    <w:tbl>
      <w:tblPr>
        <w:tblStyle w:val="6"/>
        <w:tblW w:w="9980" w:type="dxa"/>
        <w:tblInd w:w="-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80"/>
      </w:tblGrid>
      <w:tr w14:paraId="674C39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980" w:type="dxa"/>
            <w:shd w:val="clear" w:color="auto" w:fill="D6E3BC" w:themeFill="accent3" w:themeFillTint="66"/>
          </w:tcPr>
          <w:p w14:paraId="2B2FE40B">
            <w:pPr>
              <w:pStyle w:val="17"/>
              <w:spacing w:line="256" w:lineRule="exact"/>
              <w:ind w:left="3949" w:right="365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INTRODUÇÃO</w:t>
            </w:r>
          </w:p>
        </w:tc>
      </w:tr>
      <w:tr w14:paraId="0AB8D6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9980" w:type="dxa"/>
          </w:tcPr>
          <w:p w14:paraId="723C9852">
            <w:pPr>
              <w:pStyle w:val="17"/>
              <w:spacing w:line="270" w:lineRule="atLeast"/>
              <w:ind w:right="142" w:firstLine="720" w:firstLineChars="3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 Estudo Técnico Preliminar tem por objetivo identificar e analisar os cenários para o</w:t>
            </w:r>
            <w:r>
              <w:rPr>
                <w:sz w:val="24"/>
                <w:szCs w:val="24"/>
                <w:lang w:val="pt-BR"/>
              </w:rPr>
              <w:t xml:space="preserve"> </w:t>
            </w:r>
            <w:r>
              <w:rPr>
                <w:sz w:val="24"/>
                <w:szCs w:val="24"/>
              </w:rPr>
              <w:t>atendimento da demanda, demonstrando a</w:t>
            </w:r>
            <w:r>
              <w:rPr>
                <w:sz w:val="24"/>
                <w:szCs w:val="24"/>
                <w:lang w:val="pt-BR"/>
              </w:rPr>
              <w:t xml:space="preserve"> </w:t>
            </w:r>
            <w:r>
              <w:rPr>
                <w:sz w:val="24"/>
                <w:szCs w:val="24"/>
              </w:rPr>
              <w:t>viabilidade técnica e econômica das soluções identificadas, fornecendo as informações necessárias</w:t>
            </w:r>
            <w:r>
              <w:rPr>
                <w:sz w:val="24"/>
                <w:szCs w:val="24"/>
                <w:lang w:val="pt-BR"/>
              </w:rPr>
              <w:t xml:space="preserve"> </w:t>
            </w:r>
            <w:r>
              <w:rPr>
                <w:sz w:val="24"/>
                <w:szCs w:val="24"/>
              </w:rPr>
              <w:t xml:space="preserve">para subsidiar o respectivo processo de </w:t>
            </w:r>
            <w:r>
              <w:rPr>
                <w:sz w:val="24"/>
                <w:szCs w:val="24"/>
                <w:lang w:val="pt-BR"/>
              </w:rPr>
              <w:t>contratação</w:t>
            </w:r>
            <w:r>
              <w:rPr>
                <w:sz w:val="24"/>
                <w:szCs w:val="24"/>
              </w:rPr>
              <w:t>.</w:t>
            </w:r>
          </w:p>
          <w:p w14:paraId="19AC86B7">
            <w:pPr>
              <w:pStyle w:val="17"/>
              <w:spacing w:line="270" w:lineRule="atLeast"/>
              <w:ind w:right="142" w:firstLine="720" w:firstLineChars="3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presente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documento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visa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demonstrar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interesse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público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lang w:val="pt-BR"/>
              </w:rPr>
              <w:t xml:space="preserve">para o processo licitatório, na modalidade de CREDENCIAMENTO, tendo como objeto a </w:t>
            </w:r>
            <w:r>
              <w:rPr>
                <w:i/>
                <w:iCs/>
                <w:sz w:val="24"/>
                <w:lang w:val="pt-BR"/>
              </w:rPr>
              <w:t>“Contratação de Empresa (s) Especializada (s) na Prestação de Serviços de Guarda com Disponibilização de Pátio e Guincho, para Recolhimento de Veículos Leves e Pesados, Objeto de Medidas Administrativas Previstas na Lei Federal nº 9.503/1997 e Lei Municipal n° 2.985/2021 (com alterações trazidas pelas Leis 2998/2021 e 3449/2025), no município de Sinop/MT, bem como, no serviço de remoção, destombamento ou içamento de veículos acidentados ou abandonados nas vias municipais”.</w:t>
            </w:r>
          </w:p>
        </w:tc>
      </w:tr>
    </w:tbl>
    <w:p w14:paraId="701AF227">
      <w:pPr>
        <w:pStyle w:val="9"/>
        <w:rPr>
          <w:b/>
          <w:sz w:val="22"/>
          <w:szCs w:val="22"/>
        </w:rPr>
      </w:pPr>
    </w:p>
    <w:tbl>
      <w:tblPr>
        <w:tblStyle w:val="6"/>
        <w:tblW w:w="9990" w:type="dxa"/>
        <w:tblInd w:w="-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54"/>
        <w:gridCol w:w="5036"/>
      </w:tblGrid>
      <w:tr w14:paraId="356541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990" w:type="dxa"/>
            <w:gridSpan w:val="2"/>
            <w:shd w:val="clear" w:color="auto" w:fill="D6E3BC" w:themeFill="accent3" w:themeFillTint="66"/>
          </w:tcPr>
          <w:p w14:paraId="54C8C61E">
            <w:pPr>
              <w:pStyle w:val="17"/>
              <w:spacing w:line="256" w:lineRule="exac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-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ÁREA DEMANDANTE</w:t>
            </w:r>
          </w:p>
        </w:tc>
      </w:tr>
      <w:tr w14:paraId="508597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9990" w:type="dxa"/>
            <w:gridSpan w:val="2"/>
          </w:tcPr>
          <w:p w14:paraId="0899DADF">
            <w:pPr>
              <w:pStyle w:val="17"/>
              <w:spacing w:line="275" w:lineRule="exac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Secretaria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Demandante:</w:t>
            </w:r>
          </w:p>
          <w:p w14:paraId="116E537D">
            <w:pPr>
              <w:pStyle w:val="17"/>
              <w:spacing w:line="275" w:lineRule="exact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SECRETARIA MUNICIPAL DE SEGURANÇA E TRÂNSITO - SST </w:t>
            </w:r>
          </w:p>
        </w:tc>
      </w:tr>
      <w:tr w14:paraId="4D07F6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9990" w:type="dxa"/>
            <w:gridSpan w:val="2"/>
          </w:tcPr>
          <w:p w14:paraId="302193A5">
            <w:pPr>
              <w:pStyle w:val="17"/>
              <w:spacing w:line="275" w:lineRule="exac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Secretário:</w:t>
            </w:r>
          </w:p>
          <w:p w14:paraId="1329FE28">
            <w:pPr>
              <w:pStyle w:val="17"/>
              <w:spacing w:line="275" w:lineRule="exact"/>
              <w:rPr>
                <w:b/>
                <w:sz w:val="24"/>
                <w:szCs w:val="24"/>
                <w:lang w:val="pt-BR"/>
              </w:rPr>
            </w:pPr>
            <w:r>
              <w:rPr>
                <w:bCs/>
                <w:sz w:val="24"/>
                <w:szCs w:val="24"/>
                <w:lang w:val="pt-BR"/>
              </w:rPr>
              <w:t>WESNEY DE CASTRO SODRE</w:t>
            </w:r>
          </w:p>
        </w:tc>
      </w:tr>
      <w:tr w14:paraId="733CCC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4954" w:type="dxa"/>
          </w:tcPr>
          <w:p w14:paraId="4588B8FC">
            <w:pPr>
              <w:pStyle w:val="17"/>
              <w:spacing w:line="275" w:lineRule="exac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Email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(institucional):</w:t>
            </w:r>
          </w:p>
          <w:p w14:paraId="292D7AA2">
            <w:pPr>
              <w:pStyle w:val="17"/>
              <w:spacing w:line="275" w:lineRule="exact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gcm.sinop.operacional@sinop.mt.gov.br</w:t>
            </w:r>
          </w:p>
        </w:tc>
        <w:tc>
          <w:tcPr>
            <w:tcW w:w="5036" w:type="dxa"/>
          </w:tcPr>
          <w:p w14:paraId="50C65F95">
            <w:pPr>
              <w:pStyle w:val="17"/>
              <w:spacing w:line="275" w:lineRule="exact"/>
              <w:ind w:left="10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Telefone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(Institucional):</w:t>
            </w:r>
          </w:p>
          <w:p w14:paraId="654DC2F3">
            <w:pPr>
              <w:pStyle w:val="17"/>
              <w:spacing w:line="275" w:lineRule="exact"/>
              <w:ind w:left="108"/>
              <w:rPr>
                <w:b/>
                <w:sz w:val="24"/>
                <w:szCs w:val="24"/>
                <w:lang w:val="pt-BR"/>
              </w:rPr>
            </w:pPr>
            <w:r>
              <w:rPr>
                <w:bCs/>
                <w:sz w:val="24"/>
                <w:szCs w:val="24"/>
                <w:lang w:val="pt-BR"/>
              </w:rPr>
              <w:t>66 3511-1854  /  66 9.9907-2731</w:t>
            </w:r>
          </w:p>
        </w:tc>
      </w:tr>
    </w:tbl>
    <w:p w14:paraId="7E86DD59">
      <w:pPr>
        <w:pStyle w:val="9"/>
        <w:rPr>
          <w:b/>
          <w:sz w:val="22"/>
          <w:szCs w:val="22"/>
        </w:rPr>
      </w:pPr>
    </w:p>
    <w:tbl>
      <w:tblPr>
        <w:tblStyle w:val="6"/>
        <w:tblW w:w="10003" w:type="dxa"/>
        <w:tblInd w:w="-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03"/>
      </w:tblGrid>
      <w:tr w14:paraId="28C259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0003" w:type="dxa"/>
            <w:shd w:val="clear" w:color="auto" w:fill="D6E3BC" w:themeFill="accent3" w:themeFillTint="66"/>
          </w:tcPr>
          <w:p w14:paraId="16E6A130">
            <w:pPr>
              <w:pStyle w:val="17"/>
              <w:spacing w:line="256" w:lineRule="exact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IDENTIFICAÇÃO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DEMANDA</w:t>
            </w:r>
          </w:p>
        </w:tc>
      </w:tr>
      <w:tr w14:paraId="3F8B7E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0003" w:type="dxa"/>
          </w:tcPr>
          <w:p w14:paraId="42F6EDE8">
            <w:pPr>
              <w:pStyle w:val="17"/>
              <w:jc w:val="both"/>
              <w:rPr>
                <w:b/>
                <w:lang w:val="pt-BR"/>
              </w:rPr>
            </w:pPr>
            <w:r>
              <w:rPr>
                <w:b/>
              </w:rPr>
              <w:t>2.</w:t>
            </w:r>
            <w:r>
              <w:rPr>
                <w:b/>
                <w:lang w:val="pt-BR"/>
              </w:rPr>
              <w:t>1 Objeto:</w:t>
            </w:r>
          </w:p>
          <w:p w14:paraId="1611AFA1">
            <w:pPr>
              <w:pStyle w:val="17"/>
              <w:jc w:val="both"/>
              <w:rPr>
                <w:lang w:val="pt-BR"/>
              </w:rPr>
            </w:pPr>
            <w:r>
              <w:rPr>
                <w:sz w:val="24"/>
                <w:szCs w:val="24"/>
              </w:rPr>
              <w:t xml:space="preserve">              Processo Licitatório, na modalidade de CREDENCIAMENTO, tendo como objeto a “CONTRATAÇÃO DE EMPRESA (S) ESPECIALIZADA (S) NA PRESTAÇÃO DE SERVIÇOS DE GUARDA COM DISPONIBILIZAÇÃO DE PÁTIO E GUINCHO, PARA RECOLHIMENTO DE VEÍCULOS LEVES E PESADOS, OBJETO DE MEDIDAS ADMINISTRATIVAS PREVISTAS NA LEI FEDERAL Nº 9.503/1997 E LEI MUNICIPAL N° 2.985/2021 (COM ALTERAÇÕES TRAZIDAS PELAS LEIS 2998/2021 E 3449/2025), NO MUNICÍPIO DE SINOP/MT, BEM COMO, NO SERVIÇO DE REMOÇÃO, DESTOMBAMENTO OU IÇAMENTO DE VEÍCULOS ACIDENTADOS OU ABANDONADOS NAS VIAS MUNICIPAIS”.</w:t>
            </w:r>
          </w:p>
        </w:tc>
      </w:tr>
      <w:tr w14:paraId="3453B2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0003" w:type="dxa"/>
          </w:tcPr>
          <w:p w14:paraId="50AE09EA">
            <w:pPr>
              <w:pStyle w:val="17"/>
              <w:spacing w:line="256" w:lineRule="exact"/>
              <w:rPr>
                <w:b/>
              </w:rPr>
            </w:pPr>
            <w:r>
              <w:rPr>
                <w:b/>
              </w:rPr>
              <w:t>2.2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Descrição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quantidades</w:t>
            </w:r>
          </w:p>
          <w:p w14:paraId="5227D748">
            <w:pPr>
              <w:pStyle w:val="17"/>
              <w:spacing w:line="256" w:lineRule="exact"/>
              <w:jc w:val="both"/>
              <w:rPr>
                <w:b/>
                <w:sz w:val="24"/>
                <w:szCs w:val="24"/>
              </w:rPr>
            </w:pPr>
            <w:r>
              <w:t xml:space="preserve">               </w:t>
            </w:r>
            <w:r>
              <w:rPr>
                <w:sz w:val="24"/>
                <w:szCs w:val="24"/>
              </w:rPr>
              <w:t>Trata-se de um processo de credenciamento, onde todas as empresas que atenderem aos requisitos estipulados no edital, irão prestar os mesmos serviços, com os valores estipulados na Lei Municipal nº 2.985/2021 (com alterações trazidas pelas Leis 2998/2021 e 3449/2025). Os valores constantes na Lei estão todos em Unidade de Referência (Lei Complementar 109/2014) e, para o ano de 2025, utilizamos o Decreto 356/2024 que fixou a U.R. para o ano de 2025 em R$ 3,75 (três reais e setenta e cinco centavos).</w:t>
            </w:r>
          </w:p>
          <w:p w14:paraId="7E0C0A01">
            <w:pPr>
              <w:pStyle w:val="17"/>
              <w:spacing w:line="256" w:lineRule="exact"/>
              <w:rPr>
                <w:b/>
              </w:rPr>
            </w:pPr>
          </w:p>
          <w:tbl>
            <w:tblPr>
              <w:tblStyle w:val="14"/>
              <w:tblW w:w="0" w:type="auto"/>
              <w:tblInd w:w="31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21"/>
              <w:gridCol w:w="14"/>
              <w:gridCol w:w="3605"/>
              <w:gridCol w:w="13"/>
              <w:gridCol w:w="90"/>
              <w:gridCol w:w="1501"/>
              <w:gridCol w:w="16"/>
              <w:gridCol w:w="64"/>
              <w:gridCol w:w="1589"/>
              <w:gridCol w:w="1610"/>
            </w:tblGrid>
            <w:tr w14:paraId="66870CB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46" w:hRule="atLeast"/>
              </w:trPr>
              <w:tc>
                <w:tcPr>
                  <w:tcW w:w="9923" w:type="dxa"/>
                  <w:gridSpan w:val="10"/>
                  <w:shd w:val="clear" w:color="auto" w:fill="EAF1DD" w:themeFill="accent3" w:themeFillTint="33"/>
                  <w:vAlign w:val="center"/>
                </w:tcPr>
                <w:p w14:paraId="2B2EC0C4">
                  <w:pPr>
                    <w:pStyle w:val="9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Lei Municipal 2.985/2021</w:t>
                  </w:r>
                </w:p>
                <w:p w14:paraId="3BA5E676">
                  <w:pPr>
                    <w:pStyle w:val="9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DOS VALORES ADICIONAIS - ARTIGO 14 - § 2º, § 4º E § 8º</w:t>
                  </w:r>
                </w:p>
              </w:tc>
            </w:tr>
            <w:tr w14:paraId="07B87B6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00" w:hRule="atLeast"/>
              </w:trPr>
              <w:tc>
                <w:tcPr>
                  <w:tcW w:w="1421" w:type="dxa"/>
                  <w:shd w:val="clear" w:color="auto" w:fill="EAF1DD" w:themeFill="accent3" w:themeFillTint="33"/>
                  <w:vAlign w:val="center"/>
                </w:tcPr>
                <w:p w14:paraId="6600A0A0">
                  <w:pPr>
                    <w:pStyle w:val="9"/>
                    <w:jc w:val="center"/>
                    <w:rPr>
                      <w:b/>
                      <w:bCs/>
                      <w:lang w:val="pt-BR"/>
                    </w:rPr>
                  </w:pPr>
                  <w:r>
                    <w:rPr>
                      <w:b/>
                      <w:bCs/>
                    </w:rPr>
                    <w:t>Item</w:t>
                  </w:r>
                </w:p>
              </w:tc>
              <w:tc>
                <w:tcPr>
                  <w:tcW w:w="3722" w:type="dxa"/>
                  <w:gridSpan w:val="4"/>
                  <w:shd w:val="clear" w:color="auto" w:fill="EAF1DD" w:themeFill="accent3" w:themeFillTint="33"/>
                  <w:vAlign w:val="center"/>
                </w:tcPr>
                <w:p w14:paraId="411EFE87">
                  <w:pPr>
                    <w:pStyle w:val="9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Descrição dos Serviços</w:t>
                  </w:r>
                </w:p>
              </w:tc>
              <w:tc>
                <w:tcPr>
                  <w:tcW w:w="1581" w:type="dxa"/>
                  <w:gridSpan w:val="3"/>
                  <w:shd w:val="clear" w:color="auto" w:fill="EAF1DD" w:themeFill="accent3" w:themeFillTint="33"/>
                  <w:vAlign w:val="center"/>
                </w:tcPr>
                <w:p w14:paraId="5D176A2A">
                  <w:pPr>
                    <w:pStyle w:val="9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Unidade</w:t>
                  </w:r>
                </w:p>
              </w:tc>
              <w:tc>
                <w:tcPr>
                  <w:tcW w:w="1589" w:type="dxa"/>
                  <w:shd w:val="clear" w:color="auto" w:fill="EAF1DD" w:themeFill="accent3" w:themeFillTint="33"/>
                  <w:vAlign w:val="center"/>
                </w:tcPr>
                <w:p w14:paraId="6650C764">
                  <w:pPr>
                    <w:pStyle w:val="9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Valor em UR</w:t>
                  </w:r>
                  <w:r>
                    <w:rPr>
                      <w:b/>
                      <w:bCs/>
                    </w:rPr>
                    <w:br w:type="textWrapping"/>
                  </w:r>
                  <w:r>
                    <w:rPr>
                      <w:b/>
                      <w:bCs/>
                    </w:rPr>
                    <w:t>Lei Comp. 109/2014</w:t>
                  </w:r>
                  <w:r>
                    <w:rPr>
                      <w:b/>
                      <w:bCs/>
                    </w:rPr>
                    <w:br w:type="textWrapping"/>
                  </w:r>
                  <w:r>
                    <w:rPr>
                      <w:b/>
                      <w:bCs/>
                    </w:rPr>
                    <w:t>Decreto 356/2024</w:t>
                  </w:r>
                </w:p>
              </w:tc>
              <w:tc>
                <w:tcPr>
                  <w:tcW w:w="1610" w:type="dxa"/>
                  <w:shd w:val="clear" w:color="auto" w:fill="EAF1DD" w:themeFill="accent3" w:themeFillTint="33"/>
                  <w:vAlign w:val="center"/>
                </w:tcPr>
                <w:p w14:paraId="43FE2404">
                  <w:pPr>
                    <w:pStyle w:val="9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Valor em R$</w:t>
                  </w:r>
                  <w:r>
                    <w:rPr>
                      <w:b/>
                      <w:bCs/>
                    </w:rPr>
                    <w:br w:type="textWrapping"/>
                  </w:r>
                  <w:r>
                    <w:rPr>
                      <w:b/>
                      <w:bCs/>
                    </w:rPr>
                    <w:t>Ano 2025</w:t>
                  </w:r>
                </w:p>
              </w:tc>
            </w:tr>
            <w:tr w14:paraId="76D8D60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710" w:hRule="atLeast"/>
              </w:trPr>
              <w:tc>
                <w:tcPr>
                  <w:tcW w:w="1421" w:type="dxa"/>
                  <w:vAlign w:val="center"/>
                </w:tcPr>
                <w:p w14:paraId="4B620E7B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I</w:t>
                  </w:r>
                </w:p>
              </w:tc>
              <w:tc>
                <w:tcPr>
                  <w:tcW w:w="3722" w:type="dxa"/>
                  <w:gridSpan w:val="4"/>
                  <w:vAlign w:val="center"/>
                </w:tcPr>
                <w:p w14:paraId="0BD26126">
                  <w:pPr>
                    <w:pStyle w:val="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Artigo 14 - § 2º. Em casos de exigência por parte do condutor/proprietário de remoção com exclusividade, será cobrada Taxa Adicional no valor de 30 (trinta) U.R.`s - Unidades de Referência.</w:t>
                  </w:r>
                </w:p>
              </w:tc>
              <w:tc>
                <w:tcPr>
                  <w:tcW w:w="1581" w:type="dxa"/>
                  <w:gridSpan w:val="3"/>
                  <w:vAlign w:val="center"/>
                </w:tcPr>
                <w:p w14:paraId="20E5A7D4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 Serviço Fixo </w:t>
                  </w:r>
                </w:p>
              </w:tc>
              <w:tc>
                <w:tcPr>
                  <w:tcW w:w="1589" w:type="dxa"/>
                  <w:vAlign w:val="center"/>
                </w:tcPr>
                <w:p w14:paraId="25642C43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30</w:t>
                  </w:r>
                </w:p>
              </w:tc>
              <w:tc>
                <w:tcPr>
                  <w:tcW w:w="1610" w:type="dxa"/>
                  <w:vAlign w:val="center"/>
                </w:tcPr>
                <w:p w14:paraId="0F02BB51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R$ 112,50 </w:t>
                  </w:r>
                </w:p>
              </w:tc>
            </w:tr>
            <w:tr w14:paraId="236DFE7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995" w:hRule="atLeast"/>
              </w:trPr>
              <w:tc>
                <w:tcPr>
                  <w:tcW w:w="1421" w:type="dxa"/>
                  <w:vAlign w:val="center"/>
                </w:tcPr>
                <w:p w14:paraId="779704C8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II</w:t>
                  </w:r>
                </w:p>
              </w:tc>
              <w:tc>
                <w:tcPr>
                  <w:tcW w:w="3722" w:type="dxa"/>
                  <w:gridSpan w:val="4"/>
                  <w:vAlign w:val="center"/>
                </w:tcPr>
                <w:p w14:paraId="779F68CF">
                  <w:pPr>
                    <w:pStyle w:val="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Artigo 14 - § 4°. No caso de veículos com característica alterada que dificultem a remoção, bem como, remoções que sejam dificultadas pelo condutor/proprietário, será cobrada Taxa Adicional no valor de 30 (trinta) U.R.`s - Unidades de Referência.</w:t>
                  </w:r>
                </w:p>
              </w:tc>
              <w:tc>
                <w:tcPr>
                  <w:tcW w:w="1581" w:type="dxa"/>
                  <w:gridSpan w:val="3"/>
                  <w:vAlign w:val="center"/>
                </w:tcPr>
                <w:p w14:paraId="3984CCA7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 Serviço Fixo </w:t>
                  </w:r>
                </w:p>
              </w:tc>
              <w:tc>
                <w:tcPr>
                  <w:tcW w:w="1589" w:type="dxa"/>
                  <w:vAlign w:val="center"/>
                </w:tcPr>
                <w:p w14:paraId="36ABFB75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30</w:t>
                  </w:r>
                </w:p>
              </w:tc>
              <w:tc>
                <w:tcPr>
                  <w:tcW w:w="1610" w:type="dxa"/>
                  <w:vAlign w:val="center"/>
                </w:tcPr>
                <w:p w14:paraId="7EDA9AB5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R$ 112,50 </w:t>
                  </w:r>
                </w:p>
              </w:tc>
            </w:tr>
            <w:tr w14:paraId="67C5F3E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625" w:hRule="atLeast"/>
              </w:trPr>
              <w:tc>
                <w:tcPr>
                  <w:tcW w:w="1421" w:type="dxa"/>
                  <w:vAlign w:val="center"/>
                </w:tcPr>
                <w:p w14:paraId="4DC85760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III</w:t>
                  </w:r>
                </w:p>
              </w:tc>
              <w:tc>
                <w:tcPr>
                  <w:tcW w:w="3722" w:type="dxa"/>
                  <w:gridSpan w:val="4"/>
                  <w:vAlign w:val="center"/>
                </w:tcPr>
                <w:p w14:paraId="19CCDB8A">
                  <w:pPr>
                    <w:pStyle w:val="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Artigo 14 - § 8º. Nos casos de veículos envolvidos em acidentes que impossibilitem a remoção pela plataforma do guincho, os agentes poderão acionar os serviços de munck para assim fazer a retirada do veículo do local, será cobrada a taxa adicional no valor de 86 (oitenta e seis) U.R.`s - Unidades de Referência.</w:t>
                  </w:r>
                </w:p>
              </w:tc>
              <w:tc>
                <w:tcPr>
                  <w:tcW w:w="1581" w:type="dxa"/>
                  <w:gridSpan w:val="3"/>
                  <w:vAlign w:val="center"/>
                </w:tcPr>
                <w:p w14:paraId="630EF28E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 Serviço Fixo </w:t>
                  </w:r>
                </w:p>
              </w:tc>
              <w:tc>
                <w:tcPr>
                  <w:tcW w:w="1589" w:type="dxa"/>
                  <w:vAlign w:val="center"/>
                </w:tcPr>
                <w:p w14:paraId="4F7C1EFB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86</w:t>
                  </w:r>
                </w:p>
              </w:tc>
              <w:tc>
                <w:tcPr>
                  <w:tcW w:w="1610" w:type="dxa"/>
                  <w:vAlign w:val="center"/>
                </w:tcPr>
                <w:p w14:paraId="67BD6483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R$ 322,50 </w:t>
                  </w:r>
                </w:p>
              </w:tc>
            </w:tr>
            <w:tr w14:paraId="4CEECB7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13" w:hRule="atLeast"/>
              </w:trPr>
              <w:tc>
                <w:tcPr>
                  <w:tcW w:w="9923" w:type="dxa"/>
                  <w:gridSpan w:val="10"/>
                  <w:shd w:val="clear" w:color="auto" w:fill="EAF1DD" w:themeFill="accent3" w:themeFillTint="33"/>
                  <w:vAlign w:val="center"/>
                </w:tcPr>
                <w:p w14:paraId="302B61A7">
                  <w:pPr>
                    <w:pStyle w:val="9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Anexo I - Lei Municipal 2.985/2021</w:t>
                  </w:r>
                </w:p>
                <w:p w14:paraId="0B4E10FF">
                  <w:pPr>
                    <w:pStyle w:val="9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DOS VALORES DO SERVIÇO DE REMOÇÃO/GUINCHO POR TIPO DE VEÍCULO - Art. 14, § 1º</w:t>
                  </w:r>
                </w:p>
              </w:tc>
            </w:tr>
            <w:tr w14:paraId="2F1C6EB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00" w:hRule="atLeast"/>
              </w:trPr>
              <w:tc>
                <w:tcPr>
                  <w:tcW w:w="1435" w:type="dxa"/>
                  <w:gridSpan w:val="2"/>
                  <w:shd w:val="clear" w:color="auto" w:fill="EAF1DD" w:themeFill="accent3" w:themeFillTint="33"/>
                  <w:vAlign w:val="center"/>
                </w:tcPr>
                <w:p w14:paraId="00019E35">
                  <w:pPr>
                    <w:pStyle w:val="9"/>
                    <w:jc w:val="center"/>
                    <w:rPr>
                      <w:b/>
                      <w:bCs/>
                      <w:lang w:val="pt-BR"/>
                    </w:rPr>
                  </w:pPr>
                  <w:r>
                    <w:rPr>
                      <w:b/>
                      <w:bCs/>
                    </w:rPr>
                    <w:t>Item</w:t>
                  </w:r>
                </w:p>
              </w:tc>
              <w:tc>
                <w:tcPr>
                  <w:tcW w:w="3605" w:type="dxa"/>
                  <w:shd w:val="clear" w:color="auto" w:fill="EAF1DD" w:themeFill="accent3" w:themeFillTint="33"/>
                  <w:vAlign w:val="center"/>
                </w:tcPr>
                <w:p w14:paraId="591F0D47">
                  <w:pPr>
                    <w:pStyle w:val="9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Descrição dos Serviços</w:t>
                  </w:r>
                </w:p>
              </w:tc>
              <w:tc>
                <w:tcPr>
                  <w:tcW w:w="1604" w:type="dxa"/>
                  <w:gridSpan w:val="3"/>
                  <w:shd w:val="clear" w:color="auto" w:fill="EAF1DD" w:themeFill="accent3" w:themeFillTint="33"/>
                  <w:vAlign w:val="center"/>
                </w:tcPr>
                <w:p w14:paraId="174D3536">
                  <w:pPr>
                    <w:pStyle w:val="9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Unidade</w:t>
                  </w:r>
                </w:p>
              </w:tc>
              <w:tc>
                <w:tcPr>
                  <w:tcW w:w="1669" w:type="dxa"/>
                  <w:gridSpan w:val="3"/>
                  <w:shd w:val="clear" w:color="auto" w:fill="EAF1DD" w:themeFill="accent3" w:themeFillTint="33"/>
                  <w:vAlign w:val="center"/>
                </w:tcPr>
                <w:p w14:paraId="07FF26D9">
                  <w:pPr>
                    <w:pStyle w:val="9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Valor em UR</w:t>
                  </w:r>
                  <w:r>
                    <w:rPr>
                      <w:b/>
                      <w:bCs/>
                    </w:rPr>
                    <w:br w:type="textWrapping"/>
                  </w:r>
                  <w:r>
                    <w:rPr>
                      <w:b/>
                      <w:bCs/>
                    </w:rPr>
                    <w:t>Lei Comp. 109/2014</w:t>
                  </w:r>
                  <w:r>
                    <w:rPr>
                      <w:b/>
                      <w:bCs/>
                    </w:rPr>
                    <w:br w:type="textWrapping"/>
                  </w:r>
                  <w:r>
                    <w:rPr>
                      <w:b/>
                      <w:bCs/>
                    </w:rPr>
                    <w:t>Decreto 356/2024</w:t>
                  </w:r>
                </w:p>
              </w:tc>
              <w:tc>
                <w:tcPr>
                  <w:tcW w:w="1610" w:type="dxa"/>
                  <w:shd w:val="clear" w:color="auto" w:fill="EAF1DD" w:themeFill="accent3" w:themeFillTint="33"/>
                  <w:vAlign w:val="center"/>
                </w:tcPr>
                <w:p w14:paraId="6281F838">
                  <w:pPr>
                    <w:pStyle w:val="9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Valor em R$</w:t>
                  </w:r>
                  <w:r>
                    <w:rPr>
                      <w:b/>
                      <w:bCs/>
                    </w:rPr>
                    <w:br w:type="textWrapping"/>
                  </w:r>
                  <w:r>
                    <w:rPr>
                      <w:b/>
                      <w:bCs/>
                    </w:rPr>
                    <w:t>Ano 2025</w:t>
                  </w:r>
                </w:p>
              </w:tc>
            </w:tr>
            <w:tr w14:paraId="3D8A155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30" w:hRule="atLeast"/>
              </w:trPr>
              <w:tc>
                <w:tcPr>
                  <w:tcW w:w="1435" w:type="dxa"/>
                  <w:gridSpan w:val="2"/>
                  <w:vAlign w:val="center"/>
                </w:tcPr>
                <w:p w14:paraId="70CF1074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I</w:t>
                  </w:r>
                </w:p>
              </w:tc>
              <w:tc>
                <w:tcPr>
                  <w:tcW w:w="3605" w:type="dxa"/>
                  <w:vAlign w:val="center"/>
                </w:tcPr>
                <w:p w14:paraId="52B72D06">
                  <w:pPr>
                    <w:pStyle w:val="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Guincho para ciclomotores e motocicletas até 600 cilindradas, com ou sem reboque lateral.</w:t>
                  </w:r>
                </w:p>
              </w:tc>
              <w:tc>
                <w:tcPr>
                  <w:tcW w:w="1604" w:type="dxa"/>
                  <w:gridSpan w:val="3"/>
                  <w:vAlign w:val="center"/>
                </w:tcPr>
                <w:p w14:paraId="584714D2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Serviço fixo</w:t>
                  </w:r>
                  <w:r>
                    <w:rPr>
                      <w:b/>
                    </w:rPr>
                    <w:br w:type="textWrapping"/>
                  </w:r>
                  <w:r>
                    <w:rPr>
                      <w:b/>
                    </w:rPr>
                    <w:t>limitado até 30 km</w:t>
                  </w:r>
                </w:p>
              </w:tc>
              <w:tc>
                <w:tcPr>
                  <w:tcW w:w="1669" w:type="dxa"/>
                  <w:gridSpan w:val="3"/>
                  <w:vAlign w:val="center"/>
                </w:tcPr>
                <w:p w14:paraId="39F6ADBB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48</w:t>
                  </w:r>
                </w:p>
              </w:tc>
              <w:tc>
                <w:tcPr>
                  <w:tcW w:w="1610" w:type="dxa"/>
                  <w:vAlign w:val="center"/>
                </w:tcPr>
                <w:p w14:paraId="4773B8EC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R$ 180,00 </w:t>
                  </w:r>
                </w:p>
              </w:tc>
            </w:tr>
            <w:tr w14:paraId="222B69F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29" w:hRule="atLeast"/>
              </w:trPr>
              <w:tc>
                <w:tcPr>
                  <w:tcW w:w="1435" w:type="dxa"/>
                  <w:gridSpan w:val="2"/>
                  <w:vAlign w:val="center"/>
                </w:tcPr>
                <w:p w14:paraId="7561A21D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II</w:t>
                  </w:r>
                </w:p>
              </w:tc>
              <w:tc>
                <w:tcPr>
                  <w:tcW w:w="3605" w:type="dxa"/>
                  <w:vAlign w:val="center"/>
                </w:tcPr>
                <w:p w14:paraId="3D9527E0">
                  <w:pPr>
                    <w:pStyle w:val="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Guincho para Carretinhas.</w:t>
                  </w:r>
                </w:p>
              </w:tc>
              <w:tc>
                <w:tcPr>
                  <w:tcW w:w="1604" w:type="dxa"/>
                  <w:gridSpan w:val="3"/>
                  <w:vAlign w:val="center"/>
                </w:tcPr>
                <w:p w14:paraId="1E27813D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Serviço fixo</w:t>
                  </w:r>
                  <w:r>
                    <w:rPr>
                      <w:b/>
                    </w:rPr>
                    <w:br w:type="textWrapping"/>
                  </w:r>
                  <w:r>
                    <w:rPr>
                      <w:b/>
                    </w:rPr>
                    <w:t>limitado até 30 km</w:t>
                  </w:r>
                </w:p>
              </w:tc>
              <w:tc>
                <w:tcPr>
                  <w:tcW w:w="1669" w:type="dxa"/>
                  <w:gridSpan w:val="3"/>
                  <w:vAlign w:val="center"/>
                </w:tcPr>
                <w:p w14:paraId="6C95B1DC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48</w:t>
                  </w:r>
                </w:p>
              </w:tc>
              <w:tc>
                <w:tcPr>
                  <w:tcW w:w="1610" w:type="dxa"/>
                  <w:vAlign w:val="center"/>
                </w:tcPr>
                <w:p w14:paraId="45D547AC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R$ 180,00 </w:t>
                  </w:r>
                </w:p>
              </w:tc>
            </w:tr>
            <w:tr w14:paraId="0B39C0C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99" w:hRule="atLeast"/>
              </w:trPr>
              <w:tc>
                <w:tcPr>
                  <w:tcW w:w="1435" w:type="dxa"/>
                  <w:gridSpan w:val="2"/>
                  <w:vAlign w:val="center"/>
                </w:tcPr>
                <w:p w14:paraId="768D6326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III</w:t>
                  </w:r>
                </w:p>
              </w:tc>
              <w:tc>
                <w:tcPr>
                  <w:tcW w:w="3605" w:type="dxa"/>
                  <w:vAlign w:val="center"/>
                </w:tcPr>
                <w:p w14:paraId="2921A603">
                  <w:pPr>
                    <w:pStyle w:val="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Guincho para Caçambas, Container e similares. </w:t>
                  </w:r>
                </w:p>
              </w:tc>
              <w:tc>
                <w:tcPr>
                  <w:tcW w:w="1604" w:type="dxa"/>
                  <w:gridSpan w:val="3"/>
                  <w:vAlign w:val="center"/>
                </w:tcPr>
                <w:p w14:paraId="0AEA88A6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Serviço fixo</w:t>
                  </w:r>
                  <w:r>
                    <w:rPr>
                      <w:b/>
                    </w:rPr>
                    <w:br w:type="textWrapping"/>
                  </w:r>
                  <w:r>
                    <w:rPr>
                      <w:b/>
                    </w:rPr>
                    <w:t>limitado até 30 km</w:t>
                  </w:r>
                </w:p>
              </w:tc>
              <w:tc>
                <w:tcPr>
                  <w:tcW w:w="1669" w:type="dxa"/>
                  <w:gridSpan w:val="3"/>
                  <w:vAlign w:val="center"/>
                </w:tcPr>
                <w:p w14:paraId="62890DB0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63</w:t>
                  </w:r>
                </w:p>
              </w:tc>
              <w:tc>
                <w:tcPr>
                  <w:tcW w:w="1610" w:type="dxa"/>
                  <w:vAlign w:val="center"/>
                </w:tcPr>
                <w:p w14:paraId="3EDEFA6B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R$ 236,25 </w:t>
                  </w:r>
                </w:p>
              </w:tc>
            </w:tr>
            <w:tr w14:paraId="682AD0C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30" w:hRule="atLeast"/>
              </w:trPr>
              <w:tc>
                <w:tcPr>
                  <w:tcW w:w="1435" w:type="dxa"/>
                  <w:gridSpan w:val="2"/>
                  <w:vAlign w:val="center"/>
                </w:tcPr>
                <w:p w14:paraId="41A546F8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IV</w:t>
                  </w:r>
                </w:p>
              </w:tc>
              <w:tc>
                <w:tcPr>
                  <w:tcW w:w="3605" w:type="dxa"/>
                  <w:vAlign w:val="center"/>
                </w:tcPr>
                <w:p w14:paraId="7CA0662A">
                  <w:pPr>
                    <w:pStyle w:val="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Guincho para motocicletas acima de 600 cilindradas e triciclos (veículos com 03 rodas), com ou sem reboque lateral.</w:t>
                  </w:r>
                </w:p>
              </w:tc>
              <w:tc>
                <w:tcPr>
                  <w:tcW w:w="1604" w:type="dxa"/>
                  <w:gridSpan w:val="3"/>
                  <w:vAlign w:val="center"/>
                </w:tcPr>
                <w:p w14:paraId="307C63CD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Serviço fixo</w:t>
                  </w:r>
                  <w:r>
                    <w:rPr>
                      <w:b/>
                    </w:rPr>
                    <w:br w:type="textWrapping"/>
                  </w:r>
                  <w:r>
                    <w:rPr>
                      <w:b/>
                    </w:rPr>
                    <w:t>limitado até 30 km</w:t>
                  </w:r>
                </w:p>
              </w:tc>
              <w:tc>
                <w:tcPr>
                  <w:tcW w:w="1669" w:type="dxa"/>
                  <w:gridSpan w:val="3"/>
                  <w:vAlign w:val="center"/>
                </w:tcPr>
                <w:p w14:paraId="2F0D83C5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63</w:t>
                  </w:r>
                </w:p>
              </w:tc>
              <w:tc>
                <w:tcPr>
                  <w:tcW w:w="1610" w:type="dxa"/>
                  <w:vAlign w:val="center"/>
                </w:tcPr>
                <w:p w14:paraId="3484DD4E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R$ 236,25 </w:t>
                  </w:r>
                </w:p>
              </w:tc>
            </w:tr>
            <w:tr w14:paraId="535F32B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57" w:hRule="atLeast"/>
              </w:trPr>
              <w:tc>
                <w:tcPr>
                  <w:tcW w:w="1435" w:type="dxa"/>
                  <w:gridSpan w:val="2"/>
                  <w:vAlign w:val="center"/>
                </w:tcPr>
                <w:p w14:paraId="4D983B28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V</w:t>
                  </w:r>
                </w:p>
              </w:tc>
              <w:tc>
                <w:tcPr>
                  <w:tcW w:w="3605" w:type="dxa"/>
                  <w:vAlign w:val="center"/>
                </w:tcPr>
                <w:p w14:paraId="642257B4">
                  <w:pPr>
                    <w:pStyle w:val="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Guincho para veículos de passeio (Carro Popular).</w:t>
                  </w:r>
                </w:p>
              </w:tc>
              <w:tc>
                <w:tcPr>
                  <w:tcW w:w="1604" w:type="dxa"/>
                  <w:gridSpan w:val="3"/>
                  <w:vAlign w:val="center"/>
                </w:tcPr>
                <w:p w14:paraId="148B7CFE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Serviço fixo</w:t>
                  </w:r>
                  <w:r>
                    <w:rPr>
                      <w:b/>
                    </w:rPr>
                    <w:br w:type="textWrapping"/>
                  </w:r>
                  <w:r>
                    <w:rPr>
                      <w:b/>
                    </w:rPr>
                    <w:t>limitado até 30 km</w:t>
                  </w:r>
                </w:p>
              </w:tc>
              <w:tc>
                <w:tcPr>
                  <w:tcW w:w="1669" w:type="dxa"/>
                  <w:gridSpan w:val="3"/>
                  <w:vAlign w:val="center"/>
                </w:tcPr>
                <w:p w14:paraId="4646E5A1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67</w:t>
                  </w:r>
                </w:p>
              </w:tc>
              <w:tc>
                <w:tcPr>
                  <w:tcW w:w="1610" w:type="dxa"/>
                  <w:vAlign w:val="center"/>
                </w:tcPr>
                <w:p w14:paraId="28E424A9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R$ 251,25 </w:t>
                  </w:r>
                </w:p>
              </w:tc>
            </w:tr>
            <w:tr w14:paraId="2396690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30" w:hRule="atLeast"/>
              </w:trPr>
              <w:tc>
                <w:tcPr>
                  <w:tcW w:w="1435" w:type="dxa"/>
                  <w:gridSpan w:val="2"/>
                  <w:vAlign w:val="center"/>
                </w:tcPr>
                <w:p w14:paraId="0628C590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VI</w:t>
                  </w:r>
                </w:p>
              </w:tc>
              <w:tc>
                <w:tcPr>
                  <w:tcW w:w="3605" w:type="dxa"/>
                  <w:vAlign w:val="center"/>
                </w:tcPr>
                <w:p w14:paraId="652FD231">
                  <w:pPr>
                    <w:pStyle w:val="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Guincho para veículos de passeio, utilitário e similares que não ultrapassem o peso bruto total de 2.500 Kg.</w:t>
                  </w:r>
                </w:p>
              </w:tc>
              <w:tc>
                <w:tcPr>
                  <w:tcW w:w="1604" w:type="dxa"/>
                  <w:gridSpan w:val="3"/>
                  <w:vAlign w:val="center"/>
                </w:tcPr>
                <w:p w14:paraId="769F9A6F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Serviço fixo</w:t>
                  </w:r>
                  <w:r>
                    <w:rPr>
                      <w:b/>
                    </w:rPr>
                    <w:br w:type="textWrapping"/>
                  </w:r>
                  <w:r>
                    <w:rPr>
                      <w:b/>
                    </w:rPr>
                    <w:t>limitado até 30 km</w:t>
                  </w:r>
                </w:p>
              </w:tc>
              <w:tc>
                <w:tcPr>
                  <w:tcW w:w="1669" w:type="dxa"/>
                  <w:gridSpan w:val="3"/>
                  <w:vAlign w:val="center"/>
                </w:tcPr>
                <w:p w14:paraId="63F47F18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72</w:t>
                  </w:r>
                </w:p>
              </w:tc>
              <w:tc>
                <w:tcPr>
                  <w:tcW w:w="1610" w:type="dxa"/>
                  <w:vAlign w:val="center"/>
                </w:tcPr>
                <w:p w14:paraId="35BCB5C7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R$ 270,00 </w:t>
                  </w:r>
                </w:p>
              </w:tc>
            </w:tr>
            <w:tr w14:paraId="3764081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30" w:hRule="atLeast"/>
              </w:trPr>
              <w:tc>
                <w:tcPr>
                  <w:tcW w:w="1435" w:type="dxa"/>
                  <w:gridSpan w:val="2"/>
                  <w:vAlign w:val="center"/>
                </w:tcPr>
                <w:p w14:paraId="5C476A23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VII</w:t>
                  </w:r>
                </w:p>
              </w:tc>
              <w:tc>
                <w:tcPr>
                  <w:tcW w:w="3605" w:type="dxa"/>
                  <w:vAlign w:val="center"/>
                </w:tcPr>
                <w:p w14:paraId="3ABF9695">
                  <w:pPr>
                    <w:pStyle w:val="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Guincho para veículos de passeio, utilitário e similares acima de 2.500 KG que não ultrapassem o peso bruto total de 3.500 Kg.</w:t>
                  </w:r>
                </w:p>
              </w:tc>
              <w:tc>
                <w:tcPr>
                  <w:tcW w:w="1604" w:type="dxa"/>
                  <w:gridSpan w:val="3"/>
                  <w:vAlign w:val="center"/>
                </w:tcPr>
                <w:p w14:paraId="6300B21C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Serviço fixo</w:t>
                  </w:r>
                  <w:r>
                    <w:rPr>
                      <w:b/>
                    </w:rPr>
                    <w:br w:type="textWrapping"/>
                  </w:r>
                  <w:r>
                    <w:rPr>
                      <w:b/>
                    </w:rPr>
                    <w:t>limitado até 30 km</w:t>
                  </w:r>
                </w:p>
              </w:tc>
              <w:tc>
                <w:tcPr>
                  <w:tcW w:w="1669" w:type="dxa"/>
                  <w:gridSpan w:val="3"/>
                  <w:vAlign w:val="center"/>
                </w:tcPr>
                <w:p w14:paraId="2CBDD02A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105</w:t>
                  </w:r>
                </w:p>
              </w:tc>
              <w:tc>
                <w:tcPr>
                  <w:tcW w:w="1610" w:type="dxa"/>
                  <w:vAlign w:val="center"/>
                </w:tcPr>
                <w:p w14:paraId="08E795A1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R$ 393,75 </w:t>
                  </w:r>
                </w:p>
              </w:tc>
            </w:tr>
            <w:tr w14:paraId="7D9D0BD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63" w:hRule="atLeast"/>
              </w:trPr>
              <w:tc>
                <w:tcPr>
                  <w:tcW w:w="1435" w:type="dxa"/>
                  <w:gridSpan w:val="2"/>
                  <w:vAlign w:val="center"/>
                </w:tcPr>
                <w:p w14:paraId="1396786D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VIII</w:t>
                  </w:r>
                </w:p>
              </w:tc>
              <w:tc>
                <w:tcPr>
                  <w:tcW w:w="3605" w:type="dxa"/>
                  <w:vAlign w:val="center"/>
                </w:tcPr>
                <w:p w14:paraId="0E96B7EE">
                  <w:pPr>
                    <w:pStyle w:val="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Guincho para veículos de carga ou passageiros com peso bruto superior a 3.500 kg.</w:t>
                  </w:r>
                </w:p>
              </w:tc>
              <w:tc>
                <w:tcPr>
                  <w:tcW w:w="1604" w:type="dxa"/>
                  <w:gridSpan w:val="3"/>
                  <w:vAlign w:val="center"/>
                </w:tcPr>
                <w:p w14:paraId="471AE021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Serviço fixo</w:t>
                  </w:r>
                  <w:r>
                    <w:rPr>
                      <w:b/>
                    </w:rPr>
                    <w:br w:type="textWrapping"/>
                  </w:r>
                  <w:r>
                    <w:rPr>
                      <w:b/>
                    </w:rPr>
                    <w:t>limitado até 30 km</w:t>
                  </w:r>
                </w:p>
              </w:tc>
              <w:tc>
                <w:tcPr>
                  <w:tcW w:w="1669" w:type="dxa"/>
                  <w:gridSpan w:val="3"/>
                  <w:vAlign w:val="center"/>
                </w:tcPr>
                <w:p w14:paraId="6D153471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172</w:t>
                  </w:r>
                </w:p>
              </w:tc>
              <w:tc>
                <w:tcPr>
                  <w:tcW w:w="1610" w:type="dxa"/>
                  <w:vAlign w:val="center"/>
                </w:tcPr>
                <w:p w14:paraId="6189C6D0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R$ 645,00 </w:t>
                  </w:r>
                </w:p>
              </w:tc>
            </w:tr>
            <w:tr w14:paraId="3ADA2FA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8" w:hRule="atLeast"/>
              </w:trPr>
              <w:tc>
                <w:tcPr>
                  <w:tcW w:w="1435" w:type="dxa"/>
                  <w:gridSpan w:val="2"/>
                  <w:vAlign w:val="center"/>
                </w:tcPr>
                <w:p w14:paraId="0CDB9DEF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IX</w:t>
                  </w:r>
                </w:p>
              </w:tc>
              <w:tc>
                <w:tcPr>
                  <w:tcW w:w="3605" w:type="dxa"/>
                  <w:vAlign w:val="center"/>
                </w:tcPr>
                <w:p w14:paraId="60468C19">
                  <w:pPr>
                    <w:pStyle w:val="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Guincho para veículos articulados, reboque e semi-reboque.</w:t>
                  </w:r>
                </w:p>
              </w:tc>
              <w:tc>
                <w:tcPr>
                  <w:tcW w:w="1604" w:type="dxa"/>
                  <w:gridSpan w:val="3"/>
                  <w:vAlign w:val="center"/>
                </w:tcPr>
                <w:p w14:paraId="0D7996B8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Serviço fixo</w:t>
                  </w:r>
                  <w:r>
                    <w:rPr>
                      <w:b/>
                    </w:rPr>
                    <w:br w:type="textWrapping"/>
                  </w:r>
                  <w:r>
                    <w:rPr>
                      <w:b/>
                    </w:rPr>
                    <w:t>limitado até 30 km</w:t>
                  </w:r>
                </w:p>
              </w:tc>
              <w:tc>
                <w:tcPr>
                  <w:tcW w:w="1669" w:type="dxa"/>
                  <w:gridSpan w:val="3"/>
                  <w:vAlign w:val="center"/>
                </w:tcPr>
                <w:p w14:paraId="0C97B915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196</w:t>
                  </w:r>
                </w:p>
              </w:tc>
              <w:tc>
                <w:tcPr>
                  <w:tcW w:w="1610" w:type="dxa"/>
                  <w:vAlign w:val="center"/>
                </w:tcPr>
                <w:p w14:paraId="33A422DC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R$ 735,00 </w:t>
                  </w:r>
                </w:p>
              </w:tc>
            </w:tr>
            <w:tr w14:paraId="4FD9B8F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79" w:hRule="atLeast"/>
              </w:trPr>
              <w:tc>
                <w:tcPr>
                  <w:tcW w:w="9923" w:type="dxa"/>
                  <w:gridSpan w:val="10"/>
                  <w:shd w:val="clear" w:color="auto" w:fill="EAF1DD" w:themeFill="accent3" w:themeFillTint="33"/>
                  <w:vAlign w:val="center"/>
                </w:tcPr>
                <w:p w14:paraId="5F6322C9">
                  <w:pPr>
                    <w:pStyle w:val="9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Anexo II - Lei Municipal 2.985/2021</w:t>
                  </w:r>
                </w:p>
                <w:p w14:paraId="793A624A">
                  <w:pPr>
                    <w:pStyle w:val="9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DOS VALORES DA TAXA DO KM ADICIONAL (Acima de 30 KM) - Art. 17</w:t>
                  </w:r>
                </w:p>
              </w:tc>
            </w:tr>
            <w:tr w14:paraId="6280A40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00" w:hRule="atLeast"/>
              </w:trPr>
              <w:tc>
                <w:tcPr>
                  <w:tcW w:w="1435" w:type="dxa"/>
                  <w:gridSpan w:val="2"/>
                  <w:shd w:val="clear" w:color="auto" w:fill="EAF1DD" w:themeFill="accent3" w:themeFillTint="33"/>
                  <w:vAlign w:val="center"/>
                </w:tcPr>
                <w:p w14:paraId="6E993D15">
                  <w:pPr>
                    <w:pStyle w:val="9"/>
                    <w:jc w:val="center"/>
                    <w:rPr>
                      <w:b/>
                      <w:bCs/>
                      <w:lang w:val="pt-BR"/>
                    </w:rPr>
                  </w:pPr>
                  <w:r>
                    <w:rPr>
                      <w:b/>
                      <w:bCs/>
                    </w:rPr>
                    <w:t>Item</w:t>
                  </w:r>
                </w:p>
              </w:tc>
              <w:tc>
                <w:tcPr>
                  <w:tcW w:w="3605" w:type="dxa"/>
                  <w:shd w:val="clear" w:color="auto" w:fill="EAF1DD" w:themeFill="accent3" w:themeFillTint="33"/>
                  <w:vAlign w:val="center"/>
                </w:tcPr>
                <w:p w14:paraId="07C943AC">
                  <w:pPr>
                    <w:pStyle w:val="9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Descrição dos Serviços</w:t>
                  </w:r>
                </w:p>
              </w:tc>
              <w:tc>
                <w:tcPr>
                  <w:tcW w:w="1620" w:type="dxa"/>
                  <w:gridSpan w:val="4"/>
                  <w:shd w:val="clear" w:color="auto" w:fill="EAF1DD" w:themeFill="accent3" w:themeFillTint="33"/>
                  <w:vAlign w:val="center"/>
                </w:tcPr>
                <w:p w14:paraId="4F35C678">
                  <w:pPr>
                    <w:pStyle w:val="9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Unidade</w:t>
                  </w:r>
                </w:p>
              </w:tc>
              <w:tc>
                <w:tcPr>
                  <w:tcW w:w="1653" w:type="dxa"/>
                  <w:gridSpan w:val="2"/>
                  <w:shd w:val="clear" w:color="auto" w:fill="EAF1DD" w:themeFill="accent3" w:themeFillTint="33"/>
                  <w:vAlign w:val="center"/>
                </w:tcPr>
                <w:p w14:paraId="5D0BD125">
                  <w:pPr>
                    <w:pStyle w:val="9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Valor em UR</w:t>
                  </w:r>
                  <w:r>
                    <w:rPr>
                      <w:b/>
                      <w:bCs/>
                    </w:rPr>
                    <w:br w:type="textWrapping"/>
                  </w:r>
                  <w:r>
                    <w:rPr>
                      <w:b/>
                      <w:bCs/>
                    </w:rPr>
                    <w:t>Lei Comp. 109/2014</w:t>
                  </w:r>
                  <w:r>
                    <w:rPr>
                      <w:b/>
                      <w:bCs/>
                    </w:rPr>
                    <w:br w:type="textWrapping"/>
                  </w:r>
                  <w:r>
                    <w:rPr>
                      <w:b/>
                      <w:bCs/>
                    </w:rPr>
                    <w:t>Decreto 356/2024</w:t>
                  </w:r>
                </w:p>
              </w:tc>
              <w:tc>
                <w:tcPr>
                  <w:tcW w:w="1610" w:type="dxa"/>
                  <w:shd w:val="clear" w:color="auto" w:fill="EAF1DD" w:themeFill="accent3" w:themeFillTint="33"/>
                  <w:vAlign w:val="center"/>
                </w:tcPr>
                <w:p w14:paraId="29635355">
                  <w:pPr>
                    <w:pStyle w:val="9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Valor em R$</w:t>
                  </w:r>
                  <w:r>
                    <w:rPr>
                      <w:b/>
                      <w:bCs/>
                    </w:rPr>
                    <w:br w:type="textWrapping"/>
                  </w:r>
                  <w:r>
                    <w:rPr>
                      <w:b/>
                      <w:bCs/>
                    </w:rPr>
                    <w:t>Ano 2025</w:t>
                  </w:r>
                </w:p>
              </w:tc>
            </w:tr>
            <w:tr w14:paraId="32EE3AA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00" w:hRule="atLeast"/>
              </w:trPr>
              <w:tc>
                <w:tcPr>
                  <w:tcW w:w="1435" w:type="dxa"/>
                  <w:gridSpan w:val="2"/>
                  <w:vAlign w:val="center"/>
                </w:tcPr>
                <w:p w14:paraId="7C2119DF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I</w:t>
                  </w:r>
                </w:p>
              </w:tc>
              <w:tc>
                <w:tcPr>
                  <w:tcW w:w="3605" w:type="dxa"/>
                  <w:vAlign w:val="center"/>
                </w:tcPr>
                <w:p w14:paraId="1CEA79D9">
                  <w:pPr>
                    <w:pStyle w:val="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Guincho para motocicletas, ciclomotores e triciclos (veículos com 03 rodas), com ou sem reboque lateral.</w:t>
                  </w:r>
                </w:p>
              </w:tc>
              <w:tc>
                <w:tcPr>
                  <w:tcW w:w="1620" w:type="dxa"/>
                  <w:gridSpan w:val="4"/>
                  <w:vAlign w:val="center"/>
                </w:tcPr>
                <w:p w14:paraId="6A513ACB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Valor do km</w:t>
                  </w:r>
                  <w:r>
                    <w:rPr>
                      <w:b/>
                    </w:rPr>
                    <w:br w:type="textWrapping"/>
                  </w:r>
                  <w:r>
                    <w:rPr>
                      <w:b/>
                    </w:rPr>
                    <w:t>adicional percurso</w:t>
                  </w:r>
                  <w:r>
                    <w:rPr>
                      <w:b/>
                    </w:rPr>
                    <w:br w:type="textWrapping"/>
                  </w:r>
                  <w:r>
                    <w:rPr>
                      <w:b/>
                    </w:rPr>
                    <w:t>com mais de 30 km</w:t>
                  </w:r>
                </w:p>
              </w:tc>
              <w:tc>
                <w:tcPr>
                  <w:tcW w:w="1653" w:type="dxa"/>
                  <w:gridSpan w:val="2"/>
                  <w:vAlign w:val="center"/>
                </w:tcPr>
                <w:p w14:paraId="49496A18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1,18</w:t>
                  </w:r>
                </w:p>
              </w:tc>
              <w:tc>
                <w:tcPr>
                  <w:tcW w:w="1610" w:type="dxa"/>
                  <w:vAlign w:val="center"/>
                </w:tcPr>
                <w:p w14:paraId="2077E739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R$ 4,43 </w:t>
                  </w:r>
                </w:p>
              </w:tc>
            </w:tr>
            <w:tr w14:paraId="0C71C23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00" w:hRule="atLeast"/>
              </w:trPr>
              <w:tc>
                <w:tcPr>
                  <w:tcW w:w="1435" w:type="dxa"/>
                  <w:gridSpan w:val="2"/>
                  <w:vAlign w:val="center"/>
                </w:tcPr>
                <w:p w14:paraId="784C839C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II</w:t>
                  </w:r>
                </w:p>
              </w:tc>
              <w:tc>
                <w:tcPr>
                  <w:tcW w:w="3605" w:type="dxa"/>
                  <w:vAlign w:val="center"/>
                </w:tcPr>
                <w:p w14:paraId="2A61F64D">
                  <w:pPr>
                    <w:pStyle w:val="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Guincho para veículos de passeio, utilitário e similares que não ultrapassem o peso bruto total de 3.500 Kg.</w:t>
                  </w:r>
                </w:p>
              </w:tc>
              <w:tc>
                <w:tcPr>
                  <w:tcW w:w="1620" w:type="dxa"/>
                  <w:gridSpan w:val="4"/>
                  <w:vAlign w:val="center"/>
                </w:tcPr>
                <w:p w14:paraId="0B32C0EB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Valor do km</w:t>
                  </w:r>
                  <w:r>
                    <w:rPr>
                      <w:b/>
                    </w:rPr>
                    <w:br w:type="textWrapping"/>
                  </w:r>
                  <w:r>
                    <w:rPr>
                      <w:b/>
                    </w:rPr>
                    <w:t>adicional percurso</w:t>
                  </w:r>
                  <w:r>
                    <w:rPr>
                      <w:b/>
                    </w:rPr>
                    <w:br w:type="textWrapping"/>
                  </w:r>
                  <w:r>
                    <w:rPr>
                      <w:b/>
                    </w:rPr>
                    <w:t>com mais de 30 km</w:t>
                  </w:r>
                </w:p>
              </w:tc>
              <w:tc>
                <w:tcPr>
                  <w:tcW w:w="1653" w:type="dxa"/>
                  <w:gridSpan w:val="2"/>
                  <w:vAlign w:val="center"/>
                </w:tcPr>
                <w:p w14:paraId="351F9BCA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1,3</w:t>
                  </w:r>
                </w:p>
              </w:tc>
              <w:tc>
                <w:tcPr>
                  <w:tcW w:w="1610" w:type="dxa"/>
                  <w:vAlign w:val="center"/>
                </w:tcPr>
                <w:p w14:paraId="18A85280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R$ 4,88 </w:t>
                  </w:r>
                </w:p>
              </w:tc>
            </w:tr>
            <w:tr w14:paraId="590DDDF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00" w:hRule="atLeast"/>
              </w:trPr>
              <w:tc>
                <w:tcPr>
                  <w:tcW w:w="1435" w:type="dxa"/>
                  <w:gridSpan w:val="2"/>
                  <w:vAlign w:val="center"/>
                </w:tcPr>
                <w:p w14:paraId="03352116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III</w:t>
                  </w:r>
                </w:p>
              </w:tc>
              <w:tc>
                <w:tcPr>
                  <w:tcW w:w="3605" w:type="dxa"/>
                  <w:vAlign w:val="center"/>
                </w:tcPr>
                <w:p w14:paraId="2842FFB1">
                  <w:pPr>
                    <w:pStyle w:val="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Guincho para veículos de carga ou passageiros com peso bruto superior a 3.500 kg.</w:t>
                  </w:r>
                </w:p>
              </w:tc>
              <w:tc>
                <w:tcPr>
                  <w:tcW w:w="1620" w:type="dxa"/>
                  <w:gridSpan w:val="4"/>
                  <w:vAlign w:val="center"/>
                </w:tcPr>
                <w:p w14:paraId="2D57F3B5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Valor do km</w:t>
                  </w:r>
                  <w:r>
                    <w:rPr>
                      <w:b/>
                    </w:rPr>
                    <w:br w:type="textWrapping"/>
                  </w:r>
                  <w:r>
                    <w:rPr>
                      <w:b/>
                    </w:rPr>
                    <w:t>adicional percurso</w:t>
                  </w:r>
                  <w:r>
                    <w:rPr>
                      <w:b/>
                    </w:rPr>
                    <w:br w:type="textWrapping"/>
                  </w:r>
                  <w:r>
                    <w:rPr>
                      <w:b/>
                    </w:rPr>
                    <w:t>com mais de 30 km</w:t>
                  </w:r>
                </w:p>
              </w:tc>
              <w:tc>
                <w:tcPr>
                  <w:tcW w:w="1653" w:type="dxa"/>
                  <w:gridSpan w:val="2"/>
                  <w:vAlign w:val="center"/>
                </w:tcPr>
                <w:p w14:paraId="222D3F65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1610" w:type="dxa"/>
                  <w:vAlign w:val="center"/>
                </w:tcPr>
                <w:p w14:paraId="3CE5DAF6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R$ 7,50 </w:t>
                  </w:r>
                </w:p>
              </w:tc>
            </w:tr>
            <w:tr w14:paraId="4E971B0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00" w:hRule="atLeast"/>
              </w:trPr>
              <w:tc>
                <w:tcPr>
                  <w:tcW w:w="1435" w:type="dxa"/>
                  <w:gridSpan w:val="2"/>
                  <w:vAlign w:val="center"/>
                </w:tcPr>
                <w:p w14:paraId="04093B54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IV</w:t>
                  </w:r>
                </w:p>
              </w:tc>
              <w:tc>
                <w:tcPr>
                  <w:tcW w:w="3605" w:type="dxa"/>
                  <w:vAlign w:val="center"/>
                </w:tcPr>
                <w:p w14:paraId="7135BCE3">
                  <w:pPr>
                    <w:pStyle w:val="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Guincho para veículos articulados, reboque e semir-reboque - Vazio.</w:t>
                  </w:r>
                </w:p>
              </w:tc>
              <w:tc>
                <w:tcPr>
                  <w:tcW w:w="1620" w:type="dxa"/>
                  <w:gridSpan w:val="4"/>
                  <w:vAlign w:val="center"/>
                </w:tcPr>
                <w:p w14:paraId="359C3339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Valor do km</w:t>
                  </w:r>
                  <w:r>
                    <w:rPr>
                      <w:b/>
                    </w:rPr>
                    <w:br w:type="textWrapping"/>
                  </w:r>
                  <w:r>
                    <w:rPr>
                      <w:b/>
                    </w:rPr>
                    <w:t>adicional percurso</w:t>
                  </w:r>
                  <w:r>
                    <w:rPr>
                      <w:b/>
                    </w:rPr>
                    <w:br w:type="textWrapping"/>
                  </w:r>
                  <w:r>
                    <w:rPr>
                      <w:b/>
                    </w:rPr>
                    <w:t>com mais de 30 km</w:t>
                  </w:r>
                </w:p>
              </w:tc>
              <w:tc>
                <w:tcPr>
                  <w:tcW w:w="1653" w:type="dxa"/>
                  <w:gridSpan w:val="2"/>
                  <w:vAlign w:val="center"/>
                </w:tcPr>
                <w:p w14:paraId="4465D4C5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2,2</w:t>
                  </w:r>
                </w:p>
              </w:tc>
              <w:tc>
                <w:tcPr>
                  <w:tcW w:w="1610" w:type="dxa"/>
                  <w:vAlign w:val="center"/>
                </w:tcPr>
                <w:p w14:paraId="11A052D9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R$ 8,25 </w:t>
                  </w:r>
                </w:p>
              </w:tc>
            </w:tr>
            <w:tr w14:paraId="36C9F8D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00" w:hRule="atLeast"/>
              </w:trPr>
              <w:tc>
                <w:tcPr>
                  <w:tcW w:w="1435" w:type="dxa"/>
                  <w:gridSpan w:val="2"/>
                  <w:vAlign w:val="center"/>
                </w:tcPr>
                <w:p w14:paraId="15F4F7B2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V</w:t>
                  </w:r>
                </w:p>
              </w:tc>
              <w:tc>
                <w:tcPr>
                  <w:tcW w:w="3605" w:type="dxa"/>
                  <w:vAlign w:val="center"/>
                </w:tcPr>
                <w:p w14:paraId="71CF2FD1">
                  <w:pPr>
                    <w:pStyle w:val="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Guincho para veículos articulados, reboque e semir-reboque - Carregado.</w:t>
                  </w:r>
                </w:p>
              </w:tc>
              <w:tc>
                <w:tcPr>
                  <w:tcW w:w="1620" w:type="dxa"/>
                  <w:gridSpan w:val="4"/>
                  <w:vAlign w:val="center"/>
                </w:tcPr>
                <w:p w14:paraId="346A620F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Valor do km</w:t>
                  </w:r>
                  <w:r>
                    <w:rPr>
                      <w:b/>
                    </w:rPr>
                    <w:br w:type="textWrapping"/>
                  </w:r>
                  <w:r>
                    <w:rPr>
                      <w:b/>
                    </w:rPr>
                    <w:t>adicional percurso</w:t>
                  </w:r>
                  <w:r>
                    <w:rPr>
                      <w:b/>
                    </w:rPr>
                    <w:br w:type="textWrapping"/>
                  </w:r>
                  <w:r>
                    <w:rPr>
                      <w:b/>
                    </w:rPr>
                    <w:t>com mais de 30 km</w:t>
                  </w:r>
                </w:p>
              </w:tc>
              <w:tc>
                <w:tcPr>
                  <w:tcW w:w="1653" w:type="dxa"/>
                  <w:gridSpan w:val="2"/>
                  <w:vAlign w:val="center"/>
                </w:tcPr>
                <w:p w14:paraId="70409A1C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c>
              <w:tc>
                <w:tcPr>
                  <w:tcW w:w="1610" w:type="dxa"/>
                  <w:vAlign w:val="center"/>
                </w:tcPr>
                <w:p w14:paraId="79651B01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R$ 11,25 </w:t>
                  </w:r>
                </w:p>
              </w:tc>
            </w:tr>
            <w:tr w14:paraId="223D276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00" w:hRule="atLeast"/>
              </w:trPr>
              <w:tc>
                <w:tcPr>
                  <w:tcW w:w="1435" w:type="dxa"/>
                  <w:gridSpan w:val="2"/>
                  <w:vAlign w:val="center"/>
                </w:tcPr>
                <w:p w14:paraId="7D5D07BB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VI</w:t>
                  </w:r>
                </w:p>
              </w:tc>
              <w:tc>
                <w:tcPr>
                  <w:tcW w:w="3605" w:type="dxa"/>
                  <w:vAlign w:val="center"/>
                </w:tcPr>
                <w:p w14:paraId="74FE7BC7">
                  <w:pPr>
                    <w:pStyle w:val="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Guincho para Caçambas, Container e similares.</w:t>
                  </w:r>
                </w:p>
              </w:tc>
              <w:tc>
                <w:tcPr>
                  <w:tcW w:w="1620" w:type="dxa"/>
                  <w:gridSpan w:val="4"/>
                  <w:vAlign w:val="center"/>
                </w:tcPr>
                <w:p w14:paraId="61DF8265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Valor do km</w:t>
                  </w:r>
                  <w:r>
                    <w:rPr>
                      <w:b/>
                    </w:rPr>
                    <w:br w:type="textWrapping"/>
                  </w:r>
                  <w:r>
                    <w:rPr>
                      <w:b/>
                    </w:rPr>
                    <w:t>adicional percurso</w:t>
                  </w:r>
                  <w:r>
                    <w:rPr>
                      <w:b/>
                    </w:rPr>
                    <w:br w:type="textWrapping"/>
                  </w:r>
                  <w:r>
                    <w:rPr>
                      <w:b/>
                    </w:rPr>
                    <w:t>com mais de 30 km</w:t>
                  </w:r>
                </w:p>
              </w:tc>
              <w:tc>
                <w:tcPr>
                  <w:tcW w:w="1653" w:type="dxa"/>
                  <w:gridSpan w:val="2"/>
                  <w:vAlign w:val="center"/>
                </w:tcPr>
                <w:p w14:paraId="569A3555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1,18</w:t>
                  </w:r>
                </w:p>
              </w:tc>
              <w:tc>
                <w:tcPr>
                  <w:tcW w:w="1610" w:type="dxa"/>
                  <w:vAlign w:val="center"/>
                </w:tcPr>
                <w:p w14:paraId="74FCD325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R$ 4,43 </w:t>
                  </w:r>
                </w:p>
              </w:tc>
            </w:tr>
            <w:tr w14:paraId="32E9B62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00" w:hRule="atLeast"/>
              </w:trPr>
              <w:tc>
                <w:tcPr>
                  <w:tcW w:w="1435" w:type="dxa"/>
                  <w:gridSpan w:val="2"/>
                  <w:vAlign w:val="center"/>
                </w:tcPr>
                <w:p w14:paraId="1F1D8917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VII</w:t>
                  </w:r>
                </w:p>
              </w:tc>
              <w:tc>
                <w:tcPr>
                  <w:tcW w:w="3605" w:type="dxa"/>
                  <w:vAlign w:val="center"/>
                </w:tcPr>
                <w:p w14:paraId="4B20F5B2">
                  <w:pPr>
                    <w:pStyle w:val="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Guincho para Carretinhas</w:t>
                  </w:r>
                </w:p>
              </w:tc>
              <w:tc>
                <w:tcPr>
                  <w:tcW w:w="1620" w:type="dxa"/>
                  <w:gridSpan w:val="4"/>
                  <w:vAlign w:val="center"/>
                </w:tcPr>
                <w:p w14:paraId="4A7E8C4C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Valor do km</w:t>
                  </w:r>
                  <w:r>
                    <w:rPr>
                      <w:b/>
                    </w:rPr>
                    <w:br w:type="textWrapping"/>
                  </w:r>
                  <w:r>
                    <w:rPr>
                      <w:b/>
                    </w:rPr>
                    <w:t>adicional percurso</w:t>
                  </w:r>
                  <w:r>
                    <w:rPr>
                      <w:b/>
                    </w:rPr>
                    <w:br w:type="textWrapping"/>
                  </w:r>
                  <w:r>
                    <w:rPr>
                      <w:b/>
                    </w:rPr>
                    <w:t>com mais de 30 km</w:t>
                  </w:r>
                </w:p>
              </w:tc>
              <w:tc>
                <w:tcPr>
                  <w:tcW w:w="1653" w:type="dxa"/>
                  <w:gridSpan w:val="2"/>
                  <w:vAlign w:val="center"/>
                </w:tcPr>
                <w:p w14:paraId="73D92941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1,18</w:t>
                  </w:r>
                </w:p>
              </w:tc>
              <w:tc>
                <w:tcPr>
                  <w:tcW w:w="1610" w:type="dxa"/>
                  <w:vAlign w:val="center"/>
                </w:tcPr>
                <w:p w14:paraId="6D10A729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R$ 4,43 </w:t>
                  </w:r>
                </w:p>
              </w:tc>
            </w:tr>
            <w:tr w14:paraId="290ED7D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96" w:hRule="atLeast"/>
              </w:trPr>
              <w:tc>
                <w:tcPr>
                  <w:tcW w:w="9923" w:type="dxa"/>
                  <w:gridSpan w:val="10"/>
                  <w:shd w:val="clear" w:color="auto" w:fill="EAF1DD" w:themeFill="accent3" w:themeFillTint="33"/>
                  <w:vAlign w:val="center"/>
                </w:tcPr>
                <w:p w14:paraId="4AFE8D93">
                  <w:pPr>
                    <w:pStyle w:val="9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Anexo III - Lei Municipal 2.985/2021</w:t>
                  </w:r>
                </w:p>
                <w:p w14:paraId="228A2735">
                  <w:pPr>
                    <w:pStyle w:val="9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DOS VALORES DA TAXA DE DEPÓSITO EM PÁTIO - Art. 19</w:t>
                  </w:r>
                </w:p>
              </w:tc>
            </w:tr>
            <w:tr w14:paraId="13F55231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00" w:hRule="atLeast"/>
              </w:trPr>
              <w:tc>
                <w:tcPr>
                  <w:tcW w:w="1435" w:type="dxa"/>
                  <w:gridSpan w:val="2"/>
                  <w:shd w:val="clear" w:color="auto" w:fill="EAF1DD" w:themeFill="accent3" w:themeFillTint="33"/>
                  <w:vAlign w:val="center"/>
                </w:tcPr>
                <w:p w14:paraId="397A7CA4">
                  <w:pPr>
                    <w:pStyle w:val="9"/>
                    <w:jc w:val="center"/>
                    <w:rPr>
                      <w:b/>
                      <w:bCs/>
                      <w:lang w:val="pt-BR"/>
                    </w:rPr>
                  </w:pPr>
                  <w:r>
                    <w:rPr>
                      <w:b/>
                      <w:bCs/>
                    </w:rPr>
                    <w:t>Item</w:t>
                  </w:r>
                </w:p>
              </w:tc>
              <w:tc>
                <w:tcPr>
                  <w:tcW w:w="3618" w:type="dxa"/>
                  <w:gridSpan w:val="2"/>
                  <w:shd w:val="clear" w:color="auto" w:fill="EAF1DD" w:themeFill="accent3" w:themeFillTint="33"/>
                  <w:vAlign w:val="center"/>
                </w:tcPr>
                <w:p w14:paraId="2B0C61E4">
                  <w:pPr>
                    <w:pStyle w:val="9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Descrição dos Serviços</w:t>
                  </w:r>
                </w:p>
              </w:tc>
              <w:tc>
                <w:tcPr>
                  <w:tcW w:w="1607" w:type="dxa"/>
                  <w:gridSpan w:val="3"/>
                  <w:shd w:val="clear" w:color="auto" w:fill="EAF1DD" w:themeFill="accent3" w:themeFillTint="33"/>
                  <w:vAlign w:val="center"/>
                </w:tcPr>
                <w:p w14:paraId="15143827">
                  <w:pPr>
                    <w:pStyle w:val="9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Unidade</w:t>
                  </w:r>
                </w:p>
              </w:tc>
              <w:tc>
                <w:tcPr>
                  <w:tcW w:w="1653" w:type="dxa"/>
                  <w:gridSpan w:val="2"/>
                  <w:shd w:val="clear" w:color="auto" w:fill="EAF1DD" w:themeFill="accent3" w:themeFillTint="33"/>
                  <w:vAlign w:val="center"/>
                </w:tcPr>
                <w:p w14:paraId="43BAFF38">
                  <w:pPr>
                    <w:pStyle w:val="9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Valor em UR</w:t>
                  </w:r>
                  <w:r>
                    <w:rPr>
                      <w:b/>
                      <w:bCs/>
                    </w:rPr>
                    <w:br w:type="textWrapping"/>
                  </w:r>
                  <w:r>
                    <w:rPr>
                      <w:b/>
                      <w:bCs/>
                    </w:rPr>
                    <w:t>Lei Comp. 109/2014</w:t>
                  </w:r>
                  <w:r>
                    <w:rPr>
                      <w:b/>
                      <w:bCs/>
                    </w:rPr>
                    <w:br w:type="textWrapping"/>
                  </w:r>
                  <w:r>
                    <w:rPr>
                      <w:b/>
                      <w:bCs/>
                    </w:rPr>
                    <w:t>Decreto 356/2024</w:t>
                  </w:r>
                </w:p>
              </w:tc>
              <w:tc>
                <w:tcPr>
                  <w:tcW w:w="1610" w:type="dxa"/>
                  <w:shd w:val="clear" w:color="auto" w:fill="EAF1DD" w:themeFill="accent3" w:themeFillTint="33"/>
                  <w:vAlign w:val="center"/>
                </w:tcPr>
                <w:p w14:paraId="77DDD305">
                  <w:pPr>
                    <w:pStyle w:val="9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Valor em R$</w:t>
                  </w:r>
                  <w:r>
                    <w:rPr>
                      <w:b/>
                      <w:bCs/>
                    </w:rPr>
                    <w:br w:type="textWrapping"/>
                  </w:r>
                  <w:r>
                    <w:rPr>
                      <w:b/>
                      <w:bCs/>
                    </w:rPr>
                    <w:t>Ano 2025</w:t>
                  </w:r>
                </w:p>
              </w:tc>
            </w:tr>
            <w:tr w14:paraId="23FA7F7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00" w:hRule="atLeast"/>
              </w:trPr>
              <w:tc>
                <w:tcPr>
                  <w:tcW w:w="1435" w:type="dxa"/>
                  <w:gridSpan w:val="2"/>
                  <w:vAlign w:val="center"/>
                </w:tcPr>
                <w:p w14:paraId="455EE084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I</w:t>
                  </w:r>
                </w:p>
              </w:tc>
              <w:tc>
                <w:tcPr>
                  <w:tcW w:w="3618" w:type="dxa"/>
                  <w:gridSpan w:val="2"/>
                  <w:vAlign w:val="center"/>
                </w:tcPr>
                <w:p w14:paraId="63D80310">
                  <w:pPr>
                    <w:pStyle w:val="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Estada no pátio para motocicletas, ciclomotores e triciclos (veículos com 03 rodas), com ou sem</w:t>
                  </w:r>
                  <w:r>
                    <w:rPr>
                      <w:b/>
                    </w:rPr>
                    <w:br w:type="textWrapping"/>
                  </w:r>
                  <w:r>
                    <w:rPr>
                      <w:b/>
                    </w:rPr>
                    <w:t>reboque lateral, limitadas a 180 dias.</w:t>
                  </w:r>
                </w:p>
              </w:tc>
              <w:tc>
                <w:tcPr>
                  <w:tcW w:w="1607" w:type="dxa"/>
                  <w:gridSpan w:val="3"/>
                  <w:vAlign w:val="center"/>
                </w:tcPr>
                <w:p w14:paraId="70FA7837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Diária - 24 hs</w:t>
                  </w:r>
                </w:p>
              </w:tc>
              <w:tc>
                <w:tcPr>
                  <w:tcW w:w="1653" w:type="dxa"/>
                  <w:gridSpan w:val="2"/>
                  <w:vAlign w:val="center"/>
                </w:tcPr>
                <w:p w14:paraId="53E2DC67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9,1</w:t>
                  </w:r>
                </w:p>
              </w:tc>
              <w:tc>
                <w:tcPr>
                  <w:tcW w:w="1610" w:type="dxa"/>
                  <w:vAlign w:val="center"/>
                </w:tcPr>
                <w:p w14:paraId="412E302A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R$ 34,13 </w:t>
                  </w:r>
                </w:p>
              </w:tc>
            </w:tr>
            <w:tr w14:paraId="37FFFB0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00" w:hRule="atLeast"/>
              </w:trPr>
              <w:tc>
                <w:tcPr>
                  <w:tcW w:w="1435" w:type="dxa"/>
                  <w:gridSpan w:val="2"/>
                  <w:vAlign w:val="center"/>
                </w:tcPr>
                <w:p w14:paraId="5BF7F721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II</w:t>
                  </w:r>
                </w:p>
              </w:tc>
              <w:tc>
                <w:tcPr>
                  <w:tcW w:w="3618" w:type="dxa"/>
                  <w:gridSpan w:val="2"/>
                  <w:vAlign w:val="center"/>
                </w:tcPr>
                <w:p w14:paraId="52D0881A">
                  <w:pPr>
                    <w:pStyle w:val="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Estada no pátio para veículos de passeio, utilitário e similares que não ultrapassem o peso bruto total de 3.500 Kg, limitadas a 180 dias.</w:t>
                  </w:r>
                </w:p>
              </w:tc>
              <w:tc>
                <w:tcPr>
                  <w:tcW w:w="1607" w:type="dxa"/>
                  <w:gridSpan w:val="3"/>
                  <w:vAlign w:val="center"/>
                </w:tcPr>
                <w:p w14:paraId="2502227E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Diária - 24 hs</w:t>
                  </w:r>
                </w:p>
              </w:tc>
              <w:tc>
                <w:tcPr>
                  <w:tcW w:w="1653" w:type="dxa"/>
                  <w:gridSpan w:val="2"/>
                  <w:vAlign w:val="center"/>
                </w:tcPr>
                <w:p w14:paraId="5DF1F577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14,9</w:t>
                  </w:r>
                </w:p>
              </w:tc>
              <w:tc>
                <w:tcPr>
                  <w:tcW w:w="1610" w:type="dxa"/>
                  <w:vAlign w:val="center"/>
                </w:tcPr>
                <w:p w14:paraId="2662D131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R$ 55,88 </w:t>
                  </w:r>
                </w:p>
              </w:tc>
            </w:tr>
            <w:tr w14:paraId="7F075D4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62" w:hRule="atLeast"/>
              </w:trPr>
              <w:tc>
                <w:tcPr>
                  <w:tcW w:w="1435" w:type="dxa"/>
                  <w:gridSpan w:val="2"/>
                  <w:vAlign w:val="center"/>
                </w:tcPr>
                <w:p w14:paraId="724EE8AD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III</w:t>
                  </w:r>
                </w:p>
              </w:tc>
              <w:tc>
                <w:tcPr>
                  <w:tcW w:w="3618" w:type="dxa"/>
                  <w:gridSpan w:val="2"/>
                  <w:vAlign w:val="center"/>
                </w:tcPr>
                <w:p w14:paraId="58413593">
                  <w:pPr>
                    <w:pStyle w:val="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Estada no pátio para veículos de carga ou passageiros com peso bruto superior a 3.500 kg, limitadas a 180 dias e</w:t>
                  </w:r>
                </w:p>
              </w:tc>
              <w:tc>
                <w:tcPr>
                  <w:tcW w:w="1607" w:type="dxa"/>
                  <w:gridSpan w:val="3"/>
                  <w:vAlign w:val="center"/>
                </w:tcPr>
                <w:p w14:paraId="58B124A3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Diária - 24 hs</w:t>
                  </w:r>
                </w:p>
              </w:tc>
              <w:tc>
                <w:tcPr>
                  <w:tcW w:w="1653" w:type="dxa"/>
                  <w:gridSpan w:val="2"/>
                  <w:vAlign w:val="center"/>
                </w:tcPr>
                <w:p w14:paraId="1ED7720F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21,8</w:t>
                  </w:r>
                </w:p>
              </w:tc>
              <w:tc>
                <w:tcPr>
                  <w:tcW w:w="1610" w:type="dxa"/>
                  <w:vAlign w:val="center"/>
                </w:tcPr>
                <w:p w14:paraId="4A3F720E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R$ 81,75 </w:t>
                  </w:r>
                </w:p>
              </w:tc>
            </w:tr>
            <w:tr w14:paraId="2035438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52" w:hRule="atLeast"/>
              </w:trPr>
              <w:tc>
                <w:tcPr>
                  <w:tcW w:w="1435" w:type="dxa"/>
                  <w:gridSpan w:val="2"/>
                  <w:vAlign w:val="center"/>
                </w:tcPr>
                <w:p w14:paraId="5893211F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IV</w:t>
                  </w:r>
                </w:p>
              </w:tc>
              <w:tc>
                <w:tcPr>
                  <w:tcW w:w="3618" w:type="dxa"/>
                  <w:gridSpan w:val="2"/>
                  <w:vAlign w:val="center"/>
                </w:tcPr>
                <w:p w14:paraId="1F6A8D7D">
                  <w:pPr>
                    <w:pStyle w:val="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Estada no pátio para veículos articulados, reboque e semirreboque (por documento), limitadas a 180 dias.</w:t>
                  </w:r>
                </w:p>
              </w:tc>
              <w:tc>
                <w:tcPr>
                  <w:tcW w:w="1607" w:type="dxa"/>
                  <w:gridSpan w:val="3"/>
                  <w:vAlign w:val="center"/>
                </w:tcPr>
                <w:p w14:paraId="55C2A51D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Diária - 24 hs</w:t>
                  </w:r>
                </w:p>
              </w:tc>
              <w:tc>
                <w:tcPr>
                  <w:tcW w:w="1653" w:type="dxa"/>
                  <w:gridSpan w:val="2"/>
                  <w:vAlign w:val="center"/>
                </w:tcPr>
                <w:p w14:paraId="274525EC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21,8</w:t>
                  </w:r>
                </w:p>
              </w:tc>
              <w:tc>
                <w:tcPr>
                  <w:tcW w:w="1610" w:type="dxa"/>
                  <w:vAlign w:val="center"/>
                </w:tcPr>
                <w:p w14:paraId="22CCA727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R$ 81,75 </w:t>
                  </w:r>
                </w:p>
              </w:tc>
            </w:tr>
            <w:tr w14:paraId="1F1588E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5" w:hRule="atLeast"/>
              </w:trPr>
              <w:tc>
                <w:tcPr>
                  <w:tcW w:w="1435" w:type="dxa"/>
                  <w:gridSpan w:val="2"/>
                  <w:vAlign w:val="center"/>
                </w:tcPr>
                <w:p w14:paraId="366C935F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V</w:t>
                  </w:r>
                </w:p>
              </w:tc>
              <w:tc>
                <w:tcPr>
                  <w:tcW w:w="3618" w:type="dxa"/>
                  <w:gridSpan w:val="2"/>
                  <w:vAlign w:val="center"/>
                </w:tcPr>
                <w:p w14:paraId="7E5E6A9D">
                  <w:pPr>
                    <w:pStyle w:val="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Estada no pátio para Caçambas, Container e similares</w:t>
                  </w:r>
                </w:p>
              </w:tc>
              <w:tc>
                <w:tcPr>
                  <w:tcW w:w="1607" w:type="dxa"/>
                  <w:gridSpan w:val="3"/>
                  <w:vAlign w:val="center"/>
                </w:tcPr>
                <w:p w14:paraId="072D17B4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Diária - 24 hs</w:t>
                  </w:r>
                </w:p>
              </w:tc>
              <w:tc>
                <w:tcPr>
                  <w:tcW w:w="1653" w:type="dxa"/>
                  <w:gridSpan w:val="2"/>
                  <w:vAlign w:val="center"/>
                </w:tcPr>
                <w:p w14:paraId="67F301DF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9,1</w:t>
                  </w:r>
                </w:p>
              </w:tc>
              <w:tc>
                <w:tcPr>
                  <w:tcW w:w="1610" w:type="dxa"/>
                  <w:vAlign w:val="center"/>
                </w:tcPr>
                <w:p w14:paraId="709BABAA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R$ 34,13 </w:t>
                  </w:r>
                </w:p>
              </w:tc>
            </w:tr>
            <w:tr w14:paraId="1458E40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48" w:hRule="atLeast"/>
              </w:trPr>
              <w:tc>
                <w:tcPr>
                  <w:tcW w:w="1435" w:type="dxa"/>
                  <w:gridSpan w:val="2"/>
                  <w:vAlign w:val="center"/>
                </w:tcPr>
                <w:p w14:paraId="1832C2CB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VI</w:t>
                  </w:r>
                </w:p>
              </w:tc>
              <w:tc>
                <w:tcPr>
                  <w:tcW w:w="3618" w:type="dxa"/>
                  <w:gridSpan w:val="2"/>
                  <w:vAlign w:val="center"/>
                </w:tcPr>
                <w:p w14:paraId="6E679F4A">
                  <w:pPr>
                    <w:pStyle w:val="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Estada no pátio para Carretinhas</w:t>
                  </w:r>
                </w:p>
              </w:tc>
              <w:tc>
                <w:tcPr>
                  <w:tcW w:w="1607" w:type="dxa"/>
                  <w:gridSpan w:val="3"/>
                  <w:vAlign w:val="center"/>
                </w:tcPr>
                <w:p w14:paraId="1856C6E8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Diária - 24 hs</w:t>
                  </w:r>
                </w:p>
              </w:tc>
              <w:tc>
                <w:tcPr>
                  <w:tcW w:w="1653" w:type="dxa"/>
                  <w:gridSpan w:val="2"/>
                  <w:vAlign w:val="center"/>
                </w:tcPr>
                <w:p w14:paraId="541970D8">
                  <w:pPr>
                    <w:pStyle w:val="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9,1</w:t>
                  </w:r>
                </w:p>
              </w:tc>
              <w:tc>
                <w:tcPr>
                  <w:tcW w:w="1610" w:type="dxa"/>
                  <w:vAlign w:val="center"/>
                </w:tcPr>
                <w:p w14:paraId="6F0B0201">
                  <w:pPr>
                    <w:pStyle w:val="9"/>
                    <w:rPr>
                      <w:b/>
                    </w:rPr>
                  </w:pPr>
                  <w:r>
                    <w:rPr>
                      <w:b/>
                    </w:rPr>
                    <w:t xml:space="preserve">R$ 34,13 </w:t>
                  </w:r>
                </w:p>
              </w:tc>
            </w:tr>
          </w:tbl>
          <w:p w14:paraId="658EDA25">
            <w:pPr>
              <w:pStyle w:val="17"/>
              <w:spacing w:line="256" w:lineRule="exact"/>
              <w:rPr>
                <w:b/>
              </w:rPr>
            </w:pPr>
          </w:p>
        </w:tc>
      </w:tr>
      <w:tr w14:paraId="440B66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0003" w:type="dxa"/>
          </w:tcPr>
          <w:p w14:paraId="5DC5834D">
            <w:pPr>
              <w:pStyle w:val="17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2.3</w:t>
            </w:r>
            <w:r>
              <w:rPr>
                <w:b/>
                <w:spacing w:val="7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Metodologia</w:t>
            </w:r>
            <w:r>
              <w:rPr>
                <w:b/>
                <w:spacing w:val="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de</w:t>
            </w:r>
            <w:r>
              <w:rPr>
                <w:b/>
                <w:spacing w:val="7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levantamento</w:t>
            </w:r>
            <w:r>
              <w:rPr>
                <w:b/>
                <w:spacing w:val="7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de</w:t>
            </w:r>
            <w:r>
              <w:rPr>
                <w:b/>
                <w:spacing w:val="7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estimativa</w:t>
            </w:r>
            <w:r>
              <w:rPr>
                <w:b/>
                <w:spacing w:val="5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de</w:t>
            </w:r>
            <w:r>
              <w:rPr>
                <w:b/>
                <w:spacing w:val="7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quantidades</w:t>
            </w:r>
            <w:r>
              <w:rPr>
                <w:b/>
                <w:spacing w:val="15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(contratos</w:t>
            </w:r>
            <w:r>
              <w:rPr>
                <w:b/>
                <w:spacing w:val="6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anteriores</w:t>
            </w:r>
            <w:r>
              <w:rPr>
                <w:b/>
                <w:spacing w:val="8"/>
                <w:sz w:val="24"/>
                <w:szCs w:val="24"/>
              </w:rPr>
              <w:t xml:space="preserve"> </w:t>
            </w:r>
            <w:r>
              <w:rPr>
                <w:b/>
                <w:spacing w:val="8"/>
                <w:sz w:val="24"/>
                <w:szCs w:val="24"/>
                <w:lang w:val="pt-BR"/>
              </w:rPr>
              <w:t xml:space="preserve">- </w:t>
            </w:r>
            <w:r>
              <w:rPr>
                <w:b/>
                <w:sz w:val="24"/>
                <w:szCs w:val="24"/>
              </w:rPr>
              <w:t>exemplo):</w:t>
            </w:r>
          </w:p>
          <w:p w14:paraId="5A548E5A">
            <w:pPr>
              <w:pStyle w:val="17"/>
              <w:jc w:val="both"/>
              <w:rPr>
                <w:bCs/>
                <w:sz w:val="24"/>
                <w:szCs w:val="24"/>
                <w:lang w:val="pt-BR"/>
              </w:rPr>
            </w:pPr>
            <w:r>
              <w:rPr>
                <w:bCs/>
                <w:sz w:val="24"/>
                <w:szCs w:val="24"/>
                <w:lang w:val="pt-BR"/>
              </w:rPr>
              <w:t xml:space="preserve">               No processo de credenciamento para serviços de pátio, guincho e munck, torna-se inviável a fixação prévia e rígida da quantidade exata de serviços a serem contratados, tendo em vista que a demanda por esses serviços é altamente variável e dependente de fatores imprevisíveis.</w:t>
            </w:r>
          </w:p>
          <w:p w14:paraId="0ECAA42F">
            <w:pPr>
              <w:pStyle w:val="17"/>
              <w:jc w:val="both"/>
              <w:rPr>
                <w:bCs/>
                <w:sz w:val="24"/>
                <w:szCs w:val="24"/>
                <w:lang w:val="pt-BR"/>
              </w:rPr>
            </w:pPr>
            <w:r>
              <w:rPr>
                <w:bCs/>
                <w:sz w:val="24"/>
                <w:szCs w:val="24"/>
                <w:lang w:val="pt-BR"/>
              </w:rPr>
              <w:t xml:space="preserve">              A natureza da demanda por guinchos está diretamente ligada a eventos não programados, como acidentes de trânsito, panes mecânicas, condições climáticas adversas, e outras situações emergenciais que não podem ser previstas com precisão. Além disso, fatores sazonais, variações no fluxo de veículos e mudanças na frota circulante influenciam significativamente o volume de chamados ao longo do tempo.</w:t>
            </w:r>
          </w:p>
          <w:p w14:paraId="591BEBD2">
            <w:pPr>
              <w:pStyle w:val="17"/>
              <w:jc w:val="both"/>
              <w:rPr>
                <w:bCs/>
                <w:sz w:val="24"/>
                <w:szCs w:val="24"/>
                <w:lang w:val="pt-BR"/>
              </w:rPr>
            </w:pPr>
            <w:r>
              <w:rPr>
                <w:bCs/>
                <w:sz w:val="24"/>
                <w:szCs w:val="24"/>
                <w:lang w:val="pt-BR"/>
              </w:rPr>
              <w:t xml:space="preserve">              Por isso, a metodologia adotada para o credenciamento prioriza a flexibilidade e a capacidade de resposta dos prestadores de serviço, estabelecendo parâmetros de atuação baseados na demanda efetiva, com possibilidade de ajuste contínuo conforme as necessidades reais identificadas.</w:t>
            </w:r>
          </w:p>
          <w:p w14:paraId="7D4B1256">
            <w:pPr>
              <w:pStyle w:val="17"/>
              <w:jc w:val="both"/>
              <w:rPr>
                <w:b/>
                <w:highlight w:val="red"/>
                <w:lang w:val="pt-BR"/>
              </w:rPr>
            </w:pPr>
            <w:r>
              <w:rPr>
                <w:bCs/>
                <w:sz w:val="24"/>
                <w:szCs w:val="24"/>
                <w:lang w:val="pt-BR"/>
              </w:rPr>
              <w:t xml:space="preserve">              Essa abordagem assegura que o serviço de guincho seja prestado de forma ágil, eficiente e economicamente viável, garantindo a satisfação do usuário e a segurança viária.</w:t>
            </w:r>
          </w:p>
        </w:tc>
      </w:tr>
    </w:tbl>
    <w:p w14:paraId="046CEBDC">
      <w:pPr>
        <w:pStyle w:val="9"/>
        <w:rPr>
          <w:b/>
          <w:sz w:val="22"/>
          <w:szCs w:val="22"/>
        </w:rPr>
      </w:pPr>
    </w:p>
    <w:tbl>
      <w:tblPr>
        <w:tblStyle w:val="6"/>
        <w:tblW w:w="10040" w:type="dxa"/>
        <w:tblInd w:w="-6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40"/>
      </w:tblGrid>
      <w:tr w14:paraId="78BCEC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0040" w:type="dxa"/>
            <w:shd w:val="clear" w:color="auto" w:fill="D6E3BC" w:themeFill="accent3" w:themeFillTint="66"/>
          </w:tcPr>
          <w:p w14:paraId="61A10154">
            <w:pPr>
              <w:pStyle w:val="17"/>
              <w:spacing w:line="256" w:lineRule="exact"/>
              <w:rPr>
                <w:b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</w:rPr>
              <w:t>3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–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JUSTIFICATIVA/NECESSIDADE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DA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  <w:lang w:val="pt-BR"/>
              </w:rPr>
              <w:t>CONTRATAÇÃO</w:t>
            </w:r>
          </w:p>
        </w:tc>
      </w:tr>
      <w:tr w14:paraId="0BBE68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10040" w:type="dxa"/>
          </w:tcPr>
          <w:p w14:paraId="02C4F832">
            <w:pPr>
              <w:pStyle w:val="17"/>
              <w:ind w:left="0"/>
              <w:rPr>
                <w:b/>
                <w:sz w:val="24"/>
                <w:u w:val="single"/>
              </w:rPr>
            </w:pPr>
            <w:bookmarkStart w:id="4" w:name="_bookmark317"/>
            <w:bookmarkEnd w:id="4"/>
            <w:r>
              <w:rPr>
                <w:b/>
                <w:sz w:val="24"/>
              </w:rPr>
              <w:t xml:space="preserve">            3.1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Justificativa:</w:t>
            </w:r>
          </w:p>
          <w:p w14:paraId="512E2DD5">
            <w:pPr>
              <w:ind w:firstLine="70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 Secretaria Municipal de Segurança e Trânsito - SST, vem apresentar suas considerações no sentido de justificar a necessidade de realização de processo licitatório, na modalidade de CREDENCIAMENTO, tendo como objeto a “Contratação de Empresa (s) Especializada (s) na Prestação de Serviços de Guarda com Disponibilização de Pátio e Guincho, para Recolhimento de Veículos Leves e Pesados, Objeto de Medidas Administrativas Previstas na Lei Federal nº 9.503/1997 e Lei Municipal n° 2.985/2021(com alterações trazidas pelas Leis 2998/2021 e 3449/2025), no município de Sinop/MT, bem como, no serviço de remoção, destombamento ou içamento de veículos acidentados ou abandonados nas vias municipais”.</w:t>
            </w:r>
          </w:p>
          <w:p w14:paraId="73A115AC">
            <w:pPr>
              <w:ind w:firstLine="70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Antes do ano de 2022, todos os veículos removidos dentro do município de Sinop, pelos órgãos de segurança, eram encaminhados ao Pátio da 19ª CIRETRAN. O pátio deles era pequeno, vivia sempre lotado e a estrutura era precária, o que atrapalhava a realização dos trabalhos de fiscalização. Esse problema era constante e, devido a isso, no ano de 2021, vendo a necessidade de arrumar tal situação, a Secretaria Municipal de Segurança e Trânsito, através da Lei Municipal nº 2.985/2021, assumiu essa responsábilidade.</w:t>
            </w:r>
          </w:p>
          <w:p w14:paraId="05C96AC3">
            <w:pPr>
              <w:ind w:firstLine="70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Como não tínhamos estrutura própria, recursos técnicos e operacionais suficientes para executar tais serviços de forma contínua e em conformidade com as exigências legais e operacionais, optamos em tercerizar os serviços, por meio de credenciamento, tendo em vista que a Lei Municipal 2.985/2021 previa a terceirização. A Lei 2.985/2021 teve algumas alterações trazidas pela Lei Municipal 2.998/2021, fizemos o processo licitatório e, desde junho de 2022, duas empresas foram credenciadas e estão trabalhando até os dias atuais. </w:t>
            </w:r>
          </w:p>
          <w:p w14:paraId="1B11774F">
            <w:pPr>
              <w:ind w:firstLine="70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Entretanto, neste ano (2025) houve algumas alterações na Lei (trazidas pela Lei Municipal 3.449/2025), onde foram alterados os valores, principalmente da estadia, bem como, criados alguns outros serviços que não tinham na Lei, razões pelas quais, estamos refazendo e reabrindo o credenciamento com essas alterações e algumas obrigações a mais para a (s) empresa (s), que não constavam no credenciamento inicial.</w:t>
            </w:r>
          </w:p>
          <w:p w14:paraId="081ADB95">
            <w:pPr>
              <w:ind w:firstLine="70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Considerando a necessidade contínua de remoção, transporte e guarda de veículos em situações previstas em lei, como infrações de trânsito, acidentes, obstruções em vias públicas e ações de fiscalização realizadas pelos órgãos de trânsito, torna-se imprescindível o credenciamento de empresa (s) especializada (s) na prestação dos serviços de guincho e pátio.</w:t>
            </w:r>
          </w:p>
          <w:p w14:paraId="09669A5B">
            <w:pPr>
              <w:ind w:firstLine="70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 atuação eficiente e segura no deslocamento e na guarda dos veículos apreendidos contribui diretamente para a fluidez no trânsito, segurança viária, cumprimento da legislação vigente e prestação de serviços de interesse público.</w:t>
            </w:r>
          </w:p>
          <w:p w14:paraId="403C4384">
            <w:pPr>
              <w:ind w:firstLine="70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 credenciamento visa:</w:t>
            </w:r>
          </w:p>
          <w:p w14:paraId="62F6EA1B">
            <w:pPr>
              <w:ind w:firstLine="70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* Atender às demandas de remoção e guarda de veículos conforme o Código de Trânsito Brasileiro (CTB);</w:t>
            </w:r>
          </w:p>
          <w:p w14:paraId="357FEEC4">
            <w:pPr>
              <w:ind w:firstLine="70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* Assegurar a prestação do serviço de forma ininterrupta, eficaz e com responsabilidade técnica;</w:t>
            </w:r>
          </w:p>
          <w:p w14:paraId="07F7B0B2">
            <w:pPr>
              <w:ind w:firstLine="70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* Evitar riscos operacionais, jurídicos e logísticos pela ausência de estrutura adequada para a função;</w:t>
            </w:r>
          </w:p>
          <w:p w14:paraId="444247D3">
            <w:pPr>
              <w:ind w:firstLine="70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* Garantir a integridade dos veículos removidos e sua correta custódia; e</w:t>
            </w:r>
          </w:p>
          <w:p w14:paraId="3DCA351B">
            <w:pPr>
              <w:ind w:firstLine="70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* Atuar em situações emergenciais com agilidade e segurança.</w:t>
            </w:r>
          </w:p>
          <w:p w14:paraId="29B9EF68">
            <w:pPr>
              <w:ind w:firstLine="708"/>
              <w:jc w:val="both"/>
            </w:pPr>
            <w:r>
              <w:rPr>
                <w:color w:val="000000"/>
                <w:sz w:val="24"/>
                <w:szCs w:val="24"/>
              </w:rPr>
              <w:t>Dessa forma, o credenciamento de empresa (s) especializada (s) para prestação de serviços de guincho e pátio é justificada pelo interesse público, pela necessidade de atendimento eficiente às ocorrências viárias, pelo cumprimento das normativas legais e pela ausência de estrutura própria para execução dessa atividade essencial.</w:t>
            </w:r>
            <w:r>
              <w:t xml:space="preserve"> </w:t>
            </w:r>
          </w:p>
          <w:p w14:paraId="5D222386">
            <w:pPr>
              <w:ind w:firstLine="708"/>
              <w:jc w:val="both"/>
              <w:rPr>
                <w:color w:val="000000"/>
                <w:sz w:val="24"/>
                <w:szCs w:val="24"/>
              </w:rPr>
            </w:pPr>
          </w:p>
          <w:p w14:paraId="01B9B51C">
            <w:pPr>
              <w:pStyle w:val="17"/>
              <w:jc w:val="both"/>
              <w:rPr>
                <w:color w:val="000000"/>
                <w:sz w:val="24"/>
                <w:szCs w:val="24"/>
                <w:lang w:val="pt-BR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pt-BR"/>
              </w:rPr>
              <w:t xml:space="preserve">          3</w:t>
            </w:r>
            <w:r>
              <w:rPr>
                <w:b/>
                <w:bCs/>
                <w:color w:val="000000"/>
                <w:sz w:val="24"/>
                <w:szCs w:val="24"/>
              </w:rPr>
              <w:t>.2.</w:t>
            </w:r>
            <w:r>
              <w:rPr>
                <w:b/>
                <w:bCs/>
                <w:color w:val="000000"/>
                <w:sz w:val="24"/>
                <w:szCs w:val="24"/>
                <w:lang w:val="pt-BR"/>
              </w:rPr>
              <w:t xml:space="preserve"> Matriz de Risco</w:t>
            </w:r>
          </w:p>
          <w:p w14:paraId="687080EB">
            <w:pPr>
              <w:pStyle w:val="17"/>
              <w:ind w:firstLine="600" w:firstLineChars="25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pt-BR"/>
              </w:rPr>
              <w:t>N</w:t>
            </w:r>
            <w:r>
              <w:rPr>
                <w:color w:val="000000"/>
                <w:sz w:val="24"/>
                <w:szCs w:val="24"/>
              </w:rPr>
              <w:t>ão foi adotada</w:t>
            </w:r>
            <w:r>
              <w:rPr>
                <w:color w:val="000000"/>
                <w:sz w:val="24"/>
                <w:szCs w:val="24"/>
                <w:lang w:val="pt-BR"/>
              </w:rPr>
              <w:t xml:space="preserve"> a</w:t>
            </w:r>
            <w:r>
              <w:rPr>
                <w:color w:val="000000"/>
                <w:sz w:val="24"/>
                <w:szCs w:val="24"/>
              </w:rPr>
              <w:t xml:space="preserve"> matriz de risco para este processo licitatório</w:t>
            </w:r>
            <w:r>
              <w:rPr>
                <w:color w:val="000000"/>
                <w:sz w:val="24"/>
                <w:szCs w:val="24"/>
                <w:lang w:val="pt-BR"/>
              </w:rPr>
              <w:t>. Matriz esta, d</w:t>
            </w:r>
            <w:r>
              <w:rPr>
                <w:color w:val="000000"/>
                <w:sz w:val="24"/>
                <w:szCs w:val="24"/>
              </w:rPr>
              <w:t>ispost</w:t>
            </w:r>
            <w:r>
              <w:rPr>
                <w:color w:val="000000"/>
                <w:sz w:val="24"/>
                <w:szCs w:val="24"/>
                <w:lang w:val="pt-BR"/>
              </w:rPr>
              <w:t>a</w:t>
            </w:r>
            <w:r>
              <w:rPr>
                <w:color w:val="000000"/>
                <w:sz w:val="24"/>
                <w:szCs w:val="24"/>
              </w:rPr>
              <w:t xml:space="preserve"> expressamente no inciso XXVII do art. 6° da Lei 14.133/2021</w:t>
            </w:r>
            <w:r>
              <w:rPr>
                <w:color w:val="000000"/>
                <w:sz w:val="24"/>
                <w:szCs w:val="24"/>
                <w:lang w:val="pt-BR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como cláusula necessária </w:t>
            </w:r>
            <w:r>
              <w:rPr>
                <w:color w:val="000000"/>
                <w:sz w:val="24"/>
                <w:szCs w:val="24"/>
                <w:lang w:val="pt-BR"/>
              </w:rPr>
              <w:t>n</w:t>
            </w:r>
            <w:r>
              <w:rPr>
                <w:color w:val="000000"/>
                <w:sz w:val="24"/>
                <w:szCs w:val="24"/>
              </w:rPr>
              <w:t>os contratos administrativos</w:t>
            </w:r>
            <w:r>
              <w:rPr>
                <w:color w:val="000000"/>
                <w:sz w:val="24"/>
                <w:szCs w:val="24"/>
                <w:lang w:val="pt-BR"/>
              </w:rPr>
              <w:t>.</w:t>
            </w:r>
          </w:p>
          <w:p w14:paraId="3F0E9661">
            <w:pPr>
              <w:pStyle w:val="17"/>
              <w:ind w:firstLine="600" w:firstLineChars="250"/>
              <w:jc w:val="both"/>
              <w:rPr>
                <w:color w:val="000000"/>
                <w:sz w:val="24"/>
                <w:szCs w:val="24"/>
                <w:lang w:val="pt-BR"/>
              </w:rPr>
            </w:pPr>
            <w:r>
              <w:rPr>
                <w:color w:val="000000"/>
                <w:sz w:val="24"/>
                <w:szCs w:val="24"/>
              </w:rPr>
              <w:t>Em regra, de acordo com o art. 92, inciso IX</w:t>
            </w:r>
            <w:r>
              <w:rPr>
                <w:color w:val="000000"/>
                <w:sz w:val="24"/>
                <w:szCs w:val="24"/>
                <w:lang w:val="pt-BR"/>
              </w:rPr>
              <w:t xml:space="preserve"> da Lei 14.133/2021 (quando for o caso),</w:t>
            </w:r>
            <w:r>
              <w:rPr>
                <w:color w:val="000000"/>
                <w:sz w:val="24"/>
                <w:szCs w:val="24"/>
              </w:rPr>
              <w:t xml:space="preserve"> a adoção de matriz de risco é facultativa, levando em consideração que em determinadas contratações, notadamente comuns e simples, não seria adequada</w:t>
            </w:r>
            <w:r>
              <w:rPr>
                <w:color w:val="000000"/>
                <w:sz w:val="24"/>
                <w:szCs w:val="24"/>
                <w:lang w:val="pt-BR"/>
              </w:rPr>
              <w:t>. É o caso em questão, pois se trata de uma simples aquisição de Rádios Transceptores digitais que após licitado, serão adquiridos todos de uma única vez.</w:t>
            </w:r>
          </w:p>
          <w:p w14:paraId="3EBDA060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pt-BR"/>
              </w:rPr>
              <w:t>Vale ressaltar ainda que, de acordo com o</w:t>
            </w:r>
            <w:r>
              <w:rPr>
                <w:color w:val="000000"/>
                <w:sz w:val="24"/>
                <w:szCs w:val="24"/>
              </w:rPr>
              <w:t xml:space="preserve"> Art. 22, § 3°</w:t>
            </w:r>
            <w:r>
              <w:rPr>
                <w:color w:val="000000"/>
                <w:sz w:val="24"/>
                <w:szCs w:val="24"/>
                <w:lang w:val="pt-BR"/>
              </w:rPr>
              <w:t xml:space="preserve"> e </w:t>
            </w:r>
            <w:r>
              <w:rPr>
                <w:color w:val="000000"/>
                <w:sz w:val="24"/>
                <w:szCs w:val="24"/>
              </w:rPr>
              <w:t>Art. 6°, Inciso XXII</w:t>
            </w:r>
            <w:r>
              <w:rPr>
                <w:color w:val="000000"/>
                <w:sz w:val="24"/>
                <w:szCs w:val="24"/>
                <w:lang w:val="pt-BR"/>
              </w:rPr>
              <w:t xml:space="preserve"> da Lei 14.133/2021, a matriz de risco se torna obrigatória somente </w:t>
            </w:r>
            <w:r>
              <w:rPr>
                <w:color w:val="000000"/>
                <w:sz w:val="24"/>
                <w:szCs w:val="24"/>
              </w:rPr>
              <w:t>em obras, serviços e fornecimentos de grande vulto, sendo aquelas cujo o seu valor estimado seja superior a R$ 200.000.000,00 (duzentos milhões de reais)</w:t>
            </w:r>
            <w:r>
              <w:rPr>
                <w:color w:val="000000"/>
                <w:sz w:val="24"/>
                <w:szCs w:val="24"/>
                <w:lang w:val="pt-BR"/>
              </w:rPr>
              <w:t>.</w:t>
            </w:r>
          </w:p>
        </w:tc>
      </w:tr>
    </w:tbl>
    <w:p w14:paraId="22B815FB">
      <w:pPr>
        <w:pStyle w:val="9"/>
        <w:spacing w:before="7"/>
        <w:rPr>
          <w:b/>
          <w:sz w:val="22"/>
          <w:szCs w:val="22"/>
        </w:rPr>
      </w:pPr>
    </w:p>
    <w:tbl>
      <w:tblPr>
        <w:tblStyle w:val="6"/>
        <w:tblW w:w="10056" w:type="dxa"/>
        <w:tblInd w:w="-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56"/>
      </w:tblGrid>
      <w:tr w14:paraId="4AA9E2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0056" w:type="dxa"/>
            <w:shd w:val="clear" w:color="auto" w:fill="D6E3BC" w:themeFill="accent3" w:themeFillTint="66"/>
          </w:tcPr>
          <w:p w14:paraId="0B2FFA81">
            <w:pPr>
              <w:pStyle w:val="17"/>
              <w:spacing w:line="256" w:lineRule="exac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–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REQUISITOS DA</w:t>
            </w:r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  <w:lang w:val="pt-BR"/>
              </w:rPr>
              <w:t>CONTRATAÇÃO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(QUANDO APLICÁVEL)</w:t>
            </w:r>
          </w:p>
        </w:tc>
      </w:tr>
      <w:tr w14:paraId="7C76DE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10056" w:type="dxa"/>
          </w:tcPr>
          <w:p w14:paraId="726EDEA9">
            <w:pPr>
              <w:tabs>
                <w:tab w:val="left" w:pos="1985"/>
              </w:tabs>
              <w:ind w:right="28" w:firstLine="840" w:firstLineChars="35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Para que o objetivo desta licitação possa ser plenamente atingido, é necessário que as empresas participantes atendam aos requisitos mínimos exigidos para o cadastramento e participação no processo.</w:t>
            </w:r>
          </w:p>
          <w:p w14:paraId="2260F3D4">
            <w:pPr>
              <w:tabs>
                <w:tab w:val="left" w:pos="1985"/>
              </w:tabs>
              <w:ind w:right="28" w:firstLine="840" w:firstLineChars="350"/>
              <w:contextualSpacing/>
              <w:jc w:val="both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</w:rPr>
              <w:t>Além disso, deve assegurar o cumprimento da Lei Municipal 2.985/2021 (com alterações trazidas pelas Leis 2998/2021 e 3449/2025) e dos compromissos firmados n</w:t>
            </w:r>
            <w:r>
              <w:rPr>
                <w:sz w:val="24"/>
                <w:szCs w:val="24"/>
                <w:lang w:val="pt-BR"/>
              </w:rPr>
              <w:t>o contrato</w:t>
            </w:r>
            <w:r>
              <w:rPr>
                <w:sz w:val="24"/>
                <w:szCs w:val="24"/>
              </w:rPr>
              <w:t xml:space="preserve"> durante toda a sua vigência.</w:t>
            </w:r>
          </w:p>
        </w:tc>
      </w:tr>
      <w:tr w14:paraId="15CA3C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056" w:type="dxa"/>
          </w:tcPr>
          <w:p w14:paraId="773D6129">
            <w:pPr>
              <w:pStyle w:val="17"/>
              <w:spacing w:before="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4.1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Natureza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do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Objeto:</w:t>
            </w:r>
          </w:p>
          <w:p w14:paraId="08C557E9">
            <w:pPr>
              <w:pStyle w:val="17"/>
              <w:spacing w:before="1"/>
              <w:ind w:left="0" w:firstLine="720" w:firstLineChars="300"/>
              <w:jc w:val="both"/>
              <w:rPr>
                <w:bCs/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</w:rPr>
              <w:t>O Objeto a ser contratado se enquadra na categoria de bens e serviços comuns, uma vez que possui padrões de desempenho e qualidade que podem ser definidos no edital, por especificações usuais do mercado de acordo com os termos do inciso XIII  do art.</w:t>
            </w:r>
            <w:r>
              <w:rPr>
                <w:sz w:val="24"/>
                <w:szCs w:val="24"/>
                <w:lang w:val="pt-BR"/>
              </w:rPr>
              <w:t xml:space="preserve"> </w:t>
            </w:r>
            <w:r>
              <w:rPr>
                <w:sz w:val="24"/>
                <w:szCs w:val="24"/>
              </w:rPr>
              <w:t>6° da Lei 14.133/2021.</w:t>
            </w:r>
          </w:p>
        </w:tc>
      </w:tr>
      <w:tr w14:paraId="596B5A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0056" w:type="dxa"/>
          </w:tcPr>
          <w:p w14:paraId="0A7CA63F">
            <w:pPr>
              <w:pStyle w:val="17"/>
              <w:spacing w:line="275" w:lineRule="exac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4.2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Garantia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Contratual:</w:t>
            </w:r>
          </w:p>
          <w:p w14:paraId="6B027C67">
            <w:pPr>
              <w:pStyle w:val="17"/>
              <w:spacing w:line="275" w:lineRule="exact"/>
              <w:ind w:firstLine="600" w:firstLineChars="250"/>
              <w:jc w:val="both"/>
              <w:rPr>
                <w:b/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Não haverá exigência da garantia da contratação, contidas nos artigos 96 e seguintes da Lei nº14.133, de 2021.</w:t>
            </w:r>
          </w:p>
        </w:tc>
      </w:tr>
      <w:tr w14:paraId="23A7D3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0056" w:type="dxa"/>
          </w:tcPr>
          <w:p w14:paraId="066D6E3F">
            <w:pPr>
              <w:pStyle w:val="17"/>
              <w:spacing w:line="275" w:lineRule="exac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4.3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Duração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</w:t>
            </w:r>
            <w:r>
              <w:rPr>
                <w:b/>
                <w:sz w:val="24"/>
                <w:szCs w:val="24"/>
                <w:lang w:val="pt-BR"/>
              </w:rPr>
              <w:t>o Contrato</w:t>
            </w:r>
            <w:r>
              <w:rPr>
                <w:b/>
                <w:sz w:val="24"/>
                <w:szCs w:val="24"/>
              </w:rPr>
              <w:t>:</w:t>
            </w:r>
          </w:p>
          <w:p w14:paraId="2F2B1A97">
            <w:pPr>
              <w:pStyle w:val="17"/>
              <w:spacing w:line="275" w:lineRule="exact"/>
              <w:ind w:firstLine="600" w:firstLineChars="250"/>
              <w:rPr>
                <w:b/>
                <w:sz w:val="24"/>
                <w:szCs w:val="24"/>
                <w:lang w:val="pt-BR"/>
              </w:rPr>
            </w:pPr>
            <w:r>
              <w:rPr>
                <w:bCs/>
                <w:sz w:val="24"/>
                <w:szCs w:val="24"/>
                <w:lang w:val="pt-BR"/>
              </w:rPr>
              <w:t>60 (sessenta) meses, podendo ser renovado.</w:t>
            </w:r>
          </w:p>
        </w:tc>
      </w:tr>
      <w:tr w14:paraId="4022C5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0056" w:type="dxa"/>
          </w:tcPr>
          <w:p w14:paraId="78592690">
            <w:pPr>
              <w:pStyle w:val="17"/>
              <w:spacing w:line="276" w:lineRule="exact"/>
              <w:jc w:val="both"/>
              <w:rPr>
                <w:b/>
                <w:sz w:val="24"/>
                <w:szCs w:val="24"/>
                <w:lang w:val="pt-BR"/>
              </w:rPr>
            </w:pPr>
            <w:bookmarkStart w:id="5" w:name="_bookmark318"/>
            <w:bookmarkEnd w:id="5"/>
            <w:r>
              <w:rPr>
                <w:b/>
                <w:sz w:val="24"/>
                <w:szCs w:val="24"/>
                <w:lang w:val="pt-BR"/>
              </w:rPr>
              <w:t>4.4 Cota exclusiva /Parcelamento para ME e EPP:</w:t>
            </w:r>
          </w:p>
          <w:p w14:paraId="0F295807">
            <w:pPr>
              <w:pStyle w:val="17"/>
              <w:spacing w:line="276" w:lineRule="exact"/>
              <w:ind w:left="0" w:firstLine="720" w:firstLineChars="300"/>
              <w:jc w:val="both"/>
              <w:rPr>
                <w:bCs/>
                <w:lang w:val="pt-BR"/>
              </w:rPr>
            </w:pPr>
            <w:r>
              <w:rPr>
                <w:bCs/>
                <w:sz w:val="24"/>
                <w:szCs w:val="24"/>
                <w:lang w:val="pt-BR"/>
              </w:rPr>
              <w:t>A cota reservada para microempresas e empresas de pequeno porte (ME/EPP) é para a aquisição de bens divisíveis, o que não se aplica neste processo, pois se trata de contratação de prestação de  serviços.</w:t>
            </w:r>
          </w:p>
        </w:tc>
      </w:tr>
      <w:tr w14:paraId="337159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10056" w:type="dxa"/>
          </w:tcPr>
          <w:p w14:paraId="110B51B2">
            <w:pPr>
              <w:pStyle w:val="17"/>
              <w:spacing w:line="275" w:lineRule="exact"/>
              <w:rPr>
                <w:b/>
              </w:rPr>
            </w:pPr>
            <w:r>
              <w:rPr>
                <w:b/>
              </w:rPr>
              <w:t>4.5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Contratação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Anterior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o objeto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da demanda:</w:t>
            </w:r>
          </w:p>
          <w:p w14:paraId="7A49D5AE">
            <w:pPr>
              <w:pStyle w:val="17"/>
              <w:ind w:left="108"/>
              <w:jc w:val="both"/>
              <w:rPr>
                <w:sz w:val="24"/>
                <w:lang w:val="pt-BR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  <w:lang w:val="pt-BR"/>
              </w:rPr>
              <w:t xml:space="preserve"> </w:t>
            </w:r>
            <w:r>
              <w:rPr>
                <w:b/>
                <w:bCs/>
                <w:spacing w:val="53"/>
                <w:sz w:val="24"/>
                <w:lang w:val="pt-BR"/>
              </w:rPr>
              <w:t>X</w:t>
            </w:r>
            <w:r>
              <w:rPr>
                <w:sz w:val="24"/>
              </w:rPr>
              <w:t>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5"/>
                <w:sz w:val="24"/>
                <w:lang w:val="pt-BR"/>
              </w:rPr>
              <w:t>HOUVE CONTRATAÇÃO ANTERIOR PARA ESTE OBJETO</w:t>
            </w:r>
            <w:r>
              <w:rPr>
                <w:sz w:val="24"/>
                <w:lang w:val="pt-BR"/>
              </w:rPr>
              <w:t>.</w:t>
            </w:r>
          </w:p>
          <w:p w14:paraId="445E96B3">
            <w:pPr>
              <w:ind w:left="108"/>
              <w:jc w:val="both"/>
              <w:rPr>
                <w:sz w:val="24"/>
                <w:lang w:val="pt-BR"/>
              </w:rPr>
            </w:pPr>
            <w:r>
              <w:rPr>
                <w:sz w:val="24"/>
                <w:lang w:val="pt-BR"/>
              </w:rPr>
              <w:t xml:space="preserve">        Em 2022, foram credenciadas duas empresas por meio dos Contratos 073/2022 e 093/2022, as quais continuam operando atualmente.</w:t>
            </w:r>
          </w:p>
          <w:p w14:paraId="7D976101">
            <w:pPr>
              <w:pStyle w:val="17"/>
              <w:jc w:val="both"/>
              <w:rPr>
                <w:lang w:val="pt-BR"/>
              </w:rPr>
            </w:pPr>
            <w:r>
              <w:rPr>
                <w:sz w:val="24"/>
                <w:lang w:val="pt-BR"/>
              </w:rPr>
              <w:t xml:space="preserve">         Ocorre que, neste ano (2025) houve algumas alterações na Lei 2.985/2021 (trazidas pela Lei Municipal 3.449/2025), onde foram alterados os valores, principalmente da estadia, bem como, criados alguns outros serviços que não tinham na Lei, razões pelas quais, estamos refazendo e reabrindo o credenciamento com essas alterações e algumas obrigações a mais para a (s) empresa (s), que não constavam no credenciamento inicial.</w:t>
            </w:r>
          </w:p>
        </w:tc>
      </w:tr>
      <w:tr w14:paraId="195D54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9" w:hRule="atLeast"/>
        </w:trPr>
        <w:tc>
          <w:tcPr>
            <w:tcW w:w="10056" w:type="dxa"/>
          </w:tcPr>
          <w:p w14:paraId="1E8A147F">
            <w:pPr>
              <w:pStyle w:val="17"/>
              <w:spacing w:line="275" w:lineRule="exac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4.6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Legislação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Específica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sobre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o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objeto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de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contratação:</w:t>
            </w:r>
          </w:p>
          <w:p w14:paraId="32410D07">
            <w:pPr>
              <w:pStyle w:val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   )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Não</w:t>
            </w:r>
          </w:p>
          <w:p w14:paraId="049D8490">
            <w:pPr>
              <w:pStyle w:val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 </w:t>
            </w:r>
            <w:r>
              <w:rPr>
                <w:b/>
                <w:bCs/>
                <w:sz w:val="24"/>
                <w:szCs w:val="24"/>
                <w:lang w:val="pt-BR"/>
              </w:rPr>
              <w:t>X</w:t>
            </w:r>
            <w:r>
              <w:rPr>
                <w:sz w:val="24"/>
                <w:szCs w:val="24"/>
                <w:lang w:val="pt-BR"/>
              </w:rPr>
              <w:t xml:space="preserve"> </w:t>
            </w:r>
            <w:r>
              <w:rPr>
                <w:sz w:val="24"/>
                <w:szCs w:val="24"/>
              </w:rPr>
              <w:t>)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Sim</w:t>
            </w:r>
          </w:p>
          <w:p w14:paraId="5E20BB5A">
            <w:pPr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Legislação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aplicável:</w:t>
            </w:r>
          </w:p>
          <w:p w14:paraId="28C05C3D">
            <w:pPr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 xml:space="preserve"> - LEI FEDERAL Nº 8.987, DE 13 DE FEVEREIRO DE 1995;</w:t>
            </w:r>
          </w:p>
          <w:p w14:paraId="769F6341">
            <w:pPr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 xml:space="preserve"> - LEI FEDERAL Nº 9.503, DE 23 DE SETEMBRO DE 1997;</w:t>
            </w:r>
          </w:p>
          <w:p w14:paraId="5BAF9F4F">
            <w:pPr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 xml:space="preserve"> - RESOLUÇÃO CONTRAN Nº 268, DE 15 DE FEVEREIRO DE 2008;</w:t>
            </w:r>
          </w:p>
          <w:p w14:paraId="7B7F8CB6">
            <w:pPr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 xml:space="preserve"> - LEI FEDERAL Nº 13.160, DE 25 DE AGOSTO DE 2015;</w:t>
            </w:r>
          </w:p>
          <w:p w14:paraId="67461B59">
            <w:pPr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 xml:space="preserve"> - RESOLUÇÃO CONTRAN Nº 623, DE 6 DE SETEMBRO DE 2016;</w:t>
            </w:r>
          </w:p>
          <w:p w14:paraId="079421A4">
            <w:pPr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 xml:space="preserve"> - LEI MUNICIPAL Nº 2.985/2021, DE 15 DE SETEMBRO DE 2021;</w:t>
            </w:r>
          </w:p>
          <w:p w14:paraId="5930E3DE">
            <w:pPr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 xml:space="preserve"> - LEI MUNICIPAL Nº 2.998/2021, DE 15 DE OUTUBRO DE 2021;</w:t>
            </w:r>
          </w:p>
          <w:p w14:paraId="356C2FEB">
            <w:pPr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 xml:space="preserve"> - LEI MUNICIPAL Nº 3.449/2025, DE 01 DE ABRIL DE 2025;</w:t>
            </w:r>
          </w:p>
          <w:p w14:paraId="58DB512A">
            <w:pPr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 xml:space="preserve"> - LEI MUNICIPAL COMPLEMENTAR Nº 109, DE 19 DE DEZEMBRO DE 2014; e</w:t>
            </w:r>
          </w:p>
          <w:p w14:paraId="3F00B645">
            <w:pPr>
              <w:pStyle w:val="17"/>
              <w:ind w:left="0"/>
              <w:jc w:val="both"/>
              <w:rPr>
                <w:rFonts w:eastAsia="Arial"/>
                <w:color w:val="1F1F1F"/>
                <w:shd w:val="clear" w:color="auto" w:fill="FFFFFF"/>
                <w:lang w:val="pt-BR"/>
              </w:rPr>
            </w:pPr>
            <w:r>
              <w:rPr>
                <w:sz w:val="24"/>
              </w:rPr>
              <w:t xml:space="preserve">   - DECRETO MUNICIPAL Nº 356, DE 13 DE DEZEMBRO DE 2024.</w:t>
            </w:r>
          </w:p>
        </w:tc>
      </w:tr>
      <w:tr w14:paraId="551E7C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0056" w:type="dxa"/>
          </w:tcPr>
          <w:p w14:paraId="2C7AC284">
            <w:pPr>
              <w:pStyle w:val="17"/>
              <w:spacing w:line="275" w:lineRule="exac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4.7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Necessidade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de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Consolidação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para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toda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a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estrutura:</w:t>
            </w:r>
          </w:p>
          <w:p w14:paraId="7C84FB0C">
            <w:pPr>
              <w:pStyle w:val="17"/>
              <w:tabs>
                <w:tab w:val="left" w:pos="42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  <w:lang w:val="pt-BR"/>
              </w:rPr>
              <w:t xml:space="preserve">     </w:t>
            </w:r>
            <w:r>
              <w:rPr>
                <w:sz w:val="24"/>
                <w:szCs w:val="24"/>
              </w:rPr>
              <w:t>)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Aquisição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consolidada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para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toda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estrutura</w:t>
            </w:r>
          </w:p>
          <w:p w14:paraId="149FE4F0">
            <w:pPr>
              <w:pStyle w:val="17"/>
              <w:tabs>
                <w:tab w:val="left" w:pos="427"/>
              </w:tabs>
              <w:spacing w:line="257" w:lineRule="exact"/>
            </w:pPr>
            <w:r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  <w:lang w:val="pt-B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pt-BR"/>
              </w:rPr>
              <w:t xml:space="preserve">X </w:t>
            </w:r>
            <w:r>
              <w:rPr>
                <w:sz w:val="24"/>
                <w:szCs w:val="24"/>
              </w:rPr>
              <w:t>)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pt-BR"/>
              </w:rPr>
              <w:t>Contratação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exclusiva da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unidade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administrativa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demandante</w:t>
            </w:r>
          </w:p>
        </w:tc>
      </w:tr>
      <w:tr w14:paraId="1C1382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6" w:hRule="atLeast"/>
        </w:trPr>
        <w:tc>
          <w:tcPr>
            <w:tcW w:w="10056" w:type="dxa"/>
          </w:tcPr>
          <w:p w14:paraId="0D8C55D5">
            <w:pPr>
              <w:pStyle w:val="17"/>
              <w:spacing w:line="275" w:lineRule="exac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4.8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Viabilidade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da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adoção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da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modalidade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na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forma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eletrônica:</w:t>
            </w:r>
          </w:p>
          <w:p w14:paraId="5BC57211">
            <w:pPr>
              <w:pStyle w:val="17"/>
              <w:tabs>
                <w:tab w:val="left" w:pos="42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 </w:t>
            </w:r>
            <w:r>
              <w:rPr>
                <w:b/>
                <w:bCs/>
                <w:sz w:val="24"/>
                <w:szCs w:val="24"/>
                <w:lang w:val="pt-BR"/>
              </w:rPr>
              <w:t>X</w:t>
            </w:r>
            <w:r>
              <w:rPr>
                <w:sz w:val="24"/>
                <w:szCs w:val="24"/>
                <w:lang w:val="pt-BR"/>
              </w:rPr>
              <w:t xml:space="preserve"> </w:t>
            </w:r>
            <w:r>
              <w:rPr>
                <w:sz w:val="24"/>
                <w:szCs w:val="24"/>
              </w:rPr>
              <w:t>)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Sim</w:t>
            </w:r>
          </w:p>
          <w:p w14:paraId="40B5DE07">
            <w:pPr>
              <w:pStyle w:val="17"/>
              <w:spacing w:line="275" w:lineRule="exact"/>
              <w:rPr>
                <w:lang w:val="pt-BR"/>
              </w:rPr>
            </w:pPr>
            <w:r>
              <w:rPr>
                <w:sz w:val="24"/>
                <w:szCs w:val="24"/>
              </w:rPr>
              <w:t>(     ) Não</w:t>
            </w:r>
            <w:r>
              <w:rPr>
                <w:sz w:val="24"/>
                <w:szCs w:val="24"/>
                <w:lang w:val="pt-BR"/>
              </w:rPr>
              <w:t xml:space="preserve">. </w:t>
            </w:r>
          </w:p>
        </w:tc>
      </w:tr>
    </w:tbl>
    <w:p w14:paraId="33932D92">
      <w:pPr>
        <w:pStyle w:val="9"/>
        <w:rPr>
          <w:b/>
          <w:sz w:val="22"/>
          <w:szCs w:val="22"/>
        </w:rPr>
      </w:pPr>
    </w:p>
    <w:tbl>
      <w:tblPr>
        <w:tblStyle w:val="6"/>
        <w:tblW w:w="10030" w:type="dxa"/>
        <w:tblInd w:w="-3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30"/>
      </w:tblGrid>
      <w:tr w14:paraId="55720F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0030" w:type="dxa"/>
            <w:shd w:val="clear" w:color="auto" w:fill="D6E3BC" w:themeFill="accent3" w:themeFillTint="66"/>
          </w:tcPr>
          <w:p w14:paraId="30480199">
            <w:pPr>
              <w:pStyle w:val="17"/>
              <w:spacing w:line="256" w:lineRule="exac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–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METODOLOGIA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DE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ESTIMATIVA DE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PREÇO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E PREÇO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DE REFERÊNCIA</w:t>
            </w:r>
          </w:p>
        </w:tc>
      </w:tr>
      <w:tr w14:paraId="3E7ECA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0030" w:type="dxa"/>
          </w:tcPr>
          <w:p w14:paraId="13DB5837">
            <w:pPr>
              <w:pStyle w:val="17"/>
              <w:spacing w:line="275" w:lineRule="exac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5.1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Metodologia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aplicável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para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a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estimativa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de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preços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ou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preço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de referência:</w:t>
            </w:r>
          </w:p>
          <w:p w14:paraId="3699AC43">
            <w:pPr>
              <w:pStyle w:val="17"/>
              <w:spacing w:line="275" w:lineRule="exact"/>
              <w:ind w:firstLine="720" w:firstLineChars="300"/>
              <w:jc w:val="both"/>
              <w:rPr>
                <w:bCs/>
                <w:sz w:val="24"/>
                <w:szCs w:val="24"/>
                <w:lang w:val="pt-BR"/>
              </w:rPr>
            </w:pPr>
            <w:r>
              <w:rPr>
                <w:bCs/>
                <w:sz w:val="24"/>
                <w:szCs w:val="24"/>
                <w:lang w:val="pt-BR"/>
              </w:rPr>
              <w:t>Considerando que o presente processo se trata de credenciamento, conforme previsto na Lei nº 14.133/2021, os valores são fixados na Lei Municipal nº 2.985/2021 (com alterações trazidas pelas Leis 2998/2021 e 3449/2025).</w:t>
            </w:r>
          </w:p>
          <w:p w14:paraId="60D3F585">
            <w:pPr>
              <w:pStyle w:val="17"/>
              <w:spacing w:line="275" w:lineRule="exact"/>
              <w:ind w:firstLine="720" w:firstLineChars="300"/>
              <w:jc w:val="both"/>
              <w:rPr>
                <w:b/>
                <w:sz w:val="24"/>
                <w:szCs w:val="24"/>
                <w:lang w:val="pt-BR"/>
              </w:rPr>
            </w:pPr>
            <w:r>
              <w:rPr>
                <w:bCs/>
                <w:sz w:val="24"/>
                <w:szCs w:val="24"/>
                <w:lang w:val="pt-BR"/>
              </w:rPr>
              <w:t>O processo de credenciamento, não se configura como procedimento competitivo, mas sim como uma chamada pública para habilitação de todos os interessados que atendam aos requisitos estabelecidos, visando à formação de uma rede de prestadores de serviços ou fornecedores aptos a atender demandas futuras da Administração Pública.</w:t>
            </w:r>
          </w:p>
        </w:tc>
      </w:tr>
      <w:tr w14:paraId="7C8B6C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 w:hRule="atLeast"/>
        </w:trPr>
        <w:tc>
          <w:tcPr>
            <w:tcW w:w="10030" w:type="dxa"/>
          </w:tcPr>
          <w:p w14:paraId="2125D323">
            <w:pPr>
              <w:pStyle w:val="17"/>
              <w:spacing w:line="275" w:lineRule="exac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5.2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Valor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estimado para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a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pacing w:val="-1"/>
                <w:sz w:val="24"/>
                <w:szCs w:val="24"/>
                <w:lang w:val="pt-BR"/>
              </w:rPr>
              <w:t>contratação</w:t>
            </w:r>
            <w:r>
              <w:rPr>
                <w:b/>
                <w:sz w:val="24"/>
                <w:szCs w:val="24"/>
              </w:rPr>
              <w:t>:</w:t>
            </w:r>
          </w:p>
          <w:p w14:paraId="4321A388">
            <w:pPr>
              <w:pStyle w:val="17"/>
              <w:spacing w:line="275" w:lineRule="exact"/>
              <w:ind w:firstLine="720" w:firstLineChars="300"/>
              <w:jc w:val="both"/>
              <w:rPr>
                <w:b/>
                <w:sz w:val="24"/>
                <w:szCs w:val="24"/>
                <w:lang w:val="pt-BR"/>
              </w:rPr>
            </w:pPr>
            <w:r>
              <w:rPr>
                <w:bCs/>
                <w:sz w:val="24"/>
                <w:szCs w:val="24"/>
                <w:lang w:val="pt-BR"/>
              </w:rPr>
              <w:t>Este processo de credenciamento vai gerar receitas mensalmente, que devem cair direto no Fundo Municipal de Trânsito, via recolhimento de Documento de Arrecadação Municipal – DAM, por parte da (s) empresa (s) credenciada (s), de acordo com os Artigos 15 e 18 da Lei Municipal 2985/2021 (com alterações trazidas pelas Leis 2998/2021 e 3449/2025). Os valores cobrados para a prestação dos serviços já são pré-fixados na Lei Municipal 2985/2021 e não temos como prever o valor total, pois vai depender da demanda de veículos removidos.</w:t>
            </w:r>
          </w:p>
        </w:tc>
      </w:tr>
    </w:tbl>
    <w:p w14:paraId="0BD31643">
      <w:pPr>
        <w:pStyle w:val="9"/>
        <w:rPr>
          <w:b/>
          <w:sz w:val="22"/>
          <w:szCs w:val="22"/>
        </w:rPr>
      </w:pPr>
    </w:p>
    <w:tbl>
      <w:tblPr>
        <w:tblStyle w:val="6"/>
        <w:tblW w:w="10018" w:type="dxa"/>
        <w:tblInd w:w="-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18"/>
      </w:tblGrid>
      <w:tr w14:paraId="5CBC0F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0018" w:type="dxa"/>
            <w:shd w:val="clear" w:color="auto" w:fill="D6E3BC" w:themeFill="accent3" w:themeFillTint="66"/>
          </w:tcPr>
          <w:p w14:paraId="3C09BD9D">
            <w:pPr>
              <w:pStyle w:val="17"/>
              <w:spacing w:line="256" w:lineRule="exac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–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LEVANTAMENTO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DE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MERCADO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(QUANDO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APLICÁVEL)</w:t>
            </w:r>
          </w:p>
        </w:tc>
      </w:tr>
      <w:tr w14:paraId="0583B3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10018" w:type="dxa"/>
          </w:tcPr>
          <w:p w14:paraId="35AB3E59">
            <w:pPr>
              <w:pStyle w:val="17"/>
              <w:ind w:left="0" w:firstLine="720" w:firstLineChars="300"/>
              <w:jc w:val="both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Como se trata de um processo de credenciamento, os valores das prestações de serviço já estão previstos na Lei Municipal 2.985/2021 (com alterações trazidas pelas Leis 2998/2021 e 3449/2025), desse modo, todas as empresas que atenderem aos requisitos constantes na Lei e no Termo de referência, irão serem credenciadas.</w:t>
            </w:r>
          </w:p>
        </w:tc>
      </w:tr>
    </w:tbl>
    <w:p w14:paraId="288BEC2F">
      <w:pPr>
        <w:pStyle w:val="9"/>
        <w:spacing w:before="7"/>
        <w:rPr>
          <w:b/>
          <w:sz w:val="22"/>
          <w:szCs w:val="22"/>
          <w:lang w:val="pt-BR"/>
        </w:rPr>
      </w:pPr>
    </w:p>
    <w:tbl>
      <w:tblPr>
        <w:tblStyle w:val="6"/>
        <w:tblW w:w="10006" w:type="dxa"/>
        <w:tblInd w:w="-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06"/>
      </w:tblGrid>
      <w:tr w14:paraId="1AE733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0006" w:type="dxa"/>
            <w:shd w:val="clear" w:color="auto" w:fill="D6E3BC" w:themeFill="accent3" w:themeFillTint="66"/>
          </w:tcPr>
          <w:p w14:paraId="1AF09740">
            <w:pPr>
              <w:pStyle w:val="17"/>
              <w:spacing w:line="256" w:lineRule="exac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–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ESCOLHA DA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SOLUÇÃO</w:t>
            </w:r>
          </w:p>
        </w:tc>
      </w:tr>
      <w:tr w14:paraId="65BF6D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</w:trPr>
        <w:tc>
          <w:tcPr>
            <w:tcW w:w="10006" w:type="dxa"/>
          </w:tcPr>
          <w:p w14:paraId="44BAF0EE">
            <w:pPr>
              <w:pStyle w:val="17"/>
              <w:spacing w:before="1"/>
              <w:ind w:firstLine="660" w:firstLineChars="300"/>
              <w:jc w:val="both"/>
              <w:rPr>
                <w:lang w:val="pt-BR"/>
              </w:rPr>
            </w:pPr>
            <w:r>
              <w:rPr>
                <w:lang w:val="pt-BR"/>
              </w:rPr>
              <w:t>A escolha da solução baseia-se na necessidade de atender de forma contínua, descentralizada e eficiente às demandas da Administração Pública, por meio da formação de uma rede de prestadores ou fornecedores previamente habilitados, com capacidade técnica e documental compatível com os requisitos definidos no edital.</w:t>
            </w:r>
          </w:p>
          <w:p w14:paraId="52B9C5D5">
            <w:pPr>
              <w:pStyle w:val="17"/>
              <w:spacing w:before="1"/>
              <w:ind w:firstLine="660" w:firstLineChars="300"/>
              <w:jc w:val="both"/>
              <w:rPr>
                <w:lang w:val="pt-BR"/>
              </w:rPr>
            </w:pPr>
            <w:r>
              <w:rPr>
                <w:lang w:val="pt-BR"/>
              </w:rPr>
              <w:t>O credenciamento se apresenta como a solução mais adequada para essa finalidade, pois:</w:t>
            </w:r>
          </w:p>
          <w:p w14:paraId="43E2388D">
            <w:pPr>
              <w:pStyle w:val="17"/>
              <w:spacing w:before="1"/>
              <w:ind w:firstLine="660" w:firstLineChars="300"/>
              <w:jc w:val="both"/>
              <w:rPr>
                <w:lang w:val="pt-BR"/>
              </w:rPr>
            </w:pPr>
            <w:r>
              <w:rPr>
                <w:lang w:val="pt-BR"/>
              </w:rPr>
              <w:t>I - Permite a habilitação de múltiplos interessados, sem limitação de número, desde que cumpram os requisitos estabelecidos, garantindo ampla concorrência e acesso isonômico aos prestadores.</w:t>
            </w:r>
          </w:p>
          <w:p w14:paraId="58A058E8">
            <w:pPr>
              <w:pStyle w:val="17"/>
              <w:spacing w:before="1"/>
              <w:ind w:firstLine="660" w:firstLineChars="300"/>
              <w:jc w:val="both"/>
              <w:rPr>
                <w:lang w:val="pt-BR"/>
              </w:rPr>
            </w:pPr>
            <w:r>
              <w:rPr>
                <w:lang w:val="pt-BR"/>
              </w:rPr>
              <w:t>II - Garante flexibilidade operacional, uma vez que possibilita à Administração acionar os credenciados conforme a demanda, localização ou perfil de atendimento, sem a necessidade de novo procedimento licitatório.</w:t>
            </w:r>
          </w:p>
          <w:p w14:paraId="2B6CD7E9">
            <w:pPr>
              <w:pStyle w:val="17"/>
              <w:spacing w:before="1"/>
              <w:ind w:firstLine="660" w:firstLineChars="300"/>
              <w:jc w:val="both"/>
              <w:rPr>
                <w:lang w:val="pt-BR"/>
              </w:rPr>
            </w:pPr>
            <w:r>
              <w:rPr>
                <w:lang w:val="pt-BR"/>
              </w:rPr>
              <w:t>III - Evita descontinuidade na prestação de serviços ou fornecimento, o que é especialmente importante em áreas como saúde, assistência social, educação, transporte, entre outras, nas quais a imprevisibilidade de demanda é significativa.</w:t>
            </w:r>
          </w:p>
          <w:p w14:paraId="7E9AB0DA">
            <w:pPr>
              <w:pStyle w:val="17"/>
              <w:spacing w:before="1"/>
              <w:ind w:firstLine="660" w:firstLineChars="300"/>
              <w:jc w:val="both"/>
              <w:rPr>
                <w:lang w:val="pt-BR"/>
              </w:rPr>
            </w:pPr>
            <w:r>
              <w:rPr>
                <w:lang w:val="pt-BR"/>
              </w:rPr>
              <w:t>IV - Atende ao interesse público de forma eficiente, ao garantir acesso rápido a prestadores previamente habilitados, promovendo economicidade, celeridade e segurança jurídica na contratação.</w:t>
            </w:r>
          </w:p>
          <w:p w14:paraId="62294EC3">
            <w:pPr>
              <w:pStyle w:val="17"/>
              <w:ind w:firstLine="660" w:firstLineChars="300"/>
              <w:jc w:val="both"/>
              <w:rPr>
                <w:sz w:val="24"/>
                <w:szCs w:val="24"/>
                <w:lang w:val="pt-BR"/>
              </w:rPr>
            </w:pPr>
            <w:r>
              <w:rPr>
                <w:lang w:val="pt-BR"/>
              </w:rPr>
              <w:t>Assim, a escolha do credenciamento como solução administrativa é tecnicamente justificada pela necessidade de atendimento contínuo, descentralizado e flexível, sendo este o instrumento mais apropriado para garantir a efetividade da política pública relacionada e o adequado atendimento das necessidades institucionais.</w:t>
            </w:r>
          </w:p>
        </w:tc>
      </w:tr>
    </w:tbl>
    <w:p w14:paraId="7BC66561">
      <w:pPr>
        <w:pStyle w:val="9"/>
        <w:rPr>
          <w:b/>
          <w:sz w:val="22"/>
          <w:szCs w:val="22"/>
        </w:rPr>
      </w:pPr>
    </w:p>
    <w:tbl>
      <w:tblPr>
        <w:tblStyle w:val="6"/>
        <w:tblW w:w="9955" w:type="dxa"/>
        <w:tblInd w:w="6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55"/>
      </w:tblGrid>
      <w:tr w14:paraId="0B6662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9955" w:type="dxa"/>
            <w:shd w:val="clear" w:color="auto" w:fill="D6E3BC" w:themeFill="accent3" w:themeFillTint="66"/>
            <w:vAlign w:val="center"/>
          </w:tcPr>
          <w:p w14:paraId="052C3127">
            <w:pPr>
              <w:pStyle w:val="17"/>
              <w:spacing w:line="256" w:lineRule="exac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–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DESCRIÇÃO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DA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SOLUÇÃO COMO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UM TODO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(QUANDO APLICÁVEL)</w:t>
            </w:r>
          </w:p>
        </w:tc>
      </w:tr>
      <w:tr w14:paraId="32A3E4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9955" w:type="dxa"/>
          </w:tcPr>
          <w:p w14:paraId="508C6F13">
            <w:pPr>
              <w:ind w:firstLine="220" w:firstLineChars="10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        A presente solução consiste na realização de credenciamento de empresas prestadoras de serviços de guincho, com o objetivo de formar um cadastro de prestadores aptos a atender, de forma ágil, eficaz e dentro dos padrões legais e técnicos exigidos, às demandas de remoção e transporte de veículos em situações previstas pela Administração Pública.</w:t>
            </w:r>
          </w:p>
          <w:p w14:paraId="4ECCE24C">
            <w:pPr>
              <w:ind w:firstLine="220" w:firstLineChars="10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        O credenciamento possibilita a habilitação contínua de empresas, desde que atendam aos requisitos técnicos, operacionais e legais definidos no edital, não havendo limitação quanto ao número de participantes. A contratação ocorrerá de forma não exclusiva, permitindo que os serviços sejam executados por qualquer empresa credenciada, conforme critérios de acionamento previamente definidos (ex: proximidade, disponibilidade, rodízio, especialização do veículo, entre outros).</w:t>
            </w:r>
          </w:p>
          <w:p w14:paraId="3AF169D3">
            <w:pPr>
              <w:ind w:firstLine="220" w:firstLineChars="10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        Os serviços a serem prestados poderão incluir, entre outros:</w:t>
            </w:r>
          </w:p>
          <w:p w14:paraId="3AE1CADE">
            <w:pPr>
              <w:ind w:firstLine="220" w:firstLineChars="10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        I - Remoção de veículos leves, pesados ou de carga;</w:t>
            </w:r>
          </w:p>
          <w:p w14:paraId="261EA3D3">
            <w:pPr>
              <w:ind w:firstLine="220" w:firstLineChars="10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        II - Atendimento em vias urbanas, estradas, áreas públicas ou locais determinados por autoridades competentes;</w:t>
            </w:r>
          </w:p>
          <w:p w14:paraId="77774EC1">
            <w:pPr>
              <w:ind w:firstLine="220" w:firstLineChars="10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        III - Disponibilidade 24 horas por dia, 7 dias por semana;</w:t>
            </w:r>
          </w:p>
          <w:p w14:paraId="4F73046A">
            <w:pPr>
              <w:ind w:firstLine="220" w:firstLineChars="10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        IV - Utilização de equipamentos compatíveis com o tipo de remoção exigida;</w:t>
            </w:r>
          </w:p>
          <w:p w14:paraId="2EC8C747">
            <w:pPr>
              <w:ind w:firstLine="220" w:firstLineChars="10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        V - Cumprimento de normas de segurança, trânsito e transporte, conforme regulamentações do CONTRAN e demais órgãos competentes.</w:t>
            </w:r>
          </w:p>
          <w:p w14:paraId="49E39CDD">
            <w:pPr>
              <w:ind w:firstLine="220" w:firstLineChars="10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        Essa solução visa garantir à Administração Pública maior capilaridade, celeridade e eficiência na execução dos serviços de guincho, atendendo com qualidade a situações emergenciais, operacionais ou de interesse público, como remoções por infrações de trânsito, acidentes, interdições, entre outros.</w:t>
            </w:r>
          </w:p>
          <w:p w14:paraId="7C0A4FCA">
            <w:pPr>
              <w:ind w:firstLine="220" w:firstLineChars="100"/>
              <w:jc w:val="both"/>
              <w:rPr>
                <w:sz w:val="24"/>
                <w:szCs w:val="24"/>
                <w:lang w:val="pt-BR"/>
              </w:rPr>
            </w:pPr>
            <w:r>
              <w:rPr>
                <w:lang w:val="pt-BR"/>
              </w:rPr>
              <w:t xml:space="preserve">        Trata-se, portanto, de uma solução que proporciona redução de riscos operacionais, otimização de recursos públicos e atendimento descentralizado, especialmente relevante em contextos com grande extensão territorial ou alta demanda por remoções veiculares.</w:t>
            </w:r>
          </w:p>
        </w:tc>
      </w:tr>
    </w:tbl>
    <w:p w14:paraId="5476876A">
      <w:pPr>
        <w:pStyle w:val="9"/>
        <w:rPr>
          <w:b/>
          <w:sz w:val="22"/>
          <w:szCs w:val="22"/>
        </w:rPr>
      </w:pPr>
    </w:p>
    <w:tbl>
      <w:tblPr>
        <w:tblStyle w:val="6"/>
        <w:tblW w:w="9955" w:type="dxa"/>
        <w:tblInd w:w="6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55"/>
      </w:tblGrid>
      <w:tr w14:paraId="466979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9955" w:type="dxa"/>
            <w:shd w:val="clear" w:color="auto" w:fill="D6E3BC" w:themeFill="accent3" w:themeFillTint="66"/>
            <w:vAlign w:val="center"/>
          </w:tcPr>
          <w:p w14:paraId="6235D641">
            <w:pPr>
              <w:pStyle w:val="17"/>
              <w:spacing w:line="256" w:lineRule="exac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–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JUSTIFICATIVA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PARA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O PARCELAMENTO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OU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NÃO DA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SOLUÇÃO</w:t>
            </w:r>
          </w:p>
        </w:tc>
      </w:tr>
      <w:tr w14:paraId="25ADB9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9955" w:type="dxa"/>
            <w:vAlign w:val="center"/>
          </w:tcPr>
          <w:p w14:paraId="552C75BD">
            <w:pPr>
              <w:ind w:firstLine="840" w:firstLineChars="350"/>
              <w:jc w:val="both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Trata-se de um processo de credenciamento, no qual, todas as empresas que atenderem as exigências, irão prestar os serviços de forma igualitária e com os mesmos valores, trabalhando em escala de revezamento.</w:t>
            </w:r>
          </w:p>
        </w:tc>
      </w:tr>
    </w:tbl>
    <w:p w14:paraId="14B4A45A">
      <w:pPr>
        <w:pStyle w:val="9"/>
        <w:rPr>
          <w:b/>
          <w:sz w:val="22"/>
          <w:szCs w:val="22"/>
        </w:rPr>
      </w:pPr>
    </w:p>
    <w:tbl>
      <w:tblPr>
        <w:tblStyle w:val="6"/>
        <w:tblW w:w="9943" w:type="dxa"/>
        <w:tblInd w:w="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43"/>
      </w:tblGrid>
      <w:tr w14:paraId="559C0F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9943" w:type="dxa"/>
            <w:shd w:val="clear" w:color="auto" w:fill="D6E3BC" w:themeFill="accent3" w:themeFillTint="66"/>
            <w:vAlign w:val="center"/>
          </w:tcPr>
          <w:p w14:paraId="7111DEC5">
            <w:pPr>
              <w:pStyle w:val="17"/>
              <w:tabs>
                <w:tab w:val="left" w:pos="614"/>
                <w:tab w:val="left" w:pos="1000"/>
                <w:tab w:val="left" w:pos="3440"/>
                <w:tab w:val="left" w:pos="4200"/>
                <w:tab w:val="left" w:pos="6090"/>
                <w:tab w:val="left" w:pos="8088"/>
              </w:tabs>
              <w:spacing w:line="270" w:lineRule="atLeast"/>
              <w:ind w:right="5"/>
              <w:rPr>
                <w:b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</w:rPr>
              <w:t>10</w:t>
            </w: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>–</w:t>
            </w: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>DEMONSTRATIVO</w:t>
            </w: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>DOS</w:t>
            </w: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>RESULTADOS</w:t>
            </w: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>PRETENDIDOS</w:t>
            </w:r>
            <w:r>
              <w:rPr>
                <w:b/>
                <w:sz w:val="24"/>
                <w:szCs w:val="24"/>
                <w:lang w:val="pt-BR"/>
              </w:rPr>
              <w:t>.</w:t>
            </w:r>
          </w:p>
        </w:tc>
      </w:tr>
      <w:tr w14:paraId="3FE288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9943" w:type="dxa"/>
          </w:tcPr>
          <w:p w14:paraId="60693034">
            <w:pPr>
              <w:pStyle w:val="17"/>
              <w:tabs>
                <w:tab w:val="left" w:pos="101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             O credenciamento de serviços de guincho visa alcançar os seguintes resultados para a Administração Pública:</w:t>
            </w:r>
          </w:p>
          <w:p w14:paraId="268D2158">
            <w:pPr>
              <w:pStyle w:val="17"/>
              <w:tabs>
                <w:tab w:val="left" w:pos="101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             I - Garantir atendimento ágil e eficiente nas remoções veiculares em áreas urbanas, rodovias e demais locais sob responsabilidade da Administração, reduzindo o tempo de resposta a chamados emergenciais e operacionais.</w:t>
            </w:r>
          </w:p>
          <w:p w14:paraId="3B1743A2">
            <w:pPr>
              <w:pStyle w:val="17"/>
              <w:tabs>
                <w:tab w:val="left" w:pos="101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             II - Formar uma rede ampla e diversificada de prestadores credenciados, habilitados técnica e legalmente, assegurando cobertura territorial adequada e capacidade para atender diferentes tipos de veículos (leves, pesados e especiais).</w:t>
            </w:r>
          </w:p>
          <w:p w14:paraId="19652BEA">
            <w:pPr>
              <w:pStyle w:val="17"/>
              <w:tabs>
                <w:tab w:val="left" w:pos="101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             III - Assegurar qualidade e segurança nos serviços prestados, mediante exigência de cumprimento das normas técnicas, de trânsito e de segurança aplicáveis, protegendo os veículos removidos e a integridade dos usuários.</w:t>
            </w:r>
          </w:p>
          <w:p w14:paraId="1932FBDA">
            <w:pPr>
              <w:pStyle w:val="17"/>
              <w:tabs>
                <w:tab w:val="left" w:pos="101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             IV - Promover a economicidade e racionalização dos recursos públicos, através da contratação por credenciamento que permite flexibilidade na utilização dos serviços conforme a demanda real, evitando contratações exclusivas e onerosas.</w:t>
            </w:r>
          </w:p>
          <w:p w14:paraId="19F8FABC">
            <w:pPr>
              <w:pStyle w:val="17"/>
              <w:tabs>
                <w:tab w:val="left" w:pos="101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             V - Facilitar a gestão e o controle dos serviços, com base em critérios claros para habilitação, fiscalização constante e monitoramento do desempenho dos credenciados, garantindo transparência e eficiência na execução.</w:t>
            </w:r>
          </w:p>
          <w:p w14:paraId="71F43653">
            <w:pPr>
              <w:pStyle w:val="17"/>
              <w:tabs>
                <w:tab w:val="left" w:pos="101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             VI - Reduzir riscos operacionais e melhorar a mobilidade urbana e rodoviária, minimizando impactos decorrentes de acidentes, veículos quebrados ou infrações que exijam remoção imediata.</w:t>
            </w:r>
          </w:p>
          <w:p w14:paraId="5F14E6AE">
            <w:pPr>
              <w:pStyle w:val="17"/>
              <w:tabs>
                <w:tab w:val="left" w:pos="10120"/>
              </w:tabs>
              <w:jc w:val="both"/>
              <w:rPr>
                <w:sz w:val="24"/>
                <w:szCs w:val="24"/>
                <w:lang w:val="pt-BR"/>
              </w:rPr>
            </w:pPr>
            <w:r>
              <w:rPr>
                <w:lang w:val="pt-BR"/>
              </w:rPr>
              <w:t xml:space="preserve">             VII - Garantir atendimento contínuo e disponível 24 horas por dia, 7 dias por semana, promovendo a segurança pública e o cumprimento das normas de trânsito, principalmente em situações de emergência.</w:t>
            </w:r>
          </w:p>
        </w:tc>
      </w:tr>
    </w:tbl>
    <w:p w14:paraId="70943C80">
      <w:pPr>
        <w:pStyle w:val="9"/>
        <w:rPr>
          <w:b/>
          <w:sz w:val="22"/>
          <w:szCs w:val="22"/>
        </w:rPr>
      </w:pPr>
    </w:p>
    <w:tbl>
      <w:tblPr>
        <w:tblStyle w:val="6"/>
        <w:tblW w:w="9893" w:type="dxa"/>
        <w:tblInd w:w="12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93"/>
      </w:tblGrid>
      <w:tr w14:paraId="55363E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9893" w:type="dxa"/>
            <w:shd w:val="clear" w:color="auto" w:fill="D6E3BC" w:themeFill="accent3" w:themeFillTint="66"/>
            <w:vAlign w:val="center"/>
          </w:tcPr>
          <w:p w14:paraId="01E1F9BB">
            <w:pPr>
              <w:pStyle w:val="17"/>
              <w:tabs>
                <w:tab w:val="left" w:pos="606"/>
                <w:tab w:val="left" w:pos="986"/>
                <w:tab w:val="left" w:pos="3097"/>
                <w:tab w:val="left" w:pos="4942"/>
                <w:tab w:val="left" w:pos="5374"/>
                <w:tab w:val="left" w:pos="6487"/>
                <w:tab w:val="left" w:pos="8089"/>
              </w:tabs>
              <w:spacing w:line="276" w:lineRule="exact"/>
              <w:ind w:right="4"/>
              <w:jc w:val="both"/>
              <w:rPr>
                <w:b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</w:rPr>
              <w:t>11</w:t>
            </w: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>–</w:t>
            </w: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>PROVIDÊNCIAS</w:t>
            </w: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>ESPECÍFICAS</w:t>
            </w: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>A</w:t>
            </w: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>SEREM</w:t>
            </w: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>ADOTADAS</w:t>
            </w:r>
            <w:r>
              <w:rPr>
                <w:b/>
                <w:sz w:val="24"/>
                <w:szCs w:val="24"/>
                <w:lang w:val="pt-BR"/>
              </w:rPr>
              <w:t>.</w:t>
            </w:r>
          </w:p>
        </w:tc>
      </w:tr>
      <w:tr w14:paraId="488683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9893" w:type="dxa"/>
          </w:tcPr>
          <w:p w14:paraId="1D17A75F">
            <w:pPr>
              <w:pStyle w:val="17"/>
              <w:tabs>
                <w:tab w:val="left" w:pos="427"/>
                <w:tab w:val="left" w:pos="4911"/>
                <w:tab w:val="left" w:pos="5232"/>
              </w:tabs>
              <w:ind w:right="967"/>
              <w:rPr>
                <w:spacing w:val="-58"/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  <w:lang w:val="pt-B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pt-BR"/>
              </w:rPr>
              <w:t xml:space="preserve">X </w:t>
            </w:r>
            <w:r>
              <w:rPr>
                <w:sz w:val="24"/>
                <w:szCs w:val="24"/>
              </w:rPr>
              <w:t>)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Não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há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providências específicas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  <w:lang w:val="pt-BR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pt-BR"/>
              </w:rPr>
              <w:t xml:space="preserve">X </w:t>
            </w:r>
            <w:r>
              <w:rPr>
                <w:sz w:val="24"/>
                <w:szCs w:val="24"/>
              </w:rPr>
              <w:t>) Não há impactos ambientais</w:t>
            </w:r>
            <w:r>
              <w:rPr>
                <w:spacing w:val="-58"/>
                <w:sz w:val="24"/>
                <w:szCs w:val="24"/>
              </w:rPr>
              <w:t xml:space="preserve"> </w:t>
            </w:r>
          </w:p>
          <w:p w14:paraId="2F7C9944">
            <w:pPr>
              <w:pStyle w:val="17"/>
              <w:tabs>
                <w:tab w:val="left" w:pos="427"/>
                <w:tab w:val="left" w:pos="4911"/>
                <w:tab w:val="left" w:pos="5232"/>
              </w:tabs>
              <w:ind w:right="9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>)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Há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providencias específicas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>)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Há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impactos ambientais</w:t>
            </w:r>
          </w:p>
          <w:p w14:paraId="5A10908E">
            <w:pPr>
              <w:pStyle w:val="17"/>
              <w:tabs>
                <w:tab w:val="left" w:pos="497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Quais?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>Quais?</w:t>
            </w:r>
          </w:p>
        </w:tc>
      </w:tr>
    </w:tbl>
    <w:p w14:paraId="6B5DB5E0">
      <w:pPr>
        <w:pStyle w:val="9"/>
        <w:rPr>
          <w:b/>
          <w:sz w:val="22"/>
          <w:szCs w:val="22"/>
        </w:rPr>
      </w:pPr>
    </w:p>
    <w:tbl>
      <w:tblPr>
        <w:tblStyle w:val="6"/>
        <w:tblW w:w="9855" w:type="dxa"/>
        <w:tblInd w:w="16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55"/>
      </w:tblGrid>
      <w:tr w14:paraId="694F3A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9855" w:type="dxa"/>
            <w:shd w:val="clear" w:color="auto" w:fill="D6E3BC" w:themeFill="accent3" w:themeFillTint="66"/>
          </w:tcPr>
          <w:p w14:paraId="051748C4">
            <w:pPr>
              <w:pStyle w:val="17"/>
              <w:spacing w:line="276" w:lineRule="exact"/>
              <w:ind w:right="95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–</w:t>
            </w:r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DEMONSTRATIVO</w:t>
            </w:r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DE</w:t>
            </w:r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CONTRATAÇÕES</w:t>
            </w:r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SIMILARES</w:t>
            </w:r>
            <w:r>
              <w:rPr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OU</w:t>
            </w:r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QUE</w:t>
            </w:r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GUARDAM</w:t>
            </w:r>
            <w:r>
              <w:rPr>
                <w:b/>
                <w:sz w:val="24"/>
                <w:szCs w:val="24"/>
                <w:lang w:val="pt-BR"/>
              </w:rPr>
              <w:t xml:space="preserve"> </w:t>
            </w:r>
            <w:r>
              <w:rPr>
                <w:b/>
                <w:spacing w:val="-57"/>
                <w:sz w:val="24"/>
                <w:szCs w:val="24"/>
              </w:rPr>
              <w:t xml:space="preserve"> </w:t>
            </w:r>
            <w:r>
              <w:rPr>
                <w:b/>
                <w:spacing w:val="-57"/>
                <w:sz w:val="24"/>
                <w:szCs w:val="24"/>
                <w:lang w:val="pt-BR"/>
              </w:rPr>
              <w:t xml:space="preserve">                          </w:t>
            </w:r>
            <w:r>
              <w:rPr>
                <w:b/>
                <w:sz w:val="24"/>
                <w:szCs w:val="24"/>
              </w:rPr>
              <w:t>RELAÇÃO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COM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O OBJETO</w:t>
            </w:r>
          </w:p>
        </w:tc>
      </w:tr>
      <w:tr w14:paraId="78146D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9855" w:type="dxa"/>
          </w:tcPr>
          <w:p w14:paraId="1F7F7767">
            <w:pPr>
              <w:pStyle w:val="17"/>
              <w:ind w:left="0" w:firstLine="840" w:firstLineChars="350"/>
              <w:jc w:val="both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Contratos 073/2022 e 093/2022.</w:t>
            </w:r>
          </w:p>
        </w:tc>
      </w:tr>
    </w:tbl>
    <w:p w14:paraId="42CA1030">
      <w:pPr>
        <w:pStyle w:val="9"/>
        <w:rPr>
          <w:b/>
          <w:sz w:val="22"/>
          <w:szCs w:val="22"/>
        </w:rPr>
      </w:pPr>
    </w:p>
    <w:tbl>
      <w:tblPr>
        <w:tblStyle w:val="6"/>
        <w:tblW w:w="9818" w:type="dxa"/>
        <w:tblInd w:w="18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18"/>
      </w:tblGrid>
      <w:tr w14:paraId="797804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9818" w:type="dxa"/>
            <w:shd w:val="clear" w:color="auto" w:fill="D6E3BC" w:themeFill="accent3" w:themeFillTint="66"/>
            <w:vAlign w:val="center"/>
          </w:tcPr>
          <w:p w14:paraId="5CDBDB46">
            <w:pPr>
              <w:pStyle w:val="17"/>
              <w:spacing w:line="256" w:lineRule="exact"/>
              <w:jc w:val="both"/>
              <w:rPr>
                <w:b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</w:rPr>
              <w:t>13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–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DECLARAÇÃO DE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VIABILIDADE OU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NÃO DA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  <w:lang w:val="pt-BR"/>
              </w:rPr>
              <w:t>CONTRATAÇÃO</w:t>
            </w:r>
          </w:p>
        </w:tc>
      </w:tr>
      <w:tr w14:paraId="794CFC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9818" w:type="dxa"/>
          </w:tcPr>
          <w:p w14:paraId="0C5022A0">
            <w:pPr>
              <w:pStyle w:val="17"/>
              <w:ind w:left="0" w:firstLine="840" w:firstLineChars="350"/>
              <w:jc w:val="both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Assim, diante de todos os fatos aqui apresentados, declaro viável tecnicamente e necessária, a contratação dos serviços ora pretendidos.</w:t>
            </w:r>
          </w:p>
        </w:tc>
      </w:tr>
    </w:tbl>
    <w:p w14:paraId="196EC489">
      <w:pPr>
        <w:pStyle w:val="9"/>
        <w:spacing w:before="1"/>
        <w:rPr>
          <w:b/>
          <w:sz w:val="22"/>
          <w:szCs w:val="22"/>
        </w:rPr>
      </w:pPr>
    </w:p>
    <w:p w14:paraId="4D7A304F">
      <w:pPr>
        <w:pStyle w:val="9"/>
        <w:spacing w:before="90"/>
        <w:ind w:left="118"/>
        <w:rPr>
          <w:sz w:val="22"/>
          <w:szCs w:val="22"/>
        </w:rPr>
      </w:pPr>
    </w:p>
    <w:p w14:paraId="62A47261">
      <w:pPr>
        <w:pStyle w:val="9"/>
        <w:spacing w:before="90"/>
        <w:ind w:left="118"/>
        <w:rPr>
          <w:sz w:val="22"/>
          <w:szCs w:val="22"/>
        </w:rPr>
      </w:pPr>
      <w:r>
        <w:rPr>
          <w:sz w:val="22"/>
          <w:szCs w:val="22"/>
        </w:rPr>
        <w:t xml:space="preserve">Sinop/MT, </w:t>
      </w:r>
      <w:r>
        <w:rPr>
          <w:sz w:val="22"/>
          <w:szCs w:val="22"/>
          <w:lang w:val="pt-BR"/>
        </w:rPr>
        <w:t>18 de junho 2025.</w:t>
      </w:r>
    </w:p>
    <w:p w14:paraId="59C4EA99">
      <w:pPr>
        <w:pStyle w:val="9"/>
        <w:rPr>
          <w:sz w:val="22"/>
          <w:szCs w:val="22"/>
        </w:rPr>
      </w:pPr>
    </w:p>
    <w:p w14:paraId="7A4DE0A2">
      <w:pPr>
        <w:pStyle w:val="9"/>
        <w:rPr>
          <w:sz w:val="22"/>
          <w:szCs w:val="22"/>
        </w:rPr>
      </w:pPr>
    </w:p>
    <w:p w14:paraId="7CE4720C">
      <w:pPr>
        <w:pStyle w:val="9"/>
        <w:rPr>
          <w:sz w:val="22"/>
          <w:szCs w:val="22"/>
        </w:rPr>
      </w:pPr>
    </w:p>
    <w:p w14:paraId="7268D6FB">
      <w:pPr>
        <w:pStyle w:val="9"/>
        <w:rPr>
          <w:sz w:val="22"/>
          <w:szCs w:val="22"/>
        </w:rPr>
      </w:pPr>
    </w:p>
    <w:p w14:paraId="3B0C4E80">
      <w:pPr>
        <w:pStyle w:val="9"/>
        <w:rPr>
          <w:sz w:val="18"/>
          <w:szCs w:val="18"/>
        </w:rPr>
      </w:pPr>
    </w:p>
    <w:p w14:paraId="622C4CF4">
      <w:pPr>
        <w:pStyle w:val="9"/>
        <w:rPr>
          <w:sz w:val="22"/>
          <w:szCs w:val="22"/>
        </w:rPr>
      </w:pPr>
    </w:p>
    <w:p w14:paraId="58911F48">
      <w:pPr>
        <w:pStyle w:val="9"/>
        <w:tabs>
          <w:tab w:val="left" w:pos="6378"/>
        </w:tabs>
        <w:spacing w:line="247" w:lineRule="exact"/>
        <w:ind w:firstLine="440" w:firstLineChars="200"/>
        <w:rPr>
          <w:b/>
          <w:bCs/>
          <w:sz w:val="22"/>
          <w:szCs w:val="22"/>
          <w:lang w:val="pt-BR"/>
        </w:rPr>
      </w:pPr>
      <w:r>
        <w:rPr>
          <w:b/>
          <w:bCs/>
          <w:sz w:val="22"/>
          <w:szCs w:val="22"/>
          <w:lang w:val="pt-BR"/>
        </w:rPr>
        <w:t xml:space="preserve">      WESNEY DE CASTRO SODRE                                       LUCAS JOSE ZANATELI WEBBER</w:t>
      </w:r>
    </w:p>
    <w:p w14:paraId="5269E38C">
      <w:pPr>
        <w:pStyle w:val="9"/>
        <w:tabs>
          <w:tab w:val="left" w:pos="6378"/>
        </w:tabs>
        <w:spacing w:line="247" w:lineRule="exact"/>
        <w:ind w:firstLine="330" w:firstLineChars="150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Secretário Municipal de Segurança e Trânsito                                                      Assessor</w:t>
      </w:r>
    </w:p>
    <w:p w14:paraId="6F2C8D40">
      <w:pPr>
        <w:pStyle w:val="9"/>
        <w:tabs>
          <w:tab w:val="left" w:pos="6378"/>
        </w:tabs>
        <w:spacing w:line="247" w:lineRule="exact"/>
        <w:ind w:firstLine="1430" w:firstLineChars="650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ab/>
      </w:r>
      <w:r>
        <w:rPr>
          <w:sz w:val="22"/>
          <w:szCs w:val="22"/>
          <w:lang w:val="pt-BR"/>
        </w:rPr>
        <w:tab/>
      </w:r>
      <w:r>
        <w:rPr>
          <w:sz w:val="22"/>
          <w:szCs w:val="22"/>
          <w:lang w:val="pt-BR"/>
        </w:rPr>
        <w:t xml:space="preserve">         Matrícula 16690</w:t>
      </w:r>
    </w:p>
    <w:sectPr>
      <w:headerReference r:id="rId3" w:type="default"/>
      <w:footerReference r:id="rId4" w:type="default"/>
      <w:type w:val="continuous"/>
      <w:pgSz w:w="11910" w:h="16840"/>
      <w:pgMar w:top="1599" w:right="740" w:bottom="765" w:left="1300" w:header="510" w:footer="113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A4AA4B">
    <w:pPr>
      <w:pStyle w:val="11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Secretaria Municipal de </w:t>
    </w:r>
    <w:r>
      <w:rPr>
        <w:bCs/>
        <w:sz w:val="16"/>
        <w:szCs w:val="16"/>
        <w:lang w:val="pt-BR"/>
      </w:rPr>
      <w:t xml:space="preserve">Segurança e </w:t>
    </w:r>
    <w:r>
      <w:rPr>
        <w:bCs/>
        <w:sz w:val="16"/>
        <w:szCs w:val="16"/>
      </w:rPr>
      <w:t>Trânsito</w:t>
    </w:r>
    <w:r>
      <w:rPr>
        <w:bCs/>
        <w:sz w:val="16"/>
        <w:szCs w:val="16"/>
        <w:lang w:val="pt-BR"/>
      </w:rPr>
      <w:t xml:space="preserve"> </w:t>
    </w:r>
    <w:r>
      <w:rPr>
        <w:bCs/>
        <w:sz w:val="16"/>
        <w:szCs w:val="16"/>
      </w:rPr>
      <w:t>- S</w:t>
    </w:r>
    <w:r>
      <w:rPr>
        <w:bCs/>
        <w:sz w:val="16"/>
        <w:szCs w:val="16"/>
        <w:lang w:val="pt-BR"/>
      </w:rPr>
      <w:t>S</w:t>
    </w:r>
    <w:r>
      <w:rPr>
        <w:bCs/>
        <w:sz w:val="16"/>
        <w:szCs w:val="16"/>
      </w:rPr>
      <w:t>T</w:t>
    </w:r>
  </w:p>
  <w:p w14:paraId="4D25D33D">
    <w:pPr>
      <w:pStyle w:val="11"/>
      <w:jc w:val="center"/>
      <w:rPr>
        <w:bCs/>
        <w:sz w:val="16"/>
        <w:szCs w:val="16"/>
      </w:rPr>
    </w:pPr>
    <w:r>
      <w:rPr>
        <w:bCs/>
        <w:sz w:val="16"/>
        <w:szCs w:val="16"/>
      </w:rPr>
      <w:t>Avenida dos Jacarandás, n° 6.271, rotatória Avenida dos Pinheiros, Parque das Araras, CEP 78.550-456 - Fone (66) 3511-1854</w:t>
    </w:r>
  </w:p>
  <w:p w14:paraId="3F25BCC0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C68324">
    <w:pPr>
      <w:pStyle w:val="10"/>
      <w:jc w:val="center"/>
    </w:pPr>
    <w:r>
      <w:drawing>
        <wp:inline distT="0" distB="0" distL="0" distR="0">
          <wp:extent cx="2842260" cy="1079500"/>
          <wp:effectExtent l="0" t="0" r="0" b="6350"/>
          <wp:docPr id="115633737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6337370" name="Imagem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42839" cy="108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</w:t>
    </w:r>
    <w:r>
      <w:drawing>
        <wp:inline distT="0" distB="0" distL="0" distR="0">
          <wp:extent cx="1034415" cy="1079500"/>
          <wp:effectExtent l="0" t="0" r="0" b="6350"/>
          <wp:docPr id="84019914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0199141" name="Imagem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5000" cy="108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</w:t>
    </w:r>
    <w:r>
      <w:drawing>
        <wp:inline distT="0" distB="0" distL="0" distR="0">
          <wp:extent cx="890270" cy="1079500"/>
          <wp:effectExtent l="19050" t="0" r="4968" b="0"/>
          <wp:docPr id="5" name="Imagem 1" descr="Brasão GCM Sin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 descr="Brasão GCM Sinop.jpg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890382" cy="108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4C1824">
    <w:pPr>
      <w:pStyle w:val="9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20"/>
  <w:hyphenationZone w:val="425"/>
  <w:drawingGridHorizontalSpacing w:val="110"/>
  <w:noPunctuationKerning w:val="1"/>
  <w:characterSpacingControl w:val="doNotCompress"/>
  <w:compat>
    <w:ulTrailSpace/>
    <w:doNotExpandShiftReturn/>
    <w:doNotWrapTextWithPunct/>
    <w:doNotUseEastAsianBreakRules/>
    <w:doNotUseIndentAsNumberingTabStop/>
    <w:compatSetting w:name="compatibilityMode" w:uri="http://schemas.microsoft.com/office/word" w:val="14"/>
  </w:compat>
  <w:rsids>
    <w:rsidRoot w:val="003F09BE"/>
    <w:rsid w:val="00032137"/>
    <w:rsid w:val="00040AA0"/>
    <w:rsid w:val="0005474E"/>
    <w:rsid w:val="00073837"/>
    <w:rsid w:val="00084013"/>
    <w:rsid w:val="000B4FA7"/>
    <w:rsid w:val="00167BBF"/>
    <w:rsid w:val="001F24EA"/>
    <w:rsid w:val="00202912"/>
    <w:rsid w:val="0026045F"/>
    <w:rsid w:val="00270D99"/>
    <w:rsid w:val="00314BF3"/>
    <w:rsid w:val="00382848"/>
    <w:rsid w:val="003D0029"/>
    <w:rsid w:val="003E0B77"/>
    <w:rsid w:val="003F09BE"/>
    <w:rsid w:val="00407A14"/>
    <w:rsid w:val="00470BA3"/>
    <w:rsid w:val="00472D6E"/>
    <w:rsid w:val="00531133"/>
    <w:rsid w:val="00537FE7"/>
    <w:rsid w:val="005C6A75"/>
    <w:rsid w:val="005E257C"/>
    <w:rsid w:val="005F18F6"/>
    <w:rsid w:val="00617BB4"/>
    <w:rsid w:val="0068188B"/>
    <w:rsid w:val="0071095D"/>
    <w:rsid w:val="007537BD"/>
    <w:rsid w:val="00753D8E"/>
    <w:rsid w:val="00767036"/>
    <w:rsid w:val="007714C4"/>
    <w:rsid w:val="0085285B"/>
    <w:rsid w:val="008726E5"/>
    <w:rsid w:val="0088202D"/>
    <w:rsid w:val="008D294D"/>
    <w:rsid w:val="00921BCB"/>
    <w:rsid w:val="0099564D"/>
    <w:rsid w:val="00A671B3"/>
    <w:rsid w:val="00AA0038"/>
    <w:rsid w:val="00AE44F3"/>
    <w:rsid w:val="00B71D66"/>
    <w:rsid w:val="00BB0B54"/>
    <w:rsid w:val="00C66EBA"/>
    <w:rsid w:val="00CB0831"/>
    <w:rsid w:val="00D125E8"/>
    <w:rsid w:val="00D30AB8"/>
    <w:rsid w:val="00D773E7"/>
    <w:rsid w:val="00DA3B68"/>
    <w:rsid w:val="00DA5C54"/>
    <w:rsid w:val="00DF5896"/>
    <w:rsid w:val="00E01DB4"/>
    <w:rsid w:val="00F050BF"/>
    <w:rsid w:val="00F26151"/>
    <w:rsid w:val="00FB7DC2"/>
    <w:rsid w:val="01840D1B"/>
    <w:rsid w:val="021A7DB9"/>
    <w:rsid w:val="02814F7F"/>
    <w:rsid w:val="028F1934"/>
    <w:rsid w:val="02C05409"/>
    <w:rsid w:val="02F32963"/>
    <w:rsid w:val="03F26CA2"/>
    <w:rsid w:val="048A6F07"/>
    <w:rsid w:val="055211C9"/>
    <w:rsid w:val="0612484F"/>
    <w:rsid w:val="06542756"/>
    <w:rsid w:val="067A5A3E"/>
    <w:rsid w:val="08C776CE"/>
    <w:rsid w:val="091B377D"/>
    <w:rsid w:val="09AD61AC"/>
    <w:rsid w:val="09E5209E"/>
    <w:rsid w:val="0A7D11C6"/>
    <w:rsid w:val="0CF03465"/>
    <w:rsid w:val="0D1D7670"/>
    <w:rsid w:val="0DA275C7"/>
    <w:rsid w:val="0DE43ED7"/>
    <w:rsid w:val="0ECB2DD1"/>
    <w:rsid w:val="10D053A3"/>
    <w:rsid w:val="138D4D58"/>
    <w:rsid w:val="15E63B71"/>
    <w:rsid w:val="16931DF1"/>
    <w:rsid w:val="16941D1C"/>
    <w:rsid w:val="188127C0"/>
    <w:rsid w:val="1948000B"/>
    <w:rsid w:val="1AA20E4C"/>
    <w:rsid w:val="1ACE0ADF"/>
    <w:rsid w:val="1AD3390C"/>
    <w:rsid w:val="1BC13203"/>
    <w:rsid w:val="1BCB44A6"/>
    <w:rsid w:val="1C3409D4"/>
    <w:rsid w:val="1CE95AE5"/>
    <w:rsid w:val="1DD4713E"/>
    <w:rsid w:val="1F0E4E75"/>
    <w:rsid w:val="2068462F"/>
    <w:rsid w:val="20C31506"/>
    <w:rsid w:val="20CA1579"/>
    <w:rsid w:val="2297614E"/>
    <w:rsid w:val="229D3E8F"/>
    <w:rsid w:val="24466D8E"/>
    <w:rsid w:val="2454310E"/>
    <w:rsid w:val="247C047B"/>
    <w:rsid w:val="24910C86"/>
    <w:rsid w:val="24E92241"/>
    <w:rsid w:val="25FB0004"/>
    <w:rsid w:val="262805A9"/>
    <w:rsid w:val="26367DB3"/>
    <w:rsid w:val="26877241"/>
    <w:rsid w:val="26A46D2A"/>
    <w:rsid w:val="26EC5D68"/>
    <w:rsid w:val="272110AC"/>
    <w:rsid w:val="274E52FD"/>
    <w:rsid w:val="27830544"/>
    <w:rsid w:val="287469AB"/>
    <w:rsid w:val="28C433F0"/>
    <w:rsid w:val="28FD4A4E"/>
    <w:rsid w:val="2AB00356"/>
    <w:rsid w:val="2B4A4BC0"/>
    <w:rsid w:val="2BA139AA"/>
    <w:rsid w:val="2BB61095"/>
    <w:rsid w:val="2EB92876"/>
    <w:rsid w:val="2EF51616"/>
    <w:rsid w:val="2F4E7F69"/>
    <w:rsid w:val="2F5E1045"/>
    <w:rsid w:val="30C901E9"/>
    <w:rsid w:val="321A21C3"/>
    <w:rsid w:val="3283717A"/>
    <w:rsid w:val="32973A05"/>
    <w:rsid w:val="32C748DA"/>
    <w:rsid w:val="3548246D"/>
    <w:rsid w:val="361507CA"/>
    <w:rsid w:val="36D21E81"/>
    <w:rsid w:val="36D8249B"/>
    <w:rsid w:val="36FA0F92"/>
    <w:rsid w:val="37E7026F"/>
    <w:rsid w:val="38007070"/>
    <w:rsid w:val="389D3517"/>
    <w:rsid w:val="39137D62"/>
    <w:rsid w:val="3A425CFB"/>
    <w:rsid w:val="3B907000"/>
    <w:rsid w:val="3C2800B9"/>
    <w:rsid w:val="3C2D243E"/>
    <w:rsid w:val="3DB41D93"/>
    <w:rsid w:val="3DEF1564"/>
    <w:rsid w:val="3E47743A"/>
    <w:rsid w:val="3EF32860"/>
    <w:rsid w:val="4081019F"/>
    <w:rsid w:val="419B3E13"/>
    <w:rsid w:val="4250605B"/>
    <w:rsid w:val="42CD0EA8"/>
    <w:rsid w:val="446C6FE5"/>
    <w:rsid w:val="46296CB2"/>
    <w:rsid w:val="472E0158"/>
    <w:rsid w:val="473F6256"/>
    <w:rsid w:val="48D83AB5"/>
    <w:rsid w:val="4A672B69"/>
    <w:rsid w:val="4B403916"/>
    <w:rsid w:val="4BDF55EF"/>
    <w:rsid w:val="4BF316AA"/>
    <w:rsid w:val="4C711F79"/>
    <w:rsid w:val="4CC43735"/>
    <w:rsid w:val="4CF871CD"/>
    <w:rsid w:val="4D167942"/>
    <w:rsid w:val="4D5076BB"/>
    <w:rsid w:val="4DD86346"/>
    <w:rsid w:val="4E611424"/>
    <w:rsid w:val="4EA550E1"/>
    <w:rsid w:val="4EC54E1A"/>
    <w:rsid w:val="4F316819"/>
    <w:rsid w:val="50F83947"/>
    <w:rsid w:val="511D5E24"/>
    <w:rsid w:val="535C4F46"/>
    <w:rsid w:val="537868FE"/>
    <w:rsid w:val="53FA24F0"/>
    <w:rsid w:val="56A95ABB"/>
    <w:rsid w:val="57320BF2"/>
    <w:rsid w:val="58592F4A"/>
    <w:rsid w:val="5A6E782F"/>
    <w:rsid w:val="5AC1377C"/>
    <w:rsid w:val="5B0A6AB6"/>
    <w:rsid w:val="5B4D07C2"/>
    <w:rsid w:val="5BE57F51"/>
    <w:rsid w:val="5D623D96"/>
    <w:rsid w:val="5DA6773C"/>
    <w:rsid w:val="5EA926E2"/>
    <w:rsid w:val="5FB972AE"/>
    <w:rsid w:val="6023020F"/>
    <w:rsid w:val="615375B5"/>
    <w:rsid w:val="61D36977"/>
    <w:rsid w:val="646046A0"/>
    <w:rsid w:val="655D3F5A"/>
    <w:rsid w:val="678B726C"/>
    <w:rsid w:val="68CE2A78"/>
    <w:rsid w:val="694A61CA"/>
    <w:rsid w:val="69BC4976"/>
    <w:rsid w:val="6A10542F"/>
    <w:rsid w:val="6AF91553"/>
    <w:rsid w:val="6B1C030D"/>
    <w:rsid w:val="6CF9466D"/>
    <w:rsid w:val="6D863F82"/>
    <w:rsid w:val="6E5120B0"/>
    <w:rsid w:val="6E884432"/>
    <w:rsid w:val="6EAD7CD1"/>
    <w:rsid w:val="6EB35D3F"/>
    <w:rsid w:val="6F6052EA"/>
    <w:rsid w:val="70BA7BF5"/>
    <w:rsid w:val="70FF497D"/>
    <w:rsid w:val="7107003E"/>
    <w:rsid w:val="713B3B28"/>
    <w:rsid w:val="7213174C"/>
    <w:rsid w:val="72175289"/>
    <w:rsid w:val="7248723F"/>
    <w:rsid w:val="73CC5264"/>
    <w:rsid w:val="73E42131"/>
    <w:rsid w:val="763270CA"/>
    <w:rsid w:val="767955ED"/>
    <w:rsid w:val="76CA2B30"/>
    <w:rsid w:val="773C4F60"/>
    <w:rsid w:val="77B41649"/>
    <w:rsid w:val="78457E6F"/>
    <w:rsid w:val="79CB3544"/>
    <w:rsid w:val="7B690C89"/>
    <w:rsid w:val="7BFC409F"/>
    <w:rsid w:val="7C3D0C61"/>
    <w:rsid w:val="7CD44A3F"/>
    <w:rsid w:val="7DE367D1"/>
    <w:rsid w:val="7ED52322"/>
    <w:rsid w:val="7F215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1" w:semiHidden="0" w:name="toc 1"/>
    <w:lsdException w:qFormat="1" w:unhideWhenUsed="0" w:uiPriority="1" w:semiHidden="0" w:name="toc 2"/>
    <w:lsdException w:qFormat="1" w:unhideWhenUsed="0" w:uiPriority="1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iPriority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39" w:semiHidden="0" w:name="Table Grid"/>
    <w:lsdException w:uiPriority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pt-PT" w:eastAsia="en-US" w:bidi="ar-SA"/>
    </w:rPr>
  </w:style>
  <w:style w:type="paragraph" w:styleId="2">
    <w:name w:val="heading 1"/>
    <w:basedOn w:val="1"/>
    <w:qFormat/>
    <w:uiPriority w:val="1"/>
    <w:pPr>
      <w:ind w:left="766" w:right="732"/>
      <w:jc w:val="center"/>
      <w:outlineLvl w:val="0"/>
    </w:pPr>
    <w:rPr>
      <w:b/>
      <w:bCs/>
      <w:sz w:val="24"/>
      <w:szCs w:val="24"/>
    </w:rPr>
  </w:style>
  <w:style w:type="paragraph" w:styleId="3">
    <w:name w:val="heading 2"/>
    <w:basedOn w:val="1"/>
    <w:qFormat/>
    <w:uiPriority w:val="1"/>
    <w:pPr>
      <w:ind w:left="177" w:right="732"/>
      <w:jc w:val="center"/>
      <w:outlineLvl w:val="1"/>
    </w:pPr>
    <w:rPr>
      <w:b/>
      <w:bCs/>
      <w:i/>
      <w:iCs/>
      <w:sz w:val="24"/>
      <w:szCs w:val="24"/>
    </w:rPr>
  </w:style>
  <w:style w:type="paragraph" w:styleId="4">
    <w:name w:val="heading 3"/>
    <w:next w:val="1"/>
    <w:semiHidden/>
    <w:unhideWhenUsed/>
    <w:qFormat/>
    <w:uiPriority w:val="0"/>
    <w:pPr>
      <w:spacing w:beforeAutospacing="1" w:afterAutospacing="1"/>
      <w:outlineLvl w:val="2"/>
    </w:pPr>
    <w:rPr>
      <w:rFonts w:hint="eastAsia" w:ascii="SimSun" w:hAnsi="SimSun" w:eastAsia="SimSun" w:cs="Times New Roman"/>
      <w:b/>
      <w:bCs/>
      <w:sz w:val="26"/>
      <w:szCs w:val="26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5"/>
    <w:qFormat/>
    <w:uiPriority w:val="0"/>
    <w:rPr>
      <w:color w:val="0000FF"/>
      <w:u w:val="single"/>
    </w:rPr>
  </w:style>
  <w:style w:type="paragraph" w:styleId="8">
    <w:name w:val="toc 2"/>
    <w:basedOn w:val="1"/>
    <w:qFormat/>
    <w:uiPriority w:val="1"/>
    <w:pPr>
      <w:spacing w:before="100"/>
      <w:ind w:left="402"/>
    </w:pPr>
    <w:rPr>
      <w:i/>
      <w:iCs/>
      <w:sz w:val="24"/>
      <w:szCs w:val="24"/>
    </w:rPr>
  </w:style>
  <w:style w:type="paragraph" w:styleId="9">
    <w:name w:val="Body Text"/>
    <w:basedOn w:val="1"/>
    <w:link w:val="19"/>
    <w:qFormat/>
    <w:uiPriority w:val="1"/>
    <w:rPr>
      <w:sz w:val="24"/>
      <w:szCs w:val="24"/>
    </w:rPr>
  </w:style>
  <w:style w:type="paragraph" w:styleId="10">
    <w:name w:val="header"/>
    <w:basedOn w:val="1"/>
    <w:link w:val="20"/>
    <w:unhideWhenUsed/>
    <w:qFormat/>
    <w:uiPriority w:val="0"/>
    <w:pPr>
      <w:tabs>
        <w:tab w:val="center" w:pos="4252"/>
        <w:tab w:val="right" w:pos="8504"/>
      </w:tabs>
    </w:pPr>
  </w:style>
  <w:style w:type="paragraph" w:styleId="11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styleId="12">
    <w:name w:val="toc 3"/>
    <w:basedOn w:val="1"/>
    <w:qFormat/>
    <w:uiPriority w:val="1"/>
    <w:pPr>
      <w:spacing w:before="98"/>
      <w:ind w:left="622"/>
    </w:pPr>
    <w:rPr>
      <w:sz w:val="24"/>
      <w:szCs w:val="24"/>
    </w:rPr>
  </w:style>
  <w:style w:type="paragraph" w:styleId="13">
    <w:name w:val="toc 1"/>
    <w:basedOn w:val="1"/>
    <w:qFormat/>
    <w:uiPriority w:val="1"/>
    <w:pPr>
      <w:spacing w:before="101"/>
      <w:ind w:left="402"/>
    </w:pPr>
    <w:rPr>
      <w:sz w:val="24"/>
      <w:szCs w:val="24"/>
    </w:rPr>
  </w:style>
  <w:style w:type="table" w:styleId="14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6">
    <w:name w:val="List Paragraph"/>
    <w:basedOn w:val="1"/>
    <w:link w:val="18"/>
    <w:qFormat/>
    <w:uiPriority w:val="1"/>
    <w:pPr>
      <w:ind w:left="118" w:firstLine="2834"/>
      <w:jc w:val="both"/>
    </w:pPr>
  </w:style>
  <w:style w:type="paragraph" w:customStyle="1" w:styleId="17">
    <w:name w:val="Table Paragraph"/>
    <w:basedOn w:val="1"/>
    <w:qFormat/>
    <w:uiPriority w:val="1"/>
    <w:pPr>
      <w:ind w:left="107"/>
    </w:pPr>
  </w:style>
  <w:style w:type="character" w:customStyle="1" w:styleId="18">
    <w:name w:val="Parágrafo da Lista Char"/>
    <w:link w:val="16"/>
    <w:qFormat/>
    <w:uiPriority w:val="1"/>
    <w:rPr>
      <w:rFonts w:ascii="Times New Roman" w:hAnsi="Times New Roman" w:eastAsia="Times New Roman" w:cs="Times New Roman"/>
      <w:lang w:val="pt-PT" w:eastAsia="en-US" w:bidi="ar-SA"/>
    </w:rPr>
  </w:style>
  <w:style w:type="character" w:customStyle="1" w:styleId="19">
    <w:name w:val="Corpo de texto Char"/>
    <w:basedOn w:val="5"/>
    <w:link w:val="9"/>
    <w:qFormat/>
    <w:uiPriority w:val="1"/>
    <w:rPr>
      <w:rFonts w:eastAsia="Times New Roman"/>
      <w:sz w:val="24"/>
      <w:szCs w:val="24"/>
      <w:lang w:val="pt-PT" w:eastAsia="en-US"/>
    </w:rPr>
  </w:style>
  <w:style w:type="character" w:customStyle="1" w:styleId="20">
    <w:name w:val="Cabeçalho Char"/>
    <w:basedOn w:val="5"/>
    <w:link w:val="10"/>
    <w:qFormat/>
    <w:uiPriority w:val="0"/>
    <w:rPr>
      <w:rFonts w:eastAsia="Times New Roman"/>
      <w:sz w:val="22"/>
      <w:szCs w:val="22"/>
      <w:lang w:val="pt-PT"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A77BF-8CC4-4A5E-A374-0BD59BA7F25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3717</Words>
  <Characters>20075</Characters>
  <Lines>167</Lines>
  <Paragraphs>47</Paragraphs>
  <TotalTime>146</TotalTime>
  <ScaleCrop>false</ScaleCrop>
  <LinksUpToDate>false</LinksUpToDate>
  <CharactersWithSpaces>23745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2024-01-12T14:48:00Z</dcterms:created>
  <dc:creator>User</dc:creator>
  <cp:lastModifiedBy>EDNA.ESCOBAR</cp:lastModifiedBy>
  <cp:lastPrinted>2025-07-03T10:59:00Z</cp:lastPrinted>
  <dcterms:modified xsi:type="dcterms:W3CDTF">2025-07-17T14:30:43Z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2024-01-12T00:00:00Z</vt:filetime>
  </property>
  <property fmtid="{D5CDD505-2E9C-101B-9397-08002B2CF9AE}" pid="5" name="KSOProductBuildVer">
    <vt:lpwstr>1046-12.2.0.21931</vt:lpwstr>
  </property>
  <property fmtid="{D5CDD505-2E9C-101B-9397-08002B2CF9AE}" pid="6" name="ICV">
    <vt:lpwstr>4697EA9AFA4C44799CD71F9EFD0CB7E0_13</vt:lpwstr>
  </property>
</Properties>
</file>