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56AAF8">
      <w:bookmarkStart w:id="3" w:name="_GoBack"/>
      <w:bookmarkEnd w:id="3"/>
    </w:p>
    <w:p w14:paraId="5AE9B320">
      <w:pPr>
        <w:spacing w:line="360" w:lineRule="auto"/>
        <w:jc w:val="center"/>
        <w:rPr>
          <w:b/>
          <w:bCs/>
          <w:sz w:val="24"/>
          <w:szCs w:val="24"/>
        </w:rPr>
      </w:pPr>
      <w:r>
        <w:rPr>
          <w:b/>
          <w:bCs/>
          <w:sz w:val="24"/>
          <w:szCs w:val="24"/>
        </w:rPr>
        <w:t>ANEXO V</w:t>
      </w:r>
    </w:p>
    <w:p w14:paraId="5289B3F5">
      <w:pPr>
        <w:spacing w:line="360" w:lineRule="auto"/>
        <w:jc w:val="center"/>
        <w:rPr>
          <w:b/>
          <w:bCs/>
          <w:sz w:val="10"/>
          <w:szCs w:val="10"/>
        </w:rPr>
      </w:pPr>
    </w:p>
    <w:p w14:paraId="07C995F9">
      <w:pPr>
        <w:spacing w:line="360" w:lineRule="auto"/>
        <w:jc w:val="center"/>
        <w:rPr>
          <w:b/>
          <w:bCs/>
          <w:sz w:val="24"/>
          <w:szCs w:val="24"/>
        </w:rPr>
      </w:pPr>
      <w:r>
        <w:rPr>
          <w:b/>
          <w:bCs/>
          <w:sz w:val="24"/>
          <w:szCs w:val="24"/>
        </w:rPr>
        <w:t>TERMO DE REFERÊNCIA/PROJETO BÁSICO</w:t>
      </w:r>
    </w:p>
    <w:p w14:paraId="5B8B2E5F">
      <w:pPr>
        <w:spacing w:line="360" w:lineRule="auto"/>
        <w:jc w:val="center"/>
        <w:rPr>
          <w:b/>
          <w:bCs/>
          <w:sz w:val="10"/>
          <w:szCs w:val="10"/>
        </w:rPr>
      </w:pPr>
    </w:p>
    <w:p w14:paraId="057EE634">
      <w:pPr>
        <w:spacing w:line="360" w:lineRule="auto"/>
        <w:jc w:val="center"/>
        <w:rPr>
          <w:b/>
          <w:bCs/>
          <w:sz w:val="24"/>
          <w:szCs w:val="24"/>
        </w:rPr>
      </w:pPr>
      <w:r>
        <w:rPr>
          <w:b/>
          <w:bCs/>
          <w:sz w:val="24"/>
          <w:szCs w:val="24"/>
        </w:rPr>
        <w:t>PROCESSO ADMINISTRATIVO</w:t>
      </w:r>
    </w:p>
    <w:p w14:paraId="70521DBF">
      <w:pPr>
        <w:spacing w:line="360" w:lineRule="auto"/>
        <w:jc w:val="center"/>
        <w:rPr>
          <w:b/>
          <w:bCs/>
          <w:sz w:val="24"/>
          <w:szCs w:val="24"/>
        </w:rPr>
      </w:pPr>
    </w:p>
    <w:p w14:paraId="194C25D2">
      <w:pPr>
        <w:spacing w:line="360" w:lineRule="auto"/>
        <w:rPr>
          <w:b/>
          <w:bCs/>
          <w:sz w:val="24"/>
          <w:szCs w:val="24"/>
        </w:rPr>
      </w:pPr>
      <w:r>
        <w:rPr>
          <w:b/>
          <w:bCs/>
          <w:sz w:val="24"/>
          <w:szCs w:val="24"/>
        </w:rPr>
        <w:t>SIGILO:</w:t>
      </w:r>
      <w:r>
        <w:rPr>
          <w:b/>
          <w:bCs/>
          <w:sz w:val="24"/>
          <w:szCs w:val="24"/>
        </w:rPr>
        <w:tab/>
      </w:r>
      <w:r>
        <w:rPr>
          <w:b/>
          <w:bCs/>
          <w:sz w:val="24"/>
          <w:szCs w:val="24"/>
        </w:rPr>
        <w:t>(   ) SIM</w:t>
      </w:r>
      <w:r>
        <w:rPr>
          <w:b/>
          <w:bCs/>
          <w:sz w:val="24"/>
          <w:szCs w:val="24"/>
        </w:rPr>
        <w:tab/>
      </w:r>
      <w:r>
        <w:rPr>
          <w:b/>
          <w:bCs/>
          <w:sz w:val="24"/>
          <w:szCs w:val="24"/>
        </w:rPr>
        <w:t>( X ) NÃO</w:t>
      </w:r>
    </w:p>
    <w:p w14:paraId="19539F77">
      <w:pPr>
        <w:spacing w:line="360" w:lineRule="auto"/>
        <w:rPr>
          <w:b/>
          <w:bCs/>
          <w:sz w:val="24"/>
          <w:szCs w:val="24"/>
        </w:rPr>
      </w:pPr>
      <w:r>
        <w:rPr>
          <w:b/>
          <w:bCs/>
          <w:sz w:val="24"/>
          <w:szCs w:val="24"/>
        </w:rPr>
        <w:t>PREVISÃO NO PLANO DE CONTRATAÇÃO ANUAL:       (  ) SIM</w:t>
      </w:r>
      <w:r>
        <w:rPr>
          <w:b/>
          <w:bCs/>
          <w:sz w:val="24"/>
          <w:szCs w:val="24"/>
        </w:rPr>
        <w:tab/>
      </w:r>
      <w:r>
        <w:rPr>
          <w:b/>
          <w:bCs/>
          <w:sz w:val="24"/>
          <w:szCs w:val="24"/>
        </w:rPr>
        <w:t>( X ) NÃO</w:t>
      </w:r>
    </w:p>
    <w:p w14:paraId="38195838">
      <w:pPr>
        <w:spacing w:line="360" w:lineRule="auto"/>
        <w:rPr>
          <w:i/>
          <w:iCs/>
        </w:rPr>
      </w:pPr>
      <w:r>
        <w:rPr>
          <w:b/>
          <w:bCs/>
          <w:u w:val="single"/>
        </w:rPr>
        <w:t>Obs.:</w:t>
      </w:r>
      <w:r>
        <w:t xml:space="preserve"> Foi  solicitado  a inclusão no  dia  16/05/2025, por  meio do  Ofício  0382/2025/SST/GCM/COMPRAS-ORÇAMENTO (protocolo 17838/2025).</w:t>
      </w:r>
    </w:p>
    <w:p w14:paraId="3F5A3AD4">
      <w:pPr>
        <w:rPr>
          <w:sz w:val="10"/>
          <w:szCs w:val="10"/>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44"/>
        <w:gridCol w:w="4644"/>
      </w:tblGrid>
      <w:tr w14:paraId="3AC86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88" w:type="dxa"/>
            <w:gridSpan w:val="2"/>
            <w:shd w:val="clear" w:color="auto" w:fill="D6E3BC" w:themeFill="accent3" w:themeFillTint="66"/>
          </w:tcPr>
          <w:p w14:paraId="038FB2BB">
            <w:pPr>
              <w:rPr>
                <w:sz w:val="24"/>
                <w:szCs w:val="24"/>
              </w:rPr>
            </w:pPr>
            <w:r>
              <w:rPr>
                <w:b/>
                <w:bCs/>
                <w:sz w:val="24"/>
                <w:szCs w:val="24"/>
              </w:rPr>
              <w:t>1 - ÁREA DEMANDANTE</w:t>
            </w:r>
          </w:p>
        </w:tc>
      </w:tr>
      <w:tr w14:paraId="0F60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2"/>
          </w:tcPr>
          <w:p w14:paraId="367D6F17">
            <w:pPr>
              <w:rPr>
                <w:sz w:val="24"/>
                <w:szCs w:val="24"/>
              </w:rPr>
            </w:pPr>
            <w:r>
              <w:rPr>
                <w:b/>
                <w:bCs/>
                <w:sz w:val="24"/>
                <w:szCs w:val="24"/>
              </w:rPr>
              <w:t>Secretaria Demandante:</w:t>
            </w:r>
          </w:p>
          <w:p w14:paraId="051B9CF3">
            <w:pPr>
              <w:rPr>
                <w:sz w:val="24"/>
                <w:szCs w:val="24"/>
              </w:rPr>
            </w:pPr>
            <w:r>
              <w:rPr>
                <w:sz w:val="24"/>
                <w:szCs w:val="24"/>
              </w:rPr>
              <w:t>SECRETARIA MUNICIPAL DE SEGURANÇA E TRÂNSITO - SST</w:t>
            </w:r>
          </w:p>
        </w:tc>
      </w:tr>
      <w:tr w14:paraId="5155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gridSpan w:val="2"/>
          </w:tcPr>
          <w:p w14:paraId="111A0C6A">
            <w:pPr>
              <w:rPr>
                <w:sz w:val="24"/>
                <w:szCs w:val="24"/>
              </w:rPr>
            </w:pPr>
            <w:r>
              <w:rPr>
                <w:b/>
                <w:bCs/>
                <w:sz w:val="24"/>
                <w:szCs w:val="24"/>
              </w:rPr>
              <w:t>Secretário:</w:t>
            </w:r>
          </w:p>
          <w:p w14:paraId="2F5B017F">
            <w:pPr>
              <w:rPr>
                <w:sz w:val="24"/>
                <w:szCs w:val="24"/>
              </w:rPr>
            </w:pPr>
            <w:r>
              <w:rPr>
                <w:sz w:val="24"/>
                <w:szCs w:val="24"/>
              </w:rPr>
              <w:t>WESNEY DE CASTRO SODRE</w:t>
            </w:r>
          </w:p>
        </w:tc>
      </w:tr>
      <w:tr w14:paraId="3E04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tcPr>
          <w:p w14:paraId="4AD7371A">
            <w:pPr>
              <w:rPr>
                <w:sz w:val="24"/>
                <w:szCs w:val="24"/>
              </w:rPr>
            </w:pPr>
            <w:r>
              <w:rPr>
                <w:b/>
                <w:bCs/>
                <w:sz w:val="24"/>
                <w:szCs w:val="24"/>
              </w:rPr>
              <w:t>Email (institucional):</w:t>
            </w:r>
          </w:p>
          <w:p w14:paraId="3D69AF7F">
            <w:pPr>
              <w:rPr>
                <w:sz w:val="24"/>
                <w:szCs w:val="24"/>
              </w:rPr>
            </w:pPr>
            <w:r>
              <w:rPr>
                <w:sz w:val="24"/>
                <w:szCs w:val="24"/>
              </w:rPr>
              <w:t>gcm.sinop.operacional@sinop.mt.gov.br</w:t>
            </w:r>
          </w:p>
        </w:tc>
        <w:tc>
          <w:tcPr>
            <w:tcW w:w="4644" w:type="dxa"/>
          </w:tcPr>
          <w:p w14:paraId="1A7E66D1">
            <w:pPr>
              <w:rPr>
                <w:sz w:val="24"/>
                <w:szCs w:val="24"/>
              </w:rPr>
            </w:pPr>
            <w:r>
              <w:rPr>
                <w:b/>
                <w:bCs/>
                <w:sz w:val="24"/>
                <w:szCs w:val="24"/>
              </w:rPr>
              <w:t>Telefone (Institucional):</w:t>
            </w:r>
          </w:p>
          <w:p w14:paraId="7E3B24EE">
            <w:pPr>
              <w:rPr>
                <w:sz w:val="24"/>
                <w:szCs w:val="24"/>
              </w:rPr>
            </w:pPr>
            <w:r>
              <w:rPr>
                <w:sz w:val="24"/>
                <w:szCs w:val="24"/>
              </w:rPr>
              <w:t>66 3511-1854  /  66 9.9907-2731</w:t>
            </w:r>
          </w:p>
        </w:tc>
      </w:tr>
    </w:tbl>
    <w:p w14:paraId="58BF9E29">
      <w:pPr>
        <w:rPr>
          <w:sz w:val="24"/>
          <w:szCs w:val="24"/>
        </w:rPr>
      </w:pPr>
    </w:p>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7"/>
      </w:tblGrid>
      <w:tr w14:paraId="4AC27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67" w:type="dxa"/>
            <w:shd w:val="clear" w:color="auto" w:fill="D6E3BC" w:themeFill="accent3" w:themeFillTint="66"/>
          </w:tcPr>
          <w:p w14:paraId="4A23640F">
            <w:pPr>
              <w:rPr>
                <w:sz w:val="24"/>
                <w:szCs w:val="24"/>
              </w:rPr>
            </w:pPr>
            <w:r>
              <w:rPr>
                <w:b/>
                <w:bCs/>
                <w:sz w:val="24"/>
                <w:szCs w:val="24"/>
              </w:rPr>
              <w:t>2 – OBJETO</w:t>
            </w:r>
          </w:p>
        </w:tc>
      </w:tr>
      <w:tr w14:paraId="3E999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20C7B778">
            <w:pPr>
              <w:rPr>
                <w:sz w:val="24"/>
                <w:szCs w:val="24"/>
              </w:rPr>
            </w:pPr>
            <w:r>
              <w:rPr>
                <w:b/>
                <w:bCs/>
                <w:sz w:val="24"/>
                <w:szCs w:val="24"/>
              </w:rPr>
              <w:t>2.1 Especificação do objeto:</w:t>
            </w:r>
          </w:p>
          <w:p w14:paraId="28D64173">
            <w:pPr>
              <w:jc w:val="both"/>
              <w:rPr>
                <w:sz w:val="24"/>
                <w:szCs w:val="24"/>
              </w:rPr>
            </w:pPr>
            <w:r>
              <w:rPr>
                <w:sz w:val="24"/>
                <w:szCs w:val="24"/>
              </w:rPr>
              <w:t>Processo Licitatório, na modalidade de CREDENCIAMENTO, tendo como objeto a “CONTRATAÇÃO DE EMPRESA (S) ESPECIALIZADA (S) NA PRESTAÇÃO DE SERVIÇOS DE GUARDA COM DISPONIBILIZAÇÃO DE PÁTIO E GUINCHO, PARA RECOLHIMENTO DE VEÍCULOS LEVES E PESADOS, OBJETO DE MEDIDAS ADMINISTRATIVAS PREVISTAS NA LEI FEDERAL Nº 9.503/1997 E LEI MUNICIPAL N° 2.985/2021 (COM ALTERAÇÕES TRAZIDAS PELAS LEIS 2998/2021 E 3449/2025), NO MUNICÍPIO DE SINOP/MT, BEM COMO, NO SERVIÇO DE REMOÇÃO, DESTOMBAMENTO OU IÇAMENTO DE VEÍCULOS ACIDENTADOS OU ABANDONADOS NAS VIAS MUNICIPAIS”.</w:t>
            </w:r>
          </w:p>
        </w:tc>
      </w:tr>
      <w:tr w14:paraId="247C1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2649ECE5">
            <w:pPr>
              <w:rPr>
                <w:b/>
                <w:bCs/>
              </w:rPr>
            </w:pPr>
            <w:r>
              <w:rPr>
                <w:b/>
                <w:bCs/>
              </w:rPr>
              <w:t>2.2 Descrição e quantidades</w:t>
            </w:r>
          </w:p>
          <w:p w14:paraId="7D11DD36">
            <w:pPr>
              <w:jc w:val="both"/>
            </w:pPr>
            <w:r>
              <w:t>Trata-se de um processo de credenciamento, onde todas as empresas que atenderem aos requisitos estipulados no edital, irão prestar os mesmos serviços, com os valores estipulados na Lei Municipal nº 2.985/2021 (com alterações trazidas pelas Leis 2998/2021 e 3449/2025). Os valores constantes na Lei estão todos em Unidade de Referência (Lei Complementar 109/2014) e, para o ano de 2025, utilizamos o Decreto 356/2024 que fixou a U.R. para o ano de 2025 em R$ 3,75 (três reais e setenta e cinco centavos).</w:t>
            </w:r>
          </w:p>
          <w:tbl>
            <w:tblPr>
              <w:tblStyle w:val="12"/>
              <w:tblW w:w="8811"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90"/>
              <w:gridCol w:w="933"/>
              <w:gridCol w:w="992"/>
              <w:gridCol w:w="2552"/>
              <w:gridCol w:w="850"/>
              <w:gridCol w:w="709"/>
              <w:gridCol w:w="992"/>
              <w:gridCol w:w="993"/>
            </w:tblGrid>
            <w:tr w14:paraId="562ACDD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3C25FDD8">
                  <w:pPr>
                    <w:jc w:val="center"/>
                    <w:rPr>
                      <w:b/>
                      <w:bCs/>
                    </w:rPr>
                  </w:pPr>
                  <w:r>
                    <w:rPr>
                      <w:b/>
                      <w:bCs/>
                    </w:rPr>
                    <w:t>Item</w:t>
                  </w:r>
                </w:p>
              </w:tc>
              <w:tc>
                <w:tcPr>
                  <w:tcW w:w="933" w:type="dxa"/>
                </w:tcPr>
                <w:p w14:paraId="593C4C35">
                  <w:pPr>
                    <w:jc w:val="center"/>
                    <w:rPr>
                      <w:b/>
                      <w:bCs/>
                    </w:rPr>
                  </w:pPr>
                  <w:r>
                    <w:rPr>
                      <w:b/>
                      <w:bCs/>
                    </w:rPr>
                    <w:t>Cod. TCE</w:t>
                  </w:r>
                </w:p>
              </w:tc>
              <w:tc>
                <w:tcPr>
                  <w:tcW w:w="992" w:type="dxa"/>
                </w:tcPr>
                <w:p w14:paraId="18882B6D">
                  <w:pPr>
                    <w:jc w:val="center"/>
                    <w:rPr>
                      <w:b/>
                      <w:bCs/>
                    </w:rPr>
                  </w:pPr>
                  <w:r>
                    <w:rPr>
                      <w:b/>
                      <w:bCs/>
                    </w:rPr>
                    <w:t>COD. PREF.</w:t>
                  </w:r>
                </w:p>
              </w:tc>
              <w:tc>
                <w:tcPr>
                  <w:tcW w:w="2552" w:type="dxa"/>
                </w:tcPr>
                <w:p w14:paraId="3AF6B3EA">
                  <w:pPr>
                    <w:jc w:val="center"/>
                    <w:rPr>
                      <w:b/>
                      <w:bCs/>
                    </w:rPr>
                  </w:pPr>
                  <w:r>
                    <w:rPr>
                      <w:b/>
                      <w:bCs/>
                    </w:rPr>
                    <w:t>DESCRIÇÃO</w:t>
                  </w:r>
                </w:p>
              </w:tc>
              <w:tc>
                <w:tcPr>
                  <w:tcW w:w="850" w:type="dxa"/>
                </w:tcPr>
                <w:p w14:paraId="2560DE25">
                  <w:pPr>
                    <w:jc w:val="center"/>
                    <w:rPr>
                      <w:b/>
                      <w:bCs/>
                    </w:rPr>
                  </w:pPr>
                  <w:r>
                    <w:rPr>
                      <w:b/>
                      <w:bCs/>
                    </w:rPr>
                    <w:t>UND. FORN.</w:t>
                  </w:r>
                </w:p>
              </w:tc>
              <w:tc>
                <w:tcPr>
                  <w:tcW w:w="709" w:type="dxa"/>
                </w:tcPr>
                <w:p w14:paraId="1036E585">
                  <w:pPr>
                    <w:jc w:val="center"/>
                    <w:rPr>
                      <w:b/>
                      <w:bCs/>
                    </w:rPr>
                  </w:pPr>
                  <w:r>
                    <w:rPr>
                      <w:b/>
                      <w:bCs/>
                    </w:rPr>
                    <w:t>QTD.</w:t>
                  </w:r>
                </w:p>
              </w:tc>
              <w:tc>
                <w:tcPr>
                  <w:tcW w:w="992" w:type="dxa"/>
                </w:tcPr>
                <w:p w14:paraId="3703E96D">
                  <w:pPr>
                    <w:jc w:val="center"/>
                    <w:rPr>
                      <w:b/>
                      <w:bCs/>
                    </w:rPr>
                  </w:pPr>
                  <w:r>
                    <w:rPr>
                      <w:b/>
                      <w:bCs/>
                    </w:rPr>
                    <w:t xml:space="preserve">VALOR </w:t>
                  </w:r>
                </w:p>
                <w:p w14:paraId="1CAE913B">
                  <w:pPr>
                    <w:jc w:val="center"/>
                    <w:rPr>
                      <w:b/>
                      <w:bCs/>
                    </w:rPr>
                  </w:pPr>
                  <w:r>
                    <w:rPr>
                      <w:b/>
                      <w:bCs/>
                    </w:rPr>
                    <w:t>UNI.</w:t>
                  </w:r>
                </w:p>
              </w:tc>
              <w:tc>
                <w:tcPr>
                  <w:tcW w:w="993" w:type="dxa"/>
                </w:tcPr>
                <w:p w14:paraId="250FDC03">
                  <w:pPr>
                    <w:jc w:val="center"/>
                    <w:rPr>
                      <w:b/>
                      <w:bCs/>
                    </w:rPr>
                  </w:pPr>
                  <w:r>
                    <w:rPr>
                      <w:b/>
                      <w:bCs/>
                    </w:rPr>
                    <w:t>VALOR TOTAL</w:t>
                  </w:r>
                </w:p>
              </w:tc>
            </w:tr>
            <w:tr w14:paraId="306B34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43267A81">
                  <w:pPr>
                    <w:jc w:val="both"/>
                  </w:pPr>
                  <w:r>
                    <w:t>01</w:t>
                  </w:r>
                </w:p>
              </w:tc>
              <w:tc>
                <w:tcPr>
                  <w:tcW w:w="933" w:type="dxa"/>
                </w:tcPr>
                <w:p w14:paraId="51D1C2C4">
                  <w:pPr>
                    <w:jc w:val="both"/>
                  </w:pPr>
                  <w:r>
                    <w:t>0009676</w:t>
                  </w:r>
                </w:p>
              </w:tc>
              <w:tc>
                <w:tcPr>
                  <w:tcW w:w="992" w:type="dxa"/>
                </w:tcPr>
                <w:p w14:paraId="36368DD1">
                  <w:pPr>
                    <w:jc w:val="center"/>
                  </w:pPr>
                  <w:r>
                    <w:t>407468</w:t>
                  </w:r>
                </w:p>
              </w:tc>
              <w:tc>
                <w:tcPr>
                  <w:tcW w:w="2552" w:type="dxa"/>
                </w:tcPr>
                <w:p w14:paraId="65EB546E">
                  <w:pPr>
                    <w:jc w:val="both"/>
                  </w:pPr>
                  <w:r>
                    <w:t>Taxa de Deposito em Pátio. Estada no pátio para Caçambas, Container e similares. Serviço criado e regulamentado pela Lei Municipal 2985/2021, atualizada pelas Leis 2998/2021 e 3449/2025. O valor da diária (24hs) e de 9,1 Unidades de Referencia - U.R. (Lei Comp. 109/2014).</w:t>
                  </w:r>
                </w:p>
              </w:tc>
              <w:tc>
                <w:tcPr>
                  <w:tcW w:w="850" w:type="dxa"/>
                </w:tcPr>
                <w:p w14:paraId="1012E112">
                  <w:pPr>
                    <w:jc w:val="center"/>
                  </w:pPr>
                  <w:r>
                    <w:t>DIA</w:t>
                  </w:r>
                </w:p>
              </w:tc>
              <w:tc>
                <w:tcPr>
                  <w:tcW w:w="709" w:type="dxa"/>
                </w:tcPr>
                <w:p w14:paraId="3F51329A">
                  <w:pPr>
                    <w:jc w:val="center"/>
                  </w:pPr>
                  <w:r>
                    <w:t>100</w:t>
                  </w:r>
                </w:p>
              </w:tc>
              <w:tc>
                <w:tcPr>
                  <w:tcW w:w="992" w:type="dxa"/>
                </w:tcPr>
                <w:p w14:paraId="3CD79212">
                  <w:pPr>
                    <w:jc w:val="center"/>
                  </w:pPr>
                  <w:r>
                    <w:t>34,13</w:t>
                  </w:r>
                </w:p>
              </w:tc>
              <w:tc>
                <w:tcPr>
                  <w:tcW w:w="993" w:type="dxa"/>
                </w:tcPr>
                <w:p w14:paraId="290F073A">
                  <w:pPr>
                    <w:jc w:val="center"/>
                  </w:pPr>
                  <w:r>
                    <w:t>R$ 3.413,00</w:t>
                  </w:r>
                </w:p>
              </w:tc>
            </w:tr>
            <w:tr w14:paraId="7E6C00E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BD77DB8">
                  <w:pPr>
                    <w:jc w:val="both"/>
                  </w:pPr>
                  <w:r>
                    <w:t>02</w:t>
                  </w:r>
                </w:p>
              </w:tc>
              <w:tc>
                <w:tcPr>
                  <w:tcW w:w="933" w:type="dxa"/>
                </w:tcPr>
                <w:p w14:paraId="18C8DC03">
                  <w:pPr>
                    <w:jc w:val="both"/>
                  </w:pPr>
                  <w:r>
                    <w:t>0009676</w:t>
                  </w:r>
                </w:p>
              </w:tc>
              <w:tc>
                <w:tcPr>
                  <w:tcW w:w="992" w:type="dxa"/>
                </w:tcPr>
                <w:p w14:paraId="34FEAC40">
                  <w:pPr>
                    <w:jc w:val="both"/>
                  </w:pPr>
                  <w:r>
                    <w:t>407469</w:t>
                  </w:r>
                </w:p>
              </w:tc>
              <w:tc>
                <w:tcPr>
                  <w:tcW w:w="2552" w:type="dxa"/>
                </w:tcPr>
                <w:p w14:paraId="2922D3C4">
                  <w:pPr>
                    <w:jc w:val="both"/>
                  </w:pPr>
                  <w:r>
                    <w:t>Taxa de Deposito em Pátio. Estada no pátio para Carretinhas. Serviço criado e regulamentado pela Lei Municipal 2985/2021, atualizada pelas Leis 2998/2021 e 3449/2025. O valor da diária (24hs) e de 9,1 Unidades de Referencia - U.R. (Lei Comp. 109/2014).</w:t>
                  </w:r>
                </w:p>
              </w:tc>
              <w:tc>
                <w:tcPr>
                  <w:tcW w:w="850" w:type="dxa"/>
                </w:tcPr>
                <w:p w14:paraId="3822C8BE">
                  <w:pPr>
                    <w:jc w:val="center"/>
                  </w:pPr>
                  <w:r>
                    <w:t>DIA</w:t>
                  </w:r>
                </w:p>
              </w:tc>
              <w:tc>
                <w:tcPr>
                  <w:tcW w:w="709" w:type="dxa"/>
                </w:tcPr>
                <w:p w14:paraId="297BDFE4">
                  <w:pPr>
                    <w:jc w:val="center"/>
                  </w:pPr>
                  <w:r>
                    <w:t>100</w:t>
                  </w:r>
                </w:p>
              </w:tc>
              <w:tc>
                <w:tcPr>
                  <w:tcW w:w="992" w:type="dxa"/>
                </w:tcPr>
                <w:p w14:paraId="18E5554B">
                  <w:pPr>
                    <w:jc w:val="center"/>
                  </w:pPr>
                  <w:r>
                    <w:t>34,13</w:t>
                  </w:r>
                </w:p>
              </w:tc>
              <w:tc>
                <w:tcPr>
                  <w:tcW w:w="993" w:type="dxa"/>
                </w:tcPr>
                <w:p w14:paraId="1048F084">
                  <w:pPr>
                    <w:jc w:val="center"/>
                  </w:pPr>
                  <w:r>
                    <w:t>R$ 3.413,00</w:t>
                  </w:r>
                </w:p>
              </w:tc>
            </w:tr>
            <w:tr w14:paraId="518112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06C2B4A">
                  <w:pPr>
                    <w:jc w:val="both"/>
                  </w:pPr>
                  <w:r>
                    <w:t>03</w:t>
                  </w:r>
                </w:p>
              </w:tc>
              <w:tc>
                <w:tcPr>
                  <w:tcW w:w="933" w:type="dxa"/>
                </w:tcPr>
                <w:p w14:paraId="47D908E6">
                  <w:pPr>
                    <w:jc w:val="both"/>
                  </w:pPr>
                  <w:r>
                    <w:t>0009675</w:t>
                  </w:r>
                </w:p>
              </w:tc>
              <w:tc>
                <w:tcPr>
                  <w:tcW w:w="992" w:type="dxa"/>
                </w:tcPr>
                <w:p w14:paraId="20C5695C">
                  <w:pPr>
                    <w:jc w:val="both"/>
                  </w:pPr>
                  <w:r>
                    <w:t>407452</w:t>
                  </w:r>
                </w:p>
              </w:tc>
              <w:tc>
                <w:tcPr>
                  <w:tcW w:w="2552" w:type="dxa"/>
                </w:tcPr>
                <w:p w14:paraId="1C192047">
                  <w:pPr>
                    <w:jc w:val="both"/>
                  </w:pPr>
                  <w:r>
                    <w:t>"Taxa de Deposito em Pátio. Estada no pátio para motocicletas, ciclomotores e triciclos (veículos com 03 rodas), com ou sem</w:t>
                  </w:r>
                </w:p>
                <w:p w14:paraId="5067C018">
                  <w:pPr>
                    <w:jc w:val="both"/>
                  </w:pPr>
                  <w:r>
                    <w:t>reboque lateral, limitadas a 180 dias. Serviço criado e regulamentado pela Lei Municipal 2985/2021, atualizada pelas Leis 2998/2021 e 3449/2025. O valor da diária (24hs) e de 9,1 Unidades de Referencia - U.R. (Lei Comp.109/2014). "</w:t>
                  </w:r>
                </w:p>
              </w:tc>
              <w:tc>
                <w:tcPr>
                  <w:tcW w:w="850" w:type="dxa"/>
                </w:tcPr>
                <w:p w14:paraId="3741321C">
                  <w:pPr>
                    <w:jc w:val="center"/>
                  </w:pPr>
                  <w:r>
                    <w:t>DIA</w:t>
                  </w:r>
                </w:p>
              </w:tc>
              <w:tc>
                <w:tcPr>
                  <w:tcW w:w="709" w:type="dxa"/>
                </w:tcPr>
                <w:p w14:paraId="5B2C2A65">
                  <w:pPr>
                    <w:jc w:val="center"/>
                  </w:pPr>
                  <w:r>
                    <w:t>100</w:t>
                  </w:r>
                </w:p>
              </w:tc>
              <w:tc>
                <w:tcPr>
                  <w:tcW w:w="992" w:type="dxa"/>
                </w:tcPr>
                <w:p w14:paraId="472EB92C">
                  <w:pPr>
                    <w:jc w:val="center"/>
                  </w:pPr>
                  <w:r>
                    <w:t>81,75</w:t>
                  </w:r>
                </w:p>
              </w:tc>
              <w:tc>
                <w:tcPr>
                  <w:tcW w:w="993" w:type="dxa"/>
                </w:tcPr>
                <w:p w14:paraId="486356CF">
                  <w:pPr>
                    <w:jc w:val="center"/>
                  </w:pPr>
                  <w:r>
                    <w:t>R$ 3.413,00</w:t>
                  </w:r>
                </w:p>
              </w:tc>
            </w:tr>
            <w:tr w14:paraId="3E3156F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5FA535F3">
                  <w:pPr>
                    <w:jc w:val="both"/>
                  </w:pPr>
                  <w:r>
                    <w:t>04</w:t>
                  </w:r>
                </w:p>
              </w:tc>
              <w:tc>
                <w:tcPr>
                  <w:tcW w:w="933" w:type="dxa"/>
                </w:tcPr>
                <w:p w14:paraId="1C993544">
                  <w:pPr>
                    <w:jc w:val="both"/>
                  </w:pPr>
                  <w:r>
                    <w:t>0009678</w:t>
                  </w:r>
                </w:p>
              </w:tc>
              <w:tc>
                <w:tcPr>
                  <w:tcW w:w="992" w:type="dxa"/>
                </w:tcPr>
                <w:p w14:paraId="6013A748">
                  <w:pPr>
                    <w:jc w:val="both"/>
                  </w:pPr>
                  <w:r>
                    <w:t>407467</w:t>
                  </w:r>
                </w:p>
              </w:tc>
              <w:tc>
                <w:tcPr>
                  <w:tcW w:w="2552" w:type="dxa"/>
                </w:tcPr>
                <w:p w14:paraId="6D056698">
                  <w:pPr>
                    <w:jc w:val="both"/>
                  </w:pPr>
                  <w:r>
                    <w:t>Taxa de Deposito em Pátio. Estada no pátio para veículos articulados, reboque e semirreboque (por documento), limitadas a 180 dias. Serviço criado e regulamentado pela Lei Municipal 2985/2021, atualizada pelas Leis 2998/2021 e 3449/2025. O valor da diária (24hs) e de 21,8 Unidades de Referencia - U.R. (Lei Comp. 109/2014).</w:t>
                  </w:r>
                </w:p>
              </w:tc>
              <w:tc>
                <w:tcPr>
                  <w:tcW w:w="850" w:type="dxa"/>
                </w:tcPr>
                <w:p w14:paraId="033DD593">
                  <w:pPr>
                    <w:jc w:val="center"/>
                  </w:pPr>
                  <w:r>
                    <w:t>DIA</w:t>
                  </w:r>
                </w:p>
              </w:tc>
              <w:tc>
                <w:tcPr>
                  <w:tcW w:w="709" w:type="dxa"/>
                </w:tcPr>
                <w:p w14:paraId="763721B8">
                  <w:pPr>
                    <w:jc w:val="center"/>
                  </w:pPr>
                  <w:r>
                    <w:t>100</w:t>
                  </w:r>
                </w:p>
              </w:tc>
              <w:tc>
                <w:tcPr>
                  <w:tcW w:w="992" w:type="dxa"/>
                </w:tcPr>
                <w:p w14:paraId="3DA2BA30">
                  <w:pPr>
                    <w:jc w:val="center"/>
                  </w:pPr>
                  <w:r>
                    <w:t>81,75</w:t>
                  </w:r>
                </w:p>
              </w:tc>
              <w:tc>
                <w:tcPr>
                  <w:tcW w:w="993" w:type="dxa"/>
                </w:tcPr>
                <w:p w14:paraId="3C158E53">
                  <w:pPr>
                    <w:jc w:val="center"/>
                  </w:pPr>
                  <w:r>
                    <w:t>R$ 8.175,00</w:t>
                  </w:r>
                </w:p>
              </w:tc>
            </w:tr>
            <w:tr w14:paraId="0FE0DC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2BA0D717">
                  <w:pPr>
                    <w:jc w:val="both"/>
                  </w:pPr>
                  <w:r>
                    <w:t>05</w:t>
                  </w:r>
                </w:p>
              </w:tc>
              <w:tc>
                <w:tcPr>
                  <w:tcW w:w="933" w:type="dxa"/>
                </w:tcPr>
                <w:p w14:paraId="54686565">
                  <w:pPr>
                    <w:jc w:val="both"/>
                  </w:pPr>
                  <w:r>
                    <w:t>0009678</w:t>
                  </w:r>
                </w:p>
              </w:tc>
              <w:tc>
                <w:tcPr>
                  <w:tcW w:w="992" w:type="dxa"/>
                </w:tcPr>
                <w:p w14:paraId="4406BDF1">
                  <w:pPr>
                    <w:jc w:val="both"/>
                  </w:pPr>
                  <w:r>
                    <w:t>407465</w:t>
                  </w:r>
                </w:p>
              </w:tc>
              <w:tc>
                <w:tcPr>
                  <w:tcW w:w="2552" w:type="dxa"/>
                </w:tcPr>
                <w:p w14:paraId="51B18FC1">
                  <w:pPr>
                    <w:jc w:val="both"/>
                  </w:pPr>
                  <w:r>
                    <w:t>Taxa de Depósito em Pátio. Estada no pátio para veículos de carga ou passageiros com peso bruto superior a 3.500 kg, limitadas a 180 dias. Serviço criado e regulamentado pela Lei Municipal 2985/2021, atualizada pelas Leis 2998/2021 e 3449/2025. O valor da diária (24hs) e de 21,8 Unidades de Referencia - U.R. (Lei Comp. 109/2014).</w:t>
                  </w:r>
                </w:p>
              </w:tc>
              <w:tc>
                <w:tcPr>
                  <w:tcW w:w="850" w:type="dxa"/>
                </w:tcPr>
                <w:p w14:paraId="23E4CAB6">
                  <w:pPr>
                    <w:jc w:val="center"/>
                  </w:pPr>
                  <w:r>
                    <w:t>DIA</w:t>
                  </w:r>
                </w:p>
              </w:tc>
              <w:tc>
                <w:tcPr>
                  <w:tcW w:w="709" w:type="dxa"/>
                </w:tcPr>
                <w:p w14:paraId="1B417BAA">
                  <w:pPr>
                    <w:jc w:val="center"/>
                  </w:pPr>
                  <w:r>
                    <w:t>100</w:t>
                  </w:r>
                </w:p>
              </w:tc>
              <w:tc>
                <w:tcPr>
                  <w:tcW w:w="992" w:type="dxa"/>
                </w:tcPr>
                <w:p w14:paraId="3A31F08A">
                  <w:pPr>
                    <w:jc w:val="center"/>
                  </w:pPr>
                  <w:r>
                    <w:t>81,75</w:t>
                  </w:r>
                </w:p>
              </w:tc>
              <w:tc>
                <w:tcPr>
                  <w:tcW w:w="993" w:type="dxa"/>
                </w:tcPr>
                <w:p w14:paraId="28E5B86C">
                  <w:pPr>
                    <w:jc w:val="center"/>
                  </w:pPr>
                  <w:r>
                    <w:t>R$ 8.175,00</w:t>
                  </w:r>
                </w:p>
              </w:tc>
            </w:tr>
            <w:tr w14:paraId="65A9BE1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25904B48">
                  <w:pPr>
                    <w:jc w:val="both"/>
                  </w:pPr>
                  <w:r>
                    <w:t>06</w:t>
                  </w:r>
                </w:p>
              </w:tc>
              <w:tc>
                <w:tcPr>
                  <w:tcW w:w="933" w:type="dxa"/>
                </w:tcPr>
                <w:p w14:paraId="2BA4C04E">
                  <w:pPr>
                    <w:jc w:val="both"/>
                  </w:pPr>
                  <w:r>
                    <w:t>0009676</w:t>
                  </w:r>
                </w:p>
              </w:tc>
              <w:tc>
                <w:tcPr>
                  <w:tcW w:w="992" w:type="dxa"/>
                </w:tcPr>
                <w:p w14:paraId="6A723E2F">
                  <w:pPr>
                    <w:jc w:val="both"/>
                  </w:pPr>
                  <w:r>
                    <w:t>407455</w:t>
                  </w:r>
                </w:p>
              </w:tc>
              <w:tc>
                <w:tcPr>
                  <w:tcW w:w="2552" w:type="dxa"/>
                </w:tcPr>
                <w:p w14:paraId="3BC886B6">
                  <w:pPr>
                    <w:jc w:val="both"/>
                  </w:pPr>
                  <w:r>
                    <w:t>Taxa de Deposito em Pátio. Estada no pátio para veículos de passeio, utilitário e similares que não ultrapassem o peso bruto total de 3.500 Kg, limitadas a 180 dias. Serviço criado e regulamentado pela Lei Municipal 2985/2021, atualizada pelas Leis 2998/2021 e 3449/2025. O valor da diária (24hs) e de 14,9 Unidades de Referencia - U.R. (Lei Comp. 109/2014).</w:t>
                  </w:r>
                </w:p>
              </w:tc>
              <w:tc>
                <w:tcPr>
                  <w:tcW w:w="850" w:type="dxa"/>
                </w:tcPr>
                <w:p w14:paraId="16E4D4B4">
                  <w:pPr>
                    <w:jc w:val="center"/>
                  </w:pPr>
                  <w:r>
                    <w:t>DIA</w:t>
                  </w:r>
                </w:p>
              </w:tc>
              <w:tc>
                <w:tcPr>
                  <w:tcW w:w="709" w:type="dxa"/>
                </w:tcPr>
                <w:p w14:paraId="63C0B609">
                  <w:pPr>
                    <w:jc w:val="center"/>
                  </w:pPr>
                  <w:r>
                    <w:t>100</w:t>
                  </w:r>
                </w:p>
              </w:tc>
              <w:tc>
                <w:tcPr>
                  <w:tcW w:w="992" w:type="dxa"/>
                </w:tcPr>
                <w:p w14:paraId="73145D65">
                  <w:pPr>
                    <w:jc w:val="center"/>
                  </w:pPr>
                  <w:r>
                    <w:t>55,88</w:t>
                  </w:r>
                </w:p>
              </w:tc>
              <w:tc>
                <w:tcPr>
                  <w:tcW w:w="993" w:type="dxa"/>
                </w:tcPr>
                <w:p w14:paraId="6F4FDBA2">
                  <w:pPr>
                    <w:jc w:val="center"/>
                  </w:pPr>
                  <w:r>
                    <w:t>R$ 5.588,00</w:t>
                  </w:r>
                </w:p>
              </w:tc>
            </w:tr>
            <w:tr w14:paraId="5F0E64C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49DB772E">
                  <w:pPr>
                    <w:jc w:val="both"/>
                  </w:pPr>
                  <w:r>
                    <w:t>07</w:t>
                  </w:r>
                </w:p>
              </w:tc>
              <w:tc>
                <w:tcPr>
                  <w:tcW w:w="933" w:type="dxa"/>
                </w:tcPr>
                <w:p w14:paraId="0377EB18">
                  <w:pPr>
                    <w:jc w:val="both"/>
                  </w:pPr>
                  <w:r>
                    <w:t>00065101</w:t>
                  </w:r>
                </w:p>
              </w:tc>
              <w:tc>
                <w:tcPr>
                  <w:tcW w:w="992" w:type="dxa"/>
                </w:tcPr>
                <w:p w14:paraId="2A82A0DB">
                  <w:pPr>
                    <w:jc w:val="both"/>
                  </w:pPr>
                  <w:r>
                    <w:t>407417</w:t>
                  </w:r>
                </w:p>
              </w:tc>
              <w:tc>
                <w:tcPr>
                  <w:tcW w:w="2552" w:type="dxa"/>
                </w:tcPr>
                <w:p w14:paraId="7061C0AE">
                  <w:pPr>
                    <w:jc w:val="both"/>
                  </w:pPr>
                  <w:r>
                    <w:t>Serviço de Guincho para Caçambas, Container e similares. Serviço fixo limitado até 30 km. Serviço criado e regulamentado pela Lei Municipal 2985/2021, atualizada pelas Leis 2998/2021 e 3449/2025. Valor Fixo de 63 Unidades de Referencia - U.R. (Lei Comp. 109/2014).</w:t>
                  </w:r>
                </w:p>
              </w:tc>
              <w:tc>
                <w:tcPr>
                  <w:tcW w:w="850" w:type="dxa"/>
                </w:tcPr>
                <w:p w14:paraId="7129CC38">
                  <w:pPr>
                    <w:jc w:val="center"/>
                  </w:pPr>
                  <w:r>
                    <w:t>UND</w:t>
                  </w:r>
                </w:p>
              </w:tc>
              <w:tc>
                <w:tcPr>
                  <w:tcW w:w="709" w:type="dxa"/>
                </w:tcPr>
                <w:p w14:paraId="6B8C67AB">
                  <w:pPr>
                    <w:jc w:val="center"/>
                  </w:pPr>
                  <w:r>
                    <w:t>100</w:t>
                  </w:r>
                </w:p>
              </w:tc>
              <w:tc>
                <w:tcPr>
                  <w:tcW w:w="992" w:type="dxa"/>
                </w:tcPr>
                <w:p w14:paraId="0471F78C">
                  <w:pPr>
                    <w:jc w:val="center"/>
                  </w:pPr>
                  <w:r>
                    <w:t>236,25</w:t>
                  </w:r>
                </w:p>
              </w:tc>
              <w:tc>
                <w:tcPr>
                  <w:tcW w:w="993" w:type="dxa"/>
                </w:tcPr>
                <w:p w14:paraId="2332630B">
                  <w:pPr>
                    <w:jc w:val="center"/>
                  </w:pPr>
                  <w:r>
                    <w:t>R$ 23.625,00</w:t>
                  </w:r>
                </w:p>
              </w:tc>
            </w:tr>
            <w:tr w14:paraId="42AA22A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4E83EC98">
                  <w:pPr>
                    <w:jc w:val="both"/>
                  </w:pPr>
                  <w:r>
                    <w:t>08</w:t>
                  </w:r>
                </w:p>
              </w:tc>
              <w:tc>
                <w:tcPr>
                  <w:tcW w:w="933" w:type="dxa"/>
                </w:tcPr>
                <w:p w14:paraId="36186021">
                  <w:pPr>
                    <w:jc w:val="both"/>
                  </w:pPr>
                  <w:r>
                    <w:t>00065101</w:t>
                  </w:r>
                </w:p>
              </w:tc>
              <w:tc>
                <w:tcPr>
                  <w:tcW w:w="992" w:type="dxa"/>
                </w:tcPr>
                <w:p w14:paraId="602CB4D1">
                  <w:pPr>
                    <w:jc w:val="both"/>
                  </w:pPr>
                  <w:r>
                    <w:t>407416</w:t>
                  </w:r>
                </w:p>
              </w:tc>
              <w:tc>
                <w:tcPr>
                  <w:tcW w:w="2552" w:type="dxa"/>
                </w:tcPr>
                <w:p w14:paraId="2E21A62B">
                  <w:pPr>
                    <w:jc w:val="both"/>
                  </w:pPr>
                  <w:r>
                    <w:t>Serviço de Guincho para Carretinhas. Serviço fixo limitado até 30 km. Serviço criado e regulamentado pela Lei Municipal 2985/2021, atualizada pelas Leis 2998/2021 e 3449/2025. Valor Fixo de 48 Unidades de Referencia - U.R. (Lei Comp. 109/2014).</w:t>
                  </w:r>
                </w:p>
              </w:tc>
              <w:tc>
                <w:tcPr>
                  <w:tcW w:w="850" w:type="dxa"/>
                </w:tcPr>
                <w:p w14:paraId="5BF09D35">
                  <w:pPr>
                    <w:jc w:val="center"/>
                  </w:pPr>
                  <w:r>
                    <w:t>UND</w:t>
                  </w:r>
                </w:p>
              </w:tc>
              <w:tc>
                <w:tcPr>
                  <w:tcW w:w="709" w:type="dxa"/>
                </w:tcPr>
                <w:p w14:paraId="38CBCF13">
                  <w:pPr>
                    <w:jc w:val="center"/>
                  </w:pPr>
                  <w:r>
                    <w:t>100</w:t>
                  </w:r>
                </w:p>
              </w:tc>
              <w:tc>
                <w:tcPr>
                  <w:tcW w:w="992" w:type="dxa"/>
                </w:tcPr>
                <w:p w14:paraId="7DD3D70D">
                  <w:pPr>
                    <w:jc w:val="center"/>
                  </w:pPr>
                  <w:r>
                    <w:t>180</w:t>
                  </w:r>
                </w:p>
              </w:tc>
              <w:tc>
                <w:tcPr>
                  <w:tcW w:w="993" w:type="dxa"/>
                </w:tcPr>
                <w:p w14:paraId="42EE150B">
                  <w:pPr>
                    <w:jc w:val="center"/>
                  </w:pPr>
                  <w:r>
                    <w:t>R$ 18.000,00</w:t>
                  </w:r>
                </w:p>
              </w:tc>
            </w:tr>
            <w:tr w14:paraId="34E3934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05E29D80">
                  <w:pPr>
                    <w:jc w:val="both"/>
                  </w:pPr>
                  <w:r>
                    <w:t>09</w:t>
                  </w:r>
                </w:p>
              </w:tc>
              <w:tc>
                <w:tcPr>
                  <w:tcW w:w="933" w:type="dxa"/>
                </w:tcPr>
                <w:p w14:paraId="72F02FA8">
                  <w:pPr>
                    <w:jc w:val="both"/>
                  </w:pPr>
                  <w:r>
                    <w:t>65101</w:t>
                  </w:r>
                </w:p>
              </w:tc>
              <w:tc>
                <w:tcPr>
                  <w:tcW w:w="992" w:type="dxa"/>
                </w:tcPr>
                <w:p w14:paraId="61C0E175">
                  <w:pPr>
                    <w:jc w:val="both"/>
                  </w:pPr>
                  <w:r>
                    <w:t>407415</w:t>
                  </w:r>
                </w:p>
              </w:tc>
              <w:tc>
                <w:tcPr>
                  <w:tcW w:w="2552" w:type="dxa"/>
                </w:tcPr>
                <w:p w14:paraId="3F963AEB">
                  <w:pPr>
                    <w:jc w:val="both"/>
                  </w:pPr>
                  <w:r>
                    <w:t>Serviço de Guincho para ciclomotores e motocicletas até 600 cilindradas, com ou sem reboque lateral. Serviço fixo limitado até 30 km. Serviço criado e regulamentado pela Lei Municipal 2985/2021, atualizada pelas Leis 2998/2021 e 3449/2025. Valor Fixo de 48 Unidades de Referência - U.R. (Lei Comp. 109/2014).</w:t>
                  </w:r>
                </w:p>
              </w:tc>
              <w:tc>
                <w:tcPr>
                  <w:tcW w:w="850" w:type="dxa"/>
                </w:tcPr>
                <w:p w14:paraId="015F150E">
                  <w:pPr>
                    <w:jc w:val="center"/>
                  </w:pPr>
                  <w:r>
                    <w:t>UND</w:t>
                  </w:r>
                </w:p>
              </w:tc>
              <w:tc>
                <w:tcPr>
                  <w:tcW w:w="709" w:type="dxa"/>
                </w:tcPr>
                <w:p w14:paraId="37B758BC">
                  <w:pPr>
                    <w:jc w:val="center"/>
                  </w:pPr>
                  <w:r>
                    <w:t>3000</w:t>
                  </w:r>
                </w:p>
              </w:tc>
              <w:tc>
                <w:tcPr>
                  <w:tcW w:w="992" w:type="dxa"/>
                </w:tcPr>
                <w:p w14:paraId="36825C36">
                  <w:pPr>
                    <w:jc w:val="center"/>
                  </w:pPr>
                  <w:r>
                    <w:t>180</w:t>
                  </w:r>
                </w:p>
              </w:tc>
              <w:tc>
                <w:tcPr>
                  <w:tcW w:w="993" w:type="dxa"/>
                </w:tcPr>
                <w:p w14:paraId="0FD3E2F1">
                  <w:pPr>
                    <w:jc w:val="center"/>
                  </w:pPr>
                  <w:r>
                    <w:t>R$ 540.000,00</w:t>
                  </w:r>
                </w:p>
              </w:tc>
            </w:tr>
            <w:tr w14:paraId="569AB52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674D8091">
                  <w:pPr>
                    <w:jc w:val="both"/>
                  </w:pPr>
                  <w:r>
                    <w:t>10</w:t>
                  </w:r>
                </w:p>
              </w:tc>
              <w:tc>
                <w:tcPr>
                  <w:tcW w:w="933" w:type="dxa"/>
                </w:tcPr>
                <w:p w14:paraId="234A3184">
                  <w:pPr>
                    <w:jc w:val="both"/>
                  </w:pPr>
                  <w:r>
                    <w:t>00065101</w:t>
                  </w:r>
                </w:p>
              </w:tc>
              <w:tc>
                <w:tcPr>
                  <w:tcW w:w="992" w:type="dxa"/>
                </w:tcPr>
                <w:p w14:paraId="705A4B93">
                  <w:pPr>
                    <w:jc w:val="both"/>
                  </w:pPr>
                  <w:r>
                    <w:t>407419</w:t>
                  </w:r>
                </w:p>
              </w:tc>
              <w:tc>
                <w:tcPr>
                  <w:tcW w:w="2552" w:type="dxa"/>
                </w:tcPr>
                <w:p w14:paraId="2B324B6C">
                  <w:pPr>
                    <w:jc w:val="both"/>
                  </w:pPr>
                  <w:r>
                    <w:t>Serviço de Guincho para motocicletas acima de 600 cilindradas e triciclos (veículos com 03 rodas), com ou sem reboque lateral. Serviço fixo limitado até 30 km. Serviço criado e regulamentado pela Lei Municipal 2985/2021, atualizada pelas Leis 2998/2021 e 3449/2025. Valor Fixo de 63 Unidades de Referencia - U.R. (Lei</w:t>
                  </w:r>
                </w:p>
                <w:p w14:paraId="53123033">
                  <w:pPr>
                    <w:jc w:val="both"/>
                  </w:pPr>
                  <w:r>
                    <w:t>Comp. 109/2014).</w:t>
                  </w:r>
                </w:p>
              </w:tc>
              <w:tc>
                <w:tcPr>
                  <w:tcW w:w="850" w:type="dxa"/>
                </w:tcPr>
                <w:p w14:paraId="7BD000A5">
                  <w:pPr>
                    <w:jc w:val="center"/>
                  </w:pPr>
                  <w:r>
                    <w:t>UND</w:t>
                  </w:r>
                </w:p>
              </w:tc>
              <w:tc>
                <w:tcPr>
                  <w:tcW w:w="709" w:type="dxa"/>
                </w:tcPr>
                <w:p w14:paraId="75B5BE43">
                  <w:pPr>
                    <w:jc w:val="center"/>
                  </w:pPr>
                  <w:r>
                    <w:t>30</w:t>
                  </w:r>
                </w:p>
              </w:tc>
              <w:tc>
                <w:tcPr>
                  <w:tcW w:w="992" w:type="dxa"/>
                </w:tcPr>
                <w:p w14:paraId="58510826">
                  <w:pPr>
                    <w:jc w:val="center"/>
                  </w:pPr>
                  <w:r>
                    <w:t>263,25</w:t>
                  </w:r>
                </w:p>
              </w:tc>
              <w:tc>
                <w:tcPr>
                  <w:tcW w:w="993" w:type="dxa"/>
                </w:tcPr>
                <w:p w14:paraId="37B284BA">
                  <w:pPr>
                    <w:jc w:val="center"/>
                  </w:pPr>
                  <w:r>
                    <w:t>R$ 7.087,50</w:t>
                  </w:r>
                </w:p>
              </w:tc>
            </w:tr>
            <w:tr w14:paraId="294AB23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2299EE1E">
                  <w:pPr>
                    <w:jc w:val="both"/>
                  </w:pPr>
                  <w:r>
                    <w:t>11</w:t>
                  </w:r>
                </w:p>
              </w:tc>
              <w:tc>
                <w:tcPr>
                  <w:tcW w:w="933" w:type="dxa"/>
                </w:tcPr>
                <w:p w14:paraId="0650BCE9">
                  <w:pPr>
                    <w:jc w:val="both"/>
                  </w:pPr>
                  <w:r>
                    <w:t>214464-6</w:t>
                  </w:r>
                </w:p>
              </w:tc>
              <w:tc>
                <w:tcPr>
                  <w:tcW w:w="992" w:type="dxa"/>
                </w:tcPr>
                <w:p w14:paraId="626BD91C">
                  <w:pPr>
                    <w:jc w:val="both"/>
                  </w:pPr>
                  <w:r>
                    <w:t>407424</w:t>
                  </w:r>
                </w:p>
              </w:tc>
              <w:tc>
                <w:tcPr>
                  <w:tcW w:w="2552" w:type="dxa"/>
                </w:tcPr>
                <w:p w14:paraId="33862FAB">
                  <w:pPr>
                    <w:jc w:val="both"/>
                  </w:pPr>
                  <w:r>
                    <w:t>Serviço de Guincho para veículos articulados, reboque e semi-reboque. Serviço fixo limitado até 30 km. Serviço criado e regulamentado pela Lei Municipal 2985/2021, atualizada pelas Leis 2998/2021 e 3449/2025. Valor Fixo de 196 Unidades de Referencia - U.R. (Lei Comp.</w:t>
                  </w:r>
                </w:p>
                <w:p w14:paraId="5E74F64A">
                  <w:pPr>
                    <w:jc w:val="both"/>
                  </w:pPr>
                  <w:r>
                    <w:t>109/2014).</w:t>
                  </w:r>
                </w:p>
              </w:tc>
              <w:tc>
                <w:tcPr>
                  <w:tcW w:w="850" w:type="dxa"/>
                </w:tcPr>
                <w:p w14:paraId="48195D08">
                  <w:pPr>
                    <w:jc w:val="center"/>
                  </w:pPr>
                  <w:r>
                    <w:t>UND</w:t>
                  </w:r>
                </w:p>
              </w:tc>
              <w:tc>
                <w:tcPr>
                  <w:tcW w:w="709" w:type="dxa"/>
                </w:tcPr>
                <w:p w14:paraId="1012E82E">
                  <w:pPr>
                    <w:jc w:val="center"/>
                  </w:pPr>
                  <w:r>
                    <w:t>30</w:t>
                  </w:r>
                </w:p>
              </w:tc>
              <w:tc>
                <w:tcPr>
                  <w:tcW w:w="992" w:type="dxa"/>
                </w:tcPr>
                <w:p w14:paraId="4061F23F">
                  <w:pPr>
                    <w:jc w:val="center"/>
                  </w:pPr>
                  <w:r>
                    <w:t>735</w:t>
                  </w:r>
                </w:p>
              </w:tc>
              <w:tc>
                <w:tcPr>
                  <w:tcW w:w="993" w:type="dxa"/>
                </w:tcPr>
                <w:p w14:paraId="089723F2">
                  <w:pPr>
                    <w:jc w:val="center"/>
                  </w:pPr>
                  <w:r>
                    <w:t>R$ 22.050,00</w:t>
                  </w:r>
                </w:p>
              </w:tc>
            </w:tr>
            <w:tr w14:paraId="5A14E7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299CDABC">
                  <w:pPr>
                    <w:jc w:val="both"/>
                  </w:pPr>
                  <w:r>
                    <w:t>12</w:t>
                  </w:r>
                </w:p>
              </w:tc>
              <w:tc>
                <w:tcPr>
                  <w:tcW w:w="933" w:type="dxa"/>
                </w:tcPr>
                <w:p w14:paraId="01801932">
                  <w:pPr>
                    <w:jc w:val="both"/>
                  </w:pPr>
                  <w:r>
                    <w:t>214464-6</w:t>
                  </w:r>
                </w:p>
              </w:tc>
              <w:tc>
                <w:tcPr>
                  <w:tcW w:w="992" w:type="dxa"/>
                </w:tcPr>
                <w:p w14:paraId="2A533DCD">
                  <w:pPr>
                    <w:jc w:val="both"/>
                  </w:pPr>
                  <w:r>
                    <w:t>407423</w:t>
                  </w:r>
                </w:p>
              </w:tc>
              <w:tc>
                <w:tcPr>
                  <w:tcW w:w="2552" w:type="dxa"/>
                </w:tcPr>
                <w:p w14:paraId="722A331D">
                  <w:pPr>
                    <w:jc w:val="both"/>
                  </w:pPr>
                  <w:r>
                    <w:t>Serviço de Guincho para veículos de carga ou passageiros com peso bruto superior a 3.500 kg. Serviço fixo limitado até 30 km. Serviço criado e regulamentado pela Lei Municipal 2985/2021, atualizada pelas Leis 2998/2021 e 3449/2025. Valor Fixo de 172 Unidades de Referencia -</w:t>
                  </w:r>
                </w:p>
                <w:p w14:paraId="5676A283">
                  <w:pPr>
                    <w:jc w:val="both"/>
                  </w:pPr>
                  <w:r>
                    <w:t>U.R. (Lei Comp. 109/2014).</w:t>
                  </w:r>
                </w:p>
              </w:tc>
              <w:tc>
                <w:tcPr>
                  <w:tcW w:w="850" w:type="dxa"/>
                </w:tcPr>
                <w:p w14:paraId="2045540C">
                  <w:pPr>
                    <w:jc w:val="center"/>
                  </w:pPr>
                  <w:r>
                    <w:t>UND</w:t>
                  </w:r>
                </w:p>
              </w:tc>
              <w:tc>
                <w:tcPr>
                  <w:tcW w:w="709" w:type="dxa"/>
                </w:tcPr>
                <w:p w14:paraId="1EB60111">
                  <w:pPr>
                    <w:jc w:val="center"/>
                  </w:pPr>
                  <w:r>
                    <w:t>60</w:t>
                  </w:r>
                </w:p>
              </w:tc>
              <w:tc>
                <w:tcPr>
                  <w:tcW w:w="992" w:type="dxa"/>
                </w:tcPr>
                <w:p w14:paraId="47539F33">
                  <w:pPr>
                    <w:jc w:val="center"/>
                  </w:pPr>
                  <w:r>
                    <w:t>645</w:t>
                  </w:r>
                </w:p>
              </w:tc>
              <w:tc>
                <w:tcPr>
                  <w:tcW w:w="993" w:type="dxa"/>
                </w:tcPr>
                <w:p w14:paraId="6E0F3FF1">
                  <w:pPr>
                    <w:jc w:val="center"/>
                  </w:pPr>
                  <w:r>
                    <w:t>R$ 38.700,00</w:t>
                  </w:r>
                </w:p>
              </w:tc>
            </w:tr>
            <w:tr w14:paraId="19648E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5A27AC0C">
                  <w:pPr>
                    <w:jc w:val="both"/>
                  </w:pPr>
                  <w:r>
                    <w:t>13</w:t>
                  </w:r>
                </w:p>
              </w:tc>
              <w:tc>
                <w:tcPr>
                  <w:tcW w:w="933" w:type="dxa"/>
                </w:tcPr>
                <w:p w14:paraId="3F00377A">
                  <w:pPr>
                    <w:jc w:val="both"/>
                  </w:pPr>
                  <w:r>
                    <w:t>00065101</w:t>
                  </w:r>
                </w:p>
              </w:tc>
              <w:tc>
                <w:tcPr>
                  <w:tcW w:w="992" w:type="dxa"/>
                </w:tcPr>
                <w:p w14:paraId="065D2B79">
                  <w:pPr>
                    <w:jc w:val="both"/>
                  </w:pPr>
                  <w:r>
                    <w:t>407420</w:t>
                  </w:r>
                </w:p>
              </w:tc>
              <w:tc>
                <w:tcPr>
                  <w:tcW w:w="2552" w:type="dxa"/>
                </w:tcPr>
                <w:p w14:paraId="184C98A2">
                  <w:pPr>
                    <w:jc w:val="both"/>
                  </w:pPr>
                  <w:r>
                    <w:t>Serviço de Guincho para veículos de passeio (Carro Popular). Serviço fixo limitado até 30 km. Serviço criado e regulamentado pela Lei Municipal 2985/2021,</w:t>
                  </w:r>
                </w:p>
                <w:p w14:paraId="3F5986DE">
                  <w:pPr>
                    <w:jc w:val="both"/>
                  </w:pPr>
                  <w:r>
                    <w:t>atualizada pelas Leis 2998/2021 e 3449/2025. Valor Fixo de 67 Unidades de Referencia - U.R. (Lei Comp. 109/2014).</w:t>
                  </w:r>
                </w:p>
              </w:tc>
              <w:tc>
                <w:tcPr>
                  <w:tcW w:w="850" w:type="dxa"/>
                </w:tcPr>
                <w:p w14:paraId="6897B82E">
                  <w:pPr>
                    <w:jc w:val="center"/>
                  </w:pPr>
                  <w:r>
                    <w:t>UND</w:t>
                  </w:r>
                </w:p>
              </w:tc>
              <w:tc>
                <w:tcPr>
                  <w:tcW w:w="709" w:type="dxa"/>
                </w:tcPr>
                <w:p w14:paraId="1F81AC22">
                  <w:pPr>
                    <w:jc w:val="center"/>
                  </w:pPr>
                  <w:r>
                    <w:t>1200</w:t>
                  </w:r>
                </w:p>
              </w:tc>
              <w:tc>
                <w:tcPr>
                  <w:tcW w:w="992" w:type="dxa"/>
                </w:tcPr>
                <w:p w14:paraId="4CB54BA6">
                  <w:pPr>
                    <w:jc w:val="center"/>
                  </w:pPr>
                  <w:r>
                    <w:t>251,25</w:t>
                  </w:r>
                </w:p>
              </w:tc>
              <w:tc>
                <w:tcPr>
                  <w:tcW w:w="993" w:type="dxa"/>
                </w:tcPr>
                <w:p w14:paraId="6223FB17">
                  <w:pPr>
                    <w:jc w:val="center"/>
                  </w:pPr>
                  <w:r>
                    <w:t>R$ 301.500,00</w:t>
                  </w:r>
                </w:p>
              </w:tc>
            </w:tr>
            <w:tr w14:paraId="7EB496B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F11A42D">
                  <w:pPr>
                    <w:jc w:val="both"/>
                  </w:pPr>
                  <w:r>
                    <w:t>14</w:t>
                  </w:r>
                </w:p>
              </w:tc>
              <w:tc>
                <w:tcPr>
                  <w:tcW w:w="933" w:type="dxa"/>
                </w:tcPr>
                <w:p w14:paraId="02D406F4">
                  <w:pPr>
                    <w:jc w:val="both"/>
                  </w:pPr>
                  <w:r>
                    <w:t>00065101</w:t>
                  </w:r>
                </w:p>
              </w:tc>
              <w:tc>
                <w:tcPr>
                  <w:tcW w:w="992" w:type="dxa"/>
                </w:tcPr>
                <w:p w14:paraId="1B1B5F63">
                  <w:pPr>
                    <w:jc w:val="both"/>
                  </w:pPr>
                  <w:r>
                    <w:t>407422</w:t>
                  </w:r>
                </w:p>
              </w:tc>
              <w:tc>
                <w:tcPr>
                  <w:tcW w:w="2552" w:type="dxa"/>
                </w:tcPr>
                <w:p w14:paraId="2121AC1B">
                  <w:pPr>
                    <w:jc w:val="both"/>
                  </w:pPr>
                  <w:r>
                    <w:t>Serviço de Guincho para veículos de passeio, utilitário e similares acima de 2.500 KG que não ultrapassem o peso bruto total de 3.500 Kg. Serviço fixo limitado até 30</w:t>
                  </w:r>
                </w:p>
                <w:p w14:paraId="04271AE8">
                  <w:pPr>
                    <w:jc w:val="both"/>
                  </w:pPr>
                  <w:r>
                    <w:t>km. Serviço criado e regulamentado pela Lei Municipal 2985/2021, atualizada pelas Leis 2998/2021 e 3449/2025. Valor Fixo de 105 Unidades de Referencia - U.R. (Lei Comp. 109/2014).</w:t>
                  </w:r>
                </w:p>
              </w:tc>
              <w:tc>
                <w:tcPr>
                  <w:tcW w:w="850" w:type="dxa"/>
                </w:tcPr>
                <w:p w14:paraId="6B3FFAC3">
                  <w:pPr>
                    <w:jc w:val="center"/>
                  </w:pPr>
                  <w:r>
                    <w:t>UND</w:t>
                  </w:r>
                </w:p>
              </w:tc>
              <w:tc>
                <w:tcPr>
                  <w:tcW w:w="709" w:type="dxa"/>
                </w:tcPr>
                <w:p w14:paraId="10840BCB">
                  <w:pPr>
                    <w:jc w:val="center"/>
                  </w:pPr>
                  <w:r>
                    <w:t>250</w:t>
                  </w:r>
                </w:p>
              </w:tc>
              <w:tc>
                <w:tcPr>
                  <w:tcW w:w="992" w:type="dxa"/>
                </w:tcPr>
                <w:p w14:paraId="34C53573">
                  <w:pPr>
                    <w:jc w:val="center"/>
                  </w:pPr>
                  <w:r>
                    <w:t>393,75</w:t>
                  </w:r>
                </w:p>
              </w:tc>
              <w:tc>
                <w:tcPr>
                  <w:tcW w:w="993" w:type="dxa"/>
                </w:tcPr>
                <w:p w14:paraId="0CA05A4B">
                  <w:pPr>
                    <w:jc w:val="center"/>
                  </w:pPr>
                  <w:r>
                    <w:t>R$ 98.437,50</w:t>
                  </w:r>
                </w:p>
              </w:tc>
            </w:tr>
            <w:tr w14:paraId="72E7564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6CE7EB60">
                  <w:pPr>
                    <w:jc w:val="both"/>
                  </w:pPr>
                  <w:r>
                    <w:t>15</w:t>
                  </w:r>
                </w:p>
              </w:tc>
              <w:tc>
                <w:tcPr>
                  <w:tcW w:w="933" w:type="dxa"/>
                </w:tcPr>
                <w:p w14:paraId="183DA981">
                  <w:pPr>
                    <w:jc w:val="both"/>
                  </w:pPr>
                  <w:r>
                    <w:t>00065101</w:t>
                  </w:r>
                </w:p>
              </w:tc>
              <w:tc>
                <w:tcPr>
                  <w:tcW w:w="992" w:type="dxa"/>
                </w:tcPr>
                <w:p w14:paraId="109C756F">
                  <w:pPr>
                    <w:jc w:val="both"/>
                  </w:pPr>
                  <w:r>
                    <w:t>407421</w:t>
                  </w:r>
                </w:p>
              </w:tc>
              <w:tc>
                <w:tcPr>
                  <w:tcW w:w="2552" w:type="dxa"/>
                </w:tcPr>
                <w:p w14:paraId="5D51E64F">
                  <w:pPr>
                    <w:jc w:val="both"/>
                  </w:pPr>
                  <w:r>
                    <w:t>Serviço de Guincho para veículos de passeio, utilitário e similares que não ultrapassem o peso bruto total de 2.500 Kg. Serviço fixo limitado até 30 km. Serviço criado e regulamentado pela Lei Municipal 2985/2021, atualizada pelas Leis 2998/2021 e 3449/2025. Valor Fixo de 72 Unidades de Referencia - U.R. (Lei Comp. 109/2014).</w:t>
                  </w:r>
                </w:p>
              </w:tc>
              <w:tc>
                <w:tcPr>
                  <w:tcW w:w="850" w:type="dxa"/>
                </w:tcPr>
                <w:p w14:paraId="29FD4D60">
                  <w:pPr>
                    <w:jc w:val="center"/>
                  </w:pPr>
                  <w:r>
                    <w:t>UND</w:t>
                  </w:r>
                </w:p>
              </w:tc>
              <w:tc>
                <w:tcPr>
                  <w:tcW w:w="709" w:type="dxa"/>
                </w:tcPr>
                <w:p w14:paraId="758E2C32">
                  <w:pPr>
                    <w:jc w:val="center"/>
                  </w:pPr>
                  <w:r>
                    <w:t>700</w:t>
                  </w:r>
                </w:p>
              </w:tc>
              <w:tc>
                <w:tcPr>
                  <w:tcW w:w="992" w:type="dxa"/>
                </w:tcPr>
                <w:p w14:paraId="6A426F93">
                  <w:pPr>
                    <w:jc w:val="center"/>
                  </w:pPr>
                  <w:r>
                    <w:t>270</w:t>
                  </w:r>
                </w:p>
              </w:tc>
              <w:tc>
                <w:tcPr>
                  <w:tcW w:w="993" w:type="dxa"/>
                </w:tcPr>
                <w:p w14:paraId="11BF4C85">
                  <w:pPr>
                    <w:jc w:val="center"/>
                  </w:pPr>
                  <w:r>
                    <w:t>R$ 189.000,00</w:t>
                  </w:r>
                </w:p>
              </w:tc>
            </w:tr>
            <w:tr w14:paraId="67272CC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6182E52D">
                  <w:pPr>
                    <w:jc w:val="both"/>
                  </w:pPr>
                  <w:r>
                    <w:t>16</w:t>
                  </w:r>
                </w:p>
              </w:tc>
              <w:tc>
                <w:tcPr>
                  <w:tcW w:w="933" w:type="dxa"/>
                </w:tcPr>
                <w:p w14:paraId="759EEB0D">
                  <w:pPr>
                    <w:jc w:val="both"/>
                  </w:pPr>
                  <w:r>
                    <w:t>00065101</w:t>
                  </w:r>
                </w:p>
              </w:tc>
              <w:tc>
                <w:tcPr>
                  <w:tcW w:w="992" w:type="dxa"/>
                </w:tcPr>
                <w:p w14:paraId="6CAC4DA7">
                  <w:pPr>
                    <w:jc w:val="both"/>
                  </w:pPr>
                  <w:r>
                    <w:t>407439</w:t>
                  </w:r>
                </w:p>
              </w:tc>
              <w:tc>
                <w:tcPr>
                  <w:tcW w:w="2552" w:type="dxa"/>
                </w:tcPr>
                <w:p w14:paraId="292BEA4B">
                  <w:pPr>
                    <w:jc w:val="both"/>
                  </w:pPr>
                  <w:r>
                    <w:t>KM Adicional - Guincho para Caçambas, Container e similares. Serviço criado e regulamentado pela Lei Municipal 2985/2021, atualizada pelas Leis 2998/2021 e 3449/2025. O valor do km adicional em percurso com mais de 30 km e de 1,18 Unidades de Referencia - U.R. (Lei Comp. 109/2014) por Quilometro Rodado a mais.</w:t>
                  </w:r>
                </w:p>
              </w:tc>
              <w:tc>
                <w:tcPr>
                  <w:tcW w:w="850" w:type="dxa"/>
                </w:tcPr>
                <w:p w14:paraId="14C80502">
                  <w:pPr>
                    <w:jc w:val="center"/>
                  </w:pPr>
                  <w:r>
                    <w:t>KM QUA.</w:t>
                  </w:r>
                </w:p>
              </w:tc>
              <w:tc>
                <w:tcPr>
                  <w:tcW w:w="709" w:type="dxa"/>
                </w:tcPr>
                <w:p w14:paraId="5874D552">
                  <w:pPr>
                    <w:jc w:val="center"/>
                  </w:pPr>
                  <w:r>
                    <w:t>100</w:t>
                  </w:r>
                </w:p>
              </w:tc>
              <w:tc>
                <w:tcPr>
                  <w:tcW w:w="992" w:type="dxa"/>
                </w:tcPr>
                <w:p w14:paraId="1528A274">
                  <w:pPr>
                    <w:jc w:val="center"/>
                  </w:pPr>
                  <w:r>
                    <w:t>4,43</w:t>
                  </w:r>
                </w:p>
              </w:tc>
              <w:tc>
                <w:tcPr>
                  <w:tcW w:w="993" w:type="dxa"/>
                </w:tcPr>
                <w:p w14:paraId="52ECF2B0">
                  <w:pPr>
                    <w:jc w:val="center"/>
                  </w:pPr>
                  <w:r>
                    <w:t xml:space="preserve">R$ 443,00 </w:t>
                  </w:r>
                </w:p>
              </w:tc>
            </w:tr>
            <w:tr w14:paraId="01DC5B4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464DCDE5">
                  <w:pPr>
                    <w:jc w:val="both"/>
                  </w:pPr>
                  <w:r>
                    <w:t>17</w:t>
                  </w:r>
                </w:p>
              </w:tc>
              <w:tc>
                <w:tcPr>
                  <w:tcW w:w="933" w:type="dxa"/>
                </w:tcPr>
                <w:p w14:paraId="31E09532">
                  <w:pPr>
                    <w:jc w:val="both"/>
                  </w:pPr>
                  <w:r>
                    <w:t>00065101</w:t>
                  </w:r>
                </w:p>
              </w:tc>
              <w:tc>
                <w:tcPr>
                  <w:tcW w:w="992" w:type="dxa"/>
                </w:tcPr>
                <w:p w14:paraId="0FC87230">
                  <w:pPr>
                    <w:jc w:val="both"/>
                  </w:pPr>
                  <w:r>
                    <w:t>407447</w:t>
                  </w:r>
                </w:p>
              </w:tc>
              <w:tc>
                <w:tcPr>
                  <w:tcW w:w="2552" w:type="dxa"/>
                </w:tcPr>
                <w:p w14:paraId="17D158CE">
                  <w:pPr>
                    <w:jc w:val="both"/>
                  </w:pPr>
                  <w:r>
                    <w:t>KM Adicional - Guincho para Carretinhas. Serviço criado e regulamentado pela Lei Municipal 2985/2021, atualizada pelas Leis 2998/2021 e 3449/2025. O valor do km adicional em percurso com mais de 30 km e de 1,18 Unidades de Referencia - U.R. (Lei Comp. 109/2014) por Quilometro Rodado a mais.</w:t>
                  </w:r>
                </w:p>
              </w:tc>
              <w:tc>
                <w:tcPr>
                  <w:tcW w:w="850" w:type="dxa"/>
                </w:tcPr>
                <w:p w14:paraId="5548A79C">
                  <w:pPr>
                    <w:jc w:val="center"/>
                  </w:pPr>
                  <w:r>
                    <w:t>KM QUA.</w:t>
                  </w:r>
                </w:p>
              </w:tc>
              <w:tc>
                <w:tcPr>
                  <w:tcW w:w="709" w:type="dxa"/>
                </w:tcPr>
                <w:p w14:paraId="5F52DE2B">
                  <w:pPr>
                    <w:jc w:val="center"/>
                  </w:pPr>
                  <w:r>
                    <w:t>100</w:t>
                  </w:r>
                </w:p>
              </w:tc>
              <w:tc>
                <w:tcPr>
                  <w:tcW w:w="992" w:type="dxa"/>
                </w:tcPr>
                <w:p w14:paraId="0921F0F0">
                  <w:pPr>
                    <w:jc w:val="center"/>
                  </w:pPr>
                  <w:r>
                    <w:t>4,43</w:t>
                  </w:r>
                </w:p>
              </w:tc>
              <w:tc>
                <w:tcPr>
                  <w:tcW w:w="993" w:type="dxa"/>
                </w:tcPr>
                <w:p w14:paraId="7624EE71">
                  <w:pPr>
                    <w:jc w:val="center"/>
                  </w:pPr>
                  <w:r>
                    <w:t>R$ 443,00</w:t>
                  </w:r>
                </w:p>
              </w:tc>
            </w:tr>
            <w:tr w14:paraId="6EC2B81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6B856A11">
                  <w:pPr>
                    <w:jc w:val="both"/>
                  </w:pPr>
                  <w:r>
                    <w:t>18</w:t>
                  </w:r>
                </w:p>
              </w:tc>
              <w:tc>
                <w:tcPr>
                  <w:tcW w:w="933" w:type="dxa"/>
                </w:tcPr>
                <w:p w14:paraId="78430409">
                  <w:pPr>
                    <w:jc w:val="both"/>
                  </w:pPr>
                  <w:r>
                    <w:t>00065101</w:t>
                  </w:r>
                </w:p>
              </w:tc>
              <w:tc>
                <w:tcPr>
                  <w:tcW w:w="992" w:type="dxa"/>
                </w:tcPr>
                <w:p w14:paraId="3DFECE5F">
                  <w:pPr>
                    <w:jc w:val="both"/>
                  </w:pPr>
                  <w:r>
                    <w:t>407425</w:t>
                  </w:r>
                </w:p>
              </w:tc>
              <w:tc>
                <w:tcPr>
                  <w:tcW w:w="2552" w:type="dxa"/>
                </w:tcPr>
                <w:p w14:paraId="733FEB26">
                  <w:pPr>
                    <w:jc w:val="both"/>
                  </w:pPr>
                  <w:r>
                    <w:t>KM Adicional - Guincho para motocicletas, ciclomotores e triciclos (veículos com 03 rodas), com ou sem reboque lateral. Serviço criado e regulamentado pela Lei Municipal 2985/2021, atualizada pelas Leis 2998/2021 e 3449/2025. O valor do km adicional em percurso com mais de 30 km e de 1,18 Unidades de Referencia - U.R. (Lei Comp. 109/2014) por Quilometro Rodado a mais.</w:t>
                  </w:r>
                </w:p>
              </w:tc>
              <w:tc>
                <w:tcPr>
                  <w:tcW w:w="850" w:type="dxa"/>
                </w:tcPr>
                <w:p w14:paraId="762D0C6F">
                  <w:pPr>
                    <w:jc w:val="center"/>
                  </w:pPr>
                  <w:r>
                    <w:t>UND</w:t>
                  </w:r>
                </w:p>
              </w:tc>
              <w:tc>
                <w:tcPr>
                  <w:tcW w:w="709" w:type="dxa"/>
                </w:tcPr>
                <w:p w14:paraId="3942F370">
                  <w:pPr>
                    <w:jc w:val="center"/>
                  </w:pPr>
                  <w:r>
                    <w:t>100</w:t>
                  </w:r>
                </w:p>
              </w:tc>
              <w:tc>
                <w:tcPr>
                  <w:tcW w:w="992" w:type="dxa"/>
                </w:tcPr>
                <w:p w14:paraId="5881E5EE">
                  <w:pPr>
                    <w:jc w:val="center"/>
                  </w:pPr>
                  <w:r>
                    <w:t>4,43</w:t>
                  </w:r>
                </w:p>
              </w:tc>
              <w:tc>
                <w:tcPr>
                  <w:tcW w:w="993" w:type="dxa"/>
                </w:tcPr>
                <w:p w14:paraId="0A5EB7ED">
                  <w:pPr>
                    <w:jc w:val="center"/>
                  </w:pPr>
                  <w:r>
                    <w:t>R$ 443,00</w:t>
                  </w:r>
                </w:p>
              </w:tc>
            </w:tr>
            <w:tr w14:paraId="3D455E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3C361EF">
                  <w:pPr>
                    <w:jc w:val="both"/>
                  </w:pPr>
                  <w:r>
                    <w:t>19</w:t>
                  </w:r>
                </w:p>
              </w:tc>
              <w:tc>
                <w:tcPr>
                  <w:tcW w:w="933" w:type="dxa"/>
                </w:tcPr>
                <w:p w14:paraId="4990C904">
                  <w:pPr>
                    <w:jc w:val="both"/>
                  </w:pPr>
                  <w:r>
                    <w:t>214464-6</w:t>
                  </w:r>
                </w:p>
              </w:tc>
              <w:tc>
                <w:tcPr>
                  <w:tcW w:w="992" w:type="dxa"/>
                </w:tcPr>
                <w:p w14:paraId="527C8B53">
                  <w:pPr>
                    <w:jc w:val="both"/>
                  </w:pPr>
                  <w:r>
                    <w:t>407438</w:t>
                  </w:r>
                </w:p>
              </w:tc>
              <w:tc>
                <w:tcPr>
                  <w:tcW w:w="2552" w:type="dxa"/>
                </w:tcPr>
                <w:p w14:paraId="0EF9C613">
                  <w:pPr>
                    <w:jc w:val="both"/>
                  </w:pPr>
                  <w:r>
                    <w:t>KM Adicional - Guincho para veículos articulados, reboque e semi-reboque - Carregado. Serviço criado e regulamentado pela Lei Municipal 2985/2021, atualizada pelas Leis 2998/2021 e 3449/2025. O valor do km adicional em percurso com mais de 30 km e de 3 Unidades de Referencia - U.R. (Lei Comp. 109/2014) por Quilometro Rodado a mais.</w:t>
                  </w:r>
                </w:p>
              </w:tc>
              <w:tc>
                <w:tcPr>
                  <w:tcW w:w="850" w:type="dxa"/>
                </w:tcPr>
                <w:p w14:paraId="1F306EFE">
                  <w:pPr>
                    <w:jc w:val="center"/>
                  </w:pPr>
                  <w:r>
                    <w:t>KM QUA.</w:t>
                  </w:r>
                </w:p>
              </w:tc>
              <w:tc>
                <w:tcPr>
                  <w:tcW w:w="709" w:type="dxa"/>
                </w:tcPr>
                <w:p w14:paraId="201EC092">
                  <w:pPr>
                    <w:jc w:val="center"/>
                  </w:pPr>
                  <w:r>
                    <w:t>100</w:t>
                  </w:r>
                </w:p>
              </w:tc>
              <w:tc>
                <w:tcPr>
                  <w:tcW w:w="992" w:type="dxa"/>
                </w:tcPr>
                <w:p w14:paraId="56CE60A7">
                  <w:pPr>
                    <w:jc w:val="center"/>
                  </w:pPr>
                  <w:r>
                    <w:t>11,25</w:t>
                  </w:r>
                </w:p>
              </w:tc>
              <w:tc>
                <w:tcPr>
                  <w:tcW w:w="993" w:type="dxa"/>
                </w:tcPr>
                <w:p w14:paraId="465EC8AD">
                  <w:pPr>
                    <w:jc w:val="center"/>
                  </w:pPr>
                  <w:r>
                    <w:t>R$ 1.250,00</w:t>
                  </w:r>
                </w:p>
              </w:tc>
            </w:tr>
            <w:tr w14:paraId="7134BD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6488BD4">
                  <w:pPr>
                    <w:jc w:val="both"/>
                  </w:pPr>
                  <w:r>
                    <w:t>20</w:t>
                  </w:r>
                </w:p>
              </w:tc>
              <w:tc>
                <w:tcPr>
                  <w:tcW w:w="933" w:type="dxa"/>
                </w:tcPr>
                <w:p w14:paraId="78290BB8">
                  <w:pPr>
                    <w:jc w:val="both"/>
                  </w:pPr>
                  <w:r>
                    <w:t>214464-6</w:t>
                  </w:r>
                </w:p>
              </w:tc>
              <w:tc>
                <w:tcPr>
                  <w:tcW w:w="992" w:type="dxa"/>
                </w:tcPr>
                <w:p w14:paraId="59B38B87">
                  <w:pPr>
                    <w:jc w:val="both"/>
                  </w:pPr>
                  <w:r>
                    <w:t>407436</w:t>
                  </w:r>
                </w:p>
              </w:tc>
              <w:tc>
                <w:tcPr>
                  <w:tcW w:w="2552" w:type="dxa"/>
                </w:tcPr>
                <w:p w14:paraId="57FC9348">
                  <w:pPr>
                    <w:jc w:val="both"/>
                  </w:pPr>
                  <w:r>
                    <w:t>KM Adicional - Guincho para veículos articulados, reboque e semi-reboque - Vazio. Serviço criado e regulamentado pela Lei Municipal 2985/2021, atualizada pelas Leis 2998/2021 e 3449/2025. O valor do km adicional em percurso com mais de 30 km e de 2,2 Unidades de Referencia - U.R. (Lei Comp. 109/2014) por Quilômetro Rodado a mais.</w:t>
                  </w:r>
                </w:p>
              </w:tc>
              <w:tc>
                <w:tcPr>
                  <w:tcW w:w="850" w:type="dxa"/>
                </w:tcPr>
                <w:p w14:paraId="0FAB17D0">
                  <w:pPr>
                    <w:jc w:val="center"/>
                  </w:pPr>
                  <w:r>
                    <w:t>KM QUA.</w:t>
                  </w:r>
                </w:p>
              </w:tc>
              <w:tc>
                <w:tcPr>
                  <w:tcW w:w="709" w:type="dxa"/>
                </w:tcPr>
                <w:p w14:paraId="31BD3432">
                  <w:pPr>
                    <w:jc w:val="center"/>
                  </w:pPr>
                  <w:r>
                    <w:t>100</w:t>
                  </w:r>
                </w:p>
              </w:tc>
              <w:tc>
                <w:tcPr>
                  <w:tcW w:w="992" w:type="dxa"/>
                </w:tcPr>
                <w:p w14:paraId="42882D64">
                  <w:pPr>
                    <w:jc w:val="center"/>
                  </w:pPr>
                  <w:r>
                    <w:t>8,25</w:t>
                  </w:r>
                </w:p>
              </w:tc>
              <w:tc>
                <w:tcPr>
                  <w:tcW w:w="993" w:type="dxa"/>
                </w:tcPr>
                <w:p w14:paraId="7D423D40">
                  <w:pPr>
                    <w:jc w:val="center"/>
                  </w:pPr>
                  <w:r>
                    <w:t>R$ 825,00</w:t>
                  </w:r>
                </w:p>
              </w:tc>
            </w:tr>
            <w:tr w14:paraId="608E847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13954A26">
                  <w:pPr>
                    <w:jc w:val="both"/>
                  </w:pPr>
                  <w:r>
                    <w:t>21</w:t>
                  </w:r>
                </w:p>
              </w:tc>
              <w:tc>
                <w:tcPr>
                  <w:tcW w:w="933" w:type="dxa"/>
                </w:tcPr>
                <w:p w14:paraId="614A5BF5">
                  <w:pPr>
                    <w:jc w:val="both"/>
                  </w:pPr>
                  <w:r>
                    <w:t>214464-6</w:t>
                  </w:r>
                </w:p>
              </w:tc>
              <w:tc>
                <w:tcPr>
                  <w:tcW w:w="992" w:type="dxa"/>
                </w:tcPr>
                <w:p w14:paraId="7CB6C321">
                  <w:pPr>
                    <w:jc w:val="both"/>
                  </w:pPr>
                  <w:r>
                    <w:t>407435</w:t>
                  </w:r>
                </w:p>
              </w:tc>
              <w:tc>
                <w:tcPr>
                  <w:tcW w:w="2552" w:type="dxa"/>
                </w:tcPr>
                <w:p w14:paraId="0A68D63B">
                  <w:pPr>
                    <w:jc w:val="both"/>
                  </w:pPr>
                  <w:r>
                    <w:t>KM Adicional - Guincho para veículos de carga ou passageiros com peso bruto superior a 3.500 kg. Serviço criado e regulamentado pela Lei Municipal 2985/2021, atualizada pelas Leis 2998/2021 e 3449/2025. O valor do km adicional em percurso com mais de 30 km e de 2 Unidades de Referencia - U.R. (Lei Comp. 109/2014) por Quilômetro Rodado a mais.</w:t>
                  </w:r>
                </w:p>
              </w:tc>
              <w:tc>
                <w:tcPr>
                  <w:tcW w:w="850" w:type="dxa"/>
                </w:tcPr>
                <w:p w14:paraId="72EF580B">
                  <w:pPr>
                    <w:jc w:val="center"/>
                  </w:pPr>
                  <w:r>
                    <w:t>KM QUA.</w:t>
                  </w:r>
                </w:p>
              </w:tc>
              <w:tc>
                <w:tcPr>
                  <w:tcW w:w="709" w:type="dxa"/>
                </w:tcPr>
                <w:p w14:paraId="63118A31">
                  <w:pPr>
                    <w:jc w:val="center"/>
                  </w:pPr>
                  <w:r>
                    <w:t>100</w:t>
                  </w:r>
                </w:p>
              </w:tc>
              <w:tc>
                <w:tcPr>
                  <w:tcW w:w="992" w:type="dxa"/>
                </w:tcPr>
                <w:p w14:paraId="32EF5EBB">
                  <w:pPr>
                    <w:jc w:val="center"/>
                  </w:pPr>
                  <w:r>
                    <w:t>7,5</w:t>
                  </w:r>
                </w:p>
              </w:tc>
              <w:tc>
                <w:tcPr>
                  <w:tcW w:w="993" w:type="dxa"/>
                </w:tcPr>
                <w:p w14:paraId="2411F91D">
                  <w:pPr>
                    <w:jc w:val="center"/>
                  </w:pPr>
                  <w:r>
                    <w:t>R$ 750,00</w:t>
                  </w:r>
                </w:p>
              </w:tc>
            </w:tr>
            <w:tr w14:paraId="11D14F1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6AF95ED2">
                  <w:pPr>
                    <w:jc w:val="both"/>
                  </w:pPr>
                  <w:r>
                    <w:t>22</w:t>
                  </w:r>
                </w:p>
              </w:tc>
              <w:tc>
                <w:tcPr>
                  <w:tcW w:w="933" w:type="dxa"/>
                </w:tcPr>
                <w:p w14:paraId="7BB78CA8">
                  <w:pPr>
                    <w:jc w:val="both"/>
                  </w:pPr>
                  <w:r>
                    <w:t>00065101</w:t>
                  </w:r>
                </w:p>
              </w:tc>
              <w:tc>
                <w:tcPr>
                  <w:tcW w:w="992" w:type="dxa"/>
                </w:tcPr>
                <w:p w14:paraId="4B9BF84D">
                  <w:pPr>
                    <w:jc w:val="both"/>
                  </w:pPr>
                  <w:r>
                    <w:t>407426</w:t>
                  </w:r>
                </w:p>
              </w:tc>
              <w:tc>
                <w:tcPr>
                  <w:tcW w:w="2552" w:type="dxa"/>
                </w:tcPr>
                <w:p w14:paraId="35B3F051">
                  <w:pPr>
                    <w:jc w:val="both"/>
                  </w:pPr>
                  <w:r>
                    <w:t>KM Adicional - Guincho para veículos de passeio, utilitário e similares que não ultrapassem o peso bruto total de 3.500 Kg. Serviço criado e regulamentado pela</w:t>
                  </w:r>
                </w:p>
                <w:p w14:paraId="399171C6">
                  <w:pPr>
                    <w:jc w:val="both"/>
                  </w:pPr>
                  <w:r>
                    <w:t>Lei Municipal 2985/2021, atualizada pelas Leis 2998/2021 e 3449/2025. O valor do km adicional em percurso com mais de 30 km e de 1,3 Unidades de Referencia - U.R. (Lei Comp. 109/2014) por Quilômetro Rodado a mais.</w:t>
                  </w:r>
                </w:p>
              </w:tc>
              <w:tc>
                <w:tcPr>
                  <w:tcW w:w="850" w:type="dxa"/>
                </w:tcPr>
                <w:p w14:paraId="1BC67D91">
                  <w:pPr>
                    <w:jc w:val="center"/>
                  </w:pPr>
                  <w:r>
                    <w:t>UND</w:t>
                  </w:r>
                </w:p>
              </w:tc>
              <w:tc>
                <w:tcPr>
                  <w:tcW w:w="709" w:type="dxa"/>
                </w:tcPr>
                <w:p w14:paraId="28CBE5D7">
                  <w:pPr>
                    <w:jc w:val="center"/>
                  </w:pPr>
                  <w:r>
                    <w:t>100</w:t>
                  </w:r>
                </w:p>
              </w:tc>
              <w:tc>
                <w:tcPr>
                  <w:tcW w:w="992" w:type="dxa"/>
                </w:tcPr>
                <w:p w14:paraId="313D2B7E">
                  <w:pPr>
                    <w:jc w:val="center"/>
                  </w:pPr>
                  <w:r>
                    <w:t>4,88</w:t>
                  </w:r>
                </w:p>
              </w:tc>
              <w:tc>
                <w:tcPr>
                  <w:tcW w:w="993" w:type="dxa"/>
                </w:tcPr>
                <w:p w14:paraId="12BA5811">
                  <w:pPr>
                    <w:jc w:val="center"/>
                  </w:pPr>
                  <w:r>
                    <w:t>R$ 488,00</w:t>
                  </w:r>
                </w:p>
              </w:tc>
            </w:tr>
            <w:tr w14:paraId="5BB7A61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427BAA06">
                  <w:pPr>
                    <w:jc w:val="both"/>
                  </w:pPr>
                  <w:r>
                    <w:t>23</w:t>
                  </w:r>
                </w:p>
              </w:tc>
              <w:tc>
                <w:tcPr>
                  <w:tcW w:w="933" w:type="dxa"/>
                </w:tcPr>
                <w:p w14:paraId="1D367642">
                  <w:pPr>
                    <w:jc w:val="both"/>
                  </w:pPr>
                  <w:r>
                    <w:t>394944-3</w:t>
                  </w:r>
                </w:p>
              </w:tc>
              <w:tc>
                <w:tcPr>
                  <w:tcW w:w="992" w:type="dxa"/>
                </w:tcPr>
                <w:p w14:paraId="4D637FCB">
                  <w:pPr>
                    <w:jc w:val="both"/>
                  </w:pPr>
                  <w:r>
                    <w:t>407472</w:t>
                  </w:r>
                </w:p>
              </w:tc>
              <w:tc>
                <w:tcPr>
                  <w:tcW w:w="2552" w:type="dxa"/>
                </w:tcPr>
                <w:p w14:paraId="7D2A62F6">
                  <w:pPr>
                    <w:jc w:val="both"/>
                  </w:pPr>
                  <w:r>
                    <w:t>Serviços de Munck. Serviço criado e regulamentado pela Lei Municipal 2985/2021, atualizada pelas Leis 2998/2021 e 3449/2025. O valor do Serviço Fixo e de 86 Unidades de Referência - U.R. (Lei Comp. 109/2014).</w:t>
                  </w:r>
                </w:p>
              </w:tc>
              <w:tc>
                <w:tcPr>
                  <w:tcW w:w="850" w:type="dxa"/>
                </w:tcPr>
                <w:p w14:paraId="5E237DDD">
                  <w:pPr>
                    <w:jc w:val="center"/>
                  </w:pPr>
                  <w:r>
                    <w:t>UND</w:t>
                  </w:r>
                </w:p>
              </w:tc>
              <w:tc>
                <w:tcPr>
                  <w:tcW w:w="709" w:type="dxa"/>
                </w:tcPr>
                <w:p w14:paraId="12A062ED">
                  <w:pPr>
                    <w:jc w:val="center"/>
                  </w:pPr>
                  <w:r>
                    <w:t>100</w:t>
                  </w:r>
                </w:p>
              </w:tc>
              <w:tc>
                <w:tcPr>
                  <w:tcW w:w="992" w:type="dxa"/>
                </w:tcPr>
                <w:p w14:paraId="2DFFD732">
                  <w:pPr>
                    <w:jc w:val="center"/>
                  </w:pPr>
                  <w:r>
                    <w:t>322,5</w:t>
                  </w:r>
                </w:p>
              </w:tc>
              <w:tc>
                <w:tcPr>
                  <w:tcW w:w="993" w:type="dxa"/>
                </w:tcPr>
                <w:p w14:paraId="4AEF5C60">
                  <w:pPr>
                    <w:jc w:val="center"/>
                  </w:pPr>
                  <w:r>
                    <w:t>R$ 32.250,00</w:t>
                  </w:r>
                </w:p>
              </w:tc>
            </w:tr>
            <w:tr w14:paraId="4D345A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240874EF">
                  <w:pPr>
                    <w:jc w:val="both"/>
                  </w:pPr>
                  <w:r>
                    <w:t>24</w:t>
                  </w:r>
                </w:p>
              </w:tc>
              <w:tc>
                <w:tcPr>
                  <w:tcW w:w="933" w:type="dxa"/>
                </w:tcPr>
                <w:p w14:paraId="737AB3C3">
                  <w:pPr>
                    <w:jc w:val="both"/>
                  </w:pPr>
                  <w:r>
                    <w:t>00065101</w:t>
                  </w:r>
                </w:p>
              </w:tc>
              <w:tc>
                <w:tcPr>
                  <w:tcW w:w="992" w:type="dxa"/>
                </w:tcPr>
                <w:p w14:paraId="454F2FDC">
                  <w:pPr>
                    <w:jc w:val="both"/>
                  </w:pPr>
                  <w:r>
                    <w:t>407470</w:t>
                  </w:r>
                </w:p>
              </w:tc>
              <w:tc>
                <w:tcPr>
                  <w:tcW w:w="2552" w:type="dxa"/>
                </w:tcPr>
                <w:p w14:paraId="09EBD3AE">
                  <w:pPr>
                    <w:jc w:val="both"/>
                  </w:pPr>
                  <w:r>
                    <w:t>Taxa de Exclusividade. Taxa criada e regulamentada pela Lei Municipal 2985/2021, atualizada pelas Leis 2998/2021 e 3449/2025. O valor da taxa (Serviço Fixo) e de 30 Unidades de Referencia - U.R. (Lei Comp. 109/2014).</w:t>
                  </w:r>
                </w:p>
              </w:tc>
              <w:tc>
                <w:tcPr>
                  <w:tcW w:w="850" w:type="dxa"/>
                </w:tcPr>
                <w:p w14:paraId="37247C00">
                  <w:pPr>
                    <w:jc w:val="center"/>
                  </w:pPr>
                  <w:r>
                    <w:t xml:space="preserve">DIA </w:t>
                  </w:r>
                </w:p>
              </w:tc>
              <w:tc>
                <w:tcPr>
                  <w:tcW w:w="709" w:type="dxa"/>
                </w:tcPr>
                <w:p w14:paraId="0DB5D1E9">
                  <w:pPr>
                    <w:jc w:val="center"/>
                  </w:pPr>
                  <w:r>
                    <w:t>100</w:t>
                  </w:r>
                </w:p>
              </w:tc>
              <w:tc>
                <w:tcPr>
                  <w:tcW w:w="992" w:type="dxa"/>
                </w:tcPr>
                <w:p w14:paraId="13429D2E">
                  <w:pPr>
                    <w:jc w:val="center"/>
                  </w:pPr>
                  <w:r>
                    <w:t>112,5</w:t>
                  </w:r>
                </w:p>
              </w:tc>
              <w:tc>
                <w:tcPr>
                  <w:tcW w:w="993" w:type="dxa"/>
                </w:tcPr>
                <w:p w14:paraId="7D94B6C3">
                  <w:pPr>
                    <w:jc w:val="center"/>
                  </w:pPr>
                  <w:r>
                    <w:t>R$ 11.250,00</w:t>
                  </w:r>
                </w:p>
              </w:tc>
            </w:tr>
            <w:tr w14:paraId="7844D03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790" w:type="dxa"/>
                </w:tcPr>
                <w:p w14:paraId="5AE51D5A">
                  <w:pPr>
                    <w:jc w:val="both"/>
                  </w:pPr>
                  <w:r>
                    <w:t>25</w:t>
                  </w:r>
                </w:p>
              </w:tc>
              <w:tc>
                <w:tcPr>
                  <w:tcW w:w="933" w:type="dxa"/>
                </w:tcPr>
                <w:p w14:paraId="22A3ECF3">
                  <w:pPr>
                    <w:jc w:val="both"/>
                  </w:pPr>
                  <w:r>
                    <w:t>00065101</w:t>
                  </w:r>
                </w:p>
              </w:tc>
              <w:tc>
                <w:tcPr>
                  <w:tcW w:w="992" w:type="dxa"/>
                </w:tcPr>
                <w:p w14:paraId="05C5E54C">
                  <w:pPr>
                    <w:jc w:val="both"/>
                  </w:pPr>
                  <w:r>
                    <w:t>407471</w:t>
                  </w:r>
                </w:p>
              </w:tc>
              <w:tc>
                <w:tcPr>
                  <w:tcW w:w="2552" w:type="dxa"/>
                </w:tcPr>
                <w:p w14:paraId="13FA3EDF">
                  <w:pPr>
                    <w:jc w:val="both"/>
                  </w:pPr>
                  <w:r>
                    <w:t>Taxa dificuldade de Remoção. Taxa criada e regulamentada pela Lei Municipal 2985/2021, atualizada pelas Leis 2998/2021 e 3449/2025. O valor da taxa (Serviço Fixo) e de 30 Unidades de Referencia - U.R. (Lei Comp. 109/2014)</w:t>
                  </w:r>
                </w:p>
              </w:tc>
              <w:tc>
                <w:tcPr>
                  <w:tcW w:w="850" w:type="dxa"/>
                </w:tcPr>
                <w:p w14:paraId="024AB593">
                  <w:pPr>
                    <w:jc w:val="center"/>
                  </w:pPr>
                  <w:r>
                    <w:t>DIA</w:t>
                  </w:r>
                </w:p>
              </w:tc>
              <w:tc>
                <w:tcPr>
                  <w:tcW w:w="709" w:type="dxa"/>
                </w:tcPr>
                <w:p w14:paraId="07248399">
                  <w:pPr>
                    <w:jc w:val="center"/>
                  </w:pPr>
                  <w:r>
                    <w:t>100</w:t>
                  </w:r>
                </w:p>
              </w:tc>
              <w:tc>
                <w:tcPr>
                  <w:tcW w:w="992" w:type="dxa"/>
                </w:tcPr>
                <w:p w14:paraId="1ED94B18">
                  <w:pPr>
                    <w:jc w:val="center"/>
                  </w:pPr>
                  <w:r>
                    <w:t>112,5</w:t>
                  </w:r>
                </w:p>
              </w:tc>
              <w:tc>
                <w:tcPr>
                  <w:tcW w:w="993" w:type="dxa"/>
                </w:tcPr>
                <w:p w14:paraId="11229F45">
                  <w:pPr>
                    <w:jc w:val="center"/>
                  </w:pPr>
                  <w:r>
                    <w:t>R$ 11.250,00</w:t>
                  </w:r>
                </w:p>
              </w:tc>
            </w:tr>
          </w:tbl>
          <w:p w14:paraId="667C6A31">
            <w:pPr>
              <w:jc w:val="both"/>
            </w:pPr>
          </w:p>
          <w:tbl>
            <w:tblPr>
              <w:tblStyle w:val="12"/>
              <w:tblW w:w="8811"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69"/>
              <w:gridCol w:w="14"/>
              <w:gridCol w:w="3207"/>
              <w:gridCol w:w="193"/>
              <w:gridCol w:w="1083"/>
              <w:gridCol w:w="335"/>
              <w:gridCol w:w="1134"/>
              <w:gridCol w:w="1276"/>
            </w:tblGrid>
            <w:tr w14:paraId="5F92D41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6" w:hRule="atLeast"/>
              </w:trPr>
              <w:tc>
                <w:tcPr>
                  <w:tcW w:w="8811" w:type="dxa"/>
                  <w:gridSpan w:val="8"/>
                  <w:shd w:val="clear" w:color="auto" w:fill="EAF1DD"/>
                  <w:vAlign w:val="center"/>
                </w:tcPr>
                <w:p w14:paraId="31606085">
                  <w:pPr>
                    <w:widowControl w:val="0"/>
                    <w:jc w:val="center"/>
                    <w:rPr>
                      <w:b/>
                      <w:bCs/>
                      <w:lang w:val="pt-PT"/>
                    </w:rPr>
                  </w:pPr>
                  <w:r>
                    <w:rPr>
                      <w:b/>
                      <w:bCs/>
                      <w:lang w:val="pt-PT"/>
                    </w:rPr>
                    <w:t>Lei Municipal 2.985/2021</w:t>
                  </w:r>
                </w:p>
                <w:p w14:paraId="5963AA8D">
                  <w:pPr>
                    <w:widowControl w:val="0"/>
                    <w:jc w:val="center"/>
                    <w:rPr>
                      <w:b/>
                      <w:bCs/>
                      <w:lang w:val="pt-PT"/>
                    </w:rPr>
                  </w:pPr>
                  <w:r>
                    <w:rPr>
                      <w:b/>
                      <w:bCs/>
                      <w:lang w:val="pt-PT"/>
                    </w:rPr>
                    <w:t>DOS VALORES ADICIONAIS - ARTIGO 14 - § 2º, § 4º E § 8º</w:t>
                  </w:r>
                </w:p>
              </w:tc>
            </w:tr>
            <w:tr w14:paraId="4DF6EE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69" w:type="dxa"/>
                  <w:shd w:val="clear" w:color="auto" w:fill="EAF1DD"/>
                  <w:vAlign w:val="center"/>
                </w:tcPr>
                <w:p w14:paraId="1EDE58C9">
                  <w:pPr>
                    <w:widowControl w:val="0"/>
                    <w:jc w:val="center"/>
                    <w:rPr>
                      <w:b/>
                      <w:bCs/>
                    </w:rPr>
                  </w:pPr>
                  <w:r>
                    <w:rPr>
                      <w:b/>
                      <w:bCs/>
                      <w:lang w:val="pt-PT"/>
                    </w:rPr>
                    <w:t>Item</w:t>
                  </w:r>
                </w:p>
              </w:tc>
              <w:tc>
                <w:tcPr>
                  <w:tcW w:w="3221" w:type="dxa"/>
                  <w:gridSpan w:val="2"/>
                  <w:shd w:val="clear" w:color="auto" w:fill="EAF1DD"/>
                  <w:vAlign w:val="center"/>
                </w:tcPr>
                <w:p w14:paraId="5300CADE">
                  <w:pPr>
                    <w:widowControl w:val="0"/>
                    <w:jc w:val="center"/>
                    <w:rPr>
                      <w:b/>
                      <w:bCs/>
                      <w:lang w:val="pt-PT"/>
                    </w:rPr>
                  </w:pPr>
                  <w:r>
                    <w:rPr>
                      <w:b/>
                      <w:bCs/>
                      <w:lang w:val="pt-PT"/>
                    </w:rPr>
                    <w:t>Descrição dos Serviços</w:t>
                  </w:r>
                </w:p>
              </w:tc>
              <w:tc>
                <w:tcPr>
                  <w:tcW w:w="1276" w:type="dxa"/>
                  <w:gridSpan w:val="2"/>
                  <w:shd w:val="clear" w:color="auto" w:fill="EAF1DD"/>
                  <w:vAlign w:val="center"/>
                </w:tcPr>
                <w:p w14:paraId="60739B29">
                  <w:pPr>
                    <w:widowControl w:val="0"/>
                    <w:jc w:val="center"/>
                    <w:rPr>
                      <w:b/>
                      <w:bCs/>
                      <w:lang w:val="pt-PT"/>
                    </w:rPr>
                  </w:pPr>
                  <w:r>
                    <w:rPr>
                      <w:b/>
                      <w:bCs/>
                      <w:lang w:val="pt-PT"/>
                    </w:rPr>
                    <w:t>Unidade</w:t>
                  </w:r>
                </w:p>
              </w:tc>
              <w:tc>
                <w:tcPr>
                  <w:tcW w:w="1469" w:type="dxa"/>
                  <w:gridSpan w:val="2"/>
                  <w:shd w:val="clear" w:color="auto" w:fill="EAF1DD"/>
                  <w:vAlign w:val="center"/>
                </w:tcPr>
                <w:p w14:paraId="4E145F0B">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7E8EF917">
                  <w:pPr>
                    <w:widowControl w:val="0"/>
                    <w:jc w:val="center"/>
                    <w:rPr>
                      <w:b/>
                      <w:bCs/>
                      <w:lang w:val="pt-PT"/>
                    </w:rPr>
                  </w:pPr>
                  <w:r>
                    <w:rPr>
                      <w:b/>
                      <w:bCs/>
                      <w:lang w:val="pt-PT"/>
                    </w:rPr>
                    <w:t>Valor em R$</w:t>
                  </w:r>
                  <w:r>
                    <w:rPr>
                      <w:b/>
                      <w:bCs/>
                      <w:lang w:val="pt-PT"/>
                    </w:rPr>
                    <w:br w:type="textWrapping"/>
                  </w:r>
                  <w:r>
                    <w:rPr>
                      <w:b/>
                      <w:bCs/>
                      <w:lang w:val="pt-PT"/>
                    </w:rPr>
                    <w:t>Ano 2025</w:t>
                  </w:r>
                </w:p>
              </w:tc>
            </w:tr>
            <w:tr w14:paraId="7095A2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10" w:hRule="atLeast"/>
              </w:trPr>
              <w:tc>
                <w:tcPr>
                  <w:tcW w:w="1569" w:type="dxa"/>
                  <w:vAlign w:val="center"/>
                </w:tcPr>
                <w:p w14:paraId="151DFF1D">
                  <w:pPr>
                    <w:widowControl w:val="0"/>
                    <w:jc w:val="center"/>
                    <w:rPr>
                      <w:b/>
                      <w:lang w:val="pt-PT"/>
                    </w:rPr>
                  </w:pPr>
                  <w:r>
                    <w:rPr>
                      <w:b/>
                      <w:lang w:val="pt-PT"/>
                    </w:rPr>
                    <w:t>I</w:t>
                  </w:r>
                </w:p>
              </w:tc>
              <w:tc>
                <w:tcPr>
                  <w:tcW w:w="3221" w:type="dxa"/>
                  <w:gridSpan w:val="2"/>
                  <w:vAlign w:val="center"/>
                </w:tcPr>
                <w:p w14:paraId="3AD0BF6C">
                  <w:pPr>
                    <w:widowControl w:val="0"/>
                    <w:jc w:val="both"/>
                    <w:rPr>
                      <w:b/>
                      <w:lang w:val="pt-PT"/>
                    </w:rPr>
                  </w:pPr>
                  <w:r>
                    <w:rPr>
                      <w:b/>
                      <w:lang w:val="pt-PT"/>
                    </w:rPr>
                    <w:t>Artigo 14 - § 2º. Em casos de exigência por parte do condutor/proprietário de remoção com exclusividade, será cobrada Taxa Adicional no valor de 30 (trinta) U.R.`s - Unidades de Referência.</w:t>
                  </w:r>
                </w:p>
              </w:tc>
              <w:tc>
                <w:tcPr>
                  <w:tcW w:w="1276" w:type="dxa"/>
                  <w:gridSpan w:val="2"/>
                  <w:vAlign w:val="center"/>
                </w:tcPr>
                <w:p w14:paraId="754C5B70">
                  <w:pPr>
                    <w:widowControl w:val="0"/>
                    <w:rPr>
                      <w:b/>
                      <w:lang w:val="pt-PT"/>
                    </w:rPr>
                  </w:pPr>
                  <w:r>
                    <w:rPr>
                      <w:b/>
                      <w:lang w:val="pt-PT"/>
                    </w:rPr>
                    <w:t xml:space="preserve"> Serviço Fixo </w:t>
                  </w:r>
                </w:p>
              </w:tc>
              <w:tc>
                <w:tcPr>
                  <w:tcW w:w="1469" w:type="dxa"/>
                  <w:gridSpan w:val="2"/>
                  <w:vAlign w:val="center"/>
                </w:tcPr>
                <w:p w14:paraId="0D5CC34A">
                  <w:pPr>
                    <w:widowControl w:val="0"/>
                    <w:jc w:val="center"/>
                    <w:rPr>
                      <w:b/>
                      <w:lang w:val="pt-PT"/>
                    </w:rPr>
                  </w:pPr>
                  <w:r>
                    <w:rPr>
                      <w:b/>
                      <w:lang w:val="pt-PT"/>
                    </w:rPr>
                    <w:t>30</w:t>
                  </w:r>
                </w:p>
              </w:tc>
              <w:tc>
                <w:tcPr>
                  <w:tcW w:w="1276" w:type="dxa"/>
                  <w:vAlign w:val="center"/>
                </w:tcPr>
                <w:p w14:paraId="3ABC9B11">
                  <w:pPr>
                    <w:widowControl w:val="0"/>
                    <w:rPr>
                      <w:b/>
                      <w:lang w:val="pt-PT"/>
                    </w:rPr>
                  </w:pPr>
                  <w:r>
                    <w:rPr>
                      <w:b/>
                      <w:lang w:val="pt-PT"/>
                    </w:rPr>
                    <w:t xml:space="preserve">R$ 112,50 </w:t>
                  </w:r>
                </w:p>
              </w:tc>
            </w:tr>
            <w:tr w14:paraId="30B0E7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5" w:hRule="atLeast"/>
              </w:trPr>
              <w:tc>
                <w:tcPr>
                  <w:tcW w:w="1569" w:type="dxa"/>
                  <w:vAlign w:val="center"/>
                </w:tcPr>
                <w:p w14:paraId="37996B4B">
                  <w:pPr>
                    <w:widowControl w:val="0"/>
                    <w:jc w:val="center"/>
                    <w:rPr>
                      <w:b/>
                      <w:lang w:val="pt-PT"/>
                    </w:rPr>
                  </w:pPr>
                  <w:r>
                    <w:rPr>
                      <w:b/>
                      <w:lang w:val="pt-PT"/>
                    </w:rPr>
                    <w:t>II</w:t>
                  </w:r>
                </w:p>
              </w:tc>
              <w:tc>
                <w:tcPr>
                  <w:tcW w:w="3221" w:type="dxa"/>
                  <w:gridSpan w:val="2"/>
                  <w:vAlign w:val="center"/>
                </w:tcPr>
                <w:p w14:paraId="13B5F171">
                  <w:pPr>
                    <w:widowControl w:val="0"/>
                    <w:jc w:val="both"/>
                    <w:rPr>
                      <w:b/>
                      <w:lang w:val="pt-PT"/>
                    </w:rPr>
                  </w:pPr>
                  <w:r>
                    <w:rPr>
                      <w:b/>
                      <w:lang w:val="pt-PT"/>
                    </w:rPr>
                    <w:t>Artigo 14 - § 4°. No caso de veículos com característica alterada que dificultem a remoção, bem como, remoções que sejam dificultadas pelo condutor/proprietário, será cobrada Taxa Adicional no valor de 30 (trinta) U.R.`s - Unidades de Referência.</w:t>
                  </w:r>
                </w:p>
              </w:tc>
              <w:tc>
                <w:tcPr>
                  <w:tcW w:w="1276" w:type="dxa"/>
                  <w:gridSpan w:val="2"/>
                  <w:vAlign w:val="center"/>
                </w:tcPr>
                <w:p w14:paraId="45FC43AF">
                  <w:pPr>
                    <w:widowControl w:val="0"/>
                    <w:rPr>
                      <w:b/>
                      <w:lang w:val="pt-PT"/>
                    </w:rPr>
                  </w:pPr>
                  <w:r>
                    <w:rPr>
                      <w:b/>
                      <w:lang w:val="pt-PT"/>
                    </w:rPr>
                    <w:t xml:space="preserve"> Serviço Fixo </w:t>
                  </w:r>
                </w:p>
              </w:tc>
              <w:tc>
                <w:tcPr>
                  <w:tcW w:w="1469" w:type="dxa"/>
                  <w:gridSpan w:val="2"/>
                  <w:vAlign w:val="center"/>
                </w:tcPr>
                <w:p w14:paraId="79BD5CEC">
                  <w:pPr>
                    <w:widowControl w:val="0"/>
                    <w:jc w:val="center"/>
                    <w:rPr>
                      <w:b/>
                      <w:lang w:val="pt-PT"/>
                    </w:rPr>
                  </w:pPr>
                  <w:r>
                    <w:rPr>
                      <w:b/>
                      <w:lang w:val="pt-PT"/>
                    </w:rPr>
                    <w:t>30</w:t>
                  </w:r>
                </w:p>
              </w:tc>
              <w:tc>
                <w:tcPr>
                  <w:tcW w:w="1276" w:type="dxa"/>
                  <w:vAlign w:val="center"/>
                </w:tcPr>
                <w:p w14:paraId="70A2CD75">
                  <w:pPr>
                    <w:widowControl w:val="0"/>
                    <w:rPr>
                      <w:b/>
                      <w:lang w:val="pt-PT"/>
                    </w:rPr>
                  </w:pPr>
                  <w:r>
                    <w:rPr>
                      <w:b/>
                      <w:lang w:val="pt-PT"/>
                    </w:rPr>
                    <w:t xml:space="preserve">R$ 112,50 </w:t>
                  </w:r>
                </w:p>
              </w:tc>
            </w:tr>
            <w:tr w14:paraId="420C50B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25" w:hRule="atLeast"/>
              </w:trPr>
              <w:tc>
                <w:tcPr>
                  <w:tcW w:w="1569" w:type="dxa"/>
                  <w:vAlign w:val="center"/>
                </w:tcPr>
                <w:p w14:paraId="0DBE7AFE">
                  <w:pPr>
                    <w:widowControl w:val="0"/>
                    <w:jc w:val="center"/>
                    <w:rPr>
                      <w:b/>
                      <w:lang w:val="pt-PT"/>
                    </w:rPr>
                  </w:pPr>
                  <w:r>
                    <w:rPr>
                      <w:b/>
                      <w:lang w:val="pt-PT"/>
                    </w:rPr>
                    <w:t>III</w:t>
                  </w:r>
                </w:p>
              </w:tc>
              <w:tc>
                <w:tcPr>
                  <w:tcW w:w="3221" w:type="dxa"/>
                  <w:gridSpan w:val="2"/>
                  <w:vAlign w:val="center"/>
                </w:tcPr>
                <w:p w14:paraId="5F811A78">
                  <w:pPr>
                    <w:widowControl w:val="0"/>
                    <w:jc w:val="both"/>
                    <w:rPr>
                      <w:b/>
                      <w:lang w:val="pt-PT"/>
                    </w:rPr>
                  </w:pPr>
                  <w:r>
                    <w:rPr>
                      <w:b/>
                      <w:lang w:val="pt-PT"/>
                    </w:rPr>
                    <w:t>Artigo 14 - § 8º. Nos casos de veículos envolvidos em acidentes que impossibilitem a remoção pela plataforma do guincho, os agentes poderão acionar os serviços de munck para assim fazer a retirada do veículo do local, será cobrada a taxa adicional no valor de 86 (oitenta e seis) U.R.`s - Unidades de Referência.</w:t>
                  </w:r>
                </w:p>
              </w:tc>
              <w:tc>
                <w:tcPr>
                  <w:tcW w:w="1276" w:type="dxa"/>
                  <w:gridSpan w:val="2"/>
                  <w:vAlign w:val="center"/>
                </w:tcPr>
                <w:p w14:paraId="76E15045">
                  <w:pPr>
                    <w:widowControl w:val="0"/>
                    <w:rPr>
                      <w:b/>
                      <w:lang w:val="pt-PT"/>
                    </w:rPr>
                  </w:pPr>
                  <w:r>
                    <w:rPr>
                      <w:b/>
                      <w:lang w:val="pt-PT"/>
                    </w:rPr>
                    <w:t xml:space="preserve"> Serviço Fixo </w:t>
                  </w:r>
                </w:p>
              </w:tc>
              <w:tc>
                <w:tcPr>
                  <w:tcW w:w="1469" w:type="dxa"/>
                  <w:gridSpan w:val="2"/>
                  <w:vAlign w:val="center"/>
                </w:tcPr>
                <w:p w14:paraId="3CD16FBC">
                  <w:pPr>
                    <w:widowControl w:val="0"/>
                    <w:jc w:val="center"/>
                    <w:rPr>
                      <w:b/>
                      <w:lang w:val="pt-PT"/>
                    </w:rPr>
                  </w:pPr>
                  <w:r>
                    <w:rPr>
                      <w:b/>
                      <w:lang w:val="pt-PT"/>
                    </w:rPr>
                    <w:t>86</w:t>
                  </w:r>
                </w:p>
              </w:tc>
              <w:tc>
                <w:tcPr>
                  <w:tcW w:w="1276" w:type="dxa"/>
                  <w:vAlign w:val="center"/>
                </w:tcPr>
                <w:p w14:paraId="49B86520">
                  <w:pPr>
                    <w:widowControl w:val="0"/>
                    <w:rPr>
                      <w:b/>
                      <w:lang w:val="pt-PT"/>
                    </w:rPr>
                  </w:pPr>
                  <w:r>
                    <w:rPr>
                      <w:b/>
                      <w:lang w:val="pt-PT"/>
                    </w:rPr>
                    <w:t xml:space="preserve">R$ 322,50 </w:t>
                  </w:r>
                </w:p>
              </w:tc>
            </w:tr>
            <w:tr w14:paraId="1E18C45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3" w:hRule="atLeast"/>
              </w:trPr>
              <w:tc>
                <w:tcPr>
                  <w:tcW w:w="8811" w:type="dxa"/>
                  <w:gridSpan w:val="8"/>
                  <w:shd w:val="clear" w:color="auto" w:fill="EAF1DD"/>
                  <w:vAlign w:val="center"/>
                </w:tcPr>
                <w:p w14:paraId="6D808EDC">
                  <w:pPr>
                    <w:widowControl w:val="0"/>
                    <w:jc w:val="center"/>
                    <w:rPr>
                      <w:b/>
                      <w:bCs/>
                      <w:lang w:val="pt-PT"/>
                    </w:rPr>
                  </w:pPr>
                  <w:r>
                    <w:rPr>
                      <w:b/>
                      <w:bCs/>
                      <w:lang w:val="pt-PT"/>
                    </w:rPr>
                    <w:t>Anexo I - Lei Municipal 2.985/2021</w:t>
                  </w:r>
                </w:p>
                <w:p w14:paraId="77F571B9">
                  <w:pPr>
                    <w:widowControl w:val="0"/>
                    <w:jc w:val="center"/>
                    <w:rPr>
                      <w:b/>
                      <w:bCs/>
                      <w:lang w:val="pt-PT"/>
                    </w:rPr>
                  </w:pPr>
                  <w:r>
                    <w:rPr>
                      <w:b/>
                      <w:bCs/>
                      <w:lang w:val="pt-PT"/>
                    </w:rPr>
                    <w:t>DOS VALORES DO SERVIÇO DE REMOÇÃO/GUINCHO POR TIPO DE VEÍCULO - Art. 14, § 1º</w:t>
                  </w:r>
                </w:p>
              </w:tc>
            </w:tr>
            <w:tr w14:paraId="5021F71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372FFF83">
                  <w:pPr>
                    <w:widowControl w:val="0"/>
                    <w:jc w:val="center"/>
                    <w:rPr>
                      <w:b/>
                      <w:bCs/>
                    </w:rPr>
                  </w:pPr>
                  <w:r>
                    <w:rPr>
                      <w:b/>
                      <w:bCs/>
                      <w:lang w:val="pt-PT"/>
                    </w:rPr>
                    <w:t>Item</w:t>
                  </w:r>
                </w:p>
              </w:tc>
              <w:tc>
                <w:tcPr>
                  <w:tcW w:w="3400" w:type="dxa"/>
                  <w:gridSpan w:val="2"/>
                  <w:shd w:val="clear" w:color="auto" w:fill="EAF1DD"/>
                  <w:vAlign w:val="center"/>
                </w:tcPr>
                <w:p w14:paraId="476A253F">
                  <w:pPr>
                    <w:widowControl w:val="0"/>
                    <w:jc w:val="center"/>
                    <w:rPr>
                      <w:b/>
                      <w:bCs/>
                      <w:lang w:val="pt-PT"/>
                    </w:rPr>
                  </w:pPr>
                  <w:r>
                    <w:rPr>
                      <w:b/>
                      <w:bCs/>
                      <w:lang w:val="pt-PT"/>
                    </w:rPr>
                    <w:t>Descrição dos Serviços</w:t>
                  </w:r>
                </w:p>
              </w:tc>
              <w:tc>
                <w:tcPr>
                  <w:tcW w:w="1418" w:type="dxa"/>
                  <w:gridSpan w:val="2"/>
                  <w:shd w:val="clear" w:color="auto" w:fill="EAF1DD"/>
                  <w:vAlign w:val="center"/>
                </w:tcPr>
                <w:p w14:paraId="4E23C7DD">
                  <w:pPr>
                    <w:widowControl w:val="0"/>
                    <w:jc w:val="center"/>
                    <w:rPr>
                      <w:b/>
                      <w:bCs/>
                      <w:lang w:val="pt-PT"/>
                    </w:rPr>
                  </w:pPr>
                  <w:r>
                    <w:rPr>
                      <w:b/>
                      <w:bCs/>
                      <w:lang w:val="pt-PT"/>
                    </w:rPr>
                    <w:t>Unidade</w:t>
                  </w:r>
                </w:p>
              </w:tc>
              <w:tc>
                <w:tcPr>
                  <w:tcW w:w="1134" w:type="dxa"/>
                  <w:shd w:val="clear" w:color="auto" w:fill="EAF1DD"/>
                  <w:vAlign w:val="center"/>
                </w:tcPr>
                <w:p w14:paraId="4DB74B4A">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0BD04634">
                  <w:pPr>
                    <w:widowControl w:val="0"/>
                    <w:jc w:val="center"/>
                    <w:rPr>
                      <w:b/>
                      <w:bCs/>
                      <w:lang w:val="pt-PT"/>
                    </w:rPr>
                  </w:pPr>
                  <w:r>
                    <w:rPr>
                      <w:b/>
                      <w:bCs/>
                      <w:lang w:val="pt-PT"/>
                    </w:rPr>
                    <w:t>Valor em R$</w:t>
                  </w:r>
                  <w:r>
                    <w:rPr>
                      <w:b/>
                      <w:bCs/>
                      <w:lang w:val="pt-PT"/>
                    </w:rPr>
                    <w:br w:type="textWrapping"/>
                  </w:r>
                  <w:r>
                    <w:rPr>
                      <w:b/>
                      <w:bCs/>
                      <w:lang w:val="pt-PT"/>
                    </w:rPr>
                    <w:t>Ano 2025</w:t>
                  </w:r>
                </w:p>
              </w:tc>
            </w:tr>
            <w:tr w14:paraId="04A2935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0" w:hRule="atLeast"/>
              </w:trPr>
              <w:tc>
                <w:tcPr>
                  <w:tcW w:w="1583" w:type="dxa"/>
                  <w:gridSpan w:val="2"/>
                  <w:vAlign w:val="center"/>
                </w:tcPr>
                <w:p w14:paraId="4210B154">
                  <w:pPr>
                    <w:widowControl w:val="0"/>
                    <w:jc w:val="center"/>
                    <w:rPr>
                      <w:b/>
                      <w:lang w:val="pt-PT"/>
                    </w:rPr>
                  </w:pPr>
                  <w:r>
                    <w:rPr>
                      <w:b/>
                      <w:lang w:val="pt-PT"/>
                    </w:rPr>
                    <w:t>I</w:t>
                  </w:r>
                </w:p>
              </w:tc>
              <w:tc>
                <w:tcPr>
                  <w:tcW w:w="3400" w:type="dxa"/>
                  <w:gridSpan w:val="2"/>
                  <w:vAlign w:val="center"/>
                </w:tcPr>
                <w:p w14:paraId="156FAF0C">
                  <w:pPr>
                    <w:widowControl w:val="0"/>
                    <w:jc w:val="both"/>
                    <w:rPr>
                      <w:b/>
                      <w:lang w:val="pt-PT"/>
                    </w:rPr>
                  </w:pPr>
                  <w:r>
                    <w:rPr>
                      <w:b/>
                      <w:lang w:val="pt-PT"/>
                    </w:rPr>
                    <w:t>Guincho para ciclomotores e motocicletas até 600 cilindradas, com ou sem reboque lateral.</w:t>
                  </w:r>
                </w:p>
              </w:tc>
              <w:tc>
                <w:tcPr>
                  <w:tcW w:w="1418" w:type="dxa"/>
                  <w:gridSpan w:val="2"/>
                  <w:vAlign w:val="center"/>
                </w:tcPr>
                <w:p w14:paraId="789B166E">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70B86734">
                  <w:pPr>
                    <w:widowControl w:val="0"/>
                    <w:jc w:val="center"/>
                    <w:rPr>
                      <w:b/>
                      <w:lang w:val="pt-PT"/>
                    </w:rPr>
                  </w:pPr>
                  <w:r>
                    <w:rPr>
                      <w:b/>
                      <w:lang w:val="pt-PT"/>
                    </w:rPr>
                    <w:t>48</w:t>
                  </w:r>
                </w:p>
              </w:tc>
              <w:tc>
                <w:tcPr>
                  <w:tcW w:w="1276" w:type="dxa"/>
                  <w:vAlign w:val="center"/>
                </w:tcPr>
                <w:p w14:paraId="6D5C2FCC">
                  <w:pPr>
                    <w:widowControl w:val="0"/>
                    <w:rPr>
                      <w:b/>
                      <w:lang w:val="pt-PT"/>
                    </w:rPr>
                  </w:pPr>
                  <w:r>
                    <w:rPr>
                      <w:b/>
                      <w:lang w:val="pt-PT"/>
                    </w:rPr>
                    <w:t xml:space="preserve">R$ 180,00 </w:t>
                  </w:r>
                </w:p>
              </w:tc>
            </w:tr>
            <w:tr w14:paraId="5420EB6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trPr>
              <w:tc>
                <w:tcPr>
                  <w:tcW w:w="1583" w:type="dxa"/>
                  <w:gridSpan w:val="2"/>
                  <w:vAlign w:val="center"/>
                </w:tcPr>
                <w:p w14:paraId="6BFADED8">
                  <w:pPr>
                    <w:widowControl w:val="0"/>
                    <w:jc w:val="center"/>
                    <w:rPr>
                      <w:b/>
                      <w:lang w:val="pt-PT"/>
                    </w:rPr>
                  </w:pPr>
                  <w:r>
                    <w:rPr>
                      <w:b/>
                      <w:lang w:val="pt-PT"/>
                    </w:rPr>
                    <w:t>II</w:t>
                  </w:r>
                </w:p>
              </w:tc>
              <w:tc>
                <w:tcPr>
                  <w:tcW w:w="3400" w:type="dxa"/>
                  <w:gridSpan w:val="2"/>
                  <w:vAlign w:val="center"/>
                </w:tcPr>
                <w:p w14:paraId="124402CD">
                  <w:pPr>
                    <w:widowControl w:val="0"/>
                    <w:jc w:val="both"/>
                    <w:rPr>
                      <w:b/>
                      <w:lang w:val="pt-PT"/>
                    </w:rPr>
                  </w:pPr>
                  <w:r>
                    <w:rPr>
                      <w:b/>
                      <w:lang w:val="pt-PT"/>
                    </w:rPr>
                    <w:t>Guincho para Carretinhas.</w:t>
                  </w:r>
                </w:p>
              </w:tc>
              <w:tc>
                <w:tcPr>
                  <w:tcW w:w="1418" w:type="dxa"/>
                  <w:gridSpan w:val="2"/>
                  <w:vAlign w:val="center"/>
                </w:tcPr>
                <w:p w14:paraId="562C2F8A">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78289C64">
                  <w:pPr>
                    <w:widowControl w:val="0"/>
                    <w:jc w:val="center"/>
                    <w:rPr>
                      <w:b/>
                      <w:lang w:val="pt-PT"/>
                    </w:rPr>
                  </w:pPr>
                  <w:r>
                    <w:rPr>
                      <w:b/>
                      <w:lang w:val="pt-PT"/>
                    </w:rPr>
                    <w:t>48</w:t>
                  </w:r>
                </w:p>
              </w:tc>
              <w:tc>
                <w:tcPr>
                  <w:tcW w:w="1276" w:type="dxa"/>
                  <w:vAlign w:val="center"/>
                </w:tcPr>
                <w:p w14:paraId="4904B1AC">
                  <w:pPr>
                    <w:widowControl w:val="0"/>
                    <w:rPr>
                      <w:b/>
                      <w:lang w:val="pt-PT"/>
                    </w:rPr>
                  </w:pPr>
                  <w:r>
                    <w:rPr>
                      <w:b/>
                      <w:lang w:val="pt-PT"/>
                    </w:rPr>
                    <w:t xml:space="preserve">R$ 180,00 </w:t>
                  </w:r>
                </w:p>
              </w:tc>
            </w:tr>
            <w:tr w14:paraId="13E1215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9" w:hRule="atLeast"/>
              </w:trPr>
              <w:tc>
                <w:tcPr>
                  <w:tcW w:w="1583" w:type="dxa"/>
                  <w:gridSpan w:val="2"/>
                  <w:vAlign w:val="center"/>
                </w:tcPr>
                <w:p w14:paraId="0DF29E31">
                  <w:pPr>
                    <w:widowControl w:val="0"/>
                    <w:jc w:val="center"/>
                    <w:rPr>
                      <w:b/>
                      <w:lang w:val="pt-PT"/>
                    </w:rPr>
                  </w:pPr>
                  <w:r>
                    <w:rPr>
                      <w:b/>
                      <w:lang w:val="pt-PT"/>
                    </w:rPr>
                    <w:t>III</w:t>
                  </w:r>
                </w:p>
              </w:tc>
              <w:tc>
                <w:tcPr>
                  <w:tcW w:w="3400" w:type="dxa"/>
                  <w:gridSpan w:val="2"/>
                  <w:vAlign w:val="center"/>
                </w:tcPr>
                <w:p w14:paraId="2FAB68E3">
                  <w:pPr>
                    <w:widowControl w:val="0"/>
                    <w:jc w:val="both"/>
                    <w:rPr>
                      <w:b/>
                      <w:lang w:val="pt-PT"/>
                    </w:rPr>
                  </w:pPr>
                  <w:r>
                    <w:rPr>
                      <w:b/>
                      <w:lang w:val="pt-PT"/>
                    </w:rPr>
                    <w:t xml:space="preserve">Guincho para Caçambas, Container e similares. </w:t>
                  </w:r>
                </w:p>
              </w:tc>
              <w:tc>
                <w:tcPr>
                  <w:tcW w:w="1418" w:type="dxa"/>
                  <w:gridSpan w:val="2"/>
                  <w:vAlign w:val="center"/>
                </w:tcPr>
                <w:p w14:paraId="5DE390F3">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7E3C94DD">
                  <w:pPr>
                    <w:widowControl w:val="0"/>
                    <w:jc w:val="center"/>
                    <w:rPr>
                      <w:b/>
                      <w:lang w:val="pt-PT"/>
                    </w:rPr>
                  </w:pPr>
                  <w:r>
                    <w:rPr>
                      <w:b/>
                      <w:lang w:val="pt-PT"/>
                    </w:rPr>
                    <w:t>63</w:t>
                  </w:r>
                </w:p>
              </w:tc>
              <w:tc>
                <w:tcPr>
                  <w:tcW w:w="1276" w:type="dxa"/>
                  <w:vAlign w:val="center"/>
                </w:tcPr>
                <w:p w14:paraId="7527D346">
                  <w:pPr>
                    <w:widowControl w:val="0"/>
                    <w:rPr>
                      <w:b/>
                      <w:lang w:val="pt-PT"/>
                    </w:rPr>
                  </w:pPr>
                  <w:r>
                    <w:rPr>
                      <w:b/>
                      <w:lang w:val="pt-PT"/>
                    </w:rPr>
                    <w:t xml:space="preserve">R$ 236,25 </w:t>
                  </w:r>
                </w:p>
              </w:tc>
            </w:tr>
            <w:tr w14:paraId="4B92782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EC8B24A">
                  <w:pPr>
                    <w:widowControl w:val="0"/>
                    <w:jc w:val="center"/>
                    <w:rPr>
                      <w:b/>
                      <w:lang w:val="pt-PT"/>
                    </w:rPr>
                  </w:pPr>
                  <w:r>
                    <w:rPr>
                      <w:b/>
                      <w:lang w:val="pt-PT"/>
                    </w:rPr>
                    <w:t>IV</w:t>
                  </w:r>
                </w:p>
              </w:tc>
              <w:tc>
                <w:tcPr>
                  <w:tcW w:w="3400" w:type="dxa"/>
                  <w:gridSpan w:val="2"/>
                  <w:vAlign w:val="center"/>
                </w:tcPr>
                <w:p w14:paraId="346C96C0">
                  <w:pPr>
                    <w:widowControl w:val="0"/>
                    <w:jc w:val="both"/>
                    <w:rPr>
                      <w:b/>
                      <w:lang w:val="pt-PT"/>
                    </w:rPr>
                  </w:pPr>
                  <w:r>
                    <w:rPr>
                      <w:b/>
                      <w:lang w:val="pt-PT"/>
                    </w:rPr>
                    <w:t>Guincho para motocicletas acima de 600 cilindradas e triciclos (veículos com 03 rodas), com ou sem reboque lateral.</w:t>
                  </w:r>
                </w:p>
              </w:tc>
              <w:tc>
                <w:tcPr>
                  <w:tcW w:w="1418" w:type="dxa"/>
                  <w:gridSpan w:val="2"/>
                  <w:vAlign w:val="center"/>
                </w:tcPr>
                <w:p w14:paraId="44E023BC">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65C7B0EC">
                  <w:pPr>
                    <w:widowControl w:val="0"/>
                    <w:jc w:val="center"/>
                    <w:rPr>
                      <w:b/>
                      <w:lang w:val="pt-PT"/>
                    </w:rPr>
                  </w:pPr>
                  <w:r>
                    <w:rPr>
                      <w:b/>
                      <w:lang w:val="pt-PT"/>
                    </w:rPr>
                    <w:t>63</w:t>
                  </w:r>
                </w:p>
              </w:tc>
              <w:tc>
                <w:tcPr>
                  <w:tcW w:w="1276" w:type="dxa"/>
                  <w:vAlign w:val="center"/>
                </w:tcPr>
                <w:p w14:paraId="38DB2E78">
                  <w:pPr>
                    <w:widowControl w:val="0"/>
                    <w:rPr>
                      <w:b/>
                      <w:lang w:val="pt-PT"/>
                    </w:rPr>
                  </w:pPr>
                  <w:r>
                    <w:rPr>
                      <w:b/>
                      <w:lang w:val="pt-PT"/>
                    </w:rPr>
                    <w:t xml:space="preserve">R$ 236,25 </w:t>
                  </w:r>
                </w:p>
              </w:tc>
            </w:tr>
            <w:tr w14:paraId="7342EE6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7" w:hRule="atLeast"/>
              </w:trPr>
              <w:tc>
                <w:tcPr>
                  <w:tcW w:w="1583" w:type="dxa"/>
                  <w:gridSpan w:val="2"/>
                  <w:vAlign w:val="center"/>
                </w:tcPr>
                <w:p w14:paraId="4D19343B">
                  <w:pPr>
                    <w:widowControl w:val="0"/>
                    <w:jc w:val="center"/>
                    <w:rPr>
                      <w:b/>
                      <w:lang w:val="pt-PT"/>
                    </w:rPr>
                  </w:pPr>
                  <w:r>
                    <w:rPr>
                      <w:b/>
                      <w:lang w:val="pt-PT"/>
                    </w:rPr>
                    <w:t>V</w:t>
                  </w:r>
                </w:p>
              </w:tc>
              <w:tc>
                <w:tcPr>
                  <w:tcW w:w="3400" w:type="dxa"/>
                  <w:gridSpan w:val="2"/>
                  <w:vAlign w:val="center"/>
                </w:tcPr>
                <w:p w14:paraId="5AF5AC20">
                  <w:pPr>
                    <w:widowControl w:val="0"/>
                    <w:jc w:val="both"/>
                    <w:rPr>
                      <w:b/>
                      <w:lang w:val="pt-PT"/>
                    </w:rPr>
                  </w:pPr>
                  <w:r>
                    <w:rPr>
                      <w:b/>
                      <w:lang w:val="pt-PT"/>
                    </w:rPr>
                    <w:t>Guincho para veículos de passeio (Carro Popular).</w:t>
                  </w:r>
                </w:p>
              </w:tc>
              <w:tc>
                <w:tcPr>
                  <w:tcW w:w="1418" w:type="dxa"/>
                  <w:gridSpan w:val="2"/>
                  <w:vAlign w:val="center"/>
                </w:tcPr>
                <w:p w14:paraId="1DD928A9">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EF9977D">
                  <w:pPr>
                    <w:widowControl w:val="0"/>
                    <w:jc w:val="center"/>
                    <w:rPr>
                      <w:b/>
                      <w:lang w:val="pt-PT"/>
                    </w:rPr>
                  </w:pPr>
                  <w:r>
                    <w:rPr>
                      <w:b/>
                      <w:lang w:val="pt-PT"/>
                    </w:rPr>
                    <w:t>67</w:t>
                  </w:r>
                </w:p>
              </w:tc>
              <w:tc>
                <w:tcPr>
                  <w:tcW w:w="1276" w:type="dxa"/>
                  <w:vAlign w:val="center"/>
                </w:tcPr>
                <w:p w14:paraId="383563D0">
                  <w:pPr>
                    <w:widowControl w:val="0"/>
                    <w:rPr>
                      <w:b/>
                      <w:lang w:val="pt-PT"/>
                    </w:rPr>
                  </w:pPr>
                  <w:r>
                    <w:rPr>
                      <w:b/>
                      <w:lang w:val="pt-PT"/>
                    </w:rPr>
                    <w:t xml:space="preserve">R$ 251,25 </w:t>
                  </w:r>
                </w:p>
              </w:tc>
            </w:tr>
            <w:tr w14:paraId="2E6CD8C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69C04546">
                  <w:pPr>
                    <w:widowControl w:val="0"/>
                    <w:jc w:val="center"/>
                    <w:rPr>
                      <w:b/>
                      <w:lang w:val="pt-PT"/>
                    </w:rPr>
                  </w:pPr>
                  <w:r>
                    <w:rPr>
                      <w:b/>
                      <w:lang w:val="pt-PT"/>
                    </w:rPr>
                    <w:t>VI</w:t>
                  </w:r>
                </w:p>
              </w:tc>
              <w:tc>
                <w:tcPr>
                  <w:tcW w:w="3400" w:type="dxa"/>
                  <w:gridSpan w:val="2"/>
                  <w:vAlign w:val="center"/>
                </w:tcPr>
                <w:p w14:paraId="102E6B45">
                  <w:pPr>
                    <w:widowControl w:val="0"/>
                    <w:jc w:val="both"/>
                    <w:rPr>
                      <w:b/>
                      <w:lang w:val="pt-PT"/>
                    </w:rPr>
                  </w:pPr>
                  <w:r>
                    <w:rPr>
                      <w:b/>
                      <w:lang w:val="pt-PT"/>
                    </w:rPr>
                    <w:t>Guincho para veículos de passeio, utilitário e similares que não ultrapassem o peso bruto total de 2.500 Kg.</w:t>
                  </w:r>
                </w:p>
              </w:tc>
              <w:tc>
                <w:tcPr>
                  <w:tcW w:w="1418" w:type="dxa"/>
                  <w:gridSpan w:val="2"/>
                  <w:vAlign w:val="center"/>
                </w:tcPr>
                <w:p w14:paraId="5FD5EB90">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CBAE7AD">
                  <w:pPr>
                    <w:widowControl w:val="0"/>
                    <w:jc w:val="center"/>
                    <w:rPr>
                      <w:b/>
                      <w:lang w:val="pt-PT"/>
                    </w:rPr>
                  </w:pPr>
                  <w:r>
                    <w:rPr>
                      <w:b/>
                      <w:lang w:val="pt-PT"/>
                    </w:rPr>
                    <w:t>72</w:t>
                  </w:r>
                </w:p>
              </w:tc>
              <w:tc>
                <w:tcPr>
                  <w:tcW w:w="1276" w:type="dxa"/>
                  <w:vAlign w:val="center"/>
                </w:tcPr>
                <w:p w14:paraId="1956B510">
                  <w:pPr>
                    <w:widowControl w:val="0"/>
                    <w:rPr>
                      <w:b/>
                      <w:lang w:val="pt-PT"/>
                    </w:rPr>
                  </w:pPr>
                  <w:r>
                    <w:rPr>
                      <w:b/>
                      <w:lang w:val="pt-PT"/>
                    </w:rPr>
                    <w:t xml:space="preserve">R$ 270,00 </w:t>
                  </w:r>
                </w:p>
              </w:tc>
            </w:tr>
            <w:tr w14:paraId="68A376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20C59D25">
                  <w:pPr>
                    <w:widowControl w:val="0"/>
                    <w:jc w:val="center"/>
                    <w:rPr>
                      <w:b/>
                      <w:lang w:val="pt-PT"/>
                    </w:rPr>
                  </w:pPr>
                  <w:r>
                    <w:rPr>
                      <w:b/>
                      <w:lang w:val="pt-PT"/>
                    </w:rPr>
                    <w:t>VII</w:t>
                  </w:r>
                </w:p>
              </w:tc>
              <w:tc>
                <w:tcPr>
                  <w:tcW w:w="3400" w:type="dxa"/>
                  <w:gridSpan w:val="2"/>
                  <w:vAlign w:val="center"/>
                </w:tcPr>
                <w:p w14:paraId="582A4D29">
                  <w:pPr>
                    <w:widowControl w:val="0"/>
                    <w:jc w:val="both"/>
                    <w:rPr>
                      <w:b/>
                      <w:lang w:val="pt-PT"/>
                    </w:rPr>
                  </w:pPr>
                  <w:r>
                    <w:rPr>
                      <w:b/>
                      <w:lang w:val="pt-PT"/>
                    </w:rPr>
                    <w:t>Guincho para veículos de passeio, utilitário e similares acima de 2.500 KG que não ultrapassem o peso bruto total de 3.500 Kg.</w:t>
                  </w:r>
                </w:p>
              </w:tc>
              <w:tc>
                <w:tcPr>
                  <w:tcW w:w="1418" w:type="dxa"/>
                  <w:gridSpan w:val="2"/>
                  <w:vAlign w:val="center"/>
                </w:tcPr>
                <w:p w14:paraId="69DF0AFD">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CB577BC">
                  <w:pPr>
                    <w:widowControl w:val="0"/>
                    <w:jc w:val="center"/>
                    <w:rPr>
                      <w:b/>
                      <w:lang w:val="pt-PT"/>
                    </w:rPr>
                  </w:pPr>
                  <w:r>
                    <w:rPr>
                      <w:b/>
                      <w:lang w:val="pt-PT"/>
                    </w:rPr>
                    <w:t>105</w:t>
                  </w:r>
                </w:p>
              </w:tc>
              <w:tc>
                <w:tcPr>
                  <w:tcW w:w="1276" w:type="dxa"/>
                  <w:vAlign w:val="center"/>
                </w:tcPr>
                <w:p w14:paraId="48BF2962">
                  <w:pPr>
                    <w:widowControl w:val="0"/>
                    <w:rPr>
                      <w:b/>
                      <w:lang w:val="pt-PT"/>
                    </w:rPr>
                  </w:pPr>
                  <w:r>
                    <w:rPr>
                      <w:b/>
                      <w:lang w:val="pt-PT"/>
                    </w:rPr>
                    <w:t xml:space="preserve">R$ 393,75 </w:t>
                  </w:r>
                </w:p>
              </w:tc>
            </w:tr>
            <w:tr w14:paraId="6D5E056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3" w:hRule="atLeast"/>
              </w:trPr>
              <w:tc>
                <w:tcPr>
                  <w:tcW w:w="1583" w:type="dxa"/>
                  <w:gridSpan w:val="2"/>
                  <w:vAlign w:val="center"/>
                </w:tcPr>
                <w:p w14:paraId="62016903">
                  <w:pPr>
                    <w:widowControl w:val="0"/>
                    <w:jc w:val="center"/>
                    <w:rPr>
                      <w:b/>
                      <w:lang w:val="pt-PT"/>
                    </w:rPr>
                  </w:pPr>
                  <w:r>
                    <w:rPr>
                      <w:b/>
                      <w:lang w:val="pt-PT"/>
                    </w:rPr>
                    <w:t>VIII</w:t>
                  </w:r>
                </w:p>
              </w:tc>
              <w:tc>
                <w:tcPr>
                  <w:tcW w:w="3400" w:type="dxa"/>
                  <w:gridSpan w:val="2"/>
                  <w:vAlign w:val="center"/>
                </w:tcPr>
                <w:p w14:paraId="6B268901">
                  <w:pPr>
                    <w:widowControl w:val="0"/>
                    <w:jc w:val="both"/>
                    <w:rPr>
                      <w:b/>
                      <w:lang w:val="pt-PT"/>
                    </w:rPr>
                  </w:pPr>
                  <w:r>
                    <w:rPr>
                      <w:b/>
                      <w:lang w:val="pt-PT"/>
                    </w:rPr>
                    <w:t>Guincho para veículos de carga ou passageiros com peso bruto superior a 3.500 kg.</w:t>
                  </w:r>
                </w:p>
              </w:tc>
              <w:tc>
                <w:tcPr>
                  <w:tcW w:w="1418" w:type="dxa"/>
                  <w:gridSpan w:val="2"/>
                  <w:vAlign w:val="center"/>
                </w:tcPr>
                <w:p w14:paraId="4062E14D">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C6A1D37">
                  <w:pPr>
                    <w:widowControl w:val="0"/>
                    <w:jc w:val="center"/>
                    <w:rPr>
                      <w:b/>
                      <w:lang w:val="pt-PT"/>
                    </w:rPr>
                  </w:pPr>
                  <w:r>
                    <w:rPr>
                      <w:b/>
                      <w:lang w:val="pt-PT"/>
                    </w:rPr>
                    <w:t>172</w:t>
                  </w:r>
                </w:p>
              </w:tc>
              <w:tc>
                <w:tcPr>
                  <w:tcW w:w="1276" w:type="dxa"/>
                  <w:vAlign w:val="center"/>
                </w:tcPr>
                <w:p w14:paraId="7DEFA370">
                  <w:pPr>
                    <w:widowControl w:val="0"/>
                    <w:rPr>
                      <w:b/>
                      <w:lang w:val="pt-PT"/>
                    </w:rPr>
                  </w:pPr>
                  <w:r>
                    <w:rPr>
                      <w:b/>
                      <w:lang w:val="pt-PT"/>
                    </w:rPr>
                    <w:t xml:space="preserve">R$ 645,00 </w:t>
                  </w:r>
                </w:p>
              </w:tc>
            </w:tr>
            <w:tr w14:paraId="3E64EB3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8" w:hRule="atLeast"/>
              </w:trPr>
              <w:tc>
                <w:tcPr>
                  <w:tcW w:w="1583" w:type="dxa"/>
                  <w:gridSpan w:val="2"/>
                  <w:vAlign w:val="center"/>
                </w:tcPr>
                <w:p w14:paraId="4B035601">
                  <w:pPr>
                    <w:widowControl w:val="0"/>
                    <w:jc w:val="center"/>
                    <w:rPr>
                      <w:b/>
                      <w:lang w:val="pt-PT"/>
                    </w:rPr>
                  </w:pPr>
                  <w:r>
                    <w:rPr>
                      <w:b/>
                      <w:lang w:val="pt-PT"/>
                    </w:rPr>
                    <w:t>IX</w:t>
                  </w:r>
                </w:p>
              </w:tc>
              <w:tc>
                <w:tcPr>
                  <w:tcW w:w="3400" w:type="dxa"/>
                  <w:gridSpan w:val="2"/>
                  <w:vAlign w:val="center"/>
                </w:tcPr>
                <w:p w14:paraId="5A0746BE">
                  <w:pPr>
                    <w:widowControl w:val="0"/>
                    <w:jc w:val="both"/>
                    <w:rPr>
                      <w:b/>
                      <w:lang w:val="pt-PT"/>
                    </w:rPr>
                  </w:pPr>
                  <w:r>
                    <w:rPr>
                      <w:b/>
                      <w:lang w:val="pt-PT"/>
                    </w:rPr>
                    <w:t>Guincho para veículos articulados, reboque e semi-reboque.</w:t>
                  </w:r>
                </w:p>
              </w:tc>
              <w:tc>
                <w:tcPr>
                  <w:tcW w:w="1418" w:type="dxa"/>
                  <w:gridSpan w:val="2"/>
                  <w:vAlign w:val="center"/>
                </w:tcPr>
                <w:p w14:paraId="6431D3D1">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6697EF3C">
                  <w:pPr>
                    <w:widowControl w:val="0"/>
                    <w:jc w:val="center"/>
                    <w:rPr>
                      <w:b/>
                      <w:lang w:val="pt-PT"/>
                    </w:rPr>
                  </w:pPr>
                  <w:r>
                    <w:rPr>
                      <w:b/>
                      <w:lang w:val="pt-PT"/>
                    </w:rPr>
                    <w:t>196</w:t>
                  </w:r>
                </w:p>
              </w:tc>
              <w:tc>
                <w:tcPr>
                  <w:tcW w:w="1276" w:type="dxa"/>
                  <w:vAlign w:val="center"/>
                </w:tcPr>
                <w:p w14:paraId="6DC1C9BB">
                  <w:pPr>
                    <w:widowControl w:val="0"/>
                    <w:rPr>
                      <w:b/>
                      <w:lang w:val="pt-PT"/>
                    </w:rPr>
                  </w:pPr>
                  <w:r>
                    <w:rPr>
                      <w:b/>
                      <w:lang w:val="pt-PT"/>
                    </w:rPr>
                    <w:t xml:space="preserve">R$ 735,00 </w:t>
                  </w:r>
                </w:p>
              </w:tc>
            </w:tr>
            <w:tr w14:paraId="41FBBEC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9" w:hRule="atLeast"/>
              </w:trPr>
              <w:tc>
                <w:tcPr>
                  <w:tcW w:w="8811" w:type="dxa"/>
                  <w:gridSpan w:val="8"/>
                  <w:shd w:val="clear" w:color="auto" w:fill="EAF1DD"/>
                  <w:vAlign w:val="center"/>
                </w:tcPr>
                <w:p w14:paraId="40A0868E">
                  <w:pPr>
                    <w:widowControl w:val="0"/>
                    <w:jc w:val="center"/>
                    <w:rPr>
                      <w:b/>
                      <w:bCs/>
                      <w:lang w:val="pt-PT"/>
                    </w:rPr>
                  </w:pPr>
                  <w:r>
                    <w:rPr>
                      <w:b/>
                      <w:bCs/>
                      <w:lang w:val="pt-PT"/>
                    </w:rPr>
                    <w:t>Anexo II - Lei Municipal 2.985/2021</w:t>
                  </w:r>
                </w:p>
                <w:p w14:paraId="6956CCCD">
                  <w:pPr>
                    <w:widowControl w:val="0"/>
                    <w:jc w:val="center"/>
                    <w:rPr>
                      <w:b/>
                      <w:bCs/>
                      <w:lang w:val="pt-PT"/>
                    </w:rPr>
                  </w:pPr>
                  <w:r>
                    <w:rPr>
                      <w:b/>
                      <w:bCs/>
                      <w:lang w:val="pt-PT"/>
                    </w:rPr>
                    <w:t>DOS VALORES DA TAXA DO KM ADICIONAL (Acima de 30 KM) - Art. 17</w:t>
                  </w:r>
                </w:p>
              </w:tc>
            </w:tr>
            <w:tr w14:paraId="33B997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71D36848">
                  <w:pPr>
                    <w:widowControl w:val="0"/>
                    <w:jc w:val="center"/>
                    <w:rPr>
                      <w:b/>
                      <w:bCs/>
                    </w:rPr>
                  </w:pPr>
                  <w:r>
                    <w:rPr>
                      <w:b/>
                      <w:bCs/>
                      <w:lang w:val="pt-PT"/>
                    </w:rPr>
                    <w:t>Item</w:t>
                  </w:r>
                </w:p>
              </w:tc>
              <w:tc>
                <w:tcPr>
                  <w:tcW w:w="3400" w:type="dxa"/>
                  <w:gridSpan w:val="2"/>
                  <w:shd w:val="clear" w:color="auto" w:fill="EAF1DD"/>
                  <w:vAlign w:val="center"/>
                </w:tcPr>
                <w:p w14:paraId="565479A2">
                  <w:pPr>
                    <w:widowControl w:val="0"/>
                    <w:jc w:val="center"/>
                    <w:rPr>
                      <w:b/>
                      <w:bCs/>
                      <w:lang w:val="pt-PT"/>
                    </w:rPr>
                  </w:pPr>
                  <w:r>
                    <w:rPr>
                      <w:b/>
                      <w:bCs/>
                      <w:lang w:val="pt-PT"/>
                    </w:rPr>
                    <w:t>Descrição dos Serviços</w:t>
                  </w:r>
                </w:p>
              </w:tc>
              <w:tc>
                <w:tcPr>
                  <w:tcW w:w="1418" w:type="dxa"/>
                  <w:gridSpan w:val="2"/>
                  <w:shd w:val="clear" w:color="auto" w:fill="EAF1DD"/>
                  <w:vAlign w:val="center"/>
                </w:tcPr>
                <w:p w14:paraId="01CB0FDA">
                  <w:pPr>
                    <w:widowControl w:val="0"/>
                    <w:jc w:val="center"/>
                    <w:rPr>
                      <w:b/>
                      <w:bCs/>
                      <w:lang w:val="pt-PT"/>
                    </w:rPr>
                  </w:pPr>
                  <w:r>
                    <w:rPr>
                      <w:b/>
                      <w:bCs/>
                      <w:lang w:val="pt-PT"/>
                    </w:rPr>
                    <w:t>Unidade</w:t>
                  </w:r>
                </w:p>
              </w:tc>
              <w:tc>
                <w:tcPr>
                  <w:tcW w:w="1134" w:type="dxa"/>
                  <w:shd w:val="clear" w:color="auto" w:fill="EAF1DD"/>
                  <w:vAlign w:val="center"/>
                </w:tcPr>
                <w:p w14:paraId="662BC30F">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37E6FE61">
                  <w:pPr>
                    <w:widowControl w:val="0"/>
                    <w:jc w:val="center"/>
                    <w:rPr>
                      <w:b/>
                      <w:bCs/>
                      <w:lang w:val="pt-PT"/>
                    </w:rPr>
                  </w:pPr>
                  <w:r>
                    <w:rPr>
                      <w:b/>
                      <w:bCs/>
                      <w:lang w:val="pt-PT"/>
                    </w:rPr>
                    <w:t>Valor em R$</w:t>
                  </w:r>
                  <w:r>
                    <w:rPr>
                      <w:b/>
                      <w:bCs/>
                      <w:lang w:val="pt-PT"/>
                    </w:rPr>
                    <w:br w:type="textWrapping"/>
                  </w:r>
                  <w:r>
                    <w:rPr>
                      <w:b/>
                      <w:bCs/>
                      <w:lang w:val="pt-PT"/>
                    </w:rPr>
                    <w:t>Ano 2025</w:t>
                  </w:r>
                </w:p>
              </w:tc>
            </w:tr>
            <w:tr w14:paraId="6FBA76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71EC14B7">
                  <w:pPr>
                    <w:widowControl w:val="0"/>
                    <w:jc w:val="center"/>
                    <w:rPr>
                      <w:b/>
                      <w:lang w:val="pt-PT"/>
                    </w:rPr>
                  </w:pPr>
                  <w:r>
                    <w:rPr>
                      <w:b/>
                      <w:lang w:val="pt-PT"/>
                    </w:rPr>
                    <w:t>I</w:t>
                  </w:r>
                </w:p>
              </w:tc>
              <w:tc>
                <w:tcPr>
                  <w:tcW w:w="3400" w:type="dxa"/>
                  <w:gridSpan w:val="2"/>
                  <w:vAlign w:val="center"/>
                </w:tcPr>
                <w:p w14:paraId="08E39F9A">
                  <w:pPr>
                    <w:widowControl w:val="0"/>
                    <w:jc w:val="both"/>
                    <w:rPr>
                      <w:b/>
                      <w:lang w:val="pt-PT"/>
                    </w:rPr>
                  </w:pPr>
                  <w:r>
                    <w:rPr>
                      <w:b/>
                      <w:lang w:val="pt-PT"/>
                    </w:rPr>
                    <w:t>Guincho para motocicletas, ciclomotores e triciclos (veículos com 03 rodas), com ou sem reboque lateral.</w:t>
                  </w:r>
                </w:p>
              </w:tc>
              <w:tc>
                <w:tcPr>
                  <w:tcW w:w="1418" w:type="dxa"/>
                  <w:gridSpan w:val="2"/>
                  <w:vAlign w:val="center"/>
                </w:tcPr>
                <w:p w14:paraId="1F6E98CF">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70E90A13">
                  <w:pPr>
                    <w:widowControl w:val="0"/>
                    <w:jc w:val="center"/>
                    <w:rPr>
                      <w:b/>
                      <w:lang w:val="pt-PT"/>
                    </w:rPr>
                  </w:pPr>
                  <w:r>
                    <w:rPr>
                      <w:b/>
                      <w:lang w:val="pt-PT"/>
                    </w:rPr>
                    <w:t>1,18</w:t>
                  </w:r>
                </w:p>
              </w:tc>
              <w:tc>
                <w:tcPr>
                  <w:tcW w:w="1276" w:type="dxa"/>
                  <w:vAlign w:val="center"/>
                </w:tcPr>
                <w:p w14:paraId="373462AE">
                  <w:pPr>
                    <w:widowControl w:val="0"/>
                    <w:rPr>
                      <w:b/>
                      <w:lang w:val="pt-PT"/>
                    </w:rPr>
                  </w:pPr>
                  <w:r>
                    <w:rPr>
                      <w:b/>
                      <w:lang w:val="pt-PT"/>
                    </w:rPr>
                    <w:t xml:space="preserve">R$ 4,43 </w:t>
                  </w:r>
                </w:p>
              </w:tc>
            </w:tr>
            <w:tr w14:paraId="58DA26D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5F692B96">
                  <w:pPr>
                    <w:widowControl w:val="0"/>
                    <w:jc w:val="center"/>
                    <w:rPr>
                      <w:b/>
                      <w:lang w:val="pt-PT"/>
                    </w:rPr>
                  </w:pPr>
                  <w:r>
                    <w:rPr>
                      <w:b/>
                      <w:lang w:val="pt-PT"/>
                    </w:rPr>
                    <w:t>II</w:t>
                  </w:r>
                </w:p>
              </w:tc>
              <w:tc>
                <w:tcPr>
                  <w:tcW w:w="3400" w:type="dxa"/>
                  <w:gridSpan w:val="2"/>
                  <w:vAlign w:val="center"/>
                </w:tcPr>
                <w:p w14:paraId="60BA02EA">
                  <w:pPr>
                    <w:widowControl w:val="0"/>
                    <w:jc w:val="both"/>
                    <w:rPr>
                      <w:b/>
                      <w:lang w:val="pt-PT"/>
                    </w:rPr>
                  </w:pPr>
                  <w:r>
                    <w:rPr>
                      <w:b/>
                      <w:lang w:val="pt-PT"/>
                    </w:rPr>
                    <w:t>Guincho para veículos de passeio, utilitário e similares que não ultrapassem o peso bruto total de 3.500 Kg.</w:t>
                  </w:r>
                </w:p>
              </w:tc>
              <w:tc>
                <w:tcPr>
                  <w:tcW w:w="1418" w:type="dxa"/>
                  <w:gridSpan w:val="2"/>
                  <w:vAlign w:val="center"/>
                </w:tcPr>
                <w:p w14:paraId="5B0EBAA6">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5F1B64DE">
                  <w:pPr>
                    <w:widowControl w:val="0"/>
                    <w:jc w:val="center"/>
                    <w:rPr>
                      <w:b/>
                      <w:lang w:val="pt-PT"/>
                    </w:rPr>
                  </w:pPr>
                  <w:r>
                    <w:rPr>
                      <w:b/>
                      <w:lang w:val="pt-PT"/>
                    </w:rPr>
                    <w:t>1,3</w:t>
                  </w:r>
                </w:p>
              </w:tc>
              <w:tc>
                <w:tcPr>
                  <w:tcW w:w="1276" w:type="dxa"/>
                  <w:vAlign w:val="center"/>
                </w:tcPr>
                <w:p w14:paraId="38F98E70">
                  <w:pPr>
                    <w:widowControl w:val="0"/>
                    <w:rPr>
                      <w:b/>
                      <w:lang w:val="pt-PT"/>
                    </w:rPr>
                  </w:pPr>
                  <w:r>
                    <w:rPr>
                      <w:b/>
                      <w:lang w:val="pt-PT"/>
                    </w:rPr>
                    <w:t xml:space="preserve">R$ 4,88 </w:t>
                  </w:r>
                </w:p>
              </w:tc>
            </w:tr>
            <w:tr w14:paraId="2214F8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411033C">
                  <w:pPr>
                    <w:widowControl w:val="0"/>
                    <w:jc w:val="center"/>
                    <w:rPr>
                      <w:b/>
                      <w:lang w:val="pt-PT"/>
                    </w:rPr>
                  </w:pPr>
                  <w:r>
                    <w:rPr>
                      <w:b/>
                      <w:lang w:val="pt-PT"/>
                    </w:rPr>
                    <w:t>III</w:t>
                  </w:r>
                </w:p>
              </w:tc>
              <w:tc>
                <w:tcPr>
                  <w:tcW w:w="3400" w:type="dxa"/>
                  <w:gridSpan w:val="2"/>
                  <w:vAlign w:val="center"/>
                </w:tcPr>
                <w:p w14:paraId="5BB5FBAC">
                  <w:pPr>
                    <w:widowControl w:val="0"/>
                    <w:jc w:val="both"/>
                    <w:rPr>
                      <w:b/>
                      <w:lang w:val="pt-PT"/>
                    </w:rPr>
                  </w:pPr>
                  <w:r>
                    <w:rPr>
                      <w:b/>
                      <w:lang w:val="pt-PT"/>
                    </w:rPr>
                    <w:t>Guincho para veículos de carga ou passageiros com peso bruto superior a 3.500 kg.</w:t>
                  </w:r>
                </w:p>
              </w:tc>
              <w:tc>
                <w:tcPr>
                  <w:tcW w:w="1418" w:type="dxa"/>
                  <w:gridSpan w:val="2"/>
                  <w:vAlign w:val="center"/>
                </w:tcPr>
                <w:p w14:paraId="6F84DE62">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57543AD4">
                  <w:pPr>
                    <w:widowControl w:val="0"/>
                    <w:jc w:val="center"/>
                    <w:rPr>
                      <w:b/>
                      <w:lang w:val="pt-PT"/>
                    </w:rPr>
                  </w:pPr>
                  <w:r>
                    <w:rPr>
                      <w:b/>
                      <w:lang w:val="pt-PT"/>
                    </w:rPr>
                    <w:t>2</w:t>
                  </w:r>
                </w:p>
              </w:tc>
              <w:tc>
                <w:tcPr>
                  <w:tcW w:w="1276" w:type="dxa"/>
                  <w:vAlign w:val="center"/>
                </w:tcPr>
                <w:p w14:paraId="5561C024">
                  <w:pPr>
                    <w:widowControl w:val="0"/>
                    <w:rPr>
                      <w:b/>
                      <w:lang w:val="pt-PT"/>
                    </w:rPr>
                  </w:pPr>
                  <w:r>
                    <w:rPr>
                      <w:b/>
                      <w:lang w:val="pt-PT"/>
                    </w:rPr>
                    <w:t xml:space="preserve">R$ 7,50 </w:t>
                  </w:r>
                </w:p>
              </w:tc>
            </w:tr>
            <w:tr w14:paraId="3FCE5A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199B7985">
                  <w:pPr>
                    <w:widowControl w:val="0"/>
                    <w:jc w:val="center"/>
                    <w:rPr>
                      <w:b/>
                      <w:lang w:val="pt-PT"/>
                    </w:rPr>
                  </w:pPr>
                  <w:r>
                    <w:rPr>
                      <w:b/>
                      <w:lang w:val="pt-PT"/>
                    </w:rPr>
                    <w:t>IV</w:t>
                  </w:r>
                </w:p>
              </w:tc>
              <w:tc>
                <w:tcPr>
                  <w:tcW w:w="3400" w:type="dxa"/>
                  <w:gridSpan w:val="2"/>
                  <w:vAlign w:val="center"/>
                </w:tcPr>
                <w:p w14:paraId="7C91B13D">
                  <w:pPr>
                    <w:widowControl w:val="0"/>
                    <w:jc w:val="both"/>
                    <w:rPr>
                      <w:b/>
                      <w:lang w:val="pt-PT"/>
                    </w:rPr>
                  </w:pPr>
                  <w:r>
                    <w:rPr>
                      <w:b/>
                      <w:lang w:val="pt-PT"/>
                    </w:rPr>
                    <w:t>Guincho para veículos articulados, reboque e semir-reboque - Vazio.</w:t>
                  </w:r>
                </w:p>
              </w:tc>
              <w:tc>
                <w:tcPr>
                  <w:tcW w:w="1418" w:type="dxa"/>
                  <w:gridSpan w:val="2"/>
                  <w:vAlign w:val="center"/>
                </w:tcPr>
                <w:p w14:paraId="7C496DC3">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2804D4BE">
                  <w:pPr>
                    <w:widowControl w:val="0"/>
                    <w:jc w:val="center"/>
                    <w:rPr>
                      <w:b/>
                      <w:lang w:val="pt-PT"/>
                    </w:rPr>
                  </w:pPr>
                  <w:r>
                    <w:rPr>
                      <w:b/>
                      <w:lang w:val="pt-PT"/>
                    </w:rPr>
                    <w:t>2,2</w:t>
                  </w:r>
                </w:p>
              </w:tc>
              <w:tc>
                <w:tcPr>
                  <w:tcW w:w="1276" w:type="dxa"/>
                  <w:vAlign w:val="center"/>
                </w:tcPr>
                <w:p w14:paraId="5C623D16">
                  <w:pPr>
                    <w:widowControl w:val="0"/>
                    <w:rPr>
                      <w:b/>
                      <w:lang w:val="pt-PT"/>
                    </w:rPr>
                  </w:pPr>
                  <w:r>
                    <w:rPr>
                      <w:b/>
                      <w:lang w:val="pt-PT"/>
                    </w:rPr>
                    <w:t xml:space="preserve">R$ 8,25 </w:t>
                  </w:r>
                </w:p>
              </w:tc>
            </w:tr>
            <w:tr w14:paraId="2B858D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6A709F01">
                  <w:pPr>
                    <w:widowControl w:val="0"/>
                    <w:jc w:val="center"/>
                    <w:rPr>
                      <w:b/>
                      <w:lang w:val="pt-PT"/>
                    </w:rPr>
                  </w:pPr>
                  <w:r>
                    <w:rPr>
                      <w:b/>
                      <w:lang w:val="pt-PT"/>
                    </w:rPr>
                    <w:t>V</w:t>
                  </w:r>
                </w:p>
              </w:tc>
              <w:tc>
                <w:tcPr>
                  <w:tcW w:w="3400" w:type="dxa"/>
                  <w:gridSpan w:val="2"/>
                  <w:vAlign w:val="center"/>
                </w:tcPr>
                <w:p w14:paraId="7D90D029">
                  <w:pPr>
                    <w:widowControl w:val="0"/>
                    <w:jc w:val="both"/>
                    <w:rPr>
                      <w:b/>
                      <w:lang w:val="pt-PT"/>
                    </w:rPr>
                  </w:pPr>
                  <w:r>
                    <w:rPr>
                      <w:b/>
                      <w:lang w:val="pt-PT"/>
                    </w:rPr>
                    <w:t>Guincho para veículos articulados, reboque e semir-reboque - Carregado.</w:t>
                  </w:r>
                </w:p>
              </w:tc>
              <w:tc>
                <w:tcPr>
                  <w:tcW w:w="1418" w:type="dxa"/>
                  <w:gridSpan w:val="2"/>
                  <w:vAlign w:val="center"/>
                </w:tcPr>
                <w:p w14:paraId="378EBD31">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79FCC3DC">
                  <w:pPr>
                    <w:widowControl w:val="0"/>
                    <w:jc w:val="center"/>
                    <w:rPr>
                      <w:b/>
                      <w:lang w:val="pt-PT"/>
                    </w:rPr>
                  </w:pPr>
                  <w:r>
                    <w:rPr>
                      <w:b/>
                      <w:lang w:val="pt-PT"/>
                    </w:rPr>
                    <w:t>3</w:t>
                  </w:r>
                </w:p>
              </w:tc>
              <w:tc>
                <w:tcPr>
                  <w:tcW w:w="1276" w:type="dxa"/>
                  <w:vAlign w:val="center"/>
                </w:tcPr>
                <w:p w14:paraId="70F2BE90">
                  <w:pPr>
                    <w:widowControl w:val="0"/>
                    <w:rPr>
                      <w:b/>
                      <w:lang w:val="pt-PT"/>
                    </w:rPr>
                  </w:pPr>
                  <w:r>
                    <w:rPr>
                      <w:b/>
                      <w:lang w:val="pt-PT"/>
                    </w:rPr>
                    <w:t xml:space="preserve">R$ 11,25 </w:t>
                  </w:r>
                </w:p>
              </w:tc>
            </w:tr>
            <w:tr w14:paraId="1C13F02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3D8022FB">
                  <w:pPr>
                    <w:widowControl w:val="0"/>
                    <w:jc w:val="center"/>
                    <w:rPr>
                      <w:b/>
                      <w:lang w:val="pt-PT"/>
                    </w:rPr>
                  </w:pPr>
                  <w:r>
                    <w:rPr>
                      <w:b/>
                      <w:lang w:val="pt-PT"/>
                    </w:rPr>
                    <w:t>VI</w:t>
                  </w:r>
                </w:p>
              </w:tc>
              <w:tc>
                <w:tcPr>
                  <w:tcW w:w="3400" w:type="dxa"/>
                  <w:gridSpan w:val="2"/>
                  <w:vAlign w:val="center"/>
                </w:tcPr>
                <w:p w14:paraId="77CABE10">
                  <w:pPr>
                    <w:widowControl w:val="0"/>
                    <w:jc w:val="both"/>
                    <w:rPr>
                      <w:b/>
                      <w:lang w:val="pt-PT"/>
                    </w:rPr>
                  </w:pPr>
                  <w:r>
                    <w:rPr>
                      <w:b/>
                      <w:lang w:val="pt-PT"/>
                    </w:rPr>
                    <w:t>Guincho para Caçambas, Container e similares.</w:t>
                  </w:r>
                </w:p>
              </w:tc>
              <w:tc>
                <w:tcPr>
                  <w:tcW w:w="1418" w:type="dxa"/>
                  <w:gridSpan w:val="2"/>
                  <w:vAlign w:val="center"/>
                </w:tcPr>
                <w:p w14:paraId="37EA6592">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36477253">
                  <w:pPr>
                    <w:widowControl w:val="0"/>
                    <w:jc w:val="center"/>
                    <w:rPr>
                      <w:b/>
                      <w:lang w:val="pt-PT"/>
                    </w:rPr>
                  </w:pPr>
                  <w:r>
                    <w:rPr>
                      <w:b/>
                      <w:lang w:val="pt-PT"/>
                    </w:rPr>
                    <w:t>1,18</w:t>
                  </w:r>
                </w:p>
              </w:tc>
              <w:tc>
                <w:tcPr>
                  <w:tcW w:w="1276" w:type="dxa"/>
                  <w:vAlign w:val="center"/>
                </w:tcPr>
                <w:p w14:paraId="6DF99D49">
                  <w:pPr>
                    <w:widowControl w:val="0"/>
                    <w:rPr>
                      <w:b/>
                      <w:lang w:val="pt-PT"/>
                    </w:rPr>
                  </w:pPr>
                  <w:r>
                    <w:rPr>
                      <w:b/>
                      <w:lang w:val="pt-PT"/>
                    </w:rPr>
                    <w:t xml:space="preserve">R$ 4,43 </w:t>
                  </w:r>
                </w:p>
              </w:tc>
            </w:tr>
            <w:tr w14:paraId="7A16545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3F01082">
                  <w:pPr>
                    <w:widowControl w:val="0"/>
                    <w:jc w:val="center"/>
                    <w:rPr>
                      <w:b/>
                      <w:lang w:val="pt-PT"/>
                    </w:rPr>
                  </w:pPr>
                  <w:r>
                    <w:rPr>
                      <w:b/>
                      <w:lang w:val="pt-PT"/>
                    </w:rPr>
                    <w:t>VII</w:t>
                  </w:r>
                </w:p>
              </w:tc>
              <w:tc>
                <w:tcPr>
                  <w:tcW w:w="3400" w:type="dxa"/>
                  <w:gridSpan w:val="2"/>
                  <w:vAlign w:val="center"/>
                </w:tcPr>
                <w:p w14:paraId="6BB621FE">
                  <w:pPr>
                    <w:widowControl w:val="0"/>
                    <w:jc w:val="both"/>
                    <w:rPr>
                      <w:b/>
                      <w:lang w:val="pt-PT"/>
                    </w:rPr>
                  </w:pPr>
                  <w:r>
                    <w:rPr>
                      <w:b/>
                      <w:lang w:val="pt-PT"/>
                    </w:rPr>
                    <w:t>Guincho para Carretinhas</w:t>
                  </w:r>
                </w:p>
              </w:tc>
              <w:tc>
                <w:tcPr>
                  <w:tcW w:w="1418" w:type="dxa"/>
                  <w:gridSpan w:val="2"/>
                  <w:vAlign w:val="center"/>
                </w:tcPr>
                <w:p w14:paraId="4542F426">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349D3EC8">
                  <w:pPr>
                    <w:widowControl w:val="0"/>
                    <w:jc w:val="center"/>
                    <w:rPr>
                      <w:b/>
                      <w:lang w:val="pt-PT"/>
                    </w:rPr>
                  </w:pPr>
                  <w:r>
                    <w:rPr>
                      <w:b/>
                      <w:lang w:val="pt-PT"/>
                    </w:rPr>
                    <w:t>1,18</w:t>
                  </w:r>
                </w:p>
              </w:tc>
              <w:tc>
                <w:tcPr>
                  <w:tcW w:w="1276" w:type="dxa"/>
                  <w:vAlign w:val="center"/>
                </w:tcPr>
                <w:p w14:paraId="0F7E447E">
                  <w:pPr>
                    <w:widowControl w:val="0"/>
                    <w:rPr>
                      <w:b/>
                      <w:lang w:val="pt-PT"/>
                    </w:rPr>
                  </w:pPr>
                  <w:r>
                    <w:rPr>
                      <w:b/>
                      <w:lang w:val="pt-PT"/>
                    </w:rPr>
                    <w:t xml:space="preserve">R$ 4,43 </w:t>
                  </w:r>
                </w:p>
              </w:tc>
            </w:tr>
            <w:tr w14:paraId="69BAC7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6" w:hRule="atLeast"/>
              </w:trPr>
              <w:tc>
                <w:tcPr>
                  <w:tcW w:w="8811" w:type="dxa"/>
                  <w:gridSpan w:val="8"/>
                  <w:shd w:val="clear" w:color="auto" w:fill="EAF1DD"/>
                  <w:vAlign w:val="center"/>
                </w:tcPr>
                <w:p w14:paraId="45AE5AC8">
                  <w:pPr>
                    <w:widowControl w:val="0"/>
                    <w:jc w:val="center"/>
                    <w:rPr>
                      <w:b/>
                      <w:bCs/>
                      <w:lang w:val="pt-PT"/>
                    </w:rPr>
                  </w:pPr>
                  <w:r>
                    <w:rPr>
                      <w:b/>
                      <w:bCs/>
                      <w:lang w:val="pt-PT"/>
                    </w:rPr>
                    <w:t>Anexo III - Lei Municipal 2.985/2021</w:t>
                  </w:r>
                </w:p>
                <w:p w14:paraId="4CDD8817">
                  <w:pPr>
                    <w:widowControl w:val="0"/>
                    <w:jc w:val="center"/>
                    <w:rPr>
                      <w:b/>
                      <w:bCs/>
                      <w:lang w:val="pt-PT"/>
                    </w:rPr>
                  </w:pPr>
                  <w:r>
                    <w:rPr>
                      <w:b/>
                      <w:bCs/>
                      <w:lang w:val="pt-PT"/>
                    </w:rPr>
                    <w:t>DOS VALORES DA TAXA DE DEPÓSITO EM PÁTIO - Art. 19</w:t>
                  </w:r>
                </w:p>
              </w:tc>
            </w:tr>
            <w:tr w14:paraId="2D7568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3D883257">
                  <w:pPr>
                    <w:widowControl w:val="0"/>
                    <w:jc w:val="center"/>
                    <w:rPr>
                      <w:b/>
                      <w:bCs/>
                    </w:rPr>
                  </w:pPr>
                  <w:r>
                    <w:rPr>
                      <w:b/>
                      <w:bCs/>
                      <w:lang w:val="pt-PT"/>
                    </w:rPr>
                    <w:t>Item</w:t>
                  </w:r>
                </w:p>
              </w:tc>
              <w:tc>
                <w:tcPr>
                  <w:tcW w:w="3400" w:type="dxa"/>
                  <w:gridSpan w:val="2"/>
                  <w:shd w:val="clear" w:color="auto" w:fill="EAF1DD"/>
                  <w:vAlign w:val="center"/>
                </w:tcPr>
                <w:p w14:paraId="2D0013D1">
                  <w:pPr>
                    <w:widowControl w:val="0"/>
                    <w:jc w:val="center"/>
                    <w:rPr>
                      <w:b/>
                      <w:bCs/>
                      <w:lang w:val="pt-PT"/>
                    </w:rPr>
                  </w:pPr>
                  <w:r>
                    <w:rPr>
                      <w:b/>
                      <w:bCs/>
                      <w:lang w:val="pt-PT"/>
                    </w:rPr>
                    <w:t>Descrição dos Serviços</w:t>
                  </w:r>
                </w:p>
              </w:tc>
              <w:tc>
                <w:tcPr>
                  <w:tcW w:w="1418" w:type="dxa"/>
                  <w:gridSpan w:val="2"/>
                  <w:shd w:val="clear" w:color="auto" w:fill="EAF1DD"/>
                  <w:vAlign w:val="center"/>
                </w:tcPr>
                <w:p w14:paraId="7704F517">
                  <w:pPr>
                    <w:widowControl w:val="0"/>
                    <w:jc w:val="center"/>
                    <w:rPr>
                      <w:b/>
                      <w:bCs/>
                      <w:lang w:val="pt-PT"/>
                    </w:rPr>
                  </w:pPr>
                  <w:r>
                    <w:rPr>
                      <w:b/>
                      <w:bCs/>
                      <w:lang w:val="pt-PT"/>
                    </w:rPr>
                    <w:t>Unidade</w:t>
                  </w:r>
                </w:p>
              </w:tc>
              <w:tc>
                <w:tcPr>
                  <w:tcW w:w="1134" w:type="dxa"/>
                  <w:shd w:val="clear" w:color="auto" w:fill="EAF1DD"/>
                  <w:vAlign w:val="center"/>
                </w:tcPr>
                <w:p w14:paraId="143B6E17">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46FB3036">
                  <w:pPr>
                    <w:widowControl w:val="0"/>
                    <w:jc w:val="center"/>
                    <w:rPr>
                      <w:b/>
                      <w:bCs/>
                      <w:lang w:val="pt-PT"/>
                    </w:rPr>
                  </w:pPr>
                  <w:r>
                    <w:rPr>
                      <w:b/>
                      <w:bCs/>
                      <w:lang w:val="pt-PT"/>
                    </w:rPr>
                    <w:t>Valor em R$</w:t>
                  </w:r>
                  <w:r>
                    <w:rPr>
                      <w:b/>
                      <w:bCs/>
                      <w:lang w:val="pt-PT"/>
                    </w:rPr>
                    <w:br w:type="textWrapping"/>
                  </w:r>
                  <w:r>
                    <w:rPr>
                      <w:b/>
                      <w:bCs/>
                      <w:lang w:val="pt-PT"/>
                    </w:rPr>
                    <w:t>Ano 2025</w:t>
                  </w:r>
                </w:p>
              </w:tc>
            </w:tr>
            <w:tr w14:paraId="7247EBF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C452A60">
                  <w:pPr>
                    <w:widowControl w:val="0"/>
                    <w:jc w:val="center"/>
                    <w:rPr>
                      <w:b/>
                      <w:lang w:val="pt-PT"/>
                    </w:rPr>
                  </w:pPr>
                  <w:r>
                    <w:rPr>
                      <w:b/>
                      <w:lang w:val="pt-PT"/>
                    </w:rPr>
                    <w:t>I</w:t>
                  </w:r>
                </w:p>
              </w:tc>
              <w:tc>
                <w:tcPr>
                  <w:tcW w:w="3400" w:type="dxa"/>
                  <w:gridSpan w:val="2"/>
                  <w:vAlign w:val="center"/>
                </w:tcPr>
                <w:p w14:paraId="547765E9">
                  <w:pPr>
                    <w:widowControl w:val="0"/>
                    <w:jc w:val="both"/>
                    <w:rPr>
                      <w:b/>
                      <w:lang w:val="pt-PT"/>
                    </w:rPr>
                  </w:pPr>
                  <w:r>
                    <w:rPr>
                      <w:b/>
                      <w:lang w:val="pt-PT"/>
                    </w:rPr>
                    <w:t>Estada no pátio para motocicletas, ciclomotores e triciclos (veículos com 03 rodas), com ou sem</w:t>
                  </w:r>
                  <w:r>
                    <w:rPr>
                      <w:b/>
                      <w:lang w:val="pt-PT"/>
                    </w:rPr>
                    <w:br w:type="textWrapping"/>
                  </w:r>
                  <w:r>
                    <w:rPr>
                      <w:b/>
                      <w:lang w:val="pt-PT"/>
                    </w:rPr>
                    <w:t>reboque lateral, limitadas a 180 dias.</w:t>
                  </w:r>
                </w:p>
              </w:tc>
              <w:tc>
                <w:tcPr>
                  <w:tcW w:w="1418" w:type="dxa"/>
                  <w:gridSpan w:val="2"/>
                  <w:vAlign w:val="center"/>
                </w:tcPr>
                <w:p w14:paraId="038D8EF7">
                  <w:pPr>
                    <w:widowControl w:val="0"/>
                    <w:jc w:val="center"/>
                    <w:rPr>
                      <w:b/>
                      <w:lang w:val="pt-PT"/>
                    </w:rPr>
                  </w:pPr>
                  <w:r>
                    <w:rPr>
                      <w:b/>
                      <w:lang w:val="pt-PT"/>
                    </w:rPr>
                    <w:t>Diária - 24 hs</w:t>
                  </w:r>
                </w:p>
              </w:tc>
              <w:tc>
                <w:tcPr>
                  <w:tcW w:w="1134" w:type="dxa"/>
                  <w:vAlign w:val="center"/>
                </w:tcPr>
                <w:p w14:paraId="68B23BBF">
                  <w:pPr>
                    <w:widowControl w:val="0"/>
                    <w:jc w:val="center"/>
                    <w:rPr>
                      <w:b/>
                      <w:lang w:val="pt-PT"/>
                    </w:rPr>
                  </w:pPr>
                  <w:r>
                    <w:rPr>
                      <w:b/>
                      <w:lang w:val="pt-PT"/>
                    </w:rPr>
                    <w:t>9,1</w:t>
                  </w:r>
                </w:p>
              </w:tc>
              <w:tc>
                <w:tcPr>
                  <w:tcW w:w="1276" w:type="dxa"/>
                  <w:vAlign w:val="center"/>
                </w:tcPr>
                <w:p w14:paraId="18AAFA10">
                  <w:pPr>
                    <w:widowControl w:val="0"/>
                    <w:rPr>
                      <w:b/>
                      <w:lang w:val="pt-PT"/>
                    </w:rPr>
                  </w:pPr>
                  <w:r>
                    <w:rPr>
                      <w:b/>
                      <w:lang w:val="pt-PT"/>
                    </w:rPr>
                    <w:t xml:space="preserve">R$ 34,13 </w:t>
                  </w:r>
                </w:p>
              </w:tc>
            </w:tr>
            <w:tr w14:paraId="53D2BB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C342664">
                  <w:pPr>
                    <w:widowControl w:val="0"/>
                    <w:jc w:val="center"/>
                    <w:rPr>
                      <w:b/>
                      <w:lang w:val="pt-PT"/>
                    </w:rPr>
                  </w:pPr>
                  <w:r>
                    <w:rPr>
                      <w:b/>
                      <w:lang w:val="pt-PT"/>
                    </w:rPr>
                    <w:t>II</w:t>
                  </w:r>
                </w:p>
              </w:tc>
              <w:tc>
                <w:tcPr>
                  <w:tcW w:w="3400" w:type="dxa"/>
                  <w:gridSpan w:val="2"/>
                  <w:vAlign w:val="center"/>
                </w:tcPr>
                <w:p w14:paraId="07B1A512">
                  <w:pPr>
                    <w:widowControl w:val="0"/>
                    <w:jc w:val="both"/>
                    <w:rPr>
                      <w:b/>
                      <w:lang w:val="pt-PT"/>
                    </w:rPr>
                  </w:pPr>
                  <w:r>
                    <w:rPr>
                      <w:b/>
                      <w:lang w:val="pt-PT"/>
                    </w:rPr>
                    <w:t>Estada no pátio para veículos de passeio, utilitário e similares que não ultrapassem o peso bruto total de 3.500 Kg, limitadas a 180 dias.</w:t>
                  </w:r>
                </w:p>
              </w:tc>
              <w:tc>
                <w:tcPr>
                  <w:tcW w:w="1418" w:type="dxa"/>
                  <w:gridSpan w:val="2"/>
                  <w:vAlign w:val="center"/>
                </w:tcPr>
                <w:p w14:paraId="451655BE">
                  <w:pPr>
                    <w:widowControl w:val="0"/>
                    <w:jc w:val="center"/>
                    <w:rPr>
                      <w:b/>
                      <w:lang w:val="pt-PT"/>
                    </w:rPr>
                  </w:pPr>
                  <w:r>
                    <w:rPr>
                      <w:b/>
                      <w:lang w:val="pt-PT"/>
                    </w:rPr>
                    <w:t>Diária - 24 hs</w:t>
                  </w:r>
                </w:p>
              </w:tc>
              <w:tc>
                <w:tcPr>
                  <w:tcW w:w="1134" w:type="dxa"/>
                  <w:vAlign w:val="center"/>
                </w:tcPr>
                <w:p w14:paraId="04E42854">
                  <w:pPr>
                    <w:widowControl w:val="0"/>
                    <w:jc w:val="center"/>
                    <w:rPr>
                      <w:b/>
                      <w:lang w:val="pt-PT"/>
                    </w:rPr>
                  </w:pPr>
                  <w:r>
                    <w:rPr>
                      <w:b/>
                      <w:lang w:val="pt-PT"/>
                    </w:rPr>
                    <w:t>14,9</w:t>
                  </w:r>
                </w:p>
              </w:tc>
              <w:tc>
                <w:tcPr>
                  <w:tcW w:w="1276" w:type="dxa"/>
                  <w:vAlign w:val="center"/>
                </w:tcPr>
                <w:p w14:paraId="3FEBCAE0">
                  <w:pPr>
                    <w:widowControl w:val="0"/>
                    <w:rPr>
                      <w:b/>
                      <w:lang w:val="pt-PT"/>
                    </w:rPr>
                  </w:pPr>
                  <w:r>
                    <w:rPr>
                      <w:b/>
                      <w:lang w:val="pt-PT"/>
                    </w:rPr>
                    <w:t xml:space="preserve">R$ 55,88 </w:t>
                  </w:r>
                </w:p>
              </w:tc>
            </w:tr>
            <w:tr w14:paraId="30449D8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62" w:hRule="atLeast"/>
              </w:trPr>
              <w:tc>
                <w:tcPr>
                  <w:tcW w:w="1583" w:type="dxa"/>
                  <w:gridSpan w:val="2"/>
                  <w:vAlign w:val="center"/>
                </w:tcPr>
                <w:p w14:paraId="5665A7B1">
                  <w:pPr>
                    <w:widowControl w:val="0"/>
                    <w:jc w:val="center"/>
                    <w:rPr>
                      <w:b/>
                      <w:lang w:val="pt-PT"/>
                    </w:rPr>
                  </w:pPr>
                  <w:r>
                    <w:rPr>
                      <w:b/>
                      <w:lang w:val="pt-PT"/>
                    </w:rPr>
                    <w:t>III</w:t>
                  </w:r>
                </w:p>
              </w:tc>
              <w:tc>
                <w:tcPr>
                  <w:tcW w:w="3400" w:type="dxa"/>
                  <w:gridSpan w:val="2"/>
                  <w:vAlign w:val="center"/>
                </w:tcPr>
                <w:p w14:paraId="14DF024D">
                  <w:pPr>
                    <w:widowControl w:val="0"/>
                    <w:jc w:val="both"/>
                    <w:rPr>
                      <w:b/>
                      <w:lang w:val="pt-PT"/>
                    </w:rPr>
                  </w:pPr>
                  <w:r>
                    <w:rPr>
                      <w:b/>
                      <w:lang w:val="pt-PT"/>
                    </w:rPr>
                    <w:t>Estada no pátio para veículos de carga ou passageiros com peso bruto superior a 3.500 kg, limitadas a 180 dias e</w:t>
                  </w:r>
                </w:p>
              </w:tc>
              <w:tc>
                <w:tcPr>
                  <w:tcW w:w="1418" w:type="dxa"/>
                  <w:gridSpan w:val="2"/>
                  <w:vAlign w:val="center"/>
                </w:tcPr>
                <w:p w14:paraId="4A680503">
                  <w:pPr>
                    <w:widowControl w:val="0"/>
                    <w:jc w:val="center"/>
                    <w:rPr>
                      <w:b/>
                      <w:lang w:val="pt-PT"/>
                    </w:rPr>
                  </w:pPr>
                  <w:r>
                    <w:rPr>
                      <w:b/>
                      <w:lang w:val="pt-PT"/>
                    </w:rPr>
                    <w:t>Diária - 24 hs</w:t>
                  </w:r>
                </w:p>
              </w:tc>
              <w:tc>
                <w:tcPr>
                  <w:tcW w:w="1134" w:type="dxa"/>
                  <w:vAlign w:val="center"/>
                </w:tcPr>
                <w:p w14:paraId="1395110B">
                  <w:pPr>
                    <w:widowControl w:val="0"/>
                    <w:jc w:val="center"/>
                    <w:rPr>
                      <w:b/>
                      <w:lang w:val="pt-PT"/>
                    </w:rPr>
                  </w:pPr>
                  <w:r>
                    <w:rPr>
                      <w:b/>
                      <w:lang w:val="pt-PT"/>
                    </w:rPr>
                    <w:t>21,8</w:t>
                  </w:r>
                </w:p>
              </w:tc>
              <w:tc>
                <w:tcPr>
                  <w:tcW w:w="1276" w:type="dxa"/>
                  <w:vAlign w:val="center"/>
                </w:tcPr>
                <w:p w14:paraId="58BB9B60">
                  <w:pPr>
                    <w:widowControl w:val="0"/>
                    <w:rPr>
                      <w:b/>
                      <w:lang w:val="pt-PT"/>
                    </w:rPr>
                  </w:pPr>
                  <w:r>
                    <w:rPr>
                      <w:b/>
                      <w:lang w:val="pt-PT"/>
                    </w:rPr>
                    <w:t xml:space="preserve">R$ 81,75 </w:t>
                  </w:r>
                </w:p>
              </w:tc>
            </w:tr>
            <w:tr w14:paraId="6B6701E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52" w:hRule="atLeast"/>
              </w:trPr>
              <w:tc>
                <w:tcPr>
                  <w:tcW w:w="1583" w:type="dxa"/>
                  <w:gridSpan w:val="2"/>
                  <w:vAlign w:val="center"/>
                </w:tcPr>
                <w:p w14:paraId="535CDE5F">
                  <w:pPr>
                    <w:widowControl w:val="0"/>
                    <w:jc w:val="center"/>
                    <w:rPr>
                      <w:b/>
                      <w:lang w:val="pt-PT"/>
                    </w:rPr>
                  </w:pPr>
                  <w:r>
                    <w:rPr>
                      <w:b/>
                      <w:lang w:val="pt-PT"/>
                    </w:rPr>
                    <w:t>IV</w:t>
                  </w:r>
                </w:p>
              </w:tc>
              <w:tc>
                <w:tcPr>
                  <w:tcW w:w="3400" w:type="dxa"/>
                  <w:gridSpan w:val="2"/>
                  <w:vAlign w:val="center"/>
                </w:tcPr>
                <w:p w14:paraId="2CCBCC89">
                  <w:pPr>
                    <w:widowControl w:val="0"/>
                    <w:jc w:val="both"/>
                    <w:rPr>
                      <w:b/>
                      <w:lang w:val="pt-PT"/>
                    </w:rPr>
                  </w:pPr>
                  <w:r>
                    <w:rPr>
                      <w:b/>
                      <w:lang w:val="pt-PT"/>
                    </w:rPr>
                    <w:t>Estada no pátio para veículos articulados, reboque e semirreboque (por documento), limitadas a 180 dias.</w:t>
                  </w:r>
                </w:p>
              </w:tc>
              <w:tc>
                <w:tcPr>
                  <w:tcW w:w="1418" w:type="dxa"/>
                  <w:gridSpan w:val="2"/>
                  <w:vAlign w:val="center"/>
                </w:tcPr>
                <w:p w14:paraId="21727E6F">
                  <w:pPr>
                    <w:widowControl w:val="0"/>
                    <w:jc w:val="center"/>
                    <w:rPr>
                      <w:b/>
                      <w:lang w:val="pt-PT"/>
                    </w:rPr>
                  </w:pPr>
                  <w:r>
                    <w:rPr>
                      <w:b/>
                      <w:lang w:val="pt-PT"/>
                    </w:rPr>
                    <w:t>Diária - 24 hs</w:t>
                  </w:r>
                </w:p>
              </w:tc>
              <w:tc>
                <w:tcPr>
                  <w:tcW w:w="1134" w:type="dxa"/>
                  <w:vAlign w:val="center"/>
                </w:tcPr>
                <w:p w14:paraId="406939EC">
                  <w:pPr>
                    <w:widowControl w:val="0"/>
                    <w:jc w:val="center"/>
                    <w:rPr>
                      <w:b/>
                      <w:lang w:val="pt-PT"/>
                    </w:rPr>
                  </w:pPr>
                  <w:r>
                    <w:rPr>
                      <w:b/>
                      <w:lang w:val="pt-PT"/>
                    </w:rPr>
                    <w:t>21,8</w:t>
                  </w:r>
                </w:p>
              </w:tc>
              <w:tc>
                <w:tcPr>
                  <w:tcW w:w="1276" w:type="dxa"/>
                  <w:vAlign w:val="center"/>
                </w:tcPr>
                <w:p w14:paraId="1FDFE528">
                  <w:pPr>
                    <w:widowControl w:val="0"/>
                    <w:rPr>
                      <w:b/>
                      <w:lang w:val="pt-PT"/>
                    </w:rPr>
                  </w:pPr>
                  <w:r>
                    <w:rPr>
                      <w:b/>
                      <w:lang w:val="pt-PT"/>
                    </w:rPr>
                    <w:t xml:space="preserve">R$ 81,75 </w:t>
                  </w:r>
                </w:p>
              </w:tc>
            </w:tr>
            <w:tr w14:paraId="6DB98E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5" w:hRule="atLeast"/>
              </w:trPr>
              <w:tc>
                <w:tcPr>
                  <w:tcW w:w="1583" w:type="dxa"/>
                  <w:gridSpan w:val="2"/>
                  <w:vAlign w:val="center"/>
                </w:tcPr>
                <w:p w14:paraId="69BFE01D">
                  <w:pPr>
                    <w:widowControl w:val="0"/>
                    <w:jc w:val="center"/>
                    <w:rPr>
                      <w:b/>
                      <w:lang w:val="pt-PT"/>
                    </w:rPr>
                  </w:pPr>
                  <w:r>
                    <w:rPr>
                      <w:b/>
                      <w:lang w:val="pt-PT"/>
                    </w:rPr>
                    <w:t>V</w:t>
                  </w:r>
                </w:p>
              </w:tc>
              <w:tc>
                <w:tcPr>
                  <w:tcW w:w="3400" w:type="dxa"/>
                  <w:gridSpan w:val="2"/>
                  <w:vAlign w:val="center"/>
                </w:tcPr>
                <w:p w14:paraId="0105AE8D">
                  <w:pPr>
                    <w:widowControl w:val="0"/>
                    <w:jc w:val="both"/>
                    <w:rPr>
                      <w:b/>
                      <w:lang w:val="pt-PT"/>
                    </w:rPr>
                  </w:pPr>
                  <w:r>
                    <w:rPr>
                      <w:b/>
                      <w:lang w:val="pt-PT"/>
                    </w:rPr>
                    <w:t>Estada no pátio para Caçambas, Container e similares</w:t>
                  </w:r>
                </w:p>
              </w:tc>
              <w:tc>
                <w:tcPr>
                  <w:tcW w:w="1418" w:type="dxa"/>
                  <w:gridSpan w:val="2"/>
                  <w:vAlign w:val="center"/>
                </w:tcPr>
                <w:p w14:paraId="52060DEB">
                  <w:pPr>
                    <w:widowControl w:val="0"/>
                    <w:jc w:val="center"/>
                    <w:rPr>
                      <w:b/>
                      <w:lang w:val="pt-PT"/>
                    </w:rPr>
                  </w:pPr>
                  <w:r>
                    <w:rPr>
                      <w:b/>
                      <w:lang w:val="pt-PT"/>
                    </w:rPr>
                    <w:t>Diária - 24 hs</w:t>
                  </w:r>
                </w:p>
              </w:tc>
              <w:tc>
                <w:tcPr>
                  <w:tcW w:w="1134" w:type="dxa"/>
                  <w:vAlign w:val="center"/>
                </w:tcPr>
                <w:p w14:paraId="4D50E124">
                  <w:pPr>
                    <w:widowControl w:val="0"/>
                    <w:jc w:val="center"/>
                    <w:rPr>
                      <w:b/>
                      <w:lang w:val="pt-PT"/>
                    </w:rPr>
                  </w:pPr>
                  <w:r>
                    <w:rPr>
                      <w:b/>
                      <w:lang w:val="pt-PT"/>
                    </w:rPr>
                    <w:t>9,1</w:t>
                  </w:r>
                </w:p>
              </w:tc>
              <w:tc>
                <w:tcPr>
                  <w:tcW w:w="1276" w:type="dxa"/>
                  <w:vAlign w:val="center"/>
                </w:tcPr>
                <w:p w14:paraId="32D9EF2E">
                  <w:pPr>
                    <w:widowControl w:val="0"/>
                    <w:rPr>
                      <w:b/>
                      <w:lang w:val="pt-PT"/>
                    </w:rPr>
                  </w:pPr>
                  <w:r>
                    <w:rPr>
                      <w:b/>
                      <w:lang w:val="pt-PT"/>
                    </w:rPr>
                    <w:t xml:space="preserve">R$ 34,13 </w:t>
                  </w:r>
                </w:p>
              </w:tc>
            </w:tr>
            <w:tr w14:paraId="4FB85B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atLeast"/>
              </w:trPr>
              <w:tc>
                <w:tcPr>
                  <w:tcW w:w="1583" w:type="dxa"/>
                  <w:gridSpan w:val="2"/>
                  <w:vAlign w:val="center"/>
                </w:tcPr>
                <w:p w14:paraId="028A85FA">
                  <w:pPr>
                    <w:widowControl w:val="0"/>
                    <w:jc w:val="center"/>
                    <w:rPr>
                      <w:b/>
                      <w:lang w:val="pt-PT"/>
                    </w:rPr>
                  </w:pPr>
                  <w:r>
                    <w:rPr>
                      <w:b/>
                      <w:lang w:val="pt-PT"/>
                    </w:rPr>
                    <w:t>VI</w:t>
                  </w:r>
                </w:p>
              </w:tc>
              <w:tc>
                <w:tcPr>
                  <w:tcW w:w="3400" w:type="dxa"/>
                  <w:gridSpan w:val="2"/>
                  <w:vAlign w:val="center"/>
                </w:tcPr>
                <w:p w14:paraId="17427CCC">
                  <w:pPr>
                    <w:widowControl w:val="0"/>
                    <w:jc w:val="both"/>
                    <w:rPr>
                      <w:b/>
                      <w:lang w:val="pt-PT"/>
                    </w:rPr>
                  </w:pPr>
                  <w:r>
                    <w:rPr>
                      <w:b/>
                      <w:lang w:val="pt-PT"/>
                    </w:rPr>
                    <w:t>Estada no pátio para Carretinhas</w:t>
                  </w:r>
                </w:p>
              </w:tc>
              <w:tc>
                <w:tcPr>
                  <w:tcW w:w="1418" w:type="dxa"/>
                  <w:gridSpan w:val="2"/>
                  <w:vAlign w:val="center"/>
                </w:tcPr>
                <w:p w14:paraId="6CBA61B2">
                  <w:pPr>
                    <w:widowControl w:val="0"/>
                    <w:jc w:val="center"/>
                    <w:rPr>
                      <w:b/>
                      <w:lang w:val="pt-PT"/>
                    </w:rPr>
                  </w:pPr>
                  <w:r>
                    <w:rPr>
                      <w:b/>
                      <w:lang w:val="pt-PT"/>
                    </w:rPr>
                    <w:t>Diária - 24 hs</w:t>
                  </w:r>
                </w:p>
              </w:tc>
              <w:tc>
                <w:tcPr>
                  <w:tcW w:w="1134" w:type="dxa"/>
                  <w:vAlign w:val="center"/>
                </w:tcPr>
                <w:p w14:paraId="4542D45D">
                  <w:pPr>
                    <w:widowControl w:val="0"/>
                    <w:jc w:val="center"/>
                    <w:rPr>
                      <w:b/>
                      <w:lang w:val="pt-PT"/>
                    </w:rPr>
                  </w:pPr>
                  <w:r>
                    <w:rPr>
                      <w:b/>
                      <w:lang w:val="pt-PT"/>
                    </w:rPr>
                    <w:t>9,1</w:t>
                  </w:r>
                </w:p>
              </w:tc>
              <w:tc>
                <w:tcPr>
                  <w:tcW w:w="1276" w:type="dxa"/>
                  <w:vAlign w:val="center"/>
                </w:tcPr>
                <w:p w14:paraId="2FD9C070">
                  <w:pPr>
                    <w:widowControl w:val="0"/>
                    <w:rPr>
                      <w:b/>
                      <w:lang w:val="pt-PT"/>
                    </w:rPr>
                  </w:pPr>
                  <w:r>
                    <w:rPr>
                      <w:b/>
                      <w:lang w:val="pt-PT"/>
                    </w:rPr>
                    <w:t xml:space="preserve">R$ 34,13 </w:t>
                  </w:r>
                </w:p>
              </w:tc>
            </w:tr>
          </w:tbl>
          <w:p w14:paraId="6E9D52BD"/>
        </w:tc>
      </w:tr>
      <w:tr w14:paraId="0506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484C7D61">
            <w:pPr>
              <w:rPr>
                <w:sz w:val="24"/>
                <w:szCs w:val="24"/>
              </w:rPr>
            </w:pPr>
            <w:r>
              <w:rPr>
                <w:b/>
                <w:bCs/>
                <w:sz w:val="24"/>
                <w:szCs w:val="24"/>
              </w:rPr>
              <w:t>2.2 Natureza do Objeto:</w:t>
            </w:r>
          </w:p>
          <w:p w14:paraId="3972D299">
            <w:pPr>
              <w:ind w:firstLine="720" w:firstLineChars="300"/>
              <w:jc w:val="both"/>
              <w:rPr>
                <w:sz w:val="24"/>
                <w:szCs w:val="24"/>
              </w:rPr>
            </w:pPr>
            <w:r>
              <w:rPr>
                <w:sz w:val="24"/>
                <w:szCs w:val="24"/>
              </w:rPr>
              <w:t>O Objeto a ser contratado se enquadra na categoria de bens e serviços comuns, uma vez que possui padrões de desempenho e qualidade que podem ser definidos no edital, por especificações usuais do mercado de acordo com os termos do inciso XIII  do art. 6° da Lei 14.133/2021.</w:t>
            </w:r>
          </w:p>
        </w:tc>
      </w:tr>
      <w:tr w14:paraId="64522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527B8910">
            <w:pPr>
              <w:jc w:val="both"/>
              <w:rPr>
                <w:b/>
                <w:bCs/>
                <w:sz w:val="24"/>
                <w:szCs w:val="24"/>
              </w:rPr>
            </w:pPr>
            <w:r>
              <w:rPr>
                <w:b/>
                <w:bCs/>
                <w:sz w:val="24"/>
                <w:szCs w:val="24"/>
              </w:rPr>
              <w:t>2.3 Estimativa de consumo individualizada de cada um dos órgãos participantes:</w:t>
            </w:r>
          </w:p>
          <w:p w14:paraId="684619A1">
            <w:pPr>
              <w:ind w:firstLine="720" w:firstLineChars="300"/>
              <w:jc w:val="both"/>
              <w:rPr>
                <w:sz w:val="24"/>
                <w:szCs w:val="24"/>
              </w:rPr>
            </w:pPr>
            <w:r>
              <w:rPr>
                <w:sz w:val="24"/>
                <w:szCs w:val="24"/>
              </w:rPr>
              <w:t>Processo exclusivo para a Secretaria Municipal de Segurança e Trânsito.</w:t>
            </w:r>
          </w:p>
        </w:tc>
      </w:tr>
      <w:tr w14:paraId="51347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tcPr>
          <w:p w14:paraId="3EDA5062">
            <w:pPr>
              <w:jc w:val="both"/>
              <w:rPr>
                <w:b/>
                <w:bCs/>
                <w:sz w:val="24"/>
                <w:szCs w:val="24"/>
              </w:rPr>
            </w:pPr>
            <w:r>
              <w:rPr>
                <w:b/>
                <w:bCs/>
                <w:sz w:val="24"/>
                <w:szCs w:val="24"/>
              </w:rPr>
              <w:t>2.3.1. Secretaria Municipal de Segurança e Trânsito:</w:t>
            </w:r>
          </w:p>
          <w:p w14:paraId="584A83A3">
            <w:pPr>
              <w:jc w:val="both"/>
              <w:rPr>
                <w:sz w:val="24"/>
                <w:szCs w:val="24"/>
              </w:rPr>
            </w:pPr>
            <w:r>
              <w:rPr>
                <w:sz w:val="24"/>
                <w:szCs w:val="24"/>
              </w:rPr>
              <w:t xml:space="preserve">            Trata-se de um processo de credenciamento, onde todas as empresas que atenderem aos requisitos estipulados no edital, irão prestar os mesmos serviços, com os valores estipulados na Lei Municipal nº 2.985/2021 (com alterações trazidas pelas Leis 2998/2021 e 3449/2025). Os valores constantes na Lei estão todos em Unidade de Referência (Lei Complementar 109/2014) e, para o ano de 2025, utilizamos o Decreto 356/2024 que fixou a U.R. para o ano de 2025 em R$ 3,75 (três reais e setenta e cinco centavos).</w:t>
            </w:r>
          </w:p>
          <w:tbl>
            <w:tblPr>
              <w:tblStyle w:val="12"/>
              <w:tblW w:w="8811"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569"/>
              <w:gridCol w:w="14"/>
              <w:gridCol w:w="3259"/>
              <w:gridCol w:w="992"/>
              <w:gridCol w:w="567"/>
              <w:gridCol w:w="1134"/>
              <w:gridCol w:w="1276"/>
            </w:tblGrid>
            <w:tr w14:paraId="5BE657C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46" w:hRule="atLeast"/>
              </w:trPr>
              <w:tc>
                <w:tcPr>
                  <w:tcW w:w="8811" w:type="dxa"/>
                  <w:gridSpan w:val="7"/>
                  <w:shd w:val="clear" w:color="auto" w:fill="EAF1DD"/>
                  <w:vAlign w:val="center"/>
                </w:tcPr>
                <w:p w14:paraId="3DA8DB5B">
                  <w:pPr>
                    <w:widowControl w:val="0"/>
                    <w:jc w:val="center"/>
                    <w:rPr>
                      <w:b/>
                      <w:bCs/>
                      <w:lang w:val="pt-PT"/>
                    </w:rPr>
                  </w:pPr>
                  <w:r>
                    <w:rPr>
                      <w:b/>
                      <w:bCs/>
                      <w:lang w:val="pt-PT"/>
                    </w:rPr>
                    <w:t>Lei Municipal 2.985/2021</w:t>
                  </w:r>
                </w:p>
                <w:p w14:paraId="11F4156B">
                  <w:pPr>
                    <w:widowControl w:val="0"/>
                    <w:jc w:val="center"/>
                    <w:rPr>
                      <w:b/>
                      <w:bCs/>
                      <w:lang w:val="pt-PT"/>
                    </w:rPr>
                  </w:pPr>
                  <w:r>
                    <w:rPr>
                      <w:b/>
                      <w:bCs/>
                      <w:lang w:val="pt-PT"/>
                    </w:rPr>
                    <w:t>DOS VALORES ADICIONAIS - ARTIGO 14 - § 2º, § 4º E § 8º</w:t>
                  </w:r>
                </w:p>
              </w:tc>
            </w:tr>
            <w:tr w14:paraId="2867EA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69" w:type="dxa"/>
                  <w:shd w:val="clear" w:color="auto" w:fill="EAF1DD"/>
                  <w:vAlign w:val="center"/>
                </w:tcPr>
                <w:p w14:paraId="2EC33A93">
                  <w:pPr>
                    <w:widowControl w:val="0"/>
                    <w:jc w:val="center"/>
                    <w:rPr>
                      <w:b/>
                      <w:bCs/>
                    </w:rPr>
                  </w:pPr>
                  <w:r>
                    <w:rPr>
                      <w:b/>
                      <w:bCs/>
                      <w:lang w:val="pt-PT"/>
                    </w:rPr>
                    <w:t>Item</w:t>
                  </w:r>
                </w:p>
              </w:tc>
              <w:tc>
                <w:tcPr>
                  <w:tcW w:w="3273" w:type="dxa"/>
                  <w:gridSpan w:val="2"/>
                  <w:shd w:val="clear" w:color="auto" w:fill="EAF1DD"/>
                  <w:vAlign w:val="center"/>
                </w:tcPr>
                <w:p w14:paraId="12AAF0D9">
                  <w:pPr>
                    <w:widowControl w:val="0"/>
                    <w:jc w:val="center"/>
                    <w:rPr>
                      <w:b/>
                      <w:bCs/>
                      <w:lang w:val="pt-PT"/>
                    </w:rPr>
                  </w:pPr>
                  <w:r>
                    <w:rPr>
                      <w:b/>
                      <w:bCs/>
                      <w:lang w:val="pt-PT"/>
                    </w:rPr>
                    <w:t>Descrição dos Serviços</w:t>
                  </w:r>
                </w:p>
              </w:tc>
              <w:tc>
                <w:tcPr>
                  <w:tcW w:w="992" w:type="dxa"/>
                  <w:shd w:val="clear" w:color="auto" w:fill="EAF1DD"/>
                  <w:vAlign w:val="center"/>
                </w:tcPr>
                <w:p w14:paraId="42E66755">
                  <w:pPr>
                    <w:widowControl w:val="0"/>
                    <w:jc w:val="center"/>
                    <w:rPr>
                      <w:b/>
                      <w:bCs/>
                      <w:lang w:val="pt-PT"/>
                    </w:rPr>
                  </w:pPr>
                  <w:r>
                    <w:rPr>
                      <w:b/>
                      <w:bCs/>
                      <w:lang w:val="pt-PT"/>
                    </w:rPr>
                    <w:t>Unidade</w:t>
                  </w:r>
                </w:p>
              </w:tc>
              <w:tc>
                <w:tcPr>
                  <w:tcW w:w="1701" w:type="dxa"/>
                  <w:gridSpan w:val="2"/>
                  <w:shd w:val="clear" w:color="auto" w:fill="EAF1DD"/>
                  <w:vAlign w:val="center"/>
                </w:tcPr>
                <w:p w14:paraId="1C17120E">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3C1C6553">
                  <w:pPr>
                    <w:widowControl w:val="0"/>
                    <w:jc w:val="center"/>
                    <w:rPr>
                      <w:b/>
                      <w:bCs/>
                      <w:lang w:val="pt-PT"/>
                    </w:rPr>
                  </w:pPr>
                  <w:r>
                    <w:rPr>
                      <w:b/>
                      <w:bCs/>
                      <w:lang w:val="pt-PT"/>
                    </w:rPr>
                    <w:t>Valor em R$</w:t>
                  </w:r>
                  <w:r>
                    <w:rPr>
                      <w:b/>
                      <w:bCs/>
                      <w:lang w:val="pt-PT"/>
                    </w:rPr>
                    <w:br w:type="textWrapping"/>
                  </w:r>
                  <w:r>
                    <w:rPr>
                      <w:b/>
                      <w:bCs/>
                      <w:lang w:val="pt-PT"/>
                    </w:rPr>
                    <w:t>Ano 2025</w:t>
                  </w:r>
                </w:p>
              </w:tc>
            </w:tr>
            <w:tr w14:paraId="2209C9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10" w:hRule="atLeast"/>
              </w:trPr>
              <w:tc>
                <w:tcPr>
                  <w:tcW w:w="1569" w:type="dxa"/>
                  <w:vAlign w:val="center"/>
                </w:tcPr>
                <w:p w14:paraId="359C5066">
                  <w:pPr>
                    <w:widowControl w:val="0"/>
                    <w:jc w:val="center"/>
                    <w:rPr>
                      <w:b/>
                      <w:lang w:val="pt-PT"/>
                    </w:rPr>
                  </w:pPr>
                  <w:r>
                    <w:rPr>
                      <w:b/>
                      <w:lang w:val="pt-PT"/>
                    </w:rPr>
                    <w:t>I</w:t>
                  </w:r>
                </w:p>
              </w:tc>
              <w:tc>
                <w:tcPr>
                  <w:tcW w:w="3273" w:type="dxa"/>
                  <w:gridSpan w:val="2"/>
                  <w:vAlign w:val="center"/>
                </w:tcPr>
                <w:p w14:paraId="48C5245B">
                  <w:pPr>
                    <w:widowControl w:val="0"/>
                    <w:jc w:val="both"/>
                    <w:rPr>
                      <w:b/>
                      <w:lang w:val="pt-PT"/>
                    </w:rPr>
                  </w:pPr>
                  <w:r>
                    <w:rPr>
                      <w:b/>
                      <w:lang w:val="pt-PT"/>
                    </w:rPr>
                    <w:t>Artigo 14 - § 2º. Em casos de exigência por parte do condutor/proprietário de remoção com exclusividade, será cobrada Taxa Adicional no valor de 30 (trinta) U.R.`s - Unidades de Referência.</w:t>
                  </w:r>
                </w:p>
              </w:tc>
              <w:tc>
                <w:tcPr>
                  <w:tcW w:w="992" w:type="dxa"/>
                  <w:vAlign w:val="center"/>
                </w:tcPr>
                <w:p w14:paraId="4E10A5F4">
                  <w:pPr>
                    <w:widowControl w:val="0"/>
                    <w:rPr>
                      <w:b/>
                      <w:lang w:val="pt-PT"/>
                    </w:rPr>
                  </w:pPr>
                  <w:r>
                    <w:rPr>
                      <w:b/>
                      <w:lang w:val="pt-PT"/>
                    </w:rPr>
                    <w:t xml:space="preserve"> Serviço Fixo </w:t>
                  </w:r>
                </w:p>
              </w:tc>
              <w:tc>
                <w:tcPr>
                  <w:tcW w:w="1701" w:type="dxa"/>
                  <w:gridSpan w:val="2"/>
                  <w:vAlign w:val="center"/>
                </w:tcPr>
                <w:p w14:paraId="6FBB54E2">
                  <w:pPr>
                    <w:widowControl w:val="0"/>
                    <w:jc w:val="center"/>
                    <w:rPr>
                      <w:b/>
                      <w:lang w:val="pt-PT"/>
                    </w:rPr>
                  </w:pPr>
                  <w:r>
                    <w:rPr>
                      <w:b/>
                      <w:lang w:val="pt-PT"/>
                    </w:rPr>
                    <w:t>30</w:t>
                  </w:r>
                </w:p>
              </w:tc>
              <w:tc>
                <w:tcPr>
                  <w:tcW w:w="1276" w:type="dxa"/>
                  <w:vAlign w:val="center"/>
                </w:tcPr>
                <w:p w14:paraId="00B45ABE">
                  <w:pPr>
                    <w:widowControl w:val="0"/>
                    <w:rPr>
                      <w:b/>
                      <w:lang w:val="pt-PT"/>
                    </w:rPr>
                  </w:pPr>
                  <w:r>
                    <w:rPr>
                      <w:b/>
                      <w:lang w:val="pt-PT"/>
                    </w:rPr>
                    <w:t xml:space="preserve">R$ 112,50 </w:t>
                  </w:r>
                </w:p>
              </w:tc>
            </w:tr>
            <w:tr w14:paraId="4F70325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995" w:hRule="atLeast"/>
              </w:trPr>
              <w:tc>
                <w:tcPr>
                  <w:tcW w:w="1569" w:type="dxa"/>
                  <w:vAlign w:val="center"/>
                </w:tcPr>
                <w:p w14:paraId="6C794AE6">
                  <w:pPr>
                    <w:widowControl w:val="0"/>
                    <w:jc w:val="center"/>
                    <w:rPr>
                      <w:b/>
                      <w:lang w:val="pt-PT"/>
                    </w:rPr>
                  </w:pPr>
                  <w:r>
                    <w:rPr>
                      <w:b/>
                      <w:lang w:val="pt-PT"/>
                    </w:rPr>
                    <w:t>II</w:t>
                  </w:r>
                </w:p>
              </w:tc>
              <w:tc>
                <w:tcPr>
                  <w:tcW w:w="3273" w:type="dxa"/>
                  <w:gridSpan w:val="2"/>
                  <w:vAlign w:val="center"/>
                </w:tcPr>
                <w:p w14:paraId="043B51EE">
                  <w:pPr>
                    <w:widowControl w:val="0"/>
                    <w:jc w:val="both"/>
                    <w:rPr>
                      <w:b/>
                      <w:lang w:val="pt-PT"/>
                    </w:rPr>
                  </w:pPr>
                  <w:r>
                    <w:rPr>
                      <w:b/>
                      <w:lang w:val="pt-PT"/>
                    </w:rPr>
                    <w:t>Artigo 14 - § 4°. No caso de veículos com característica alterada que dificultem a remoção, bem como, remoções que sejam dificultadas pelo condutor/proprietário, será cobrada Taxa Adicional no valor de 30 (trinta) U.R.`s - Unidades de Referência.</w:t>
                  </w:r>
                </w:p>
              </w:tc>
              <w:tc>
                <w:tcPr>
                  <w:tcW w:w="992" w:type="dxa"/>
                  <w:vAlign w:val="center"/>
                </w:tcPr>
                <w:p w14:paraId="72C2D6C6">
                  <w:pPr>
                    <w:widowControl w:val="0"/>
                    <w:rPr>
                      <w:b/>
                      <w:lang w:val="pt-PT"/>
                    </w:rPr>
                  </w:pPr>
                  <w:r>
                    <w:rPr>
                      <w:b/>
                      <w:lang w:val="pt-PT"/>
                    </w:rPr>
                    <w:t xml:space="preserve"> Serviço Fixo </w:t>
                  </w:r>
                </w:p>
              </w:tc>
              <w:tc>
                <w:tcPr>
                  <w:tcW w:w="1701" w:type="dxa"/>
                  <w:gridSpan w:val="2"/>
                  <w:vAlign w:val="center"/>
                </w:tcPr>
                <w:p w14:paraId="37B6566D">
                  <w:pPr>
                    <w:widowControl w:val="0"/>
                    <w:jc w:val="center"/>
                    <w:rPr>
                      <w:b/>
                      <w:lang w:val="pt-PT"/>
                    </w:rPr>
                  </w:pPr>
                  <w:r>
                    <w:rPr>
                      <w:b/>
                      <w:lang w:val="pt-PT"/>
                    </w:rPr>
                    <w:t>30</w:t>
                  </w:r>
                </w:p>
              </w:tc>
              <w:tc>
                <w:tcPr>
                  <w:tcW w:w="1276" w:type="dxa"/>
                  <w:vAlign w:val="center"/>
                </w:tcPr>
                <w:p w14:paraId="691E6E09">
                  <w:pPr>
                    <w:widowControl w:val="0"/>
                    <w:rPr>
                      <w:b/>
                      <w:lang w:val="pt-PT"/>
                    </w:rPr>
                  </w:pPr>
                  <w:r>
                    <w:rPr>
                      <w:b/>
                      <w:lang w:val="pt-PT"/>
                    </w:rPr>
                    <w:t xml:space="preserve">R$ 112,50 </w:t>
                  </w:r>
                </w:p>
              </w:tc>
            </w:tr>
            <w:tr w14:paraId="5DB21EF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25" w:hRule="atLeast"/>
              </w:trPr>
              <w:tc>
                <w:tcPr>
                  <w:tcW w:w="1569" w:type="dxa"/>
                  <w:vAlign w:val="center"/>
                </w:tcPr>
                <w:p w14:paraId="1E4778F0">
                  <w:pPr>
                    <w:widowControl w:val="0"/>
                    <w:jc w:val="center"/>
                    <w:rPr>
                      <w:b/>
                      <w:lang w:val="pt-PT"/>
                    </w:rPr>
                  </w:pPr>
                  <w:r>
                    <w:rPr>
                      <w:b/>
                      <w:lang w:val="pt-PT"/>
                    </w:rPr>
                    <w:t>III</w:t>
                  </w:r>
                </w:p>
              </w:tc>
              <w:tc>
                <w:tcPr>
                  <w:tcW w:w="3273" w:type="dxa"/>
                  <w:gridSpan w:val="2"/>
                  <w:vAlign w:val="center"/>
                </w:tcPr>
                <w:p w14:paraId="36F76069">
                  <w:pPr>
                    <w:widowControl w:val="0"/>
                    <w:jc w:val="both"/>
                    <w:rPr>
                      <w:b/>
                      <w:lang w:val="pt-PT"/>
                    </w:rPr>
                  </w:pPr>
                  <w:r>
                    <w:rPr>
                      <w:b/>
                      <w:lang w:val="pt-PT"/>
                    </w:rPr>
                    <w:t>Artigo 14 - § 8º. Nos casos de veículos envolvidos em acidentes que impossibilitem a remoção pela plataforma do guincho, os agentes poderão acionar os serviços de munck para assim fazer a retirada do veículo do local, será cobrada a taxa adicional no valor de 86 (oitenta e seis) U.R.`s - Unidades de Referência.</w:t>
                  </w:r>
                </w:p>
              </w:tc>
              <w:tc>
                <w:tcPr>
                  <w:tcW w:w="992" w:type="dxa"/>
                  <w:vAlign w:val="center"/>
                </w:tcPr>
                <w:p w14:paraId="4B3A7216">
                  <w:pPr>
                    <w:widowControl w:val="0"/>
                    <w:rPr>
                      <w:b/>
                      <w:lang w:val="pt-PT"/>
                    </w:rPr>
                  </w:pPr>
                  <w:r>
                    <w:rPr>
                      <w:b/>
                      <w:lang w:val="pt-PT"/>
                    </w:rPr>
                    <w:t xml:space="preserve"> Serviço Fixo </w:t>
                  </w:r>
                </w:p>
              </w:tc>
              <w:tc>
                <w:tcPr>
                  <w:tcW w:w="1701" w:type="dxa"/>
                  <w:gridSpan w:val="2"/>
                  <w:vAlign w:val="center"/>
                </w:tcPr>
                <w:p w14:paraId="1C379CF2">
                  <w:pPr>
                    <w:widowControl w:val="0"/>
                    <w:jc w:val="center"/>
                    <w:rPr>
                      <w:b/>
                      <w:lang w:val="pt-PT"/>
                    </w:rPr>
                  </w:pPr>
                  <w:r>
                    <w:rPr>
                      <w:b/>
                      <w:lang w:val="pt-PT"/>
                    </w:rPr>
                    <w:t>86</w:t>
                  </w:r>
                </w:p>
              </w:tc>
              <w:tc>
                <w:tcPr>
                  <w:tcW w:w="1276" w:type="dxa"/>
                  <w:vAlign w:val="center"/>
                </w:tcPr>
                <w:p w14:paraId="1C8CB96C">
                  <w:pPr>
                    <w:widowControl w:val="0"/>
                    <w:rPr>
                      <w:b/>
                      <w:lang w:val="pt-PT"/>
                    </w:rPr>
                  </w:pPr>
                  <w:r>
                    <w:rPr>
                      <w:b/>
                      <w:lang w:val="pt-PT"/>
                    </w:rPr>
                    <w:t xml:space="preserve">R$ 322,50 </w:t>
                  </w:r>
                </w:p>
              </w:tc>
            </w:tr>
            <w:tr w14:paraId="201A45D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3" w:hRule="atLeast"/>
              </w:trPr>
              <w:tc>
                <w:tcPr>
                  <w:tcW w:w="8811" w:type="dxa"/>
                  <w:gridSpan w:val="7"/>
                  <w:shd w:val="clear" w:color="auto" w:fill="EAF1DD"/>
                  <w:vAlign w:val="center"/>
                </w:tcPr>
                <w:p w14:paraId="155B463F">
                  <w:pPr>
                    <w:widowControl w:val="0"/>
                    <w:jc w:val="center"/>
                    <w:rPr>
                      <w:b/>
                      <w:bCs/>
                      <w:lang w:val="pt-PT"/>
                    </w:rPr>
                  </w:pPr>
                  <w:r>
                    <w:rPr>
                      <w:b/>
                      <w:bCs/>
                      <w:lang w:val="pt-PT"/>
                    </w:rPr>
                    <w:t>Anexo I - Lei Municipal 2.985/2021</w:t>
                  </w:r>
                </w:p>
                <w:p w14:paraId="69A2A82A">
                  <w:pPr>
                    <w:widowControl w:val="0"/>
                    <w:jc w:val="center"/>
                    <w:rPr>
                      <w:b/>
                      <w:bCs/>
                      <w:lang w:val="pt-PT"/>
                    </w:rPr>
                  </w:pPr>
                  <w:r>
                    <w:rPr>
                      <w:b/>
                      <w:bCs/>
                      <w:lang w:val="pt-PT"/>
                    </w:rPr>
                    <w:t>DOS VALORES DO SERVIÇO DE REMOÇÃO/GUINCHO POR TIPO DE VEÍCULO - Art. 14, § 1º</w:t>
                  </w:r>
                </w:p>
              </w:tc>
            </w:tr>
            <w:tr w14:paraId="15C289B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2AF57F14">
                  <w:pPr>
                    <w:widowControl w:val="0"/>
                    <w:jc w:val="center"/>
                    <w:rPr>
                      <w:b/>
                      <w:bCs/>
                    </w:rPr>
                  </w:pPr>
                  <w:r>
                    <w:rPr>
                      <w:b/>
                      <w:bCs/>
                      <w:lang w:val="pt-PT"/>
                    </w:rPr>
                    <w:t>Item</w:t>
                  </w:r>
                </w:p>
              </w:tc>
              <w:tc>
                <w:tcPr>
                  <w:tcW w:w="3259" w:type="dxa"/>
                  <w:shd w:val="clear" w:color="auto" w:fill="EAF1DD"/>
                  <w:vAlign w:val="center"/>
                </w:tcPr>
                <w:p w14:paraId="2718EA6C">
                  <w:pPr>
                    <w:widowControl w:val="0"/>
                    <w:jc w:val="center"/>
                    <w:rPr>
                      <w:b/>
                      <w:bCs/>
                      <w:lang w:val="pt-PT"/>
                    </w:rPr>
                  </w:pPr>
                  <w:r>
                    <w:rPr>
                      <w:b/>
                      <w:bCs/>
                      <w:lang w:val="pt-PT"/>
                    </w:rPr>
                    <w:t>Descrição dos Serviços</w:t>
                  </w:r>
                </w:p>
              </w:tc>
              <w:tc>
                <w:tcPr>
                  <w:tcW w:w="1559" w:type="dxa"/>
                  <w:gridSpan w:val="2"/>
                  <w:shd w:val="clear" w:color="auto" w:fill="EAF1DD"/>
                  <w:vAlign w:val="center"/>
                </w:tcPr>
                <w:p w14:paraId="01E60801">
                  <w:pPr>
                    <w:widowControl w:val="0"/>
                    <w:jc w:val="center"/>
                    <w:rPr>
                      <w:b/>
                      <w:bCs/>
                      <w:lang w:val="pt-PT"/>
                    </w:rPr>
                  </w:pPr>
                  <w:r>
                    <w:rPr>
                      <w:b/>
                      <w:bCs/>
                      <w:lang w:val="pt-PT"/>
                    </w:rPr>
                    <w:t>Unidade</w:t>
                  </w:r>
                </w:p>
              </w:tc>
              <w:tc>
                <w:tcPr>
                  <w:tcW w:w="1134" w:type="dxa"/>
                  <w:shd w:val="clear" w:color="auto" w:fill="EAF1DD"/>
                  <w:vAlign w:val="center"/>
                </w:tcPr>
                <w:p w14:paraId="70CDCEE0">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22865047">
                  <w:pPr>
                    <w:widowControl w:val="0"/>
                    <w:jc w:val="center"/>
                    <w:rPr>
                      <w:b/>
                      <w:bCs/>
                      <w:lang w:val="pt-PT"/>
                    </w:rPr>
                  </w:pPr>
                  <w:r>
                    <w:rPr>
                      <w:b/>
                      <w:bCs/>
                      <w:lang w:val="pt-PT"/>
                    </w:rPr>
                    <w:t>Valor em R$</w:t>
                  </w:r>
                  <w:r>
                    <w:rPr>
                      <w:b/>
                      <w:bCs/>
                      <w:lang w:val="pt-PT"/>
                    </w:rPr>
                    <w:br w:type="textWrapping"/>
                  </w:r>
                  <w:r>
                    <w:rPr>
                      <w:b/>
                      <w:bCs/>
                      <w:lang w:val="pt-PT"/>
                    </w:rPr>
                    <w:t>Ano 2025</w:t>
                  </w:r>
                </w:p>
              </w:tc>
            </w:tr>
            <w:tr w14:paraId="0BD975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30" w:hRule="atLeast"/>
              </w:trPr>
              <w:tc>
                <w:tcPr>
                  <w:tcW w:w="1583" w:type="dxa"/>
                  <w:gridSpan w:val="2"/>
                  <w:vAlign w:val="center"/>
                </w:tcPr>
                <w:p w14:paraId="632AD83F">
                  <w:pPr>
                    <w:widowControl w:val="0"/>
                    <w:jc w:val="center"/>
                    <w:rPr>
                      <w:b/>
                      <w:lang w:val="pt-PT"/>
                    </w:rPr>
                  </w:pPr>
                  <w:r>
                    <w:rPr>
                      <w:b/>
                      <w:lang w:val="pt-PT"/>
                    </w:rPr>
                    <w:t>I</w:t>
                  </w:r>
                </w:p>
              </w:tc>
              <w:tc>
                <w:tcPr>
                  <w:tcW w:w="3259" w:type="dxa"/>
                  <w:vAlign w:val="center"/>
                </w:tcPr>
                <w:p w14:paraId="7DB6D8C0">
                  <w:pPr>
                    <w:widowControl w:val="0"/>
                    <w:jc w:val="both"/>
                    <w:rPr>
                      <w:b/>
                      <w:lang w:val="pt-PT"/>
                    </w:rPr>
                  </w:pPr>
                  <w:r>
                    <w:rPr>
                      <w:b/>
                      <w:lang w:val="pt-PT"/>
                    </w:rPr>
                    <w:t>Guincho para ciclomotores e motocicletas até 600 cilindradas, com ou sem reboque lateral.</w:t>
                  </w:r>
                </w:p>
              </w:tc>
              <w:tc>
                <w:tcPr>
                  <w:tcW w:w="1559" w:type="dxa"/>
                  <w:gridSpan w:val="2"/>
                  <w:vAlign w:val="center"/>
                </w:tcPr>
                <w:p w14:paraId="6AA64538">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07BA5EC6">
                  <w:pPr>
                    <w:widowControl w:val="0"/>
                    <w:jc w:val="center"/>
                    <w:rPr>
                      <w:b/>
                      <w:lang w:val="pt-PT"/>
                    </w:rPr>
                  </w:pPr>
                  <w:r>
                    <w:rPr>
                      <w:b/>
                      <w:lang w:val="pt-PT"/>
                    </w:rPr>
                    <w:t>48</w:t>
                  </w:r>
                </w:p>
              </w:tc>
              <w:tc>
                <w:tcPr>
                  <w:tcW w:w="1276" w:type="dxa"/>
                  <w:vAlign w:val="center"/>
                </w:tcPr>
                <w:p w14:paraId="13D274D9">
                  <w:pPr>
                    <w:widowControl w:val="0"/>
                    <w:rPr>
                      <w:b/>
                      <w:lang w:val="pt-PT"/>
                    </w:rPr>
                  </w:pPr>
                  <w:r>
                    <w:rPr>
                      <w:b/>
                      <w:lang w:val="pt-PT"/>
                    </w:rPr>
                    <w:t xml:space="preserve">R$ 180,00 </w:t>
                  </w:r>
                </w:p>
              </w:tc>
            </w:tr>
            <w:tr w14:paraId="00DACEC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9" w:hRule="atLeast"/>
              </w:trPr>
              <w:tc>
                <w:tcPr>
                  <w:tcW w:w="1583" w:type="dxa"/>
                  <w:gridSpan w:val="2"/>
                  <w:vAlign w:val="center"/>
                </w:tcPr>
                <w:p w14:paraId="306BA9B2">
                  <w:pPr>
                    <w:widowControl w:val="0"/>
                    <w:jc w:val="center"/>
                    <w:rPr>
                      <w:b/>
                      <w:lang w:val="pt-PT"/>
                    </w:rPr>
                  </w:pPr>
                  <w:r>
                    <w:rPr>
                      <w:b/>
                      <w:lang w:val="pt-PT"/>
                    </w:rPr>
                    <w:t>II</w:t>
                  </w:r>
                </w:p>
              </w:tc>
              <w:tc>
                <w:tcPr>
                  <w:tcW w:w="3259" w:type="dxa"/>
                  <w:vAlign w:val="center"/>
                </w:tcPr>
                <w:p w14:paraId="2D59D9D2">
                  <w:pPr>
                    <w:widowControl w:val="0"/>
                    <w:jc w:val="both"/>
                    <w:rPr>
                      <w:b/>
                      <w:lang w:val="pt-PT"/>
                    </w:rPr>
                  </w:pPr>
                  <w:r>
                    <w:rPr>
                      <w:b/>
                      <w:lang w:val="pt-PT"/>
                    </w:rPr>
                    <w:t>Guincho para Carretinhas.</w:t>
                  </w:r>
                </w:p>
              </w:tc>
              <w:tc>
                <w:tcPr>
                  <w:tcW w:w="1559" w:type="dxa"/>
                  <w:gridSpan w:val="2"/>
                  <w:vAlign w:val="center"/>
                </w:tcPr>
                <w:p w14:paraId="6B06240E">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65A213F6">
                  <w:pPr>
                    <w:widowControl w:val="0"/>
                    <w:jc w:val="center"/>
                    <w:rPr>
                      <w:b/>
                      <w:lang w:val="pt-PT"/>
                    </w:rPr>
                  </w:pPr>
                  <w:r>
                    <w:rPr>
                      <w:b/>
                      <w:lang w:val="pt-PT"/>
                    </w:rPr>
                    <w:t>48</w:t>
                  </w:r>
                </w:p>
              </w:tc>
              <w:tc>
                <w:tcPr>
                  <w:tcW w:w="1276" w:type="dxa"/>
                  <w:vAlign w:val="center"/>
                </w:tcPr>
                <w:p w14:paraId="15E4AD58">
                  <w:pPr>
                    <w:widowControl w:val="0"/>
                    <w:rPr>
                      <w:b/>
                      <w:lang w:val="pt-PT"/>
                    </w:rPr>
                  </w:pPr>
                  <w:r>
                    <w:rPr>
                      <w:b/>
                      <w:lang w:val="pt-PT"/>
                    </w:rPr>
                    <w:t xml:space="preserve">R$ 180,00 </w:t>
                  </w:r>
                </w:p>
              </w:tc>
            </w:tr>
            <w:tr w14:paraId="7CFDE43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9" w:hRule="atLeast"/>
              </w:trPr>
              <w:tc>
                <w:tcPr>
                  <w:tcW w:w="1583" w:type="dxa"/>
                  <w:gridSpan w:val="2"/>
                  <w:vAlign w:val="center"/>
                </w:tcPr>
                <w:p w14:paraId="653C7366">
                  <w:pPr>
                    <w:widowControl w:val="0"/>
                    <w:jc w:val="center"/>
                    <w:rPr>
                      <w:b/>
                      <w:lang w:val="pt-PT"/>
                    </w:rPr>
                  </w:pPr>
                  <w:r>
                    <w:rPr>
                      <w:b/>
                      <w:lang w:val="pt-PT"/>
                    </w:rPr>
                    <w:t>III</w:t>
                  </w:r>
                </w:p>
              </w:tc>
              <w:tc>
                <w:tcPr>
                  <w:tcW w:w="3259" w:type="dxa"/>
                  <w:vAlign w:val="center"/>
                </w:tcPr>
                <w:p w14:paraId="5B240398">
                  <w:pPr>
                    <w:widowControl w:val="0"/>
                    <w:jc w:val="both"/>
                    <w:rPr>
                      <w:b/>
                      <w:lang w:val="pt-PT"/>
                    </w:rPr>
                  </w:pPr>
                  <w:r>
                    <w:rPr>
                      <w:b/>
                      <w:lang w:val="pt-PT"/>
                    </w:rPr>
                    <w:t xml:space="preserve">Guincho para Caçambas, Container e similares. </w:t>
                  </w:r>
                </w:p>
              </w:tc>
              <w:tc>
                <w:tcPr>
                  <w:tcW w:w="1559" w:type="dxa"/>
                  <w:gridSpan w:val="2"/>
                  <w:vAlign w:val="center"/>
                </w:tcPr>
                <w:p w14:paraId="0FAAC6F9">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59FEF63">
                  <w:pPr>
                    <w:widowControl w:val="0"/>
                    <w:jc w:val="center"/>
                    <w:rPr>
                      <w:b/>
                      <w:lang w:val="pt-PT"/>
                    </w:rPr>
                  </w:pPr>
                  <w:r>
                    <w:rPr>
                      <w:b/>
                      <w:lang w:val="pt-PT"/>
                    </w:rPr>
                    <w:t>63</w:t>
                  </w:r>
                </w:p>
              </w:tc>
              <w:tc>
                <w:tcPr>
                  <w:tcW w:w="1276" w:type="dxa"/>
                  <w:vAlign w:val="center"/>
                </w:tcPr>
                <w:p w14:paraId="03AF73E6">
                  <w:pPr>
                    <w:widowControl w:val="0"/>
                    <w:rPr>
                      <w:b/>
                      <w:lang w:val="pt-PT"/>
                    </w:rPr>
                  </w:pPr>
                  <w:r>
                    <w:rPr>
                      <w:b/>
                      <w:lang w:val="pt-PT"/>
                    </w:rPr>
                    <w:t xml:space="preserve">R$ 236,25 </w:t>
                  </w:r>
                </w:p>
              </w:tc>
            </w:tr>
            <w:tr w14:paraId="465291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32A0660">
                  <w:pPr>
                    <w:widowControl w:val="0"/>
                    <w:jc w:val="center"/>
                    <w:rPr>
                      <w:b/>
                      <w:lang w:val="pt-PT"/>
                    </w:rPr>
                  </w:pPr>
                  <w:r>
                    <w:rPr>
                      <w:b/>
                      <w:lang w:val="pt-PT"/>
                    </w:rPr>
                    <w:t>IV</w:t>
                  </w:r>
                </w:p>
              </w:tc>
              <w:tc>
                <w:tcPr>
                  <w:tcW w:w="3259" w:type="dxa"/>
                  <w:vAlign w:val="center"/>
                </w:tcPr>
                <w:p w14:paraId="6E43616C">
                  <w:pPr>
                    <w:widowControl w:val="0"/>
                    <w:jc w:val="both"/>
                    <w:rPr>
                      <w:b/>
                      <w:lang w:val="pt-PT"/>
                    </w:rPr>
                  </w:pPr>
                  <w:r>
                    <w:rPr>
                      <w:b/>
                      <w:lang w:val="pt-PT"/>
                    </w:rPr>
                    <w:t>Guincho para motocicletas acima de 600 cilindradas e triciclos (veículos com 03 rodas), com ou sem reboque lateral.</w:t>
                  </w:r>
                </w:p>
              </w:tc>
              <w:tc>
                <w:tcPr>
                  <w:tcW w:w="1559" w:type="dxa"/>
                  <w:gridSpan w:val="2"/>
                  <w:vAlign w:val="center"/>
                </w:tcPr>
                <w:p w14:paraId="29FD5031">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75FA2743">
                  <w:pPr>
                    <w:widowControl w:val="0"/>
                    <w:jc w:val="center"/>
                    <w:rPr>
                      <w:b/>
                      <w:lang w:val="pt-PT"/>
                    </w:rPr>
                  </w:pPr>
                  <w:r>
                    <w:rPr>
                      <w:b/>
                      <w:lang w:val="pt-PT"/>
                    </w:rPr>
                    <w:t>63</w:t>
                  </w:r>
                </w:p>
              </w:tc>
              <w:tc>
                <w:tcPr>
                  <w:tcW w:w="1276" w:type="dxa"/>
                  <w:vAlign w:val="center"/>
                </w:tcPr>
                <w:p w14:paraId="18C12FC7">
                  <w:pPr>
                    <w:widowControl w:val="0"/>
                    <w:rPr>
                      <w:b/>
                      <w:lang w:val="pt-PT"/>
                    </w:rPr>
                  </w:pPr>
                  <w:r>
                    <w:rPr>
                      <w:b/>
                      <w:lang w:val="pt-PT"/>
                    </w:rPr>
                    <w:t xml:space="preserve">R$ 236,25 </w:t>
                  </w:r>
                </w:p>
              </w:tc>
            </w:tr>
            <w:tr w14:paraId="6C41F40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57" w:hRule="atLeast"/>
              </w:trPr>
              <w:tc>
                <w:tcPr>
                  <w:tcW w:w="1583" w:type="dxa"/>
                  <w:gridSpan w:val="2"/>
                  <w:vAlign w:val="center"/>
                </w:tcPr>
                <w:p w14:paraId="689C1C2B">
                  <w:pPr>
                    <w:widowControl w:val="0"/>
                    <w:jc w:val="center"/>
                    <w:rPr>
                      <w:b/>
                      <w:lang w:val="pt-PT"/>
                    </w:rPr>
                  </w:pPr>
                  <w:r>
                    <w:rPr>
                      <w:b/>
                      <w:lang w:val="pt-PT"/>
                    </w:rPr>
                    <w:t>V</w:t>
                  </w:r>
                </w:p>
              </w:tc>
              <w:tc>
                <w:tcPr>
                  <w:tcW w:w="3259" w:type="dxa"/>
                  <w:vAlign w:val="center"/>
                </w:tcPr>
                <w:p w14:paraId="47F1937C">
                  <w:pPr>
                    <w:widowControl w:val="0"/>
                    <w:jc w:val="both"/>
                    <w:rPr>
                      <w:b/>
                      <w:lang w:val="pt-PT"/>
                    </w:rPr>
                  </w:pPr>
                  <w:r>
                    <w:rPr>
                      <w:b/>
                      <w:lang w:val="pt-PT"/>
                    </w:rPr>
                    <w:t>Guincho para veículos de passeio (Carro Popular).</w:t>
                  </w:r>
                </w:p>
              </w:tc>
              <w:tc>
                <w:tcPr>
                  <w:tcW w:w="1559" w:type="dxa"/>
                  <w:gridSpan w:val="2"/>
                  <w:vAlign w:val="center"/>
                </w:tcPr>
                <w:p w14:paraId="19B3CB2C">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18629A2">
                  <w:pPr>
                    <w:widowControl w:val="0"/>
                    <w:jc w:val="center"/>
                    <w:rPr>
                      <w:b/>
                      <w:lang w:val="pt-PT"/>
                    </w:rPr>
                  </w:pPr>
                  <w:r>
                    <w:rPr>
                      <w:b/>
                      <w:lang w:val="pt-PT"/>
                    </w:rPr>
                    <w:t>67</w:t>
                  </w:r>
                </w:p>
              </w:tc>
              <w:tc>
                <w:tcPr>
                  <w:tcW w:w="1276" w:type="dxa"/>
                  <w:vAlign w:val="center"/>
                </w:tcPr>
                <w:p w14:paraId="32F7ECBE">
                  <w:pPr>
                    <w:widowControl w:val="0"/>
                    <w:rPr>
                      <w:b/>
                      <w:lang w:val="pt-PT"/>
                    </w:rPr>
                  </w:pPr>
                  <w:r>
                    <w:rPr>
                      <w:b/>
                      <w:lang w:val="pt-PT"/>
                    </w:rPr>
                    <w:t xml:space="preserve">R$ 251,25 </w:t>
                  </w:r>
                </w:p>
              </w:tc>
            </w:tr>
            <w:tr w14:paraId="2026548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393BF442">
                  <w:pPr>
                    <w:widowControl w:val="0"/>
                    <w:jc w:val="center"/>
                    <w:rPr>
                      <w:b/>
                      <w:lang w:val="pt-PT"/>
                    </w:rPr>
                  </w:pPr>
                  <w:r>
                    <w:rPr>
                      <w:b/>
                      <w:lang w:val="pt-PT"/>
                    </w:rPr>
                    <w:t>VI</w:t>
                  </w:r>
                </w:p>
              </w:tc>
              <w:tc>
                <w:tcPr>
                  <w:tcW w:w="3259" w:type="dxa"/>
                  <w:vAlign w:val="center"/>
                </w:tcPr>
                <w:p w14:paraId="4C164C89">
                  <w:pPr>
                    <w:widowControl w:val="0"/>
                    <w:jc w:val="both"/>
                    <w:rPr>
                      <w:b/>
                      <w:lang w:val="pt-PT"/>
                    </w:rPr>
                  </w:pPr>
                  <w:r>
                    <w:rPr>
                      <w:b/>
                      <w:lang w:val="pt-PT"/>
                    </w:rPr>
                    <w:t>Guincho para veículos de passeio, utilitário e similares que não ultrapassem o peso bruto total de 2.500 Kg.</w:t>
                  </w:r>
                </w:p>
              </w:tc>
              <w:tc>
                <w:tcPr>
                  <w:tcW w:w="1559" w:type="dxa"/>
                  <w:gridSpan w:val="2"/>
                  <w:vAlign w:val="center"/>
                </w:tcPr>
                <w:p w14:paraId="0E830554">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53702E06">
                  <w:pPr>
                    <w:widowControl w:val="0"/>
                    <w:jc w:val="center"/>
                    <w:rPr>
                      <w:b/>
                      <w:lang w:val="pt-PT"/>
                    </w:rPr>
                  </w:pPr>
                  <w:r>
                    <w:rPr>
                      <w:b/>
                      <w:lang w:val="pt-PT"/>
                    </w:rPr>
                    <w:t>72</w:t>
                  </w:r>
                </w:p>
              </w:tc>
              <w:tc>
                <w:tcPr>
                  <w:tcW w:w="1276" w:type="dxa"/>
                  <w:vAlign w:val="center"/>
                </w:tcPr>
                <w:p w14:paraId="11A2731A">
                  <w:pPr>
                    <w:widowControl w:val="0"/>
                    <w:rPr>
                      <w:b/>
                      <w:lang w:val="pt-PT"/>
                    </w:rPr>
                  </w:pPr>
                  <w:r>
                    <w:rPr>
                      <w:b/>
                      <w:lang w:val="pt-PT"/>
                    </w:rPr>
                    <w:t xml:space="preserve">R$ 270,00 </w:t>
                  </w:r>
                </w:p>
              </w:tc>
            </w:tr>
            <w:tr w14:paraId="52185F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30" w:hRule="atLeast"/>
              </w:trPr>
              <w:tc>
                <w:tcPr>
                  <w:tcW w:w="1583" w:type="dxa"/>
                  <w:gridSpan w:val="2"/>
                  <w:vAlign w:val="center"/>
                </w:tcPr>
                <w:p w14:paraId="7985C610">
                  <w:pPr>
                    <w:widowControl w:val="0"/>
                    <w:jc w:val="center"/>
                    <w:rPr>
                      <w:b/>
                      <w:lang w:val="pt-PT"/>
                    </w:rPr>
                  </w:pPr>
                  <w:r>
                    <w:rPr>
                      <w:b/>
                      <w:lang w:val="pt-PT"/>
                    </w:rPr>
                    <w:t>VII</w:t>
                  </w:r>
                </w:p>
              </w:tc>
              <w:tc>
                <w:tcPr>
                  <w:tcW w:w="3259" w:type="dxa"/>
                  <w:vAlign w:val="center"/>
                </w:tcPr>
                <w:p w14:paraId="1C0C39CB">
                  <w:pPr>
                    <w:widowControl w:val="0"/>
                    <w:jc w:val="both"/>
                    <w:rPr>
                      <w:b/>
                      <w:lang w:val="pt-PT"/>
                    </w:rPr>
                  </w:pPr>
                  <w:r>
                    <w:rPr>
                      <w:b/>
                      <w:lang w:val="pt-PT"/>
                    </w:rPr>
                    <w:t>Guincho para veículos de passeio, utilitário e similares acima de 2.500 KG que não ultrapassem o peso bruto total de 3.500 Kg.</w:t>
                  </w:r>
                </w:p>
              </w:tc>
              <w:tc>
                <w:tcPr>
                  <w:tcW w:w="1559" w:type="dxa"/>
                  <w:gridSpan w:val="2"/>
                  <w:vAlign w:val="center"/>
                </w:tcPr>
                <w:p w14:paraId="1C11DC77">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74439226">
                  <w:pPr>
                    <w:widowControl w:val="0"/>
                    <w:jc w:val="center"/>
                    <w:rPr>
                      <w:b/>
                      <w:lang w:val="pt-PT"/>
                    </w:rPr>
                  </w:pPr>
                  <w:r>
                    <w:rPr>
                      <w:b/>
                      <w:lang w:val="pt-PT"/>
                    </w:rPr>
                    <w:t>105</w:t>
                  </w:r>
                </w:p>
              </w:tc>
              <w:tc>
                <w:tcPr>
                  <w:tcW w:w="1276" w:type="dxa"/>
                  <w:vAlign w:val="center"/>
                </w:tcPr>
                <w:p w14:paraId="5F4AC299">
                  <w:pPr>
                    <w:widowControl w:val="0"/>
                    <w:rPr>
                      <w:b/>
                      <w:lang w:val="pt-PT"/>
                    </w:rPr>
                  </w:pPr>
                  <w:r>
                    <w:rPr>
                      <w:b/>
                      <w:lang w:val="pt-PT"/>
                    </w:rPr>
                    <w:t xml:space="preserve">R$ 393,75 </w:t>
                  </w:r>
                </w:p>
              </w:tc>
            </w:tr>
            <w:tr w14:paraId="569148D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3" w:hRule="atLeast"/>
              </w:trPr>
              <w:tc>
                <w:tcPr>
                  <w:tcW w:w="1583" w:type="dxa"/>
                  <w:gridSpan w:val="2"/>
                  <w:vAlign w:val="center"/>
                </w:tcPr>
                <w:p w14:paraId="0C04EAB2">
                  <w:pPr>
                    <w:widowControl w:val="0"/>
                    <w:jc w:val="center"/>
                    <w:rPr>
                      <w:b/>
                      <w:lang w:val="pt-PT"/>
                    </w:rPr>
                  </w:pPr>
                  <w:r>
                    <w:rPr>
                      <w:b/>
                      <w:lang w:val="pt-PT"/>
                    </w:rPr>
                    <w:t>VIII</w:t>
                  </w:r>
                </w:p>
              </w:tc>
              <w:tc>
                <w:tcPr>
                  <w:tcW w:w="3259" w:type="dxa"/>
                  <w:vAlign w:val="center"/>
                </w:tcPr>
                <w:p w14:paraId="33AC7360">
                  <w:pPr>
                    <w:widowControl w:val="0"/>
                    <w:jc w:val="both"/>
                    <w:rPr>
                      <w:b/>
                      <w:lang w:val="pt-PT"/>
                    </w:rPr>
                  </w:pPr>
                  <w:r>
                    <w:rPr>
                      <w:b/>
                      <w:lang w:val="pt-PT"/>
                    </w:rPr>
                    <w:t>Guincho para veículos de carga ou passageiros com peso bruto superior a 3.500 kg.</w:t>
                  </w:r>
                </w:p>
              </w:tc>
              <w:tc>
                <w:tcPr>
                  <w:tcW w:w="1559" w:type="dxa"/>
                  <w:gridSpan w:val="2"/>
                  <w:vAlign w:val="center"/>
                </w:tcPr>
                <w:p w14:paraId="79D2F300">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2CC151FE">
                  <w:pPr>
                    <w:widowControl w:val="0"/>
                    <w:jc w:val="center"/>
                    <w:rPr>
                      <w:b/>
                      <w:lang w:val="pt-PT"/>
                    </w:rPr>
                  </w:pPr>
                  <w:r>
                    <w:rPr>
                      <w:b/>
                      <w:lang w:val="pt-PT"/>
                    </w:rPr>
                    <w:t>172</w:t>
                  </w:r>
                </w:p>
              </w:tc>
              <w:tc>
                <w:tcPr>
                  <w:tcW w:w="1276" w:type="dxa"/>
                  <w:vAlign w:val="center"/>
                </w:tcPr>
                <w:p w14:paraId="0F735505">
                  <w:pPr>
                    <w:widowControl w:val="0"/>
                    <w:rPr>
                      <w:b/>
                      <w:lang w:val="pt-PT"/>
                    </w:rPr>
                  </w:pPr>
                  <w:r>
                    <w:rPr>
                      <w:b/>
                      <w:lang w:val="pt-PT"/>
                    </w:rPr>
                    <w:t xml:space="preserve">R$ 645,00 </w:t>
                  </w:r>
                </w:p>
              </w:tc>
            </w:tr>
            <w:tr w14:paraId="34115BF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8" w:hRule="atLeast"/>
              </w:trPr>
              <w:tc>
                <w:tcPr>
                  <w:tcW w:w="1583" w:type="dxa"/>
                  <w:gridSpan w:val="2"/>
                  <w:vAlign w:val="center"/>
                </w:tcPr>
                <w:p w14:paraId="1EA3C6B5">
                  <w:pPr>
                    <w:widowControl w:val="0"/>
                    <w:jc w:val="center"/>
                    <w:rPr>
                      <w:b/>
                      <w:lang w:val="pt-PT"/>
                    </w:rPr>
                  </w:pPr>
                  <w:r>
                    <w:rPr>
                      <w:b/>
                      <w:lang w:val="pt-PT"/>
                    </w:rPr>
                    <w:t>IX</w:t>
                  </w:r>
                </w:p>
              </w:tc>
              <w:tc>
                <w:tcPr>
                  <w:tcW w:w="3259" w:type="dxa"/>
                  <w:vAlign w:val="center"/>
                </w:tcPr>
                <w:p w14:paraId="0C0AD17E">
                  <w:pPr>
                    <w:widowControl w:val="0"/>
                    <w:jc w:val="both"/>
                    <w:rPr>
                      <w:b/>
                      <w:lang w:val="pt-PT"/>
                    </w:rPr>
                  </w:pPr>
                  <w:r>
                    <w:rPr>
                      <w:b/>
                      <w:lang w:val="pt-PT"/>
                    </w:rPr>
                    <w:t>Guincho para veículos articulados, reboque e semi-reboque.</w:t>
                  </w:r>
                </w:p>
              </w:tc>
              <w:tc>
                <w:tcPr>
                  <w:tcW w:w="1559" w:type="dxa"/>
                  <w:gridSpan w:val="2"/>
                  <w:vAlign w:val="center"/>
                </w:tcPr>
                <w:p w14:paraId="16138A0B">
                  <w:pPr>
                    <w:widowControl w:val="0"/>
                    <w:jc w:val="center"/>
                    <w:rPr>
                      <w:b/>
                      <w:lang w:val="pt-PT"/>
                    </w:rPr>
                  </w:pPr>
                  <w:r>
                    <w:rPr>
                      <w:b/>
                      <w:lang w:val="pt-PT"/>
                    </w:rPr>
                    <w:t>Serviço fixo</w:t>
                  </w:r>
                  <w:r>
                    <w:rPr>
                      <w:b/>
                      <w:lang w:val="pt-PT"/>
                    </w:rPr>
                    <w:br w:type="textWrapping"/>
                  </w:r>
                  <w:r>
                    <w:rPr>
                      <w:b/>
                      <w:lang w:val="pt-PT"/>
                    </w:rPr>
                    <w:t>limitado até 30 km</w:t>
                  </w:r>
                </w:p>
              </w:tc>
              <w:tc>
                <w:tcPr>
                  <w:tcW w:w="1134" w:type="dxa"/>
                  <w:vAlign w:val="center"/>
                </w:tcPr>
                <w:p w14:paraId="06A3957A">
                  <w:pPr>
                    <w:widowControl w:val="0"/>
                    <w:jc w:val="center"/>
                    <w:rPr>
                      <w:b/>
                      <w:lang w:val="pt-PT"/>
                    </w:rPr>
                  </w:pPr>
                  <w:r>
                    <w:rPr>
                      <w:b/>
                      <w:lang w:val="pt-PT"/>
                    </w:rPr>
                    <w:t>196</w:t>
                  </w:r>
                </w:p>
              </w:tc>
              <w:tc>
                <w:tcPr>
                  <w:tcW w:w="1276" w:type="dxa"/>
                  <w:vAlign w:val="center"/>
                </w:tcPr>
                <w:p w14:paraId="4CAA15C1">
                  <w:pPr>
                    <w:widowControl w:val="0"/>
                    <w:rPr>
                      <w:b/>
                      <w:lang w:val="pt-PT"/>
                    </w:rPr>
                  </w:pPr>
                  <w:r>
                    <w:rPr>
                      <w:b/>
                      <w:lang w:val="pt-PT"/>
                    </w:rPr>
                    <w:t xml:space="preserve">R$ 735,00 </w:t>
                  </w:r>
                </w:p>
              </w:tc>
            </w:tr>
            <w:tr w14:paraId="593CD0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79" w:hRule="atLeast"/>
              </w:trPr>
              <w:tc>
                <w:tcPr>
                  <w:tcW w:w="8811" w:type="dxa"/>
                  <w:gridSpan w:val="7"/>
                  <w:shd w:val="clear" w:color="auto" w:fill="EAF1DD"/>
                  <w:vAlign w:val="center"/>
                </w:tcPr>
                <w:p w14:paraId="1900E353">
                  <w:pPr>
                    <w:widowControl w:val="0"/>
                    <w:jc w:val="center"/>
                    <w:rPr>
                      <w:b/>
                      <w:bCs/>
                      <w:lang w:val="pt-PT"/>
                    </w:rPr>
                  </w:pPr>
                  <w:r>
                    <w:rPr>
                      <w:b/>
                      <w:bCs/>
                      <w:lang w:val="pt-PT"/>
                    </w:rPr>
                    <w:t>Anexo II - Lei Municipal 2.985/2021</w:t>
                  </w:r>
                </w:p>
                <w:p w14:paraId="521DB886">
                  <w:pPr>
                    <w:widowControl w:val="0"/>
                    <w:jc w:val="center"/>
                    <w:rPr>
                      <w:b/>
                      <w:bCs/>
                      <w:lang w:val="pt-PT"/>
                    </w:rPr>
                  </w:pPr>
                  <w:r>
                    <w:rPr>
                      <w:b/>
                      <w:bCs/>
                      <w:lang w:val="pt-PT"/>
                    </w:rPr>
                    <w:t>DOS VALORES DA TAXA DO KM ADICIONAL (Acima de 30 KM) - Art. 17</w:t>
                  </w:r>
                </w:p>
              </w:tc>
            </w:tr>
            <w:tr w14:paraId="50040F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0D19DCA9">
                  <w:pPr>
                    <w:widowControl w:val="0"/>
                    <w:jc w:val="center"/>
                    <w:rPr>
                      <w:b/>
                      <w:bCs/>
                    </w:rPr>
                  </w:pPr>
                  <w:r>
                    <w:rPr>
                      <w:b/>
                      <w:bCs/>
                      <w:lang w:val="pt-PT"/>
                    </w:rPr>
                    <w:t>Item</w:t>
                  </w:r>
                </w:p>
              </w:tc>
              <w:tc>
                <w:tcPr>
                  <w:tcW w:w="3259" w:type="dxa"/>
                  <w:shd w:val="clear" w:color="auto" w:fill="EAF1DD"/>
                  <w:vAlign w:val="center"/>
                </w:tcPr>
                <w:p w14:paraId="343309A6">
                  <w:pPr>
                    <w:widowControl w:val="0"/>
                    <w:jc w:val="center"/>
                    <w:rPr>
                      <w:b/>
                      <w:bCs/>
                      <w:lang w:val="pt-PT"/>
                    </w:rPr>
                  </w:pPr>
                  <w:r>
                    <w:rPr>
                      <w:b/>
                      <w:bCs/>
                      <w:lang w:val="pt-PT"/>
                    </w:rPr>
                    <w:t>Descrição dos Serviços</w:t>
                  </w:r>
                </w:p>
              </w:tc>
              <w:tc>
                <w:tcPr>
                  <w:tcW w:w="1559" w:type="dxa"/>
                  <w:gridSpan w:val="2"/>
                  <w:shd w:val="clear" w:color="auto" w:fill="EAF1DD"/>
                  <w:vAlign w:val="center"/>
                </w:tcPr>
                <w:p w14:paraId="2505FF5F">
                  <w:pPr>
                    <w:widowControl w:val="0"/>
                    <w:jc w:val="center"/>
                    <w:rPr>
                      <w:b/>
                      <w:bCs/>
                      <w:lang w:val="pt-PT"/>
                    </w:rPr>
                  </w:pPr>
                  <w:r>
                    <w:rPr>
                      <w:b/>
                      <w:bCs/>
                      <w:lang w:val="pt-PT"/>
                    </w:rPr>
                    <w:t>Unidade</w:t>
                  </w:r>
                </w:p>
              </w:tc>
              <w:tc>
                <w:tcPr>
                  <w:tcW w:w="1134" w:type="dxa"/>
                  <w:shd w:val="clear" w:color="auto" w:fill="EAF1DD"/>
                  <w:vAlign w:val="center"/>
                </w:tcPr>
                <w:p w14:paraId="72229FB9">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35566F99">
                  <w:pPr>
                    <w:widowControl w:val="0"/>
                    <w:jc w:val="center"/>
                    <w:rPr>
                      <w:b/>
                      <w:bCs/>
                      <w:lang w:val="pt-PT"/>
                    </w:rPr>
                  </w:pPr>
                  <w:r>
                    <w:rPr>
                      <w:b/>
                      <w:bCs/>
                      <w:lang w:val="pt-PT"/>
                    </w:rPr>
                    <w:t>Valor em R$</w:t>
                  </w:r>
                  <w:r>
                    <w:rPr>
                      <w:b/>
                      <w:bCs/>
                      <w:lang w:val="pt-PT"/>
                    </w:rPr>
                    <w:br w:type="textWrapping"/>
                  </w:r>
                  <w:r>
                    <w:rPr>
                      <w:b/>
                      <w:bCs/>
                      <w:lang w:val="pt-PT"/>
                    </w:rPr>
                    <w:t>Ano 2025</w:t>
                  </w:r>
                </w:p>
              </w:tc>
            </w:tr>
            <w:tr w14:paraId="4C7447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46E40503">
                  <w:pPr>
                    <w:widowControl w:val="0"/>
                    <w:jc w:val="center"/>
                    <w:rPr>
                      <w:b/>
                      <w:lang w:val="pt-PT"/>
                    </w:rPr>
                  </w:pPr>
                  <w:r>
                    <w:rPr>
                      <w:b/>
                      <w:lang w:val="pt-PT"/>
                    </w:rPr>
                    <w:t>I</w:t>
                  </w:r>
                </w:p>
              </w:tc>
              <w:tc>
                <w:tcPr>
                  <w:tcW w:w="3259" w:type="dxa"/>
                  <w:vAlign w:val="center"/>
                </w:tcPr>
                <w:p w14:paraId="34A11EFB">
                  <w:pPr>
                    <w:widowControl w:val="0"/>
                    <w:jc w:val="both"/>
                    <w:rPr>
                      <w:b/>
                      <w:lang w:val="pt-PT"/>
                    </w:rPr>
                  </w:pPr>
                  <w:r>
                    <w:rPr>
                      <w:b/>
                      <w:lang w:val="pt-PT"/>
                    </w:rPr>
                    <w:t>Guincho para motocicletas, ciclomotores e triciclos (veículos com 03 rodas), com ou sem reboque lateral.</w:t>
                  </w:r>
                </w:p>
              </w:tc>
              <w:tc>
                <w:tcPr>
                  <w:tcW w:w="1559" w:type="dxa"/>
                  <w:gridSpan w:val="2"/>
                  <w:vAlign w:val="center"/>
                </w:tcPr>
                <w:p w14:paraId="242E4353">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1DD98D36">
                  <w:pPr>
                    <w:widowControl w:val="0"/>
                    <w:jc w:val="center"/>
                    <w:rPr>
                      <w:b/>
                      <w:lang w:val="pt-PT"/>
                    </w:rPr>
                  </w:pPr>
                  <w:r>
                    <w:rPr>
                      <w:b/>
                      <w:lang w:val="pt-PT"/>
                    </w:rPr>
                    <w:t>1,18</w:t>
                  </w:r>
                </w:p>
              </w:tc>
              <w:tc>
                <w:tcPr>
                  <w:tcW w:w="1276" w:type="dxa"/>
                  <w:vAlign w:val="center"/>
                </w:tcPr>
                <w:p w14:paraId="3E0B2416">
                  <w:pPr>
                    <w:widowControl w:val="0"/>
                    <w:rPr>
                      <w:b/>
                      <w:lang w:val="pt-PT"/>
                    </w:rPr>
                  </w:pPr>
                  <w:r>
                    <w:rPr>
                      <w:b/>
                      <w:lang w:val="pt-PT"/>
                    </w:rPr>
                    <w:t xml:space="preserve">R$ 4,43 </w:t>
                  </w:r>
                </w:p>
              </w:tc>
            </w:tr>
            <w:tr w14:paraId="6E40598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23DB1B08">
                  <w:pPr>
                    <w:widowControl w:val="0"/>
                    <w:jc w:val="center"/>
                    <w:rPr>
                      <w:b/>
                      <w:lang w:val="pt-PT"/>
                    </w:rPr>
                  </w:pPr>
                  <w:r>
                    <w:rPr>
                      <w:b/>
                      <w:lang w:val="pt-PT"/>
                    </w:rPr>
                    <w:t>II</w:t>
                  </w:r>
                </w:p>
              </w:tc>
              <w:tc>
                <w:tcPr>
                  <w:tcW w:w="3259" w:type="dxa"/>
                  <w:vAlign w:val="center"/>
                </w:tcPr>
                <w:p w14:paraId="27A8D6A7">
                  <w:pPr>
                    <w:widowControl w:val="0"/>
                    <w:jc w:val="both"/>
                    <w:rPr>
                      <w:b/>
                      <w:lang w:val="pt-PT"/>
                    </w:rPr>
                  </w:pPr>
                  <w:r>
                    <w:rPr>
                      <w:b/>
                      <w:lang w:val="pt-PT"/>
                    </w:rPr>
                    <w:t>Guincho para veículos de passeio, utilitário e similares que não ultrapassem o peso bruto total de 3.500 Kg.</w:t>
                  </w:r>
                </w:p>
              </w:tc>
              <w:tc>
                <w:tcPr>
                  <w:tcW w:w="1559" w:type="dxa"/>
                  <w:gridSpan w:val="2"/>
                  <w:vAlign w:val="center"/>
                </w:tcPr>
                <w:p w14:paraId="133F88DB">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0771F847">
                  <w:pPr>
                    <w:widowControl w:val="0"/>
                    <w:jc w:val="center"/>
                    <w:rPr>
                      <w:b/>
                      <w:lang w:val="pt-PT"/>
                    </w:rPr>
                  </w:pPr>
                  <w:r>
                    <w:rPr>
                      <w:b/>
                      <w:lang w:val="pt-PT"/>
                    </w:rPr>
                    <w:t>1,3</w:t>
                  </w:r>
                </w:p>
              </w:tc>
              <w:tc>
                <w:tcPr>
                  <w:tcW w:w="1276" w:type="dxa"/>
                  <w:vAlign w:val="center"/>
                </w:tcPr>
                <w:p w14:paraId="3A4E708B">
                  <w:pPr>
                    <w:widowControl w:val="0"/>
                    <w:rPr>
                      <w:b/>
                      <w:lang w:val="pt-PT"/>
                    </w:rPr>
                  </w:pPr>
                  <w:r>
                    <w:rPr>
                      <w:b/>
                      <w:lang w:val="pt-PT"/>
                    </w:rPr>
                    <w:t xml:space="preserve">R$ 4,88 </w:t>
                  </w:r>
                </w:p>
              </w:tc>
            </w:tr>
            <w:tr w14:paraId="0F81C38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35B7E331">
                  <w:pPr>
                    <w:widowControl w:val="0"/>
                    <w:jc w:val="center"/>
                    <w:rPr>
                      <w:b/>
                      <w:lang w:val="pt-PT"/>
                    </w:rPr>
                  </w:pPr>
                  <w:r>
                    <w:rPr>
                      <w:b/>
                      <w:lang w:val="pt-PT"/>
                    </w:rPr>
                    <w:t>III</w:t>
                  </w:r>
                </w:p>
              </w:tc>
              <w:tc>
                <w:tcPr>
                  <w:tcW w:w="3259" w:type="dxa"/>
                  <w:vAlign w:val="center"/>
                </w:tcPr>
                <w:p w14:paraId="6A93A38B">
                  <w:pPr>
                    <w:widowControl w:val="0"/>
                    <w:jc w:val="both"/>
                    <w:rPr>
                      <w:b/>
                      <w:lang w:val="pt-PT"/>
                    </w:rPr>
                  </w:pPr>
                  <w:r>
                    <w:rPr>
                      <w:b/>
                      <w:lang w:val="pt-PT"/>
                    </w:rPr>
                    <w:t>Guincho para veículos de carga ou passageiros com peso bruto superior a 3.500 kg.</w:t>
                  </w:r>
                </w:p>
              </w:tc>
              <w:tc>
                <w:tcPr>
                  <w:tcW w:w="1559" w:type="dxa"/>
                  <w:gridSpan w:val="2"/>
                  <w:vAlign w:val="center"/>
                </w:tcPr>
                <w:p w14:paraId="3CF5F60B">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42ECE913">
                  <w:pPr>
                    <w:widowControl w:val="0"/>
                    <w:jc w:val="center"/>
                    <w:rPr>
                      <w:b/>
                      <w:lang w:val="pt-PT"/>
                    </w:rPr>
                  </w:pPr>
                  <w:r>
                    <w:rPr>
                      <w:b/>
                      <w:lang w:val="pt-PT"/>
                    </w:rPr>
                    <w:t>2</w:t>
                  </w:r>
                </w:p>
              </w:tc>
              <w:tc>
                <w:tcPr>
                  <w:tcW w:w="1276" w:type="dxa"/>
                  <w:vAlign w:val="center"/>
                </w:tcPr>
                <w:p w14:paraId="15B65905">
                  <w:pPr>
                    <w:widowControl w:val="0"/>
                    <w:rPr>
                      <w:b/>
                      <w:lang w:val="pt-PT"/>
                    </w:rPr>
                  </w:pPr>
                  <w:r>
                    <w:rPr>
                      <w:b/>
                      <w:lang w:val="pt-PT"/>
                    </w:rPr>
                    <w:t xml:space="preserve">R$ 7,50 </w:t>
                  </w:r>
                </w:p>
              </w:tc>
            </w:tr>
            <w:tr w14:paraId="64D2E8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035BF33">
                  <w:pPr>
                    <w:widowControl w:val="0"/>
                    <w:jc w:val="center"/>
                    <w:rPr>
                      <w:b/>
                      <w:lang w:val="pt-PT"/>
                    </w:rPr>
                  </w:pPr>
                  <w:r>
                    <w:rPr>
                      <w:b/>
                      <w:lang w:val="pt-PT"/>
                    </w:rPr>
                    <w:t>IV</w:t>
                  </w:r>
                </w:p>
              </w:tc>
              <w:tc>
                <w:tcPr>
                  <w:tcW w:w="3259" w:type="dxa"/>
                  <w:vAlign w:val="center"/>
                </w:tcPr>
                <w:p w14:paraId="28F4B5C3">
                  <w:pPr>
                    <w:widowControl w:val="0"/>
                    <w:jc w:val="both"/>
                    <w:rPr>
                      <w:b/>
                      <w:lang w:val="pt-PT"/>
                    </w:rPr>
                  </w:pPr>
                  <w:r>
                    <w:rPr>
                      <w:b/>
                      <w:lang w:val="pt-PT"/>
                    </w:rPr>
                    <w:t>Guincho para veículos articulados, reboque e semir-reboque - Vazio.</w:t>
                  </w:r>
                </w:p>
              </w:tc>
              <w:tc>
                <w:tcPr>
                  <w:tcW w:w="1559" w:type="dxa"/>
                  <w:gridSpan w:val="2"/>
                  <w:vAlign w:val="center"/>
                </w:tcPr>
                <w:p w14:paraId="4EEDB017">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0F8937B4">
                  <w:pPr>
                    <w:widowControl w:val="0"/>
                    <w:jc w:val="center"/>
                    <w:rPr>
                      <w:b/>
                      <w:lang w:val="pt-PT"/>
                    </w:rPr>
                  </w:pPr>
                  <w:r>
                    <w:rPr>
                      <w:b/>
                      <w:lang w:val="pt-PT"/>
                    </w:rPr>
                    <w:t>2,2</w:t>
                  </w:r>
                </w:p>
              </w:tc>
              <w:tc>
                <w:tcPr>
                  <w:tcW w:w="1276" w:type="dxa"/>
                  <w:vAlign w:val="center"/>
                </w:tcPr>
                <w:p w14:paraId="1E2AA399">
                  <w:pPr>
                    <w:widowControl w:val="0"/>
                    <w:rPr>
                      <w:b/>
                      <w:lang w:val="pt-PT"/>
                    </w:rPr>
                  </w:pPr>
                  <w:r>
                    <w:rPr>
                      <w:b/>
                      <w:lang w:val="pt-PT"/>
                    </w:rPr>
                    <w:t xml:space="preserve">R$ 8,25 </w:t>
                  </w:r>
                </w:p>
              </w:tc>
            </w:tr>
            <w:tr w14:paraId="43BFF400">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0A35AC6A">
                  <w:pPr>
                    <w:widowControl w:val="0"/>
                    <w:jc w:val="center"/>
                    <w:rPr>
                      <w:b/>
                      <w:lang w:val="pt-PT"/>
                    </w:rPr>
                  </w:pPr>
                  <w:r>
                    <w:rPr>
                      <w:b/>
                      <w:lang w:val="pt-PT"/>
                    </w:rPr>
                    <w:t>V</w:t>
                  </w:r>
                </w:p>
              </w:tc>
              <w:tc>
                <w:tcPr>
                  <w:tcW w:w="3259" w:type="dxa"/>
                  <w:vAlign w:val="center"/>
                </w:tcPr>
                <w:p w14:paraId="48241761">
                  <w:pPr>
                    <w:widowControl w:val="0"/>
                    <w:jc w:val="both"/>
                    <w:rPr>
                      <w:b/>
                      <w:lang w:val="pt-PT"/>
                    </w:rPr>
                  </w:pPr>
                  <w:r>
                    <w:rPr>
                      <w:b/>
                      <w:lang w:val="pt-PT"/>
                    </w:rPr>
                    <w:t>Guincho para veículos articulados, reboque e semir-reboque - Carregado.</w:t>
                  </w:r>
                </w:p>
              </w:tc>
              <w:tc>
                <w:tcPr>
                  <w:tcW w:w="1559" w:type="dxa"/>
                  <w:gridSpan w:val="2"/>
                  <w:vAlign w:val="center"/>
                </w:tcPr>
                <w:p w14:paraId="2BA1B8E9">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763F7FDC">
                  <w:pPr>
                    <w:widowControl w:val="0"/>
                    <w:jc w:val="center"/>
                    <w:rPr>
                      <w:b/>
                      <w:lang w:val="pt-PT"/>
                    </w:rPr>
                  </w:pPr>
                  <w:r>
                    <w:rPr>
                      <w:b/>
                      <w:lang w:val="pt-PT"/>
                    </w:rPr>
                    <w:t>3</w:t>
                  </w:r>
                </w:p>
              </w:tc>
              <w:tc>
                <w:tcPr>
                  <w:tcW w:w="1276" w:type="dxa"/>
                  <w:vAlign w:val="center"/>
                </w:tcPr>
                <w:p w14:paraId="7D19041E">
                  <w:pPr>
                    <w:widowControl w:val="0"/>
                    <w:rPr>
                      <w:b/>
                      <w:lang w:val="pt-PT"/>
                    </w:rPr>
                  </w:pPr>
                  <w:r>
                    <w:rPr>
                      <w:b/>
                      <w:lang w:val="pt-PT"/>
                    </w:rPr>
                    <w:t xml:space="preserve">R$ 11,25 </w:t>
                  </w:r>
                </w:p>
              </w:tc>
            </w:tr>
            <w:tr w14:paraId="50F82A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36007CA4">
                  <w:pPr>
                    <w:widowControl w:val="0"/>
                    <w:jc w:val="center"/>
                    <w:rPr>
                      <w:b/>
                      <w:lang w:val="pt-PT"/>
                    </w:rPr>
                  </w:pPr>
                  <w:r>
                    <w:rPr>
                      <w:b/>
                      <w:lang w:val="pt-PT"/>
                    </w:rPr>
                    <w:t>VI</w:t>
                  </w:r>
                </w:p>
              </w:tc>
              <w:tc>
                <w:tcPr>
                  <w:tcW w:w="3259" w:type="dxa"/>
                  <w:vAlign w:val="center"/>
                </w:tcPr>
                <w:p w14:paraId="4BBA74D9">
                  <w:pPr>
                    <w:widowControl w:val="0"/>
                    <w:jc w:val="both"/>
                    <w:rPr>
                      <w:b/>
                      <w:lang w:val="pt-PT"/>
                    </w:rPr>
                  </w:pPr>
                  <w:r>
                    <w:rPr>
                      <w:b/>
                      <w:lang w:val="pt-PT"/>
                    </w:rPr>
                    <w:t>Guincho para Caçambas, Container e similares.</w:t>
                  </w:r>
                </w:p>
              </w:tc>
              <w:tc>
                <w:tcPr>
                  <w:tcW w:w="1559" w:type="dxa"/>
                  <w:gridSpan w:val="2"/>
                  <w:vAlign w:val="center"/>
                </w:tcPr>
                <w:p w14:paraId="4B21776E">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5DEFA58E">
                  <w:pPr>
                    <w:widowControl w:val="0"/>
                    <w:jc w:val="center"/>
                    <w:rPr>
                      <w:b/>
                      <w:lang w:val="pt-PT"/>
                    </w:rPr>
                  </w:pPr>
                  <w:r>
                    <w:rPr>
                      <w:b/>
                      <w:lang w:val="pt-PT"/>
                    </w:rPr>
                    <w:t>1,18</w:t>
                  </w:r>
                </w:p>
              </w:tc>
              <w:tc>
                <w:tcPr>
                  <w:tcW w:w="1276" w:type="dxa"/>
                  <w:vAlign w:val="center"/>
                </w:tcPr>
                <w:p w14:paraId="4DAF1652">
                  <w:pPr>
                    <w:widowControl w:val="0"/>
                    <w:rPr>
                      <w:b/>
                      <w:lang w:val="pt-PT"/>
                    </w:rPr>
                  </w:pPr>
                  <w:r>
                    <w:rPr>
                      <w:b/>
                      <w:lang w:val="pt-PT"/>
                    </w:rPr>
                    <w:t xml:space="preserve">R$ 4,43 </w:t>
                  </w:r>
                </w:p>
              </w:tc>
            </w:tr>
            <w:tr w14:paraId="2AAB73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5B84FFC5">
                  <w:pPr>
                    <w:widowControl w:val="0"/>
                    <w:jc w:val="center"/>
                    <w:rPr>
                      <w:b/>
                      <w:lang w:val="pt-PT"/>
                    </w:rPr>
                  </w:pPr>
                  <w:r>
                    <w:rPr>
                      <w:b/>
                      <w:lang w:val="pt-PT"/>
                    </w:rPr>
                    <w:t>VII</w:t>
                  </w:r>
                </w:p>
              </w:tc>
              <w:tc>
                <w:tcPr>
                  <w:tcW w:w="3259" w:type="dxa"/>
                  <w:vAlign w:val="center"/>
                </w:tcPr>
                <w:p w14:paraId="18550A47">
                  <w:pPr>
                    <w:widowControl w:val="0"/>
                    <w:jc w:val="both"/>
                    <w:rPr>
                      <w:b/>
                      <w:lang w:val="pt-PT"/>
                    </w:rPr>
                  </w:pPr>
                  <w:r>
                    <w:rPr>
                      <w:b/>
                      <w:lang w:val="pt-PT"/>
                    </w:rPr>
                    <w:t>Guincho para Carretinhas</w:t>
                  </w:r>
                </w:p>
              </w:tc>
              <w:tc>
                <w:tcPr>
                  <w:tcW w:w="1559" w:type="dxa"/>
                  <w:gridSpan w:val="2"/>
                  <w:vAlign w:val="center"/>
                </w:tcPr>
                <w:p w14:paraId="1177F3E1">
                  <w:pPr>
                    <w:widowControl w:val="0"/>
                    <w:jc w:val="center"/>
                    <w:rPr>
                      <w:b/>
                      <w:lang w:val="pt-PT"/>
                    </w:rPr>
                  </w:pPr>
                  <w:r>
                    <w:rPr>
                      <w:b/>
                      <w:lang w:val="pt-PT"/>
                    </w:rPr>
                    <w:t>Valor do km</w:t>
                  </w:r>
                  <w:r>
                    <w:rPr>
                      <w:b/>
                      <w:lang w:val="pt-PT"/>
                    </w:rPr>
                    <w:br w:type="textWrapping"/>
                  </w:r>
                  <w:r>
                    <w:rPr>
                      <w:b/>
                      <w:lang w:val="pt-PT"/>
                    </w:rPr>
                    <w:t>adicional percurso</w:t>
                  </w:r>
                  <w:r>
                    <w:rPr>
                      <w:b/>
                      <w:lang w:val="pt-PT"/>
                    </w:rPr>
                    <w:br w:type="textWrapping"/>
                  </w:r>
                  <w:r>
                    <w:rPr>
                      <w:b/>
                      <w:lang w:val="pt-PT"/>
                    </w:rPr>
                    <w:t>com mais de 30 km</w:t>
                  </w:r>
                </w:p>
              </w:tc>
              <w:tc>
                <w:tcPr>
                  <w:tcW w:w="1134" w:type="dxa"/>
                  <w:vAlign w:val="center"/>
                </w:tcPr>
                <w:p w14:paraId="41D3A70D">
                  <w:pPr>
                    <w:widowControl w:val="0"/>
                    <w:jc w:val="center"/>
                    <w:rPr>
                      <w:b/>
                      <w:lang w:val="pt-PT"/>
                    </w:rPr>
                  </w:pPr>
                  <w:r>
                    <w:rPr>
                      <w:b/>
                      <w:lang w:val="pt-PT"/>
                    </w:rPr>
                    <w:t>1,18</w:t>
                  </w:r>
                </w:p>
              </w:tc>
              <w:tc>
                <w:tcPr>
                  <w:tcW w:w="1276" w:type="dxa"/>
                  <w:vAlign w:val="center"/>
                </w:tcPr>
                <w:p w14:paraId="6FBC6CEB">
                  <w:pPr>
                    <w:widowControl w:val="0"/>
                    <w:rPr>
                      <w:b/>
                      <w:lang w:val="pt-PT"/>
                    </w:rPr>
                  </w:pPr>
                  <w:r>
                    <w:rPr>
                      <w:b/>
                      <w:lang w:val="pt-PT"/>
                    </w:rPr>
                    <w:t xml:space="preserve">R$ 4,43 </w:t>
                  </w:r>
                </w:p>
              </w:tc>
            </w:tr>
            <w:tr w14:paraId="3A1564D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696" w:hRule="atLeast"/>
              </w:trPr>
              <w:tc>
                <w:tcPr>
                  <w:tcW w:w="8811" w:type="dxa"/>
                  <w:gridSpan w:val="7"/>
                  <w:shd w:val="clear" w:color="auto" w:fill="EAF1DD"/>
                  <w:vAlign w:val="center"/>
                </w:tcPr>
                <w:p w14:paraId="0E750077">
                  <w:pPr>
                    <w:widowControl w:val="0"/>
                    <w:jc w:val="center"/>
                    <w:rPr>
                      <w:b/>
                      <w:bCs/>
                      <w:lang w:val="pt-PT"/>
                    </w:rPr>
                  </w:pPr>
                  <w:r>
                    <w:rPr>
                      <w:b/>
                      <w:bCs/>
                      <w:lang w:val="pt-PT"/>
                    </w:rPr>
                    <w:t>Anexo III - Lei Municipal 2.985/2021</w:t>
                  </w:r>
                </w:p>
                <w:p w14:paraId="399F949F">
                  <w:pPr>
                    <w:widowControl w:val="0"/>
                    <w:jc w:val="center"/>
                    <w:rPr>
                      <w:b/>
                      <w:bCs/>
                      <w:lang w:val="pt-PT"/>
                    </w:rPr>
                  </w:pPr>
                  <w:r>
                    <w:rPr>
                      <w:b/>
                      <w:bCs/>
                      <w:lang w:val="pt-PT"/>
                    </w:rPr>
                    <w:t>DOS VALORES DA TAXA DE DEPÓSITO EM PÁTIO - Art. 19</w:t>
                  </w:r>
                </w:p>
              </w:tc>
            </w:tr>
            <w:tr w14:paraId="4572A60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00" w:hRule="atLeast"/>
              </w:trPr>
              <w:tc>
                <w:tcPr>
                  <w:tcW w:w="1583" w:type="dxa"/>
                  <w:gridSpan w:val="2"/>
                  <w:shd w:val="clear" w:color="auto" w:fill="EAF1DD"/>
                  <w:vAlign w:val="center"/>
                </w:tcPr>
                <w:p w14:paraId="61CB489A">
                  <w:pPr>
                    <w:widowControl w:val="0"/>
                    <w:jc w:val="center"/>
                    <w:rPr>
                      <w:b/>
                      <w:bCs/>
                    </w:rPr>
                  </w:pPr>
                  <w:r>
                    <w:rPr>
                      <w:b/>
                      <w:bCs/>
                      <w:lang w:val="pt-PT"/>
                    </w:rPr>
                    <w:t>Item</w:t>
                  </w:r>
                </w:p>
              </w:tc>
              <w:tc>
                <w:tcPr>
                  <w:tcW w:w="3259" w:type="dxa"/>
                  <w:shd w:val="clear" w:color="auto" w:fill="EAF1DD"/>
                  <w:vAlign w:val="center"/>
                </w:tcPr>
                <w:p w14:paraId="4EAD1F60">
                  <w:pPr>
                    <w:widowControl w:val="0"/>
                    <w:jc w:val="center"/>
                    <w:rPr>
                      <w:b/>
                      <w:bCs/>
                      <w:lang w:val="pt-PT"/>
                    </w:rPr>
                  </w:pPr>
                  <w:r>
                    <w:rPr>
                      <w:b/>
                      <w:bCs/>
                      <w:lang w:val="pt-PT"/>
                    </w:rPr>
                    <w:t>Descrição dos Serviços</w:t>
                  </w:r>
                </w:p>
              </w:tc>
              <w:tc>
                <w:tcPr>
                  <w:tcW w:w="1559" w:type="dxa"/>
                  <w:gridSpan w:val="2"/>
                  <w:shd w:val="clear" w:color="auto" w:fill="EAF1DD"/>
                  <w:vAlign w:val="center"/>
                </w:tcPr>
                <w:p w14:paraId="62998123">
                  <w:pPr>
                    <w:widowControl w:val="0"/>
                    <w:jc w:val="center"/>
                    <w:rPr>
                      <w:b/>
                      <w:bCs/>
                      <w:lang w:val="pt-PT"/>
                    </w:rPr>
                  </w:pPr>
                  <w:r>
                    <w:rPr>
                      <w:b/>
                      <w:bCs/>
                      <w:lang w:val="pt-PT"/>
                    </w:rPr>
                    <w:t>Unidade</w:t>
                  </w:r>
                </w:p>
              </w:tc>
              <w:tc>
                <w:tcPr>
                  <w:tcW w:w="1134" w:type="dxa"/>
                  <w:shd w:val="clear" w:color="auto" w:fill="EAF1DD"/>
                  <w:vAlign w:val="center"/>
                </w:tcPr>
                <w:p w14:paraId="35FBFEB2">
                  <w:pPr>
                    <w:widowControl w:val="0"/>
                    <w:jc w:val="center"/>
                    <w:rPr>
                      <w:b/>
                      <w:bCs/>
                      <w:lang w:val="pt-PT"/>
                    </w:rPr>
                  </w:pPr>
                  <w:r>
                    <w:rPr>
                      <w:b/>
                      <w:bCs/>
                      <w:lang w:val="pt-PT"/>
                    </w:rPr>
                    <w:t>Valor em UR</w:t>
                  </w:r>
                  <w:r>
                    <w:rPr>
                      <w:b/>
                      <w:bCs/>
                      <w:lang w:val="pt-PT"/>
                    </w:rPr>
                    <w:br w:type="textWrapping"/>
                  </w:r>
                  <w:r>
                    <w:rPr>
                      <w:b/>
                      <w:bCs/>
                      <w:lang w:val="pt-PT"/>
                    </w:rPr>
                    <w:t>Lei Comp. 109/2014</w:t>
                  </w:r>
                  <w:r>
                    <w:rPr>
                      <w:b/>
                      <w:bCs/>
                      <w:lang w:val="pt-PT"/>
                    </w:rPr>
                    <w:br w:type="textWrapping"/>
                  </w:r>
                  <w:r>
                    <w:rPr>
                      <w:b/>
                      <w:bCs/>
                      <w:lang w:val="pt-PT"/>
                    </w:rPr>
                    <w:t>Decreto 356/2024</w:t>
                  </w:r>
                </w:p>
              </w:tc>
              <w:tc>
                <w:tcPr>
                  <w:tcW w:w="1276" w:type="dxa"/>
                  <w:shd w:val="clear" w:color="auto" w:fill="EAF1DD"/>
                  <w:vAlign w:val="center"/>
                </w:tcPr>
                <w:p w14:paraId="1F66CA7B">
                  <w:pPr>
                    <w:widowControl w:val="0"/>
                    <w:jc w:val="center"/>
                    <w:rPr>
                      <w:b/>
                      <w:bCs/>
                      <w:lang w:val="pt-PT"/>
                    </w:rPr>
                  </w:pPr>
                  <w:r>
                    <w:rPr>
                      <w:b/>
                      <w:bCs/>
                      <w:lang w:val="pt-PT"/>
                    </w:rPr>
                    <w:t>Valor em R$</w:t>
                  </w:r>
                  <w:r>
                    <w:rPr>
                      <w:b/>
                      <w:bCs/>
                      <w:lang w:val="pt-PT"/>
                    </w:rPr>
                    <w:br w:type="textWrapping"/>
                  </w:r>
                  <w:r>
                    <w:rPr>
                      <w:b/>
                      <w:bCs/>
                      <w:lang w:val="pt-PT"/>
                    </w:rPr>
                    <w:t>Ano 2025</w:t>
                  </w:r>
                </w:p>
              </w:tc>
            </w:tr>
            <w:tr w14:paraId="255386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5A58301C">
                  <w:pPr>
                    <w:widowControl w:val="0"/>
                    <w:jc w:val="center"/>
                    <w:rPr>
                      <w:b/>
                      <w:lang w:val="pt-PT"/>
                    </w:rPr>
                  </w:pPr>
                  <w:r>
                    <w:rPr>
                      <w:b/>
                      <w:lang w:val="pt-PT"/>
                    </w:rPr>
                    <w:t>I</w:t>
                  </w:r>
                </w:p>
              </w:tc>
              <w:tc>
                <w:tcPr>
                  <w:tcW w:w="3259" w:type="dxa"/>
                  <w:vAlign w:val="center"/>
                </w:tcPr>
                <w:p w14:paraId="043A8CA6">
                  <w:pPr>
                    <w:widowControl w:val="0"/>
                    <w:jc w:val="both"/>
                    <w:rPr>
                      <w:b/>
                      <w:lang w:val="pt-PT"/>
                    </w:rPr>
                  </w:pPr>
                  <w:r>
                    <w:rPr>
                      <w:b/>
                      <w:lang w:val="pt-PT"/>
                    </w:rPr>
                    <w:t>Estada no pátio para motocicletas, ciclomotores e triciclos (veículos com 03 rodas), com ou sem</w:t>
                  </w:r>
                  <w:r>
                    <w:rPr>
                      <w:b/>
                      <w:lang w:val="pt-PT"/>
                    </w:rPr>
                    <w:br w:type="textWrapping"/>
                  </w:r>
                  <w:r>
                    <w:rPr>
                      <w:b/>
                      <w:lang w:val="pt-PT"/>
                    </w:rPr>
                    <w:t>reboque lateral, limitadas a 180 dias.</w:t>
                  </w:r>
                </w:p>
              </w:tc>
              <w:tc>
                <w:tcPr>
                  <w:tcW w:w="1559" w:type="dxa"/>
                  <w:gridSpan w:val="2"/>
                  <w:vAlign w:val="center"/>
                </w:tcPr>
                <w:p w14:paraId="5532740D">
                  <w:pPr>
                    <w:widowControl w:val="0"/>
                    <w:jc w:val="center"/>
                    <w:rPr>
                      <w:b/>
                      <w:lang w:val="pt-PT"/>
                    </w:rPr>
                  </w:pPr>
                  <w:r>
                    <w:rPr>
                      <w:b/>
                      <w:lang w:val="pt-PT"/>
                    </w:rPr>
                    <w:t>Diária - 24 hs</w:t>
                  </w:r>
                </w:p>
              </w:tc>
              <w:tc>
                <w:tcPr>
                  <w:tcW w:w="1134" w:type="dxa"/>
                  <w:vAlign w:val="center"/>
                </w:tcPr>
                <w:p w14:paraId="0B9AF5F6">
                  <w:pPr>
                    <w:widowControl w:val="0"/>
                    <w:jc w:val="center"/>
                    <w:rPr>
                      <w:b/>
                      <w:lang w:val="pt-PT"/>
                    </w:rPr>
                  </w:pPr>
                  <w:r>
                    <w:rPr>
                      <w:b/>
                      <w:lang w:val="pt-PT"/>
                    </w:rPr>
                    <w:t>9,1</w:t>
                  </w:r>
                </w:p>
              </w:tc>
              <w:tc>
                <w:tcPr>
                  <w:tcW w:w="1276" w:type="dxa"/>
                  <w:vAlign w:val="center"/>
                </w:tcPr>
                <w:p w14:paraId="52DA8CAC">
                  <w:pPr>
                    <w:widowControl w:val="0"/>
                    <w:rPr>
                      <w:b/>
                      <w:lang w:val="pt-PT"/>
                    </w:rPr>
                  </w:pPr>
                  <w:r>
                    <w:rPr>
                      <w:b/>
                      <w:lang w:val="pt-PT"/>
                    </w:rPr>
                    <w:t xml:space="preserve">R$ 34,13 </w:t>
                  </w:r>
                </w:p>
              </w:tc>
            </w:tr>
            <w:tr w14:paraId="61A6306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00" w:hRule="atLeast"/>
              </w:trPr>
              <w:tc>
                <w:tcPr>
                  <w:tcW w:w="1583" w:type="dxa"/>
                  <w:gridSpan w:val="2"/>
                  <w:vAlign w:val="center"/>
                </w:tcPr>
                <w:p w14:paraId="104AFD04">
                  <w:pPr>
                    <w:widowControl w:val="0"/>
                    <w:jc w:val="center"/>
                    <w:rPr>
                      <w:b/>
                      <w:lang w:val="pt-PT"/>
                    </w:rPr>
                  </w:pPr>
                  <w:r>
                    <w:rPr>
                      <w:b/>
                      <w:lang w:val="pt-PT"/>
                    </w:rPr>
                    <w:t>II</w:t>
                  </w:r>
                </w:p>
              </w:tc>
              <w:tc>
                <w:tcPr>
                  <w:tcW w:w="3259" w:type="dxa"/>
                  <w:vAlign w:val="center"/>
                </w:tcPr>
                <w:p w14:paraId="27D936D4">
                  <w:pPr>
                    <w:widowControl w:val="0"/>
                    <w:jc w:val="both"/>
                    <w:rPr>
                      <w:b/>
                      <w:lang w:val="pt-PT"/>
                    </w:rPr>
                  </w:pPr>
                  <w:r>
                    <w:rPr>
                      <w:b/>
                      <w:lang w:val="pt-PT"/>
                    </w:rPr>
                    <w:t>Estada no pátio para veículos de passeio, utilitário e similares que não ultrapassem o peso bruto total de 3.500 Kg, limitadas a 180 dias.</w:t>
                  </w:r>
                </w:p>
              </w:tc>
              <w:tc>
                <w:tcPr>
                  <w:tcW w:w="1559" w:type="dxa"/>
                  <w:gridSpan w:val="2"/>
                  <w:vAlign w:val="center"/>
                </w:tcPr>
                <w:p w14:paraId="53193B94">
                  <w:pPr>
                    <w:widowControl w:val="0"/>
                    <w:jc w:val="center"/>
                    <w:rPr>
                      <w:b/>
                      <w:lang w:val="pt-PT"/>
                    </w:rPr>
                  </w:pPr>
                  <w:r>
                    <w:rPr>
                      <w:b/>
                      <w:lang w:val="pt-PT"/>
                    </w:rPr>
                    <w:t>Diária - 24 hs</w:t>
                  </w:r>
                </w:p>
              </w:tc>
              <w:tc>
                <w:tcPr>
                  <w:tcW w:w="1134" w:type="dxa"/>
                  <w:vAlign w:val="center"/>
                </w:tcPr>
                <w:p w14:paraId="0A0F916F">
                  <w:pPr>
                    <w:widowControl w:val="0"/>
                    <w:jc w:val="center"/>
                    <w:rPr>
                      <w:b/>
                      <w:lang w:val="pt-PT"/>
                    </w:rPr>
                  </w:pPr>
                  <w:r>
                    <w:rPr>
                      <w:b/>
                      <w:lang w:val="pt-PT"/>
                    </w:rPr>
                    <w:t>14,9</w:t>
                  </w:r>
                </w:p>
              </w:tc>
              <w:tc>
                <w:tcPr>
                  <w:tcW w:w="1276" w:type="dxa"/>
                  <w:vAlign w:val="center"/>
                </w:tcPr>
                <w:p w14:paraId="124AFBAF">
                  <w:pPr>
                    <w:widowControl w:val="0"/>
                    <w:rPr>
                      <w:b/>
                      <w:lang w:val="pt-PT"/>
                    </w:rPr>
                  </w:pPr>
                  <w:r>
                    <w:rPr>
                      <w:b/>
                      <w:lang w:val="pt-PT"/>
                    </w:rPr>
                    <w:t xml:space="preserve">R$ 55,88 </w:t>
                  </w:r>
                </w:p>
              </w:tc>
            </w:tr>
            <w:tr w14:paraId="60A37FA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62" w:hRule="atLeast"/>
              </w:trPr>
              <w:tc>
                <w:tcPr>
                  <w:tcW w:w="1583" w:type="dxa"/>
                  <w:gridSpan w:val="2"/>
                  <w:vAlign w:val="center"/>
                </w:tcPr>
                <w:p w14:paraId="3F9CCD38">
                  <w:pPr>
                    <w:widowControl w:val="0"/>
                    <w:jc w:val="center"/>
                    <w:rPr>
                      <w:b/>
                      <w:lang w:val="pt-PT"/>
                    </w:rPr>
                  </w:pPr>
                  <w:r>
                    <w:rPr>
                      <w:b/>
                      <w:lang w:val="pt-PT"/>
                    </w:rPr>
                    <w:t>III</w:t>
                  </w:r>
                </w:p>
              </w:tc>
              <w:tc>
                <w:tcPr>
                  <w:tcW w:w="3259" w:type="dxa"/>
                  <w:vAlign w:val="center"/>
                </w:tcPr>
                <w:p w14:paraId="7D79AE56">
                  <w:pPr>
                    <w:widowControl w:val="0"/>
                    <w:jc w:val="both"/>
                    <w:rPr>
                      <w:b/>
                      <w:lang w:val="pt-PT"/>
                    </w:rPr>
                  </w:pPr>
                  <w:r>
                    <w:rPr>
                      <w:b/>
                      <w:lang w:val="pt-PT"/>
                    </w:rPr>
                    <w:t>Estada no pátio para veículos de carga ou passageiros com peso bruto superior a 3.500 kg, limitadas a 180 dias e</w:t>
                  </w:r>
                </w:p>
              </w:tc>
              <w:tc>
                <w:tcPr>
                  <w:tcW w:w="1559" w:type="dxa"/>
                  <w:gridSpan w:val="2"/>
                  <w:vAlign w:val="center"/>
                </w:tcPr>
                <w:p w14:paraId="40222702">
                  <w:pPr>
                    <w:widowControl w:val="0"/>
                    <w:jc w:val="center"/>
                    <w:rPr>
                      <w:b/>
                      <w:lang w:val="pt-PT"/>
                    </w:rPr>
                  </w:pPr>
                  <w:r>
                    <w:rPr>
                      <w:b/>
                      <w:lang w:val="pt-PT"/>
                    </w:rPr>
                    <w:t>Diária - 24 hs</w:t>
                  </w:r>
                </w:p>
              </w:tc>
              <w:tc>
                <w:tcPr>
                  <w:tcW w:w="1134" w:type="dxa"/>
                  <w:vAlign w:val="center"/>
                </w:tcPr>
                <w:p w14:paraId="793F44AD">
                  <w:pPr>
                    <w:widowControl w:val="0"/>
                    <w:jc w:val="center"/>
                    <w:rPr>
                      <w:b/>
                      <w:lang w:val="pt-PT"/>
                    </w:rPr>
                  </w:pPr>
                  <w:r>
                    <w:rPr>
                      <w:b/>
                      <w:lang w:val="pt-PT"/>
                    </w:rPr>
                    <w:t>21,8</w:t>
                  </w:r>
                </w:p>
              </w:tc>
              <w:tc>
                <w:tcPr>
                  <w:tcW w:w="1276" w:type="dxa"/>
                  <w:vAlign w:val="center"/>
                </w:tcPr>
                <w:p w14:paraId="0B3A8F98">
                  <w:pPr>
                    <w:widowControl w:val="0"/>
                    <w:rPr>
                      <w:b/>
                      <w:lang w:val="pt-PT"/>
                    </w:rPr>
                  </w:pPr>
                  <w:r>
                    <w:rPr>
                      <w:b/>
                      <w:lang w:val="pt-PT"/>
                    </w:rPr>
                    <w:t xml:space="preserve">R$ 81,75 </w:t>
                  </w:r>
                </w:p>
              </w:tc>
            </w:tr>
            <w:tr w14:paraId="2123D3E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252" w:hRule="atLeast"/>
              </w:trPr>
              <w:tc>
                <w:tcPr>
                  <w:tcW w:w="1583" w:type="dxa"/>
                  <w:gridSpan w:val="2"/>
                  <w:vAlign w:val="center"/>
                </w:tcPr>
                <w:p w14:paraId="7B65F84B">
                  <w:pPr>
                    <w:widowControl w:val="0"/>
                    <w:jc w:val="center"/>
                    <w:rPr>
                      <w:b/>
                      <w:lang w:val="pt-PT"/>
                    </w:rPr>
                  </w:pPr>
                  <w:r>
                    <w:rPr>
                      <w:b/>
                      <w:lang w:val="pt-PT"/>
                    </w:rPr>
                    <w:t>IV</w:t>
                  </w:r>
                </w:p>
              </w:tc>
              <w:tc>
                <w:tcPr>
                  <w:tcW w:w="3259" w:type="dxa"/>
                  <w:vAlign w:val="center"/>
                </w:tcPr>
                <w:p w14:paraId="11F35D65">
                  <w:pPr>
                    <w:widowControl w:val="0"/>
                    <w:jc w:val="both"/>
                    <w:rPr>
                      <w:b/>
                      <w:lang w:val="pt-PT"/>
                    </w:rPr>
                  </w:pPr>
                  <w:r>
                    <w:rPr>
                      <w:b/>
                      <w:lang w:val="pt-PT"/>
                    </w:rPr>
                    <w:t>Estada no pátio para veículos articulados, reboque e semirreboque (por documento), limitadas a 180 dias.</w:t>
                  </w:r>
                </w:p>
              </w:tc>
              <w:tc>
                <w:tcPr>
                  <w:tcW w:w="1559" w:type="dxa"/>
                  <w:gridSpan w:val="2"/>
                  <w:vAlign w:val="center"/>
                </w:tcPr>
                <w:p w14:paraId="4052A0D1">
                  <w:pPr>
                    <w:widowControl w:val="0"/>
                    <w:jc w:val="center"/>
                    <w:rPr>
                      <w:b/>
                      <w:lang w:val="pt-PT"/>
                    </w:rPr>
                  </w:pPr>
                  <w:r>
                    <w:rPr>
                      <w:b/>
                      <w:lang w:val="pt-PT"/>
                    </w:rPr>
                    <w:t>Diária - 24 hs</w:t>
                  </w:r>
                </w:p>
              </w:tc>
              <w:tc>
                <w:tcPr>
                  <w:tcW w:w="1134" w:type="dxa"/>
                  <w:vAlign w:val="center"/>
                </w:tcPr>
                <w:p w14:paraId="3CF04373">
                  <w:pPr>
                    <w:widowControl w:val="0"/>
                    <w:jc w:val="center"/>
                    <w:rPr>
                      <w:b/>
                      <w:lang w:val="pt-PT"/>
                    </w:rPr>
                  </w:pPr>
                  <w:r>
                    <w:rPr>
                      <w:b/>
                      <w:lang w:val="pt-PT"/>
                    </w:rPr>
                    <w:t>21,8</w:t>
                  </w:r>
                </w:p>
              </w:tc>
              <w:tc>
                <w:tcPr>
                  <w:tcW w:w="1276" w:type="dxa"/>
                  <w:vAlign w:val="center"/>
                </w:tcPr>
                <w:p w14:paraId="68585E3A">
                  <w:pPr>
                    <w:widowControl w:val="0"/>
                    <w:rPr>
                      <w:b/>
                      <w:lang w:val="pt-PT"/>
                    </w:rPr>
                  </w:pPr>
                  <w:r>
                    <w:rPr>
                      <w:b/>
                      <w:lang w:val="pt-PT"/>
                    </w:rPr>
                    <w:t xml:space="preserve">R$ 81,75 </w:t>
                  </w:r>
                </w:p>
              </w:tc>
            </w:tr>
            <w:tr w14:paraId="03F4272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45" w:hRule="atLeast"/>
              </w:trPr>
              <w:tc>
                <w:tcPr>
                  <w:tcW w:w="1583" w:type="dxa"/>
                  <w:gridSpan w:val="2"/>
                  <w:vAlign w:val="center"/>
                </w:tcPr>
                <w:p w14:paraId="76850FEB">
                  <w:pPr>
                    <w:widowControl w:val="0"/>
                    <w:jc w:val="center"/>
                    <w:rPr>
                      <w:b/>
                      <w:lang w:val="pt-PT"/>
                    </w:rPr>
                  </w:pPr>
                  <w:r>
                    <w:rPr>
                      <w:b/>
                      <w:lang w:val="pt-PT"/>
                    </w:rPr>
                    <w:t>V</w:t>
                  </w:r>
                </w:p>
              </w:tc>
              <w:tc>
                <w:tcPr>
                  <w:tcW w:w="3259" w:type="dxa"/>
                  <w:vAlign w:val="center"/>
                </w:tcPr>
                <w:p w14:paraId="69C0A3C1">
                  <w:pPr>
                    <w:widowControl w:val="0"/>
                    <w:jc w:val="both"/>
                    <w:rPr>
                      <w:b/>
                      <w:lang w:val="pt-PT"/>
                    </w:rPr>
                  </w:pPr>
                  <w:r>
                    <w:rPr>
                      <w:b/>
                      <w:lang w:val="pt-PT"/>
                    </w:rPr>
                    <w:t>Estada no pátio para Caçambas, Container e similares</w:t>
                  </w:r>
                </w:p>
              </w:tc>
              <w:tc>
                <w:tcPr>
                  <w:tcW w:w="1559" w:type="dxa"/>
                  <w:gridSpan w:val="2"/>
                  <w:vAlign w:val="center"/>
                </w:tcPr>
                <w:p w14:paraId="1E5706D8">
                  <w:pPr>
                    <w:widowControl w:val="0"/>
                    <w:jc w:val="center"/>
                    <w:rPr>
                      <w:b/>
                      <w:lang w:val="pt-PT"/>
                    </w:rPr>
                  </w:pPr>
                  <w:r>
                    <w:rPr>
                      <w:b/>
                      <w:lang w:val="pt-PT"/>
                    </w:rPr>
                    <w:t>Diária - 24 hs</w:t>
                  </w:r>
                </w:p>
              </w:tc>
              <w:tc>
                <w:tcPr>
                  <w:tcW w:w="1134" w:type="dxa"/>
                  <w:vAlign w:val="center"/>
                </w:tcPr>
                <w:p w14:paraId="0BAE5D3F">
                  <w:pPr>
                    <w:widowControl w:val="0"/>
                    <w:jc w:val="center"/>
                    <w:rPr>
                      <w:b/>
                      <w:lang w:val="pt-PT"/>
                    </w:rPr>
                  </w:pPr>
                  <w:r>
                    <w:rPr>
                      <w:b/>
                      <w:lang w:val="pt-PT"/>
                    </w:rPr>
                    <w:t>9,1</w:t>
                  </w:r>
                </w:p>
              </w:tc>
              <w:tc>
                <w:tcPr>
                  <w:tcW w:w="1276" w:type="dxa"/>
                  <w:vAlign w:val="center"/>
                </w:tcPr>
                <w:p w14:paraId="3B3BE605">
                  <w:pPr>
                    <w:widowControl w:val="0"/>
                    <w:rPr>
                      <w:b/>
                      <w:lang w:val="pt-PT"/>
                    </w:rPr>
                  </w:pPr>
                  <w:r>
                    <w:rPr>
                      <w:b/>
                      <w:lang w:val="pt-PT"/>
                    </w:rPr>
                    <w:t xml:space="preserve">R$ 34,13 </w:t>
                  </w:r>
                </w:p>
              </w:tc>
            </w:tr>
            <w:tr w14:paraId="0B9A26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00" w:hRule="atLeast"/>
              </w:trPr>
              <w:tc>
                <w:tcPr>
                  <w:tcW w:w="1583" w:type="dxa"/>
                  <w:gridSpan w:val="2"/>
                  <w:vAlign w:val="center"/>
                </w:tcPr>
                <w:p w14:paraId="488E0A9C">
                  <w:pPr>
                    <w:widowControl w:val="0"/>
                    <w:jc w:val="center"/>
                    <w:rPr>
                      <w:b/>
                      <w:lang w:val="pt-PT"/>
                    </w:rPr>
                  </w:pPr>
                  <w:r>
                    <w:rPr>
                      <w:b/>
                      <w:lang w:val="pt-PT"/>
                    </w:rPr>
                    <w:t>VI</w:t>
                  </w:r>
                </w:p>
              </w:tc>
              <w:tc>
                <w:tcPr>
                  <w:tcW w:w="3259" w:type="dxa"/>
                  <w:vAlign w:val="center"/>
                </w:tcPr>
                <w:p w14:paraId="0C39D28D">
                  <w:pPr>
                    <w:widowControl w:val="0"/>
                    <w:jc w:val="both"/>
                    <w:rPr>
                      <w:b/>
                      <w:lang w:val="pt-PT"/>
                    </w:rPr>
                  </w:pPr>
                  <w:r>
                    <w:rPr>
                      <w:b/>
                      <w:lang w:val="pt-PT"/>
                    </w:rPr>
                    <w:t>Estada no pátio para Carretinhas</w:t>
                  </w:r>
                </w:p>
              </w:tc>
              <w:tc>
                <w:tcPr>
                  <w:tcW w:w="1559" w:type="dxa"/>
                  <w:gridSpan w:val="2"/>
                  <w:vAlign w:val="center"/>
                </w:tcPr>
                <w:p w14:paraId="214F1077">
                  <w:pPr>
                    <w:widowControl w:val="0"/>
                    <w:jc w:val="center"/>
                    <w:rPr>
                      <w:b/>
                      <w:lang w:val="pt-PT"/>
                    </w:rPr>
                  </w:pPr>
                  <w:r>
                    <w:rPr>
                      <w:b/>
                      <w:lang w:val="pt-PT"/>
                    </w:rPr>
                    <w:t>Diária - 24 hs</w:t>
                  </w:r>
                </w:p>
              </w:tc>
              <w:tc>
                <w:tcPr>
                  <w:tcW w:w="1134" w:type="dxa"/>
                  <w:vAlign w:val="center"/>
                </w:tcPr>
                <w:p w14:paraId="71376345">
                  <w:pPr>
                    <w:widowControl w:val="0"/>
                    <w:jc w:val="center"/>
                    <w:rPr>
                      <w:b/>
                      <w:lang w:val="pt-PT"/>
                    </w:rPr>
                  </w:pPr>
                  <w:r>
                    <w:rPr>
                      <w:b/>
                      <w:lang w:val="pt-PT"/>
                    </w:rPr>
                    <w:t>9,1</w:t>
                  </w:r>
                </w:p>
              </w:tc>
              <w:tc>
                <w:tcPr>
                  <w:tcW w:w="1276" w:type="dxa"/>
                  <w:vAlign w:val="center"/>
                </w:tcPr>
                <w:p w14:paraId="74E83730">
                  <w:pPr>
                    <w:widowControl w:val="0"/>
                    <w:rPr>
                      <w:b/>
                      <w:lang w:val="pt-PT"/>
                    </w:rPr>
                  </w:pPr>
                  <w:r>
                    <w:rPr>
                      <w:b/>
                      <w:lang w:val="pt-PT"/>
                    </w:rPr>
                    <w:t xml:space="preserve">R$ 34,13 </w:t>
                  </w:r>
                </w:p>
              </w:tc>
            </w:tr>
          </w:tbl>
          <w:p w14:paraId="33C96BAC">
            <w:pPr>
              <w:rPr>
                <w:sz w:val="24"/>
                <w:szCs w:val="24"/>
              </w:rPr>
            </w:pPr>
          </w:p>
        </w:tc>
      </w:tr>
    </w:tbl>
    <w:p w14:paraId="64A99478">
      <w:pPr>
        <w:rPr>
          <w:sz w:val="24"/>
          <w:szCs w:val="24"/>
        </w:rPr>
      </w:pPr>
    </w:p>
    <w:tbl>
      <w:tblPr>
        <w:tblStyle w:val="12"/>
        <w:tblW w:w="90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7"/>
      </w:tblGrid>
      <w:tr w14:paraId="3603A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067" w:type="dxa"/>
            <w:shd w:val="clear" w:color="auto" w:fill="D6E3BC" w:themeFill="accent3" w:themeFillTint="66"/>
          </w:tcPr>
          <w:p w14:paraId="58B1BF45">
            <w:pPr>
              <w:rPr>
                <w:sz w:val="24"/>
                <w:szCs w:val="24"/>
              </w:rPr>
            </w:pPr>
            <w:r>
              <w:rPr>
                <w:b/>
                <w:bCs/>
                <w:sz w:val="24"/>
                <w:szCs w:val="24"/>
              </w:rPr>
              <w:t>3 - JUSTIFICATIVA/NECESSIDADE DA AQUISIÇÃO</w:t>
            </w:r>
          </w:p>
        </w:tc>
      </w:tr>
      <w:tr w14:paraId="6479F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7" w:type="dxa"/>
            <w:vAlign w:val="center"/>
          </w:tcPr>
          <w:p w14:paraId="4544DAD0">
            <w:pPr>
              <w:jc w:val="both"/>
              <w:rPr>
                <w:bCs/>
                <w:sz w:val="24"/>
                <w:szCs w:val="24"/>
              </w:rPr>
            </w:pPr>
            <w:r>
              <w:rPr>
                <w:b/>
                <w:sz w:val="24"/>
                <w:szCs w:val="24"/>
              </w:rPr>
              <w:t>3.1 Justificativa:</w:t>
            </w:r>
            <w:r>
              <w:rPr>
                <w:bCs/>
                <w:sz w:val="24"/>
                <w:szCs w:val="24"/>
              </w:rPr>
              <w:t xml:space="preserve"> </w:t>
            </w:r>
          </w:p>
          <w:p w14:paraId="7D8B2929">
            <w:pPr>
              <w:ind w:firstLine="708"/>
              <w:jc w:val="both"/>
              <w:rPr>
                <w:color w:val="000000"/>
                <w:sz w:val="24"/>
                <w:szCs w:val="24"/>
              </w:rPr>
            </w:pPr>
            <w:r>
              <w:rPr>
                <w:color w:val="000000"/>
                <w:sz w:val="24"/>
                <w:szCs w:val="24"/>
              </w:rPr>
              <w:t>A Secretaria Municipal de Segurança e Trânsito - SST, vem apresentar suas considerações no sentido de justificar a necessidade de realização de processo licitatório, na modalidade de CREDENCIAMENTO, tendo como objeto a “Contratação de Empresa (s) Especializada (s) na Prestação de Serviços de Guarda com Disponibilização de Pátio e Guincho, para Recolhimento de Veículos Leves e Pesados, Objeto de Medidas Administrativas Previstas na Lei Federal nº 9.503/1997 e Lei Municipal n° 2.985/2021(com alterações trazidas pelas Leis 2998/2021 e 3449/2025), no município de Sinop/MT, bem como, no serviço de remoção, destombamento ou içamento de veículos acidentados ou abandonados nas vias municipais”.</w:t>
            </w:r>
          </w:p>
          <w:p w14:paraId="5EB714A9">
            <w:pPr>
              <w:ind w:firstLine="708"/>
              <w:jc w:val="both"/>
              <w:rPr>
                <w:color w:val="000000"/>
                <w:sz w:val="24"/>
                <w:szCs w:val="24"/>
              </w:rPr>
            </w:pPr>
            <w:r>
              <w:rPr>
                <w:color w:val="000000"/>
                <w:sz w:val="24"/>
                <w:szCs w:val="24"/>
              </w:rPr>
              <w:t>Antes do ano de 2022, todos os veículos removidos dentro do município de Sinop, pelos órgãos de segurança, eram encaminhados ao Pátio da 19ª CIRETRAN. O pátio deles era pequeno, vivia sempre lotado e a estrutura era precária, o que atrapalhava a realização dos trabalhos de fiscalização. Esse problema era constante e, devido a isso, no ano de 2021, vendo a necessidade de arrumar tal situação, a Secretaria Municipal de Segurança e Trânsito, através da Lei Municipal nº 2.985/2021, assumiu essa responsábilidade.</w:t>
            </w:r>
          </w:p>
          <w:p w14:paraId="30A08085">
            <w:pPr>
              <w:ind w:firstLine="708"/>
              <w:jc w:val="both"/>
              <w:rPr>
                <w:color w:val="000000"/>
                <w:sz w:val="24"/>
                <w:szCs w:val="24"/>
              </w:rPr>
            </w:pPr>
            <w:r>
              <w:rPr>
                <w:color w:val="000000"/>
                <w:sz w:val="24"/>
                <w:szCs w:val="24"/>
              </w:rPr>
              <w:t xml:space="preserve">Como não tínhamos estrutura própria, recursos técnicos e operacionais suficientes para executar tais serviços de forma contínua e em conformidade com as exigências legais e operacionais, optamos em tercerizar os serviços, por meio de credenciamento, tendo em vista que a Lei Municipal 2.985/2021 previa a terceirização. A Lei 2.985/2021 teve algumas alterações trazidas pela Lei Municipal 2.998/2021, fizemos o processo licitatório e, desde junho de 2022, duas empresas foram credenciadas e estão trabalhando até os dias atuais. </w:t>
            </w:r>
          </w:p>
          <w:p w14:paraId="186F4217">
            <w:pPr>
              <w:ind w:firstLine="708"/>
              <w:jc w:val="both"/>
              <w:rPr>
                <w:color w:val="000000"/>
                <w:sz w:val="24"/>
                <w:szCs w:val="24"/>
              </w:rPr>
            </w:pPr>
            <w:r>
              <w:rPr>
                <w:color w:val="000000"/>
                <w:sz w:val="24"/>
                <w:szCs w:val="24"/>
              </w:rPr>
              <w:t>Entretanto, neste ano (2025) houve algumas alterações na Lei (trazidas pela Lei Municipal 3.449/2025), onde foram alterados os valores, principalmente da estadia, bem como, criados alguns outros serviços que não tinham na Lei, razões pelas quais, estamos refazendo e reabrindo o credenciamento com essas alterações e algumas obrigações a mais para a (s) empresa (s), que não constavam no credenciamento inicial.</w:t>
            </w:r>
          </w:p>
          <w:p w14:paraId="7F4722AD">
            <w:pPr>
              <w:ind w:firstLine="708"/>
              <w:jc w:val="both"/>
              <w:rPr>
                <w:color w:val="000000"/>
                <w:sz w:val="24"/>
                <w:szCs w:val="24"/>
              </w:rPr>
            </w:pPr>
            <w:r>
              <w:rPr>
                <w:color w:val="000000"/>
                <w:sz w:val="24"/>
                <w:szCs w:val="24"/>
              </w:rPr>
              <w:t>Considerando a necessidade contínua de remoção, transporte e guarda de veículos em situações previstas em lei, como infrações de trânsito, acidentes, obstruções em vias públicas e ações de fiscalização realizadas pelos órgãos de trânsito, torna-se imprescindível o credenciamento de empresa (s) especializada (s) na prestação dos serviços de guincho e pátio.</w:t>
            </w:r>
          </w:p>
          <w:p w14:paraId="670A3B22">
            <w:pPr>
              <w:ind w:firstLine="708"/>
              <w:jc w:val="both"/>
              <w:rPr>
                <w:color w:val="000000"/>
                <w:sz w:val="24"/>
                <w:szCs w:val="24"/>
              </w:rPr>
            </w:pPr>
            <w:r>
              <w:rPr>
                <w:color w:val="000000"/>
                <w:sz w:val="24"/>
                <w:szCs w:val="24"/>
              </w:rPr>
              <w:t>A atuação eficiente e segura no deslocamento e na guarda dos veículos apreendidos contribui diretamente para a fluidez no trânsito, segurança viária, cumprimento da legislação vigente e prestação de serviços de interesse público.</w:t>
            </w:r>
          </w:p>
          <w:p w14:paraId="0E8B83F6">
            <w:pPr>
              <w:ind w:firstLine="708"/>
              <w:jc w:val="both"/>
              <w:rPr>
                <w:color w:val="000000"/>
                <w:sz w:val="24"/>
                <w:szCs w:val="24"/>
              </w:rPr>
            </w:pPr>
            <w:r>
              <w:rPr>
                <w:color w:val="000000"/>
                <w:sz w:val="24"/>
                <w:szCs w:val="24"/>
              </w:rPr>
              <w:t>O credenciamento visa:</w:t>
            </w:r>
          </w:p>
          <w:p w14:paraId="19522A78">
            <w:pPr>
              <w:ind w:firstLine="708"/>
              <w:jc w:val="both"/>
              <w:rPr>
                <w:color w:val="000000"/>
                <w:sz w:val="24"/>
                <w:szCs w:val="24"/>
              </w:rPr>
            </w:pPr>
            <w:r>
              <w:rPr>
                <w:color w:val="000000"/>
                <w:sz w:val="24"/>
                <w:szCs w:val="24"/>
              </w:rPr>
              <w:t>* Atender às demandas de remoção e guarda de veículos conforme o Código de Trânsito Brasileiro (CTB);</w:t>
            </w:r>
          </w:p>
          <w:p w14:paraId="0033F69E">
            <w:pPr>
              <w:ind w:firstLine="708"/>
              <w:jc w:val="both"/>
              <w:rPr>
                <w:color w:val="000000"/>
                <w:sz w:val="24"/>
                <w:szCs w:val="24"/>
              </w:rPr>
            </w:pPr>
            <w:r>
              <w:rPr>
                <w:color w:val="000000"/>
                <w:sz w:val="24"/>
                <w:szCs w:val="24"/>
              </w:rPr>
              <w:t>* Assegurar a prestação do serviço de forma ininterrupta, eficaz e com responsabilidade técnica;</w:t>
            </w:r>
          </w:p>
          <w:p w14:paraId="6488C7A4">
            <w:pPr>
              <w:ind w:firstLine="708"/>
              <w:jc w:val="both"/>
              <w:rPr>
                <w:color w:val="000000"/>
                <w:sz w:val="24"/>
                <w:szCs w:val="24"/>
              </w:rPr>
            </w:pPr>
            <w:r>
              <w:rPr>
                <w:color w:val="000000"/>
                <w:sz w:val="24"/>
                <w:szCs w:val="24"/>
              </w:rPr>
              <w:t>* Evitar riscos operacionais, jurídicos e logísticos pela ausência de estrutura adequada para a função;</w:t>
            </w:r>
          </w:p>
          <w:p w14:paraId="6E5FB9EA">
            <w:pPr>
              <w:ind w:firstLine="708"/>
              <w:jc w:val="both"/>
              <w:rPr>
                <w:color w:val="000000"/>
                <w:sz w:val="24"/>
                <w:szCs w:val="24"/>
              </w:rPr>
            </w:pPr>
            <w:r>
              <w:rPr>
                <w:color w:val="000000"/>
                <w:sz w:val="24"/>
                <w:szCs w:val="24"/>
              </w:rPr>
              <w:t>* Garantir a integridade dos veículos removidos e sua correta custódia; e</w:t>
            </w:r>
          </w:p>
          <w:p w14:paraId="696C3E57">
            <w:pPr>
              <w:ind w:firstLine="708"/>
              <w:jc w:val="both"/>
              <w:rPr>
                <w:color w:val="000000"/>
                <w:sz w:val="24"/>
                <w:szCs w:val="24"/>
              </w:rPr>
            </w:pPr>
            <w:r>
              <w:rPr>
                <w:color w:val="000000"/>
                <w:sz w:val="24"/>
                <w:szCs w:val="24"/>
              </w:rPr>
              <w:t>* Atuar em situações emergenciais com agilidade e segurança.</w:t>
            </w:r>
          </w:p>
          <w:p w14:paraId="78A08504">
            <w:pPr>
              <w:ind w:firstLine="708"/>
              <w:jc w:val="both"/>
              <w:rPr>
                <w:color w:val="000000"/>
                <w:sz w:val="24"/>
                <w:szCs w:val="24"/>
              </w:rPr>
            </w:pPr>
            <w:r>
              <w:rPr>
                <w:color w:val="000000"/>
                <w:sz w:val="24"/>
                <w:szCs w:val="24"/>
              </w:rPr>
              <w:t>Dessa forma, o credenciamento de empresa (s) especializada (s) para prestação de serviços de guincho e pátio é justificada pelo interesse público, pela necessidade de atendimento eficiente às ocorrências viárias, pelo cumprimento das normativas legais e pela ausência de estrutura própria para execução dessa atividade essencial.</w:t>
            </w:r>
          </w:p>
          <w:p w14:paraId="411BDC7F">
            <w:pPr>
              <w:ind w:firstLine="708"/>
              <w:jc w:val="both"/>
              <w:rPr>
                <w:color w:val="000000"/>
                <w:sz w:val="24"/>
                <w:szCs w:val="24"/>
                <w:highlight w:val="yellow"/>
              </w:rPr>
            </w:pPr>
          </w:p>
          <w:p w14:paraId="64E6B94B">
            <w:pPr>
              <w:pStyle w:val="20"/>
              <w:jc w:val="both"/>
              <w:rPr>
                <w:color w:val="000000"/>
                <w:sz w:val="24"/>
                <w:szCs w:val="24"/>
                <w:lang w:val="pt-BR"/>
              </w:rPr>
            </w:pPr>
            <w:r>
              <w:rPr>
                <w:b/>
                <w:bCs/>
                <w:color w:val="000000"/>
                <w:sz w:val="24"/>
                <w:szCs w:val="24"/>
                <w:lang w:val="pt-BR"/>
              </w:rPr>
              <w:t>3</w:t>
            </w:r>
            <w:r>
              <w:rPr>
                <w:b/>
                <w:bCs/>
                <w:color w:val="000000"/>
                <w:sz w:val="24"/>
                <w:szCs w:val="24"/>
              </w:rPr>
              <w:t>.2.</w:t>
            </w:r>
            <w:r>
              <w:rPr>
                <w:b/>
                <w:bCs/>
                <w:color w:val="000000"/>
                <w:sz w:val="24"/>
                <w:szCs w:val="24"/>
                <w:lang w:val="pt-BR"/>
              </w:rPr>
              <w:t xml:space="preserve"> Matriz de Risco</w:t>
            </w:r>
          </w:p>
          <w:p w14:paraId="025F6531">
            <w:pPr>
              <w:pStyle w:val="20"/>
              <w:ind w:firstLine="600" w:firstLineChars="250"/>
              <w:jc w:val="both"/>
              <w:rPr>
                <w:color w:val="000000"/>
                <w:sz w:val="24"/>
                <w:szCs w:val="24"/>
              </w:rPr>
            </w:pPr>
            <w:r>
              <w:rPr>
                <w:color w:val="000000"/>
                <w:sz w:val="24"/>
                <w:szCs w:val="24"/>
                <w:lang w:val="pt-BR"/>
              </w:rPr>
              <w:t>N</w:t>
            </w:r>
            <w:r>
              <w:rPr>
                <w:color w:val="000000"/>
                <w:sz w:val="24"/>
                <w:szCs w:val="24"/>
              </w:rPr>
              <w:t>ão foi adotada</w:t>
            </w:r>
            <w:r>
              <w:rPr>
                <w:color w:val="000000"/>
                <w:sz w:val="24"/>
                <w:szCs w:val="24"/>
                <w:lang w:val="pt-BR"/>
              </w:rPr>
              <w:t xml:space="preserve"> a</w:t>
            </w:r>
            <w:r>
              <w:rPr>
                <w:color w:val="000000"/>
                <w:sz w:val="24"/>
                <w:szCs w:val="24"/>
              </w:rPr>
              <w:t xml:space="preserve"> matriz de risco para este processo licitatório</w:t>
            </w:r>
            <w:r>
              <w:rPr>
                <w:color w:val="000000"/>
                <w:sz w:val="24"/>
                <w:szCs w:val="24"/>
                <w:lang w:val="pt-BR"/>
              </w:rPr>
              <w:t>. Matriz está, d</w:t>
            </w:r>
            <w:r>
              <w:rPr>
                <w:color w:val="000000"/>
                <w:sz w:val="24"/>
                <w:szCs w:val="24"/>
              </w:rPr>
              <w:t>ispost</w:t>
            </w:r>
            <w:r>
              <w:rPr>
                <w:color w:val="000000"/>
                <w:sz w:val="24"/>
                <w:szCs w:val="24"/>
                <w:lang w:val="pt-BR"/>
              </w:rPr>
              <w:t>a</w:t>
            </w:r>
            <w:r>
              <w:rPr>
                <w:color w:val="000000"/>
                <w:sz w:val="24"/>
                <w:szCs w:val="24"/>
              </w:rPr>
              <w:t xml:space="preserve"> expressamente no inciso XXVII do art. 6° da Lei 14.133/2021</w:t>
            </w:r>
            <w:r>
              <w:rPr>
                <w:color w:val="000000"/>
                <w:sz w:val="24"/>
                <w:szCs w:val="24"/>
                <w:lang w:val="pt-BR"/>
              </w:rPr>
              <w:t>,</w:t>
            </w:r>
            <w:r>
              <w:rPr>
                <w:color w:val="000000"/>
                <w:sz w:val="24"/>
                <w:szCs w:val="24"/>
              </w:rPr>
              <w:t xml:space="preserve"> como cláusula necessária </w:t>
            </w:r>
            <w:r>
              <w:rPr>
                <w:color w:val="000000"/>
                <w:sz w:val="24"/>
                <w:szCs w:val="24"/>
                <w:lang w:val="pt-BR"/>
              </w:rPr>
              <w:t>n</w:t>
            </w:r>
            <w:r>
              <w:rPr>
                <w:color w:val="000000"/>
                <w:sz w:val="24"/>
                <w:szCs w:val="24"/>
              </w:rPr>
              <w:t>os contratos administrativos</w:t>
            </w:r>
            <w:r>
              <w:rPr>
                <w:color w:val="000000"/>
                <w:sz w:val="24"/>
                <w:szCs w:val="24"/>
                <w:lang w:val="pt-BR"/>
              </w:rPr>
              <w:t>.</w:t>
            </w:r>
          </w:p>
          <w:p w14:paraId="20B9AE58">
            <w:pPr>
              <w:pStyle w:val="20"/>
              <w:ind w:firstLine="600" w:firstLineChars="250"/>
              <w:jc w:val="both"/>
              <w:rPr>
                <w:color w:val="000000"/>
                <w:sz w:val="24"/>
                <w:szCs w:val="24"/>
                <w:lang w:val="pt-BR"/>
              </w:rPr>
            </w:pPr>
            <w:r>
              <w:rPr>
                <w:color w:val="000000"/>
                <w:sz w:val="24"/>
                <w:szCs w:val="24"/>
              </w:rPr>
              <w:t>Em regra, de acordo com o art. 92, inciso IX</w:t>
            </w:r>
            <w:r>
              <w:rPr>
                <w:color w:val="000000"/>
                <w:sz w:val="24"/>
                <w:szCs w:val="24"/>
                <w:lang w:val="pt-BR"/>
              </w:rPr>
              <w:t xml:space="preserve"> da Lei 14.133/2021 (quando for o caso),</w:t>
            </w:r>
            <w:r>
              <w:rPr>
                <w:color w:val="000000"/>
                <w:sz w:val="24"/>
                <w:szCs w:val="24"/>
              </w:rPr>
              <w:t xml:space="preserve"> a adoção de matriz de risco é facultativa, levando em consideração que em determinadas contratações, notadamente comuns e simples, não seria adequada</w:t>
            </w:r>
            <w:r>
              <w:rPr>
                <w:color w:val="000000"/>
                <w:sz w:val="24"/>
                <w:szCs w:val="24"/>
                <w:lang w:val="pt-BR"/>
              </w:rPr>
              <w:t>. É o caso em questão, pois se trata de uma simples aquisição de Rádios Transceptores digitais que após licitado, serão adquiridos todos de uma única vez.</w:t>
            </w:r>
          </w:p>
          <w:p w14:paraId="0E621986">
            <w:pPr>
              <w:jc w:val="both"/>
              <w:rPr>
                <w:bCs/>
                <w:sz w:val="24"/>
                <w:szCs w:val="24"/>
              </w:rPr>
            </w:pPr>
            <w:r>
              <w:rPr>
                <w:color w:val="000000"/>
                <w:sz w:val="24"/>
                <w:szCs w:val="24"/>
              </w:rPr>
              <w:t>Vale ressaltar ainda que, de acordo com o Art. 22, § 3° e Art. 6°, Inciso XXII da Lei 14.133/2021, a matriz de risco se torna obrigatória somente em obras, serviços e fornecimentos de grande vulto, sendo aquelas cujo o seu valor estimado seja superior a R$ 200.000.000,00 (duzentos milhões de reais).</w:t>
            </w:r>
          </w:p>
        </w:tc>
      </w:tr>
    </w:tbl>
    <w:p w14:paraId="356A9392">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690CF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54AC1776">
            <w:pPr>
              <w:rPr>
                <w:sz w:val="24"/>
                <w:szCs w:val="24"/>
              </w:rPr>
            </w:pPr>
            <w:r>
              <w:rPr>
                <w:b/>
                <w:bCs/>
                <w:sz w:val="24"/>
                <w:szCs w:val="24"/>
              </w:rPr>
              <w:t>4 – DESCRIÇÃO DA SOLUÇÃO (QUANDO APLICÁVEL)</w:t>
            </w:r>
          </w:p>
        </w:tc>
      </w:tr>
      <w:tr w14:paraId="22807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6B08C920">
            <w:pPr>
              <w:ind w:firstLine="240" w:firstLineChars="100"/>
              <w:jc w:val="both"/>
              <w:rPr>
                <w:sz w:val="24"/>
                <w:szCs w:val="24"/>
              </w:rPr>
            </w:pPr>
            <w:r>
              <w:rPr>
                <w:sz w:val="24"/>
                <w:szCs w:val="24"/>
              </w:rPr>
              <w:t xml:space="preserve">           A solução implementada pelo Município de Sinop é um sistema de gestão de serviços de trânsito por meio de credenciamento público. Em vez de contratar uma única empresa via licitação tradicional, a Prefeitura optou em redigir Lei específica para o tema, contendo valores justos praticados pelo mercado a serem cobrados para cada tipo de serviço e por conseguinte, credenciar todas as empresas que demonstrem capacidade técnica, jurídica e financeira para executar os serviços, criando uma rede de prestadores qualificados.</w:t>
            </w:r>
          </w:p>
          <w:p w14:paraId="4B18D2A0">
            <w:pPr>
              <w:ind w:firstLine="240" w:firstLineChars="100"/>
              <w:jc w:val="both"/>
              <w:rPr>
                <w:b/>
                <w:bCs/>
                <w:sz w:val="24"/>
                <w:szCs w:val="24"/>
              </w:rPr>
            </w:pPr>
            <w:r>
              <w:rPr>
                <w:b/>
                <w:bCs/>
                <w:sz w:val="24"/>
                <w:szCs w:val="24"/>
              </w:rPr>
              <w:t xml:space="preserve">         1. Finalidade Principal:</w:t>
            </w:r>
          </w:p>
          <w:p w14:paraId="125523A9">
            <w:pPr>
              <w:ind w:firstLine="240" w:firstLineChars="100"/>
              <w:jc w:val="both"/>
              <w:rPr>
                <w:sz w:val="24"/>
                <w:szCs w:val="24"/>
              </w:rPr>
            </w:pPr>
            <w:r>
              <w:rPr>
                <w:sz w:val="24"/>
                <w:szCs w:val="24"/>
              </w:rPr>
              <w:t xml:space="preserve">         O objetivo central é prover ao município uma solução eficiente para a remoção, reboque e guarda de veículos leves e pesados em situações específicas, tais como:</w:t>
            </w:r>
          </w:p>
          <w:p w14:paraId="6745D492">
            <w:pPr>
              <w:ind w:firstLine="240" w:firstLineChars="100"/>
              <w:jc w:val="both"/>
              <w:rPr>
                <w:sz w:val="24"/>
                <w:szCs w:val="24"/>
              </w:rPr>
            </w:pPr>
            <w:r>
              <w:rPr>
                <w:sz w:val="24"/>
                <w:szCs w:val="24"/>
              </w:rPr>
              <w:t xml:space="preserve">         </w:t>
            </w:r>
            <w:r>
              <w:rPr>
                <w:sz w:val="24"/>
                <w:szCs w:val="24"/>
                <w:u w:val="single"/>
              </w:rPr>
              <w:t>Infrações Administrativas:</w:t>
            </w:r>
            <w:r>
              <w:rPr>
                <w:sz w:val="24"/>
                <w:szCs w:val="24"/>
              </w:rPr>
              <w:t xml:space="preserve"> Remoção de veículos estacionados em locais proibidos, abandonados, com documentação irregular, ou em outras situações previstas no Código de Trânsito Brasileiro (Lei Federal nº 9.503/1997).</w:t>
            </w:r>
          </w:p>
          <w:p w14:paraId="7CF8DE7F">
            <w:pPr>
              <w:ind w:firstLine="240" w:firstLineChars="100"/>
              <w:jc w:val="both"/>
              <w:rPr>
                <w:sz w:val="24"/>
                <w:szCs w:val="24"/>
              </w:rPr>
            </w:pPr>
            <w:r>
              <w:rPr>
                <w:sz w:val="24"/>
                <w:szCs w:val="24"/>
              </w:rPr>
              <w:t xml:space="preserve">         </w:t>
            </w:r>
            <w:r>
              <w:rPr>
                <w:sz w:val="24"/>
                <w:szCs w:val="24"/>
                <w:u w:val="single"/>
              </w:rPr>
              <w:t>Acidentes de Trânsito:</w:t>
            </w:r>
            <w:r>
              <w:rPr>
                <w:sz w:val="24"/>
                <w:szCs w:val="24"/>
              </w:rPr>
              <w:t xml:space="preserve"> Desobstrução rápida de vias públicas após acidentes, através de serviços de remoção, destombamento ou içamento.</w:t>
            </w:r>
          </w:p>
          <w:p w14:paraId="727C98D5">
            <w:pPr>
              <w:ind w:firstLine="240" w:firstLineChars="100"/>
              <w:jc w:val="both"/>
              <w:rPr>
                <w:sz w:val="24"/>
                <w:szCs w:val="24"/>
              </w:rPr>
            </w:pPr>
            <w:r>
              <w:rPr>
                <w:sz w:val="24"/>
                <w:szCs w:val="24"/>
              </w:rPr>
              <w:t xml:space="preserve">         </w:t>
            </w:r>
            <w:r>
              <w:rPr>
                <w:sz w:val="24"/>
                <w:szCs w:val="24"/>
                <w:u w:val="single"/>
              </w:rPr>
              <w:t>Veículos Abandonados:</w:t>
            </w:r>
            <w:r>
              <w:rPr>
                <w:sz w:val="24"/>
                <w:szCs w:val="24"/>
              </w:rPr>
              <w:t xml:space="preserve"> Retirada de veículos em estado de abandono que representem risco à segurança ou à saúde pública.</w:t>
            </w:r>
          </w:p>
          <w:p w14:paraId="31001665">
            <w:pPr>
              <w:ind w:firstLine="240" w:firstLineChars="100"/>
              <w:jc w:val="both"/>
              <w:rPr>
                <w:b/>
                <w:bCs/>
                <w:sz w:val="24"/>
                <w:szCs w:val="24"/>
              </w:rPr>
            </w:pPr>
            <w:r>
              <w:rPr>
                <w:sz w:val="24"/>
                <w:szCs w:val="24"/>
              </w:rPr>
              <w:t xml:space="preserve">         </w:t>
            </w:r>
            <w:r>
              <w:rPr>
                <w:b/>
                <w:bCs/>
                <w:sz w:val="24"/>
                <w:szCs w:val="24"/>
              </w:rPr>
              <w:t>2. Fluxo Operacional:</w:t>
            </w:r>
          </w:p>
          <w:p w14:paraId="6B67F3A2">
            <w:pPr>
              <w:ind w:firstLine="240" w:firstLineChars="100"/>
              <w:jc w:val="both"/>
              <w:rPr>
                <w:sz w:val="24"/>
                <w:szCs w:val="24"/>
              </w:rPr>
            </w:pPr>
            <w:r>
              <w:rPr>
                <w:sz w:val="24"/>
                <w:szCs w:val="24"/>
              </w:rPr>
              <w:t xml:space="preserve">         O funcionamento da solução segue um fluxo claro e padronizado:</w:t>
            </w:r>
          </w:p>
          <w:p w14:paraId="0DFA90FB">
            <w:pPr>
              <w:ind w:firstLine="240" w:firstLineChars="100"/>
              <w:jc w:val="both"/>
              <w:rPr>
                <w:sz w:val="24"/>
                <w:szCs w:val="24"/>
              </w:rPr>
            </w:pPr>
            <w:r>
              <w:rPr>
                <w:sz w:val="24"/>
                <w:szCs w:val="24"/>
              </w:rPr>
              <w:t xml:space="preserve">         </w:t>
            </w:r>
            <w:r>
              <w:rPr>
                <w:sz w:val="24"/>
                <w:szCs w:val="24"/>
                <w:u w:val="single"/>
              </w:rPr>
              <w:t>Identificação da Necessidade:</w:t>
            </w:r>
            <w:r>
              <w:rPr>
                <w:sz w:val="24"/>
                <w:szCs w:val="24"/>
              </w:rPr>
              <w:t xml:space="preserve"> Um agente da autoridade de trânsito municipal (ou estadual/federal, em caso de convênio) constata a necessidade de remoção de um veículo.</w:t>
            </w:r>
          </w:p>
          <w:p w14:paraId="60989BDD">
            <w:pPr>
              <w:ind w:firstLine="240" w:firstLineChars="100"/>
              <w:jc w:val="both"/>
              <w:rPr>
                <w:sz w:val="24"/>
                <w:szCs w:val="24"/>
              </w:rPr>
            </w:pPr>
            <w:r>
              <w:rPr>
                <w:sz w:val="24"/>
                <w:szCs w:val="24"/>
              </w:rPr>
              <w:t xml:space="preserve">         </w:t>
            </w:r>
            <w:r>
              <w:rPr>
                <w:sz w:val="24"/>
                <w:szCs w:val="24"/>
                <w:u w:val="single"/>
              </w:rPr>
              <w:t>Acionamento do Serviço:</w:t>
            </w:r>
            <w:r>
              <w:rPr>
                <w:sz w:val="24"/>
                <w:szCs w:val="24"/>
              </w:rPr>
              <w:t xml:space="preserve"> O agente de trânsito entra em contato com a central de operações da Secretaria Municipal de Trânsito, que aciona uma das empresas credenciadas para realizar o serviço. A distribuição dos chamados entre as empresas credenciadas geralmente segue um critério de rodízio.</w:t>
            </w:r>
          </w:p>
          <w:p w14:paraId="59A04D58">
            <w:pPr>
              <w:ind w:firstLine="240" w:firstLineChars="100"/>
              <w:jc w:val="both"/>
              <w:rPr>
                <w:sz w:val="24"/>
                <w:szCs w:val="24"/>
              </w:rPr>
            </w:pPr>
            <w:r>
              <w:rPr>
                <w:sz w:val="24"/>
                <w:szCs w:val="24"/>
              </w:rPr>
              <w:t xml:space="preserve">         </w:t>
            </w:r>
            <w:r>
              <w:rPr>
                <w:sz w:val="24"/>
                <w:szCs w:val="24"/>
                <w:u w:val="single"/>
              </w:rPr>
              <w:t>Execução da Remoção:</w:t>
            </w:r>
            <w:r>
              <w:rPr>
                <w:sz w:val="24"/>
                <w:szCs w:val="24"/>
              </w:rPr>
              <w:t xml:space="preserve"> A empresa credenciada envia o guincho apropriado (plataforma para veículos leves ou lança para pesados) ao local. A operação de remoção é realizada com o devido cuidado para não causar danos adicionais ao veículo.</w:t>
            </w:r>
          </w:p>
          <w:p w14:paraId="75C3FD8F">
            <w:pPr>
              <w:ind w:firstLine="240" w:firstLineChars="100"/>
              <w:jc w:val="both"/>
              <w:rPr>
                <w:sz w:val="24"/>
                <w:szCs w:val="24"/>
              </w:rPr>
            </w:pPr>
            <w:r>
              <w:rPr>
                <w:sz w:val="24"/>
                <w:szCs w:val="24"/>
              </w:rPr>
              <w:t xml:space="preserve">         </w:t>
            </w:r>
            <w:r>
              <w:rPr>
                <w:sz w:val="24"/>
                <w:szCs w:val="24"/>
                <w:u w:val="single"/>
              </w:rPr>
              <w:t>Transporte e Guarda:</w:t>
            </w:r>
            <w:r>
              <w:rPr>
                <w:sz w:val="24"/>
                <w:szCs w:val="24"/>
              </w:rPr>
              <w:t xml:space="preserve"> O veículo é transportado para o pátio da empresa, que deve atender a todos os requisitos de segurança e infraestrutura (muro alto, iluminação, monitoramento por câmeras, etc.). No momento da entrada, é gerado um registro detalhado (termo de recolhimento) com fotos, data, hora e estado de conservação do veículo.</w:t>
            </w:r>
          </w:p>
          <w:p w14:paraId="7AE359EC">
            <w:pPr>
              <w:ind w:firstLine="240" w:firstLineChars="100"/>
              <w:jc w:val="both"/>
              <w:rPr>
                <w:sz w:val="24"/>
                <w:szCs w:val="24"/>
              </w:rPr>
            </w:pPr>
            <w:r>
              <w:rPr>
                <w:sz w:val="24"/>
                <w:szCs w:val="24"/>
              </w:rPr>
              <w:t xml:space="preserve">         </w:t>
            </w:r>
            <w:r>
              <w:rPr>
                <w:sz w:val="24"/>
                <w:szCs w:val="24"/>
                <w:u w:val="single"/>
              </w:rPr>
              <w:t>Procedimento para o Proprietário:</w:t>
            </w:r>
            <w:r>
              <w:rPr>
                <w:sz w:val="24"/>
                <w:szCs w:val="24"/>
              </w:rPr>
              <w:t xml:space="preserve"> O proprietário do veículo é notificado e, para reaver seu bem, deve primeiro regularizar a (s) pendência (s) que originou (aram) a remoção (pagamento de multas, licenciamento, etc.) junto aos órgãos de trânsito.</w:t>
            </w:r>
          </w:p>
          <w:p w14:paraId="7EFDA00D">
            <w:pPr>
              <w:ind w:firstLine="240" w:firstLineChars="100"/>
              <w:jc w:val="both"/>
              <w:rPr>
                <w:sz w:val="24"/>
                <w:szCs w:val="24"/>
              </w:rPr>
            </w:pPr>
            <w:r>
              <w:rPr>
                <w:sz w:val="24"/>
                <w:szCs w:val="24"/>
              </w:rPr>
              <w:t xml:space="preserve">         </w:t>
            </w:r>
            <w:r>
              <w:rPr>
                <w:sz w:val="24"/>
                <w:szCs w:val="24"/>
                <w:u w:val="single"/>
              </w:rPr>
              <w:t>Pagamento e Liberação:</w:t>
            </w:r>
            <w:r>
              <w:rPr>
                <w:sz w:val="24"/>
                <w:szCs w:val="24"/>
              </w:rPr>
              <w:t xml:space="preserve"> Após a regularização, o proprietário se dirige ao Ganha Tempo, onde obtém um termo de Liberação e se dirige até o pátio da empresa credenciada, efetua o pagamento das taxas de remoção (guincho) e das diárias de estadia, cujos valores são tabelados e fixados pela legislação municipal. Após a quitação, o veículo é liberado.</w:t>
            </w:r>
          </w:p>
          <w:p w14:paraId="62F21386">
            <w:pPr>
              <w:ind w:firstLine="240" w:firstLineChars="100"/>
              <w:jc w:val="both"/>
              <w:rPr>
                <w:b/>
                <w:bCs/>
                <w:sz w:val="24"/>
                <w:szCs w:val="24"/>
              </w:rPr>
            </w:pPr>
            <w:r>
              <w:rPr>
                <w:sz w:val="24"/>
                <w:szCs w:val="24"/>
              </w:rPr>
              <w:t xml:space="preserve">         </w:t>
            </w:r>
            <w:r>
              <w:rPr>
                <w:b/>
                <w:bCs/>
                <w:sz w:val="24"/>
                <w:szCs w:val="24"/>
              </w:rPr>
              <w:t>3. Componentes da Solução:</w:t>
            </w:r>
          </w:p>
          <w:p w14:paraId="7BE3DECE">
            <w:pPr>
              <w:ind w:firstLine="240" w:firstLineChars="100"/>
              <w:jc w:val="both"/>
              <w:rPr>
                <w:sz w:val="24"/>
                <w:szCs w:val="24"/>
              </w:rPr>
            </w:pPr>
            <w:r>
              <w:rPr>
                <w:sz w:val="24"/>
                <w:szCs w:val="24"/>
              </w:rPr>
              <w:t xml:space="preserve">         </w:t>
            </w:r>
            <w:r>
              <w:rPr>
                <w:sz w:val="24"/>
                <w:szCs w:val="24"/>
                <w:u w:val="single"/>
              </w:rPr>
              <w:t>Entidade Gestora:</w:t>
            </w:r>
            <w:r>
              <w:rPr>
                <w:sz w:val="24"/>
                <w:szCs w:val="24"/>
              </w:rPr>
              <w:t xml:space="preserve"> A Secretaria Municipal de Segurança e Trânsito de Sinop atua como gestora e fiscalizadora do sistema, garantindo que as empresas credenciadas cumpram as normas do edital e da legislação.</w:t>
            </w:r>
          </w:p>
          <w:p w14:paraId="6FE790F3">
            <w:pPr>
              <w:ind w:firstLine="240" w:firstLineChars="100"/>
              <w:jc w:val="both"/>
              <w:rPr>
                <w:sz w:val="24"/>
                <w:szCs w:val="24"/>
              </w:rPr>
            </w:pPr>
            <w:r>
              <w:rPr>
                <w:sz w:val="24"/>
                <w:szCs w:val="24"/>
              </w:rPr>
              <w:t xml:space="preserve">         </w:t>
            </w:r>
            <w:r>
              <w:rPr>
                <w:sz w:val="24"/>
                <w:szCs w:val="24"/>
                <w:u w:val="single"/>
              </w:rPr>
              <w:t>Empresas Credenciadas:</w:t>
            </w:r>
            <w:r>
              <w:rPr>
                <w:sz w:val="24"/>
                <w:szCs w:val="24"/>
              </w:rPr>
              <w:t xml:space="preserve"> São os executores do serviço. Devem manter a infraestrutura (pátio seguro e frota de guinchos) e a equipe operacional disponíveis para atender aos chamados de forma ágil e contínua.</w:t>
            </w:r>
          </w:p>
          <w:p w14:paraId="21B0ADE5">
            <w:pPr>
              <w:ind w:firstLine="240" w:firstLineChars="100"/>
              <w:jc w:val="both"/>
              <w:rPr>
                <w:sz w:val="24"/>
                <w:szCs w:val="24"/>
              </w:rPr>
            </w:pPr>
            <w:r>
              <w:rPr>
                <w:sz w:val="24"/>
                <w:szCs w:val="24"/>
              </w:rPr>
              <w:t xml:space="preserve">         </w:t>
            </w:r>
            <w:r>
              <w:rPr>
                <w:sz w:val="24"/>
                <w:szCs w:val="24"/>
                <w:u w:val="single"/>
              </w:rPr>
              <w:t>Base Legal:</w:t>
            </w:r>
            <w:r>
              <w:rPr>
                <w:sz w:val="24"/>
                <w:szCs w:val="24"/>
              </w:rPr>
              <w:t xml:space="preserve"> A solução é amparada por um conjunto de leis, incluindo a Lei Federal nº 9.503/1997 (Código de Trânsito Brasileiro) e as Leis Municipais nº 2.985/202, 2.998/2021 e 3449/2025, que definem as regras, taxas e competências para a execução do serviço em Sinop.</w:t>
            </w:r>
          </w:p>
          <w:p w14:paraId="120BE829">
            <w:pPr>
              <w:ind w:firstLine="240" w:firstLineChars="100"/>
              <w:jc w:val="both"/>
              <w:rPr>
                <w:sz w:val="24"/>
                <w:szCs w:val="24"/>
              </w:rPr>
            </w:pPr>
            <w:r>
              <w:rPr>
                <w:sz w:val="24"/>
                <w:szCs w:val="24"/>
              </w:rPr>
              <w:t xml:space="preserve">         </w:t>
            </w:r>
            <w:r>
              <w:rPr>
                <w:sz w:val="24"/>
                <w:szCs w:val="24"/>
                <w:u w:val="single"/>
              </w:rPr>
              <w:t>Estrutura de Custos:</w:t>
            </w:r>
            <w:r>
              <w:rPr>
                <w:sz w:val="24"/>
                <w:szCs w:val="24"/>
              </w:rPr>
              <w:t xml:space="preserve"> O modelo é autossustentável do ponto de vista do erário municipal, pois os custos diretos dos serviços (guincho e estadia) são arcados pelo proprietário do veículo infrator, sendo que uma porcentagem de todos os serviços prestados retorna para a Prefeitura, para manutenção.</w:t>
            </w:r>
          </w:p>
          <w:p w14:paraId="6DD628AF">
            <w:pPr>
              <w:ind w:firstLine="240" w:firstLineChars="100"/>
              <w:jc w:val="both"/>
              <w:rPr>
                <w:b/>
                <w:bCs/>
                <w:sz w:val="24"/>
                <w:szCs w:val="24"/>
              </w:rPr>
            </w:pPr>
            <w:r>
              <w:rPr>
                <w:sz w:val="24"/>
                <w:szCs w:val="24"/>
              </w:rPr>
              <w:t xml:space="preserve">         </w:t>
            </w:r>
            <w:r>
              <w:rPr>
                <w:b/>
                <w:bCs/>
                <w:sz w:val="24"/>
                <w:szCs w:val="24"/>
              </w:rPr>
              <w:t>4. Benefícios da Solução:</w:t>
            </w:r>
          </w:p>
          <w:p w14:paraId="4BE3BFD4">
            <w:pPr>
              <w:ind w:firstLine="240" w:firstLineChars="100"/>
              <w:jc w:val="both"/>
              <w:rPr>
                <w:sz w:val="24"/>
                <w:szCs w:val="24"/>
              </w:rPr>
            </w:pPr>
            <w:r>
              <w:rPr>
                <w:sz w:val="24"/>
                <w:szCs w:val="24"/>
              </w:rPr>
              <w:t xml:space="preserve">         </w:t>
            </w:r>
            <w:r>
              <w:rPr>
                <w:sz w:val="24"/>
                <w:szCs w:val="24"/>
                <w:u w:val="single"/>
              </w:rPr>
              <w:t>Para o Município:</w:t>
            </w:r>
            <w:r>
              <w:rPr>
                <w:sz w:val="24"/>
                <w:szCs w:val="24"/>
              </w:rPr>
              <w:t xml:space="preserve"> Garante a rápida desobstrução das vias, melhora a segurança no trânsito, assegura o cumprimento da lei e organiza um serviço essencial sem onerar diretamente o orçamento público.</w:t>
            </w:r>
          </w:p>
          <w:p w14:paraId="7B430466">
            <w:pPr>
              <w:ind w:firstLine="240" w:firstLineChars="100"/>
              <w:jc w:val="both"/>
              <w:rPr>
                <w:sz w:val="24"/>
                <w:szCs w:val="24"/>
              </w:rPr>
            </w:pPr>
            <w:r>
              <w:rPr>
                <w:sz w:val="24"/>
                <w:szCs w:val="24"/>
              </w:rPr>
              <w:t xml:space="preserve">         </w:t>
            </w:r>
            <w:r>
              <w:rPr>
                <w:sz w:val="24"/>
                <w:szCs w:val="24"/>
                <w:u w:val="single"/>
              </w:rPr>
              <w:t>Para a População:</w:t>
            </w:r>
            <w:r>
              <w:rPr>
                <w:sz w:val="24"/>
                <w:szCs w:val="24"/>
              </w:rPr>
              <w:t xml:space="preserve"> Oferece um serviço padronizado e regulamentado, com preços tabelados e locais de guarda seguros, evitando abusos e garantindo a integridade dos veículos removidos.</w:t>
            </w:r>
          </w:p>
          <w:p w14:paraId="550CBBD5">
            <w:pPr>
              <w:ind w:firstLine="240" w:firstLineChars="100"/>
              <w:jc w:val="both"/>
              <w:rPr>
                <w:sz w:val="24"/>
                <w:szCs w:val="24"/>
              </w:rPr>
            </w:pPr>
            <w:r>
              <w:rPr>
                <w:sz w:val="24"/>
                <w:szCs w:val="24"/>
              </w:rPr>
              <w:t xml:space="preserve">         </w:t>
            </w:r>
            <w:r>
              <w:rPr>
                <w:sz w:val="24"/>
                <w:szCs w:val="24"/>
                <w:u w:val="single"/>
              </w:rPr>
              <w:t>Para o Mercado:</w:t>
            </w:r>
            <w:r>
              <w:rPr>
                <w:sz w:val="24"/>
                <w:szCs w:val="24"/>
              </w:rPr>
              <w:t xml:space="preserve"> Fomenta a livre concorrência ao permitir que múltiplas empresas que atendam aos requisitos possam prestar o serviço, evitando o monopólio e incentivando a qualidade.</w:t>
            </w:r>
          </w:p>
          <w:p w14:paraId="5DC9D1BF">
            <w:pPr>
              <w:jc w:val="both"/>
              <w:rPr>
                <w:sz w:val="24"/>
                <w:szCs w:val="24"/>
              </w:rPr>
            </w:pPr>
            <w:r>
              <w:rPr>
                <w:sz w:val="24"/>
                <w:szCs w:val="24"/>
              </w:rPr>
              <w:t xml:space="preserve">         </w:t>
            </w:r>
            <w:r>
              <w:rPr>
                <w:sz w:val="24"/>
                <w:szCs w:val="24"/>
                <w:lang w:val="pt-PT"/>
              </w:rPr>
              <w:t>Em síntese, é um sistema autossustentável que organiza a remoção de veículos das vias públicas de forma eficiente e regulamentada, utilizando uma rede de parceiros privados qualificados.</w:t>
            </w:r>
          </w:p>
        </w:tc>
      </w:tr>
    </w:tbl>
    <w:p w14:paraId="36AA3C09">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2"/>
      </w:tblGrid>
      <w:tr w14:paraId="658D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shd w:val="clear" w:color="auto" w:fill="D6E3BC" w:themeFill="accent3" w:themeFillTint="66"/>
          </w:tcPr>
          <w:p w14:paraId="3BCDE9C1">
            <w:pPr>
              <w:rPr>
                <w:sz w:val="24"/>
                <w:szCs w:val="24"/>
              </w:rPr>
            </w:pPr>
            <w:r>
              <w:rPr>
                <w:b/>
                <w:bCs/>
                <w:sz w:val="24"/>
                <w:szCs w:val="24"/>
              </w:rPr>
              <w:t>5 – REQUISITOS DO OBJETO DA CONTRATAÇÃO</w:t>
            </w:r>
          </w:p>
        </w:tc>
      </w:tr>
      <w:tr w14:paraId="589FC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vAlign w:val="center"/>
          </w:tcPr>
          <w:p w14:paraId="19B53F0B">
            <w:pPr>
              <w:tabs>
                <w:tab w:val="left" w:pos="1985"/>
              </w:tabs>
              <w:ind w:right="28" w:firstLine="840" w:firstLineChars="350"/>
              <w:contextualSpacing/>
              <w:jc w:val="both"/>
              <w:rPr>
                <w:sz w:val="24"/>
                <w:szCs w:val="24"/>
              </w:rPr>
            </w:pPr>
            <w:r>
              <w:rPr>
                <w:sz w:val="24"/>
                <w:szCs w:val="24"/>
              </w:rPr>
              <w:t>O processo de credenciamento é uma modalidade de licitação que permite à administração pública cadastrar e contratar todos os interessados que preencham as condições estabelecidas no edital, não havendo competição por preço entre os participantes. Desta forma, o edital que rege este serviço pode ter sido publicado em anos anteriores e permanecer aberto para novos credenciados.</w:t>
            </w:r>
          </w:p>
          <w:p w14:paraId="594057E5">
            <w:pPr>
              <w:tabs>
                <w:tab w:val="left" w:pos="1985"/>
              </w:tabs>
              <w:ind w:right="28" w:firstLine="840" w:firstLineChars="350"/>
              <w:contextualSpacing/>
              <w:jc w:val="both"/>
              <w:rPr>
                <w:sz w:val="24"/>
                <w:szCs w:val="24"/>
              </w:rPr>
            </w:pPr>
            <w:r>
              <w:rPr>
                <w:sz w:val="24"/>
                <w:szCs w:val="24"/>
              </w:rPr>
              <w:t>Para se credenciar junto à Prefeitura de Sinop/MT para a prestação de serviços de guarda com disponibilização de pátio e guincho, as empresas interessadas devem atender a uma série de exigências detalhadas no edital de licitação. Os requisitos da contratação são divididos em habilitação jurídica, qualificação técnica, qualificação econômico-financeira e regularidade fiscal.</w:t>
            </w:r>
          </w:p>
          <w:p w14:paraId="1478D04C">
            <w:pPr>
              <w:tabs>
                <w:tab w:val="left" w:pos="1985"/>
              </w:tabs>
              <w:ind w:right="28" w:firstLine="840" w:firstLineChars="350"/>
              <w:contextualSpacing/>
              <w:jc w:val="both"/>
              <w:rPr>
                <w:sz w:val="24"/>
                <w:szCs w:val="24"/>
              </w:rPr>
            </w:pPr>
            <w:r>
              <w:rPr>
                <w:sz w:val="24"/>
                <w:szCs w:val="24"/>
              </w:rPr>
              <w:t>Além disso, deve assegurar o cumprimento da Lei Municipal 2.985/2021 (com alterações trazidas pelas Leis 2998/2021 e 3449/2025) e dos compromissos firmados no contrato durante toda a sua vigência.</w:t>
            </w:r>
          </w:p>
          <w:p w14:paraId="7D69A304">
            <w:pPr>
              <w:ind w:firstLine="720" w:firstLineChars="300"/>
              <w:jc w:val="both"/>
              <w:rPr>
                <w:sz w:val="24"/>
                <w:szCs w:val="24"/>
              </w:rPr>
            </w:pPr>
            <w:r>
              <w:rPr>
                <w:sz w:val="24"/>
                <w:szCs w:val="24"/>
              </w:rPr>
              <w:t>As empresas que cumprirem todos esses requisitos podem ser credenciadas e estarão aptas a serem chamadas para a prestação dos serviços conforme a demanda da Secretaria Municipal de Segurança e Trânsito, bem como, por outros Órgãos de Segurança Pública do Município, por meio de Convênio.</w:t>
            </w:r>
          </w:p>
        </w:tc>
      </w:tr>
    </w:tbl>
    <w:p w14:paraId="05961479">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23F0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31" w:type="dxa"/>
            <w:shd w:val="clear" w:color="auto" w:fill="D6E3BC" w:themeFill="accent3" w:themeFillTint="66"/>
          </w:tcPr>
          <w:p w14:paraId="699C1576">
            <w:pPr>
              <w:rPr>
                <w:sz w:val="24"/>
                <w:szCs w:val="24"/>
              </w:rPr>
            </w:pPr>
            <w:r>
              <w:rPr>
                <w:b/>
                <w:bCs/>
                <w:sz w:val="24"/>
                <w:szCs w:val="24"/>
              </w:rPr>
              <w:t>6 – EXECUÇÃO DO OBJETO DA CONTRATAÇÃO</w:t>
            </w:r>
          </w:p>
        </w:tc>
      </w:tr>
      <w:tr w14:paraId="25131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231" w:type="dxa"/>
            <w:vAlign w:val="center"/>
          </w:tcPr>
          <w:p w14:paraId="601BD260">
            <w:pPr>
              <w:ind w:firstLine="720" w:firstLineChars="300"/>
              <w:jc w:val="both"/>
              <w:rPr>
                <w:bCs/>
                <w:sz w:val="24"/>
                <w:szCs w:val="24"/>
              </w:rPr>
            </w:pPr>
            <w:r>
              <w:rPr>
                <w:bCs/>
                <w:sz w:val="24"/>
                <w:szCs w:val="24"/>
              </w:rPr>
              <w:t>6.1. 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p w14:paraId="26628FEF">
            <w:pPr>
              <w:ind w:firstLine="720" w:firstLineChars="300"/>
              <w:jc w:val="both"/>
              <w:rPr>
                <w:bCs/>
                <w:sz w:val="24"/>
                <w:szCs w:val="24"/>
              </w:rPr>
            </w:pPr>
            <w:r>
              <w:rPr>
                <w:rFonts w:eastAsia="SimSun"/>
                <w:color w:val="000000"/>
                <w:sz w:val="24"/>
                <w:szCs w:val="24"/>
              </w:rPr>
              <w:t>6.2. Todos serviços solicitados deverão ser executados em conformidade com as exigências e valores previstos na Lei Municipal 2.985/2021 (com alterações trazidas pelas Leis 2998/2021 e 3449/2025), bem como, algumas exigências adicionais descritas no presente Termo de Referência.</w:t>
            </w:r>
          </w:p>
          <w:p w14:paraId="2E387C3F">
            <w:pPr>
              <w:ind w:firstLine="720" w:firstLineChars="300"/>
              <w:jc w:val="both"/>
              <w:rPr>
                <w:b/>
                <w:bCs/>
                <w:sz w:val="24"/>
                <w:szCs w:val="24"/>
                <w:u w:val="single"/>
              </w:rPr>
            </w:pPr>
            <w:r>
              <w:rPr>
                <w:b/>
                <w:bCs/>
                <w:sz w:val="24"/>
                <w:szCs w:val="24"/>
                <w:u w:val="single"/>
              </w:rPr>
              <w:t>6.3. CABERÁ A EMPRESA VENCEDORA DO CERTAME:</w:t>
            </w:r>
          </w:p>
          <w:p w14:paraId="48034E1C">
            <w:pPr>
              <w:adjustRightInd w:val="0"/>
              <w:ind w:firstLine="709"/>
              <w:jc w:val="both"/>
              <w:rPr>
                <w:rFonts w:eastAsia="SimSun"/>
                <w:color w:val="000000"/>
                <w:sz w:val="24"/>
                <w:szCs w:val="24"/>
              </w:rPr>
            </w:pPr>
            <w:r>
              <w:rPr>
                <w:rFonts w:eastAsia="SimSun"/>
                <w:color w:val="000000"/>
                <w:sz w:val="24"/>
                <w:szCs w:val="24"/>
              </w:rPr>
              <w:t>6.3.1. Prestar todos os esclarecimentos que forem solicitados pela SECRETARIA SOLICITANTE, cujas reclamações se obrigam a atender prontamente ao GESTOR FISCAL DO CONTRATO, bem como dar ciência, imediatamente e por escrito, de qualquer anormalidade que verificar quando da execução do Contrato.</w:t>
            </w:r>
          </w:p>
          <w:p w14:paraId="41D85E1D">
            <w:pPr>
              <w:adjustRightInd w:val="0"/>
              <w:ind w:firstLine="709"/>
              <w:jc w:val="both"/>
              <w:rPr>
                <w:rFonts w:eastAsia="SimSun"/>
                <w:color w:val="000000"/>
                <w:sz w:val="24"/>
                <w:szCs w:val="24"/>
              </w:rPr>
            </w:pPr>
            <w:r>
              <w:rPr>
                <w:rFonts w:eastAsia="SimSun"/>
                <w:color w:val="000000"/>
                <w:sz w:val="24"/>
                <w:szCs w:val="24"/>
              </w:rPr>
              <w:t>6.3.2.</w:t>
            </w:r>
            <w:r>
              <w:rPr>
                <w:rFonts w:eastAsia="SimSun"/>
                <w:b/>
                <w:bCs/>
                <w:color w:val="000000"/>
                <w:sz w:val="24"/>
                <w:szCs w:val="24"/>
              </w:rPr>
              <w:t xml:space="preserve"> </w:t>
            </w:r>
            <w:r>
              <w:rPr>
                <w:rFonts w:eastAsia="SimSun"/>
                <w:color w:val="000000"/>
                <w:sz w:val="24"/>
                <w:szCs w:val="24"/>
              </w:rPr>
              <w:t>Respeitar e fazer cumprir as legislações e normas regulamentadoras pertinentes.</w:t>
            </w:r>
          </w:p>
          <w:p w14:paraId="249F657D">
            <w:pPr>
              <w:adjustRightInd w:val="0"/>
              <w:ind w:firstLine="709"/>
              <w:jc w:val="both"/>
              <w:rPr>
                <w:rFonts w:eastAsia="SimSun"/>
                <w:color w:val="000000"/>
                <w:sz w:val="24"/>
                <w:szCs w:val="24"/>
              </w:rPr>
            </w:pPr>
            <w:r>
              <w:rPr>
                <w:rFonts w:eastAsia="SimSun"/>
                <w:color w:val="000000"/>
                <w:sz w:val="24"/>
                <w:szCs w:val="24"/>
              </w:rPr>
              <w:t>6.3.3. Fiscalizar o perfeito cumprimento da prestação a que se obrigou, cabendo-lhe, integralmente, os ônus decorrentes. Tal fiscalização dar-se à independentemente da que será exercida pela Contratante.</w:t>
            </w:r>
          </w:p>
          <w:p w14:paraId="120535EB">
            <w:pPr>
              <w:adjustRightInd w:val="0"/>
              <w:ind w:firstLine="709"/>
              <w:jc w:val="both"/>
              <w:rPr>
                <w:rFonts w:eastAsia="SimSun"/>
                <w:color w:val="000000"/>
                <w:sz w:val="24"/>
                <w:szCs w:val="24"/>
              </w:rPr>
            </w:pPr>
            <w:r>
              <w:rPr>
                <w:rFonts w:eastAsia="SimSun"/>
                <w:color w:val="000000"/>
                <w:sz w:val="24"/>
                <w:szCs w:val="24"/>
              </w:rPr>
              <w:t>6.3.4. Comunicar imediatamente à Secretaria qualquer alteração ocorrida no endereço e outros julgáveis necessários para o recebimento de correspondências;</w:t>
            </w:r>
          </w:p>
          <w:p w14:paraId="6CF2331D">
            <w:pPr>
              <w:adjustRightInd w:val="0"/>
              <w:ind w:firstLine="709"/>
              <w:jc w:val="both"/>
              <w:rPr>
                <w:rFonts w:eastAsia="SimSun"/>
                <w:color w:val="000000"/>
                <w:sz w:val="24"/>
                <w:szCs w:val="24"/>
              </w:rPr>
            </w:pPr>
            <w:r>
              <w:rPr>
                <w:rFonts w:eastAsia="SimSun"/>
                <w:color w:val="000000"/>
                <w:sz w:val="24"/>
                <w:szCs w:val="24"/>
              </w:rPr>
              <w:t>6.3.5.</w:t>
            </w:r>
            <w:r>
              <w:rPr>
                <w:rFonts w:eastAsia="SimSun"/>
                <w:b/>
                <w:bCs/>
                <w:color w:val="000000"/>
                <w:sz w:val="24"/>
                <w:szCs w:val="24"/>
              </w:rPr>
              <w:t xml:space="preserve"> </w:t>
            </w:r>
            <w:r>
              <w:rPr>
                <w:rFonts w:eastAsia="SimSun"/>
                <w:color w:val="000000"/>
                <w:sz w:val="24"/>
                <w:szCs w:val="24"/>
              </w:rPr>
              <w:t>Efetuar a imediata correção das deficiências apontadas pela Contratante, com relação à prestação dos serviços.</w:t>
            </w:r>
          </w:p>
          <w:p w14:paraId="229FC8F6">
            <w:pPr>
              <w:adjustRightInd w:val="0"/>
              <w:ind w:firstLine="709"/>
              <w:jc w:val="both"/>
              <w:rPr>
                <w:rFonts w:eastAsia="SimSun"/>
                <w:color w:val="000000"/>
                <w:sz w:val="24"/>
                <w:szCs w:val="24"/>
              </w:rPr>
            </w:pPr>
            <w:r>
              <w:rPr>
                <w:rFonts w:eastAsia="SimSun"/>
                <w:color w:val="000000"/>
                <w:sz w:val="24"/>
                <w:szCs w:val="24"/>
              </w:rPr>
              <w:t>6.3.6.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66ED4EB8">
            <w:pPr>
              <w:adjustRightInd w:val="0"/>
              <w:ind w:firstLine="709"/>
              <w:jc w:val="both"/>
              <w:rPr>
                <w:rFonts w:eastAsia="SimSun"/>
                <w:color w:val="000000"/>
                <w:sz w:val="24"/>
                <w:szCs w:val="24"/>
              </w:rPr>
            </w:pPr>
            <w:r>
              <w:rPr>
                <w:rFonts w:eastAsia="SimSun"/>
                <w:color w:val="000000"/>
                <w:sz w:val="24"/>
                <w:szCs w:val="24"/>
              </w:rPr>
              <w:t>6.3.7. Prestar os esclarecimentos que forem solicitados pela Contratante, cujas reclamações se obrigam a atender prontamente, bem como, dar ciência a Contratante, imediatamente, por escrito, de qualquer anormalidade que verificar quando fornecimento ora contratado.</w:t>
            </w:r>
          </w:p>
          <w:p w14:paraId="38F1E261">
            <w:pPr>
              <w:adjustRightInd w:val="0"/>
              <w:ind w:firstLine="709"/>
              <w:jc w:val="both"/>
              <w:rPr>
                <w:rFonts w:eastAsia="SimSun"/>
                <w:color w:val="000000"/>
                <w:sz w:val="24"/>
                <w:szCs w:val="24"/>
              </w:rPr>
            </w:pPr>
            <w:r>
              <w:rPr>
                <w:rFonts w:eastAsia="SimSun"/>
                <w:color w:val="000000"/>
                <w:sz w:val="24"/>
                <w:szCs w:val="24"/>
              </w:rPr>
              <w:t>6.3.8. Dispor a toda e qualquer fiscalização da CONTRATANTE, no tocante a prestação dos serviços, assim como ao cumprimento das obrigações que constarão no Contrato.</w:t>
            </w:r>
          </w:p>
          <w:p w14:paraId="32866E8B">
            <w:pPr>
              <w:adjustRightInd w:val="0"/>
              <w:ind w:firstLine="709"/>
              <w:jc w:val="both"/>
              <w:rPr>
                <w:rFonts w:eastAsia="SimSun"/>
                <w:color w:val="000000"/>
                <w:sz w:val="24"/>
                <w:szCs w:val="24"/>
              </w:rPr>
            </w:pPr>
            <w:r>
              <w:rPr>
                <w:rFonts w:eastAsia="SimSun"/>
                <w:color w:val="000000"/>
                <w:sz w:val="24"/>
                <w:szCs w:val="24"/>
              </w:rPr>
              <w:t>6.3.9.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6A4B9306">
            <w:pPr>
              <w:adjustRightInd w:val="0"/>
              <w:ind w:firstLine="709"/>
              <w:jc w:val="both"/>
              <w:rPr>
                <w:rFonts w:eastAsia="SimSun"/>
                <w:color w:val="000000"/>
                <w:sz w:val="24"/>
                <w:szCs w:val="24"/>
              </w:rPr>
            </w:pPr>
            <w:r>
              <w:rPr>
                <w:rFonts w:eastAsia="SimSun"/>
                <w:color w:val="000000"/>
                <w:sz w:val="24"/>
                <w:szCs w:val="24"/>
              </w:rPr>
              <w:t>6.3.10.</w:t>
            </w:r>
            <w:r>
              <w:rPr>
                <w:rFonts w:eastAsia="SimSun"/>
                <w:b/>
                <w:bCs/>
                <w:color w:val="000000"/>
                <w:sz w:val="24"/>
                <w:szCs w:val="24"/>
              </w:rPr>
              <w:t xml:space="preserve"> </w:t>
            </w:r>
            <w:r>
              <w:rPr>
                <w:rFonts w:eastAsia="SimSun"/>
                <w:color w:val="000000"/>
                <w:sz w:val="24"/>
                <w:szCs w:val="24"/>
              </w:rPr>
              <w:t>Todas as despesas relativas ao objeto contratado (tributos, seguros, encargos sociais, etc.) são de inteira responsabilidade da Contratada.</w:t>
            </w:r>
          </w:p>
          <w:p w14:paraId="705446C9">
            <w:pPr>
              <w:adjustRightInd w:val="0"/>
              <w:ind w:firstLine="709"/>
              <w:jc w:val="both"/>
              <w:rPr>
                <w:rFonts w:eastAsia="SimSun"/>
                <w:color w:val="000000"/>
                <w:sz w:val="24"/>
                <w:szCs w:val="24"/>
              </w:rPr>
            </w:pPr>
            <w:r>
              <w:rPr>
                <w:rFonts w:eastAsia="SimSun"/>
                <w:color w:val="000000"/>
                <w:sz w:val="24"/>
                <w:szCs w:val="24"/>
              </w:rPr>
              <w:t>6.3.11.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6C2C85A7">
            <w:pPr>
              <w:adjustRightInd w:val="0"/>
              <w:ind w:firstLine="709"/>
              <w:jc w:val="both"/>
              <w:rPr>
                <w:rFonts w:eastAsia="SimSun"/>
                <w:color w:val="000000"/>
                <w:sz w:val="24"/>
                <w:szCs w:val="24"/>
              </w:rPr>
            </w:pPr>
            <w:r>
              <w:rPr>
                <w:rFonts w:eastAsia="SimSun"/>
                <w:color w:val="000000"/>
                <w:sz w:val="24"/>
                <w:szCs w:val="24"/>
              </w:rPr>
              <w:t>6.3.12.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03104298">
            <w:pPr>
              <w:adjustRightInd w:val="0"/>
              <w:ind w:firstLine="709"/>
              <w:jc w:val="both"/>
              <w:rPr>
                <w:rFonts w:eastAsia="SimSun"/>
                <w:color w:val="000000"/>
                <w:sz w:val="24"/>
                <w:szCs w:val="24"/>
              </w:rPr>
            </w:pPr>
            <w:r>
              <w:rPr>
                <w:rFonts w:eastAsia="SimSun"/>
                <w:color w:val="000000"/>
                <w:sz w:val="24"/>
                <w:szCs w:val="24"/>
              </w:rPr>
              <w:t>6.3.13. Credenciar junto a esta Secretaria um preposto para prestar esclarecimentos e atender às reclamações/solicitações que surgirem durante a execução do Contrato.</w:t>
            </w:r>
          </w:p>
          <w:p w14:paraId="21D77C7D">
            <w:pPr>
              <w:adjustRightInd w:val="0"/>
              <w:ind w:firstLine="709"/>
              <w:jc w:val="both"/>
              <w:rPr>
                <w:rFonts w:eastAsia="SimSun"/>
                <w:color w:val="000000"/>
                <w:sz w:val="24"/>
                <w:szCs w:val="24"/>
              </w:rPr>
            </w:pPr>
            <w:r>
              <w:rPr>
                <w:rFonts w:eastAsia="SimSun"/>
                <w:color w:val="000000"/>
                <w:sz w:val="24"/>
                <w:szCs w:val="24"/>
              </w:rPr>
              <w:t>6.3.14. Responsabilizar-se por quaisquer ônus decorrentes de omissões ou erros na elaboração de estimativa de custos.</w:t>
            </w:r>
          </w:p>
          <w:p w14:paraId="62CF94E3">
            <w:pPr>
              <w:ind w:firstLine="720" w:firstLineChars="300"/>
              <w:jc w:val="both"/>
              <w:rPr>
                <w:b/>
                <w:bCs/>
                <w:sz w:val="24"/>
                <w:szCs w:val="24"/>
                <w:u w:val="single"/>
              </w:rPr>
            </w:pPr>
            <w:r>
              <w:rPr>
                <w:rFonts w:eastAsia="SimSun"/>
                <w:color w:val="000000"/>
                <w:sz w:val="24"/>
                <w:szCs w:val="24"/>
              </w:rPr>
              <w:t>6.3.15.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508FB243">
            <w:pPr>
              <w:adjustRightInd w:val="0"/>
              <w:jc w:val="both"/>
              <w:rPr>
                <w:b/>
                <w:bCs/>
                <w:sz w:val="24"/>
                <w:szCs w:val="24"/>
              </w:rPr>
            </w:pPr>
            <w:r>
              <w:rPr>
                <w:rFonts w:eastAsia="SimSun"/>
                <w:color w:val="000000"/>
                <w:sz w:val="24"/>
                <w:szCs w:val="24"/>
              </w:rPr>
              <w:t xml:space="preserve">            </w:t>
            </w:r>
            <w:r>
              <w:rPr>
                <w:rFonts w:eastAsia="SimSun"/>
                <w:b/>
                <w:bCs/>
                <w:color w:val="000000"/>
                <w:sz w:val="24"/>
                <w:szCs w:val="24"/>
              </w:rPr>
              <w:t xml:space="preserve">6.4. </w:t>
            </w:r>
            <w:r>
              <w:rPr>
                <w:b/>
                <w:bCs/>
                <w:sz w:val="24"/>
                <w:szCs w:val="24"/>
              </w:rPr>
              <w:t>DOS SERVIÇOS DE GUINCHO</w:t>
            </w:r>
          </w:p>
          <w:p w14:paraId="33B6A076">
            <w:pPr>
              <w:adjustRightInd w:val="0"/>
              <w:jc w:val="both"/>
              <w:rPr>
                <w:sz w:val="24"/>
                <w:szCs w:val="24"/>
              </w:rPr>
            </w:pPr>
            <w:r>
              <w:rPr>
                <w:sz w:val="24"/>
                <w:szCs w:val="24"/>
              </w:rPr>
              <w:t xml:space="preserve">            6.4.1.</w:t>
            </w:r>
            <w:r>
              <w:rPr>
                <w:b/>
                <w:bCs/>
                <w:sz w:val="24"/>
                <w:szCs w:val="24"/>
              </w:rPr>
              <w:t xml:space="preserve"> </w:t>
            </w:r>
            <w:r>
              <w:rPr>
                <w:sz w:val="24"/>
                <w:szCs w:val="24"/>
              </w:rPr>
              <w:t>A (s) empresa (s) habilitada (s) no devido processo licitatório, deverá (ão) obedecer ao seguinte:</w:t>
            </w:r>
          </w:p>
          <w:p w14:paraId="0036ACD5">
            <w:pPr>
              <w:adjustRightInd w:val="0"/>
              <w:jc w:val="both"/>
              <w:rPr>
                <w:sz w:val="24"/>
                <w:szCs w:val="24"/>
              </w:rPr>
            </w:pPr>
            <w:r>
              <w:rPr>
                <w:sz w:val="24"/>
                <w:szCs w:val="24"/>
              </w:rPr>
              <w:t xml:space="preserve">       </w:t>
            </w:r>
            <w:r>
              <w:rPr>
                <w:b/>
                <w:bCs/>
                <w:sz w:val="24"/>
                <w:szCs w:val="24"/>
              </w:rPr>
              <w:t xml:space="preserve"> </w:t>
            </w:r>
            <w:r>
              <w:rPr>
                <w:sz w:val="24"/>
                <w:szCs w:val="24"/>
              </w:rPr>
              <w:t>I - 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4C911250">
            <w:pPr>
              <w:adjustRightInd w:val="0"/>
              <w:jc w:val="both"/>
              <w:rPr>
                <w:sz w:val="24"/>
                <w:szCs w:val="24"/>
              </w:rPr>
            </w:pPr>
            <w:r>
              <w:rPr>
                <w:sz w:val="24"/>
                <w:szCs w:val="24"/>
              </w:rPr>
              <w:t xml:space="preserve">        II - A empresa contratada deverá disponibilizar uma central de atendimento, 24 (vinte e quatro) horas por dia, inclusive aos sábados, domingos e feriados para que as autoridades de trânsito possam requisitar os serviços imediatamente após a autuação dos veículos;</w:t>
            </w:r>
          </w:p>
          <w:p w14:paraId="747863F9">
            <w:pPr>
              <w:adjustRightInd w:val="0"/>
              <w:jc w:val="both"/>
              <w:rPr>
                <w:sz w:val="24"/>
                <w:szCs w:val="24"/>
              </w:rPr>
            </w:pPr>
            <w:r>
              <w:rPr>
                <w:sz w:val="24"/>
                <w:szCs w:val="24"/>
              </w:rPr>
              <w:t xml:space="preserve">        III - Após a requisição, quando estiver dentro do perímetro urbano, a empresa contratada/conveniada deverá chegar ao local indicado, para transportar o veículo a ser recolhido:</w:t>
            </w:r>
          </w:p>
          <w:p w14:paraId="49A038AC">
            <w:pPr>
              <w:adjustRightInd w:val="0"/>
              <w:jc w:val="both"/>
              <w:rPr>
                <w:sz w:val="24"/>
                <w:szCs w:val="24"/>
              </w:rPr>
            </w:pPr>
            <w:r>
              <w:rPr>
                <w:b/>
                <w:bCs/>
                <w:sz w:val="24"/>
                <w:szCs w:val="24"/>
              </w:rPr>
              <w:t xml:space="preserve">            </w:t>
            </w:r>
            <w:r>
              <w:rPr>
                <w:sz w:val="24"/>
                <w:szCs w:val="24"/>
              </w:rPr>
              <w:t>a) num prazo máximo de 20 (vinte) minutos;</w:t>
            </w:r>
          </w:p>
          <w:p w14:paraId="22AB0A02">
            <w:pPr>
              <w:adjustRightInd w:val="0"/>
              <w:jc w:val="both"/>
              <w:rPr>
                <w:sz w:val="24"/>
                <w:szCs w:val="24"/>
              </w:rPr>
            </w:pPr>
            <w:r>
              <w:rPr>
                <w:b/>
                <w:bCs/>
                <w:sz w:val="24"/>
                <w:szCs w:val="24"/>
              </w:rPr>
              <w:t xml:space="preserve">            </w:t>
            </w:r>
            <w:r>
              <w:rPr>
                <w:sz w:val="24"/>
                <w:szCs w:val="24"/>
              </w:rPr>
              <w:t>b) em até 30 (trinta) minutos do acionamento, em locais distantes até 30 (trinta) quilômetros da base operacional da contratada/credenciada;</w:t>
            </w:r>
          </w:p>
          <w:p w14:paraId="16ABBB4E">
            <w:pPr>
              <w:adjustRightInd w:val="0"/>
              <w:jc w:val="both"/>
              <w:rPr>
                <w:sz w:val="24"/>
                <w:szCs w:val="24"/>
              </w:rPr>
            </w:pPr>
            <w:r>
              <w:rPr>
                <w:b/>
                <w:bCs/>
                <w:sz w:val="24"/>
                <w:szCs w:val="24"/>
              </w:rPr>
              <w:t xml:space="preserve">            </w:t>
            </w:r>
            <w:r>
              <w:rPr>
                <w:sz w:val="24"/>
                <w:szCs w:val="24"/>
              </w:rPr>
              <w:t>c) em locais distantes mais do que 30 quilômetros da base operacional da contratada/credenciada, acrescentar-se-ão 10 (dez) minutos de prazo de chegada para cada 10 (dez) quilômetros percorridos.</w:t>
            </w:r>
          </w:p>
          <w:p w14:paraId="553D6B3D">
            <w:pPr>
              <w:adjustRightInd w:val="0"/>
              <w:jc w:val="both"/>
              <w:rPr>
                <w:sz w:val="24"/>
                <w:szCs w:val="24"/>
              </w:rPr>
            </w:pPr>
            <w:r>
              <w:rPr>
                <w:b/>
                <w:bCs/>
                <w:sz w:val="24"/>
                <w:szCs w:val="24"/>
              </w:rPr>
              <w:t xml:space="preserve">         </w:t>
            </w:r>
            <w:r>
              <w:rPr>
                <w:sz w:val="24"/>
                <w:szCs w:val="24"/>
              </w:rPr>
              <w:t>IV - 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3047DD13">
            <w:pPr>
              <w:adjustRightInd w:val="0"/>
              <w:jc w:val="both"/>
              <w:rPr>
                <w:sz w:val="24"/>
                <w:szCs w:val="24"/>
              </w:rPr>
            </w:pPr>
            <w:r>
              <w:rPr>
                <w:sz w:val="24"/>
                <w:szCs w:val="24"/>
              </w:rPr>
              <w:t xml:space="preserve">          V - Ao chegar ao local solicitado, desde que em condições seguras, deverá iniciar os serviços determinados pela autoridade responsável, sejam eles de remoção, recolhimento e/ou transporte do veículo.</w:t>
            </w:r>
          </w:p>
          <w:p w14:paraId="4FF8FA8B">
            <w:pPr>
              <w:adjustRightInd w:val="0"/>
              <w:jc w:val="both"/>
              <w:rPr>
                <w:sz w:val="24"/>
                <w:szCs w:val="24"/>
              </w:rPr>
            </w:pPr>
            <w:r>
              <w:rPr>
                <w:b/>
                <w:bCs/>
                <w:sz w:val="24"/>
                <w:szCs w:val="24"/>
              </w:rPr>
              <w:t xml:space="preserve">          </w:t>
            </w:r>
            <w:r>
              <w:rPr>
                <w:sz w:val="24"/>
                <w:szCs w:val="24"/>
              </w:rPr>
              <w:t>VI -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1DB07BC4">
            <w:pPr>
              <w:adjustRightInd w:val="0"/>
              <w:jc w:val="both"/>
              <w:rPr>
                <w:sz w:val="24"/>
                <w:szCs w:val="24"/>
              </w:rPr>
            </w:pPr>
            <w:r>
              <w:rPr>
                <w:b/>
                <w:bCs/>
                <w:sz w:val="24"/>
                <w:szCs w:val="24"/>
              </w:rPr>
              <w:t xml:space="preserve">          </w:t>
            </w:r>
            <w:r>
              <w:rPr>
                <w:sz w:val="24"/>
                <w:szCs w:val="24"/>
              </w:rPr>
              <w:t>VII - Zelar pela manutenção da continuidade do serviço de guincho.</w:t>
            </w:r>
          </w:p>
          <w:p w14:paraId="1688DCCE">
            <w:pPr>
              <w:adjustRightInd w:val="0"/>
              <w:jc w:val="both"/>
              <w:rPr>
                <w:sz w:val="24"/>
                <w:szCs w:val="24"/>
              </w:rPr>
            </w:pPr>
            <w:r>
              <w:rPr>
                <w:b/>
                <w:bCs/>
                <w:sz w:val="24"/>
                <w:szCs w:val="24"/>
              </w:rPr>
              <w:t xml:space="preserve">          </w:t>
            </w:r>
            <w:r>
              <w:rPr>
                <w:sz w:val="24"/>
                <w:szCs w:val="24"/>
              </w:rPr>
              <w:t>VIII - Cumprir os itinerários determinados pela Secretaria Municipal de Segurança e Trânsito – SST.</w:t>
            </w:r>
          </w:p>
          <w:p w14:paraId="1B8B9312">
            <w:pPr>
              <w:adjustRightInd w:val="0"/>
              <w:jc w:val="both"/>
              <w:rPr>
                <w:sz w:val="24"/>
                <w:szCs w:val="24"/>
              </w:rPr>
            </w:pPr>
            <w:r>
              <w:rPr>
                <w:b/>
                <w:bCs/>
                <w:sz w:val="24"/>
                <w:szCs w:val="24"/>
              </w:rPr>
              <w:t xml:space="preserve">           </w:t>
            </w:r>
            <w:r>
              <w:rPr>
                <w:sz w:val="24"/>
                <w:szCs w:val="24"/>
              </w:rPr>
              <w:t>IX - Responder pelos seus atos, sujeitando-se às normas e penalidades do Código de Trânsito Brasileiro.</w:t>
            </w:r>
          </w:p>
          <w:p w14:paraId="5495D0E9">
            <w:pPr>
              <w:adjustRightInd w:val="0"/>
              <w:jc w:val="both"/>
              <w:rPr>
                <w:sz w:val="24"/>
                <w:szCs w:val="24"/>
              </w:rPr>
            </w:pPr>
            <w:r>
              <w:rPr>
                <w:b/>
                <w:bCs/>
                <w:sz w:val="24"/>
                <w:szCs w:val="24"/>
              </w:rPr>
              <w:t xml:space="preserve">            </w:t>
            </w:r>
            <w:r>
              <w:rPr>
                <w:sz w:val="24"/>
                <w:szCs w:val="24"/>
              </w:rPr>
              <w:t>X - Submeter-se à fiscalização das autoridades competentes.</w:t>
            </w:r>
          </w:p>
          <w:p w14:paraId="127C5D67">
            <w:pPr>
              <w:adjustRightInd w:val="0"/>
              <w:jc w:val="both"/>
              <w:rPr>
                <w:sz w:val="24"/>
                <w:szCs w:val="24"/>
              </w:rPr>
            </w:pPr>
            <w:r>
              <w:rPr>
                <w:b/>
                <w:bCs/>
                <w:sz w:val="24"/>
                <w:szCs w:val="24"/>
              </w:rPr>
              <w:t xml:space="preserve">            </w:t>
            </w:r>
            <w:r>
              <w:rPr>
                <w:sz w:val="24"/>
                <w:szCs w:val="24"/>
              </w:rPr>
              <w:t>XI - Substituir imediatamente o veículo quando este apresentar problemas mecânicos.</w:t>
            </w:r>
          </w:p>
          <w:p w14:paraId="4817FB54">
            <w:pPr>
              <w:adjustRightInd w:val="0"/>
              <w:jc w:val="both"/>
              <w:rPr>
                <w:b/>
                <w:bCs/>
                <w:sz w:val="24"/>
                <w:szCs w:val="24"/>
              </w:rPr>
            </w:pPr>
            <w:r>
              <w:rPr>
                <w:b/>
                <w:bCs/>
                <w:sz w:val="24"/>
                <w:szCs w:val="24"/>
              </w:rPr>
              <w:t xml:space="preserve">            </w:t>
            </w:r>
            <w:r>
              <w:rPr>
                <w:sz w:val="24"/>
                <w:szCs w:val="24"/>
              </w:rPr>
              <w:t>6.4.2. 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5B11A739">
            <w:pPr>
              <w:adjustRightInd w:val="0"/>
              <w:jc w:val="both"/>
              <w:rPr>
                <w:sz w:val="24"/>
                <w:szCs w:val="24"/>
              </w:rPr>
            </w:pPr>
            <w:r>
              <w:rPr>
                <w:b/>
                <w:bCs/>
                <w:sz w:val="24"/>
                <w:szCs w:val="24"/>
              </w:rPr>
              <w:t xml:space="preserve">            </w:t>
            </w:r>
            <w:r>
              <w:rPr>
                <w:sz w:val="24"/>
                <w:szCs w:val="24"/>
              </w:rPr>
              <w:t>6.4.3.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4F490A27">
            <w:pPr>
              <w:adjustRightInd w:val="0"/>
              <w:jc w:val="both"/>
              <w:rPr>
                <w:sz w:val="24"/>
                <w:szCs w:val="24"/>
              </w:rPr>
            </w:pPr>
            <w:r>
              <w:rPr>
                <w:b/>
                <w:bCs/>
                <w:sz w:val="24"/>
                <w:szCs w:val="24"/>
              </w:rPr>
              <w:t xml:space="preserve">            </w:t>
            </w:r>
            <w:r>
              <w:rPr>
                <w:sz w:val="24"/>
                <w:szCs w:val="24"/>
              </w:rPr>
              <w:t>6.4.4.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401748D8">
            <w:pPr>
              <w:adjustRightInd w:val="0"/>
              <w:jc w:val="both"/>
              <w:rPr>
                <w:sz w:val="24"/>
                <w:szCs w:val="24"/>
              </w:rPr>
            </w:pPr>
            <w:r>
              <w:rPr>
                <w:b/>
                <w:bCs/>
                <w:sz w:val="24"/>
                <w:szCs w:val="24"/>
              </w:rPr>
              <w:t xml:space="preserve">            </w:t>
            </w:r>
            <w:r>
              <w:rPr>
                <w:sz w:val="24"/>
                <w:szCs w:val="24"/>
              </w:rPr>
              <w:t>6.4.5. A contratada/credenciada deve atender às obrigações trabalhistas, fiscais, previdenciárias e outras que lhe seja correlata.</w:t>
            </w:r>
          </w:p>
          <w:p w14:paraId="585255AB">
            <w:pPr>
              <w:adjustRightInd w:val="0"/>
              <w:jc w:val="both"/>
              <w:rPr>
                <w:sz w:val="24"/>
                <w:szCs w:val="24"/>
              </w:rPr>
            </w:pPr>
            <w:r>
              <w:rPr>
                <w:b/>
                <w:bCs/>
                <w:sz w:val="24"/>
                <w:szCs w:val="24"/>
              </w:rPr>
              <w:t xml:space="preserve">            </w:t>
            </w:r>
            <w:r>
              <w:rPr>
                <w:sz w:val="24"/>
                <w:szCs w:val="24"/>
              </w:rPr>
              <w:t>6.4.6.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69AD5ABC">
            <w:pPr>
              <w:adjustRightInd w:val="0"/>
              <w:jc w:val="both"/>
              <w:rPr>
                <w:sz w:val="24"/>
                <w:szCs w:val="24"/>
              </w:rPr>
            </w:pPr>
            <w:r>
              <w:rPr>
                <w:b/>
                <w:bCs/>
                <w:sz w:val="24"/>
                <w:szCs w:val="24"/>
              </w:rPr>
              <w:t xml:space="preserve">            </w:t>
            </w:r>
            <w:r>
              <w:rPr>
                <w:sz w:val="24"/>
                <w:szCs w:val="24"/>
              </w:rPr>
              <w:t>6.4.7.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3A7EC16D">
            <w:pPr>
              <w:adjustRightInd w:val="0"/>
              <w:jc w:val="both"/>
              <w:rPr>
                <w:sz w:val="24"/>
                <w:szCs w:val="24"/>
              </w:rPr>
            </w:pPr>
            <w:r>
              <w:rPr>
                <w:b/>
                <w:bCs/>
                <w:sz w:val="24"/>
                <w:szCs w:val="24"/>
              </w:rPr>
              <w:t xml:space="preserve">            </w:t>
            </w:r>
            <w:r>
              <w:rPr>
                <w:sz w:val="24"/>
                <w:szCs w:val="24"/>
              </w:rPr>
              <w:t>6.4.8. Os funcionários da (s) empresa (s) credenciada (s) deverão estar uniformizados, portando equipamentos de proteção individual, nos termos da legislação vigente.</w:t>
            </w:r>
          </w:p>
          <w:p w14:paraId="2BCF585A">
            <w:pPr>
              <w:adjustRightInd w:val="0"/>
              <w:jc w:val="both"/>
              <w:rPr>
                <w:sz w:val="24"/>
                <w:szCs w:val="24"/>
              </w:rPr>
            </w:pPr>
            <w:r>
              <w:rPr>
                <w:b/>
                <w:bCs/>
                <w:sz w:val="24"/>
                <w:szCs w:val="24"/>
              </w:rPr>
              <w:t xml:space="preserve">            </w:t>
            </w:r>
            <w:r>
              <w:rPr>
                <w:sz w:val="24"/>
                <w:szCs w:val="24"/>
              </w:rPr>
              <w:t>6.4.9. O veículo de guincho deverá estar em excelente condição de uso nas partes mecânicas e lataria, possuindo equipamentos obrigatórios de segurança, estabelecidos no Código de Trânsito Brasileiro, e os guinchos deverão possuir, além dos equipamentos obrigatórios previstos na legislação de trânsito, os seguintes equipamentos:</w:t>
            </w:r>
          </w:p>
          <w:p w14:paraId="4C7D41CC">
            <w:pPr>
              <w:adjustRightInd w:val="0"/>
              <w:jc w:val="both"/>
              <w:rPr>
                <w:sz w:val="24"/>
                <w:szCs w:val="24"/>
              </w:rPr>
            </w:pPr>
            <w:r>
              <w:rPr>
                <w:b/>
                <w:bCs/>
                <w:sz w:val="24"/>
                <w:szCs w:val="24"/>
              </w:rPr>
              <w:t xml:space="preserve">            </w:t>
            </w:r>
            <w:r>
              <w:rPr>
                <w:sz w:val="24"/>
                <w:szCs w:val="24"/>
              </w:rPr>
              <w:t>I - Câmera fotográfica digital profissional, com pelo menos 10 (dez) megapixels de resolução cada.</w:t>
            </w:r>
          </w:p>
          <w:p w14:paraId="7C52056C">
            <w:pPr>
              <w:adjustRightInd w:val="0"/>
              <w:jc w:val="both"/>
              <w:rPr>
                <w:sz w:val="24"/>
                <w:szCs w:val="24"/>
              </w:rPr>
            </w:pPr>
            <w:r>
              <w:rPr>
                <w:b/>
                <w:bCs/>
                <w:sz w:val="24"/>
                <w:szCs w:val="24"/>
              </w:rPr>
              <w:t xml:space="preserve">           </w:t>
            </w:r>
            <w:r>
              <w:rPr>
                <w:sz w:val="24"/>
                <w:szCs w:val="24"/>
              </w:rPr>
              <w:t>II - 01 (um) Extintor de incêndio de pelo menos 06 (seis) kg de pó químico seco ou de gás carbônico, com carga e casco dentro da validade.</w:t>
            </w:r>
          </w:p>
          <w:p w14:paraId="71A70A06">
            <w:pPr>
              <w:adjustRightInd w:val="0"/>
              <w:jc w:val="both"/>
              <w:rPr>
                <w:sz w:val="24"/>
                <w:szCs w:val="24"/>
              </w:rPr>
            </w:pPr>
            <w:r>
              <w:rPr>
                <w:b/>
                <w:bCs/>
                <w:sz w:val="24"/>
                <w:szCs w:val="24"/>
              </w:rPr>
              <w:t xml:space="preserve">           </w:t>
            </w:r>
            <w:r>
              <w:rPr>
                <w:sz w:val="24"/>
                <w:szCs w:val="24"/>
              </w:rPr>
              <w:t>III - Rolo de fita zebrada para delimitação/isolamento de área nas cores preto e amarelo com largura mínima de 70 (setenta) mm e comprimento mínimo de 100 (cem) metros.</w:t>
            </w:r>
          </w:p>
          <w:p w14:paraId="303889E2">
            <w:pPr>
              <w:adjustRightInd w:val="0"/>
              <w:jc w:val="both"/>
              <w:rPr>
                <w:sz w:val="24"/>
                <w:szCs w:val="24"/>
              </w:rPr>
            </w:pPr>
            <w:r>
              <w:rPr>
                <w:b/>
                <w:bCs/>
                <w:sz w:val="24"/>
                <w:szCs w:val="24"/>
              </w:rPr>
              <w:t xml:space="preserve">           </w:t>
            </w:r>
            <w:r>
              <w:rPr>
                <w:sz w:val="24"/>
                <w:szCs w:val="24"/>
              </w:rPr>
              <w:t>IV - Cones de Sinalização, no mínimo 10 (dez).</w:t>
            </w:r>
          </w:p>
          <w:p w14:paraId="040E66C4">
            <w:pPr>
              <w:adjustRightInd w:val="0"/>
              <w:jc w:val="both"/>
              <w:rPr>
                <w:sz w:val="24"/>
                <w:szCs w:val="24"/>
              </w:rPr>
            </w:pPr>
            <w:r>
              <w:rPr>
                <w:b/>
                <w:bCs/>
                <w:sz w:val="24"/>
                <w:szCs w:val="24"/>
              </w:rPr>
              <w:t xml:space="preserve">            </w:t>
            </w:r>
            <w:r>
              <w:rPr>
                <w:sz w:val="24"/>
                <w:szCs w:val="24"/>
              </w:rPr>
              <w:t>V - Dispositivo luminoso intermitente ou rotativo, na cor amarela âmbar sobre o teto do veículo, de acordo com a legislação vigente (Resolução nº 268, de 15/02/2008, do CONTRAN).</w:t>
            </w:r>
          </w:p>
          <w:p w14:paraId="37892181">
            <w:pPr>
              <w:adjustRightInd w:val="0"/>
              <w:jc w:val="both"/>
              <w:rPr>
                <w:sz w:val="24"/>
                <w:szCs w:val="24"/>
              </w:rPr>
            </w:pPr>
            <w:r>
              <w:rPr>
                <w:b/>
                <w:bCs/>
                <w:sz w:val="24"/>
                <w:szCs w:val="24"/>
              </w:rPr>
              <w:t xml:space="preserve">            </w:t>
            </w:r>
            <w:r>
              <w:rPr>
                <w:sz w:val="24"/>
                <w:szCs w:val="24"/>
              </w:rPr>
              <w:t>VI - Farolete portátil de longo alcance ou dispositivo equivalente de iluminação com tecnologia por LED.</w:t>
            </w:r>
          </w:p>
          <w:p w14:paraId="22D72376">
            <w:pPr>
              <w:adjustRightInd w:val="0"/>
              <w:jc w:val="both"/>
              <w:rPr>
                <w:sz w:val="24"/>
                <w:szCs w:val="24"/>
              </w:rPr>
            </w:pPr>
            <w:r>
              <w:rPr>
                <w:b/>
                <w:bCs/>
                <w:sz w:val="24"/>
                <w:szCs w:val="24"/>
              </w:rPr>
              <w:t xml:space="preserve">            </w:t>
            </w:r>
            <w:r>
              <w:rPr>
                <w:sz w:val="24"/>
                <w:szCs w:val="24"/>
              </w:rPr>
              <w:t>VII - Dispositivo mecânico de tração de veículos com cabo de aço.</w:t>
            </w:r>
          </w:p>
          <w:p w14:paraId="3278384A">
            <w:pPr>
              <w:adjustRightInd w:val="0"/>
              <w:jc w:val="both"/>
              <w:rPr>
                <w:sz w:val="24"/>
                <w:szCs w:val="24"/>
              </w:rPr>
            </w:pPr>
            <w:r>
              <w:rPr>
                <w:b/>
                <w:bCs/>
                <w:sz w:val="24"/>
                <w:szCs w:val="24"/>
              </w:rPr>
              <w:t xml:space="preserve">            </w:t>
            </w:r>
            <w:r>
              <w:rPr>
                <w:sz w:val="24"/>
                <w:szCs w:val="24"/>
              </w:rPr>
              <w:t>VIII - Patins para movimentação e remoção de veículos.</w:t>
            </w:r>
          </w:p>
          <w:p w14:paraId="4914413B">
            <w:pPr>
              <w:adjustRightInd w:val="0"/>
              <w:jc w:val="both"/>
              <w:rPr>
                <w:sz w:val="24"/>
                <w:szCs w:val="24"/>
              </w:rPr>
            </w:pPr>
            <w:r>
              <w:rPr>
                <w:b/>
                <w:bCs/>
                <w:sz w:val="24"/>
                <w:szCs w:val="24"/>
              </w:rPr>
              <w:t xml:space="preserve">            </w:t>
            </w:r>
            <w:r>
              <w:rPr>
                <w:sz w:val="24"/>
                <w:szCs w:val="24"/>
              </w:rPr>
              <w:t>6.4.10. Os veículos que executam o Serviço de Remoção do Local solicitado até o Pátio, deverão possuir apólice de seguro contra danos materiais e pessoais a terceiros, com valor não inferior a 80.000 UR`s (oitenta mil unidades de referência).</w:t>
            </w:r>
          </w:p>
          <w:p w14:paraId="29173FD0">
            <w:pPr>
              <w:adjustRightInd w:val="0"/>
              <w:jc w:val="both"/>
              <w:rPr>
                <w:sz w:val="24"/>
                <w:szCs w:val="24"/>
              </w:rPr>
            </w:pPr>
            <w:r>
              <w:rPr>
                <w:b/>
                <w:bCs/>
                <w:sz w:val="24"/>
                <w:szCs w:val="24"/>
              </w:rPr>
              <w:t xml:space="preserve">            </w:t>
            </w:r>
            <w:r>
              <w:rPr>
                <w:sz w:val="24"/>
                <w:szCs w:val="24"/>
              </w:rPr>
              <w:t>6.4.11. Os veículos de guincho deverão serem submetidos a vistorias semestrais periódicas estabelecidas pela Secretaria Municipal de Segurança e Trânsito - SST.</w:t>
            </w:r>
          </w:p>
          <w:p w14:paraId="7BF7DE0F">
            <w:pPr>
              <w:adjustRightInd w:val="0"/>
              <w:jc w:val="both"/>
              <w:rPr>
                <w:sz w:val="24"/>
                <w:szCs w:val="24"/>
              </w:rPr>
            </w:pPr>
            <w:r>
              <w:rPr>
                <w:b/>
                <w:bCs/>
                <w:sz w:val="24"/>
                <w:szCs w:val="24"/>
              </w:rPr>
              <w:t xml:space="preserve">           </w:t>
            </w:r>
            <w:r>
              <w:rPr>
                <w:sz w:val="24"/>
                <w:szCs w:val="24"/>
              </w:rPr>
              <w:t xml:space="preserve"> 6.4.12. Os condutores/operadores e ajudantes que trabalhem na (s) empresa (s) credenciada (s) deverão ser previamente cadastrados junto à Contratante.</w:t>
            </w:r>
          </w:p>
          <w:p w14:paraId="6F0EDAEF">
            <w:pPr>
              <w:adjustRightInd w:val="0"/>
              <w:jc w:val="both"/>
              <w:rPr>
                <w:sz w:val="24"/>
                <w:szCs w:val="24"/>
              </w:rPr>
            </w:pPr>
            <w:r>
              <w:rPr>
                <w:b/>
                <w:bCs/>
                <w:sz w:val="24"/>
                <w:szCs w:val="24"/>
              </w:rPr>
              <w:t xml:space="preserve">            </w:t>
            </w:r>
            <w:r>
              <w:rPr>
                <w:sz w:val="24"/>
                <w:szCs w:val="24"/>
              </w:rPr>
              <w:t>6.4.13. A (s) empresa (s) credenciada (s) deverá (ão) possuir, pelo menos, 01 (um) veículo regularmente adaptado para a execução segura do serviço de guincho, com capacidade de remoção de motocicletas, ciclomotores, veículos de passeio, utilitários ou similares que não ultrapassem o peso bruto total de 3.500 kg.</w:t>
            </w:r>
          </w:p>
          <w:p w14:paraId="27F1FBD6">
            <w:pPr>
              <w:adjustRightInd w:val="0"/>
              <w:jc w:val="both"/>
              <w:rPr>
                <w:sz w:val="24"/>
                <w:szCs w:val="24"/>
              </w:rPr>
            </w:pPr>
            <w:r>
              <w:rPr>
                <w:b/>
                <w:bCs/>
                <w:sz w:val="24"/>
                <w:szCs w:val="24"/>
              </w:rPr>
              <w:t xml:space="preserve">            </w:t>
            </w:r>
            <w:r>
              <w:rPr>
                <w:sz w:val="24"/>
                <w:szCs w:val="24"/>
              </w:rPr>
              <w:t>6.4.14. A (s) empresa (s) credenciada (s) deverá (ão) possuir, pelo menos, 01 (um) veículo regularmente adaptado para a execução segura do serviço de guincho, com capacidade de remoção de veículos de cargas e passageiros com peso bruto superior a 3.500 kg, articulados, reboques e semi-reboques. Caso não possuam o veículo, podem apresentar contrato de locação ou similar que demostre a disponibilização deste veículo para a adequada prestação do serviço. No caso de veículos locados ou similar, os mesmos também deverão serem submetidos a vistorias semestrais periódicas estabelecidas pela Secretaria Municipal de Segurança e Trânsito - SST.</w:t>
            </w:r>
          </w:p>
          <w:p w14:paraId="095701B5">
            <w:pPr>
              <w:adjustRightInd w:val="0"/>
              <w:jc w:val="both"/>
              <w:rPr>
                <w:sz w:val="24"/>
                <w:szCs w:val="24"/>
              </w:rPr>
            </w:pPr>
            <w:r>
              <w:rPr>
                <w:b/>
                <w:bCs/>
                <w:sz w:val="24"/>
                <w:szCs w:val="24"/>
              </w:rPr>
              <w:t xml:space="preserve">            </w:t>
            </w:r>
            <w:r>
              <w:rPr>
                <w:sz w:val="24"/>
                <w:szCs w:val="24"/>
              </w:rPr>
              <w:t xml:space="preserve">6.4.15. Se for necessário, a empresa deverá disponibilizar mais de um veículo, com as mesmas características, para a realização de todos os serviços contratados, de acordo com a demanda, podendo estes serem locados, porém com o devido cadastro junto ao Departamento de Pátio e Leilão. </w:t>
            </w:r>
          </w:p>
          <w:p w14:paraId="69E942BC">
            <w:pPr>
              <w:adjustRightInd w:val="0"/>
              <w:jc w:val="both"/>
              <w:rPr>
                <w:sz w:val="24"/>
                <w:szCs w:val="24"/>
              </w:rPr>
            </w:pPr>
            <w:r>
              <w:rPr>
                <w:b/>
                <w:bCs/>
                <w:sz w:val="24"/>
                <w:szCs w:val="24"/>
              </w:rPr>
              <w:t xml:space="preserve">            </w:t>
            </w:r>
            <w:r>
              <w:rPr>
                <w:sz w:val="24"/>
                <w:szCs w:val="24"/>
              </w:rPr>
              <w:t xml:space="preserve">6.4.16. Condutor/operador deverá possuir capacidade técnica para a realização das operações contratadas, devendo ser habilitado na categoria correspondente ao veículo conduzido, especialmente, quando houver acoplamento de veículos. </w:t>
            </w:r>
          </w:p>
          <w:p w14:paraId="34B2192A">
            <w:pPr>
              <w:adjustRightInd w:val="0"/>
              <w:jc w:val="both"/>
              <w:rPr>
                <w:sz w:val="24"/>
                <w:szCs w:val="24"/>
              </w:rPr>
            </w:pPr>
            <w:r>
              <w:rPr>
                <w:b/>
                <w:bCs/>
                <w:sz w:val="24"/>
                <w:szCs w:val="24"/>
              </w:rPr>
              <w:t xml:space="preserve">            </w:t>
            </w:r>
            <w:r>
              <w:rPr>
                <w:sz w:val="24"/>
                <w:szCs w:val="24"/>
              </w:rPr>
              <w:t>6.4.17. A Contratada não poderá utilizar funcionários cuja conduta ou antecedentes sejam incompatíveis com a execução do serviço contratado, podendo a Contratante, a seu critério, requerer a substituição.</w:t>
            </w:r>
          </w:p>
          <w:p w14:paraId="2F7C2531">
            <w:pPr>
              <w:adjustRightInd w:val="0"/>
              <w:jc w:val="both"/>
              <w:rPr>
                <w:b/>
                <w:bCs/>
                <w:sz w:val="24"/>
                <w:szCs w:val="24"/>
              </w:rPr>
            </w:pPr>
            <w:r>
              <w:rPr>
                <w:b/>
                <w:bCs/>
                <w:sz w:val="24"/>
                <w:szCs w:val="24"/>
              </w:rPr>
              <w:t xml:space="preserve">            6.5. SERVIÇOS DE DEPÓSITO EM PÁTIO</w:t>
            </w:r>
          </w:p>
          <w:p w14:paraId="48ABA6D6">
            <w:pPr>
              <w:adjustRightInd w:val="0"/>
              <w:jc w:val="both"/>
              <w:rPr>
                <w:sz w:val="24"/>
                <w:szCs w:val="24"/>
              </w:rPr>
            </w:pPr>
            <w:r>
              <w:rPr>
                <w:b/>
                <w:bCs/>
                <w:sz w:val="24"/>
                <w:szCs w:val="24"/>
              </w:rPr>
              <w:t xml:space="preserve">            </w:t>
            </w:r>
            <w:r>
              <w:rPr>
                <w:sz w:val="24"/>
                <w:szCs w:val="24"/>
              </w:rPr>
              <w:t>6.5.1. O serviço de depósito em pátio consiste na guarda e depósito em Pátio de veículo apreendido em decorrência de ação fiscalizatória da Guarda Civil Municipal de Sinop ou de outro órgão de segurança pública, com objetivo de garantir a segurança ao patrimônio particular, até regularização do veículo ou das condições de habilitação por parte do motorista e/ou proprietário do veículo.</w:t>
            </w:r>
          </w:p>
          <w:p w14:paraId="7C2C3801">
            <w:pPr>
              <w:adjustRightInd w:val="0"/>
              <w:jc w:val="both"/>
              <w:rPr>
                <w:sz w:val="24"/>
                <w:szCs w:val="24"/>
              </w:rPr>
            </w:pPr>
            <w:r>
              <w:rPr>
                <w:b/>
                <w:bCs/>
                <w:sz w:val="24"/>
                <w:szCs w:val="24"/>
              </w:rPr>
              <w:t xml:space="preserve">            </w:t>
            </w:r>
            <w:r>
              <w:rPr>
                <w:sz w:val="24"/>
                <w:szCs w:val="24"/>
              </w:rPr>
              <w:t>6.5.2. Para segurança e conservação do patrimônio particular, durante a execução dos serviços de Depósito em Pátio de veículos autuados e apreendidos, a (s) empresa (s) credenciada (s) deverá (ão) possuir (em):</w:t>
            </w:r>
          </w:p>
          <w:p w14:paraId="476D7D84">
            <w:pPr>
              <w:adjustRightInd w:val="0"/>
              <w:jc w:val="both"/>
              <w:rPr>
                <w:sz w:val="24"/>
                <w:szCs w:val="24"/>
              </w:rPr>
            </w:pPr>
            <w:r>
              <w:rPr>
                <w:b/>
                <w:bCs/>
                <w:sz w:val="24"/>
                <w:szCs w:val="24"/>
              </w:rPr>
              <w:t xml:space="preserve">            </w:t>
            </w:r>
            <w:r>
              <w:rPr>
                <w:sz w:val="24"/>
                <w:szCs w:val="24"/>
              </w:rPr>
              <w:t>I - A (s) empresa (s) credenciada (s) deverá (ão) possuir local apropriado próprio ou alugado (todo murado, com cerca elétrica e alarme), que permita a guarda em total segurança de todos os veículos removidos, independente do motivo da remoção, peso ou tamanho, não podendo alegar falta de espaço como causa de não prestação dos serviços.</w:t>
            </w:r>
          </w:p>
          <w:p w14:paraId="4E75143C">
            <w:pPr>
              <w:adjustRightInd w:val="0"/>
              <w:jc w:val="both"/>
              <w:rPr>
                <w:sz w:val="24"/>
                <w:szCs w:val="24"/>
              </w:rPr>
            </w:pPr>
            <w:r>
              <w:rPr>
                <w:b/>
                <w:bCs/>
                <w:sz w:val="24"/>
                <w:szCs w:val="24"/>
              </w:rPr>
              <w:t xml:space="preserve">            </w:t>
            </w:r>
            <w:r>
              <w:rPr>
                <w:sz w:val="24"/>
                <w:szCs w:val="24"/>
              </w:rPr>
              <w:t>II - Controle de registro em local visível ao usuário, no qual o condutor ou proprietário, ao retirar o veículo, registrará eventuais danos, ou falta de equipamentos e/ou acessórios, ou, ainda, a sua inconformidade pelo estado do veículo.</w:t>
            </w:r>
          </w:p>
          <w:p w14:paraId="7C960F1F">
            <w:pPr>
              <w:adjustRightInd w:val="0"/>
              <w:jc w:val="both"/>
              <w:rPr>
                <w:sz w:val="24"/>
                <w:szCs w:val="24"/>
              </w:rPr>
            </w:pPr>
            <w:r>
              <w:rPr>
                <w:b/>
                <w:bCs/>
                <w:sz w:val="24"/>
                <w:szCs w:val="24"/>
              </w:rPr>
              <w:t xml:space="preserve">            </w:t>
            </w:r>
            <w:r>
              <w:rPr>
                <w:sz w:val="24"/>
                <w:szCs w:val="24"/>
              </w:rPr>
              <w:t>III - Responsabilidade desde a retirada do veículo do local da remoção, até a entrega do veículo ao proprietário ou representante legal, por danos causados ao veículo e pela comprovada falta de equipamentos e/ou acessórios, assegurado o direito de regresso contra o autor do dano ou responsável pelo fato.</w:t>
            </w:r>
          </w:p>
          <w:p w14:paraId="23CF037C">
            <w:pPr>
              <w:adjustRightInd w:val="0"/>
              <w:jc w:val="both"/>
              <w:rPr>
                <w:sz w:val="24"/>
                <w:szCs w:val="24"/>
              </w:rPr>
            </w:pPr>
            <w:r>
              <w:rPr>
                <w:b/>
                <w:bCs/>
                <w:sz w:val="24"/>
                <w:szCs w:val="24"/>
              </w:rPr>
              <w:t xml:space="preserve">            </w:t>
            </w:r>
            <w:r>
              <w:rPr>
                <w:sz w:val="24"/>
                <w:szCs w:val="24"/>
              </w:rPr>
              <w:t>IV - Manter, sob suas expensas, durante todo tempo da permissão, seguro de responsabilidade civil destinado a cobrir prejuízos causados por danos materiais (furto, roubo, incêndio e outros), nos veículos depositados sob sua responsabilidade. A empresa deverá apresentar Apólice de Seguro de Responsabilidade Civil de no mínimo 80.000 UR’s (oitenta mil unidades de referência).</w:t>
            </w:r>
          </w:p>
          <w:p w14:paraId="57C58330">
            <w:pPr>
              <w:adjustRightInd w:val="0"/>
              <w:jc w:val="both"/>
              <w:rPr>
                <w:sz w:val="24"/>
                <w:szCs w:val="24"/>
              </w:rPr>
            </w:pPr>
            <w:r>
              <w:rPr>
                <w:b/>
                <w:bCs/>
                <w:sz w:val="24"/>
                <w:szCs w:val="24"/>
              </w:rPr>
              <w:t xml:space="preserve">            </w:t>
            </w:r>
            <w:r>
              <w:rPr>
                <w:sz w:val="24"/>
                <w:szCs w:val="24"/>
              </w:rPr>
              <w:t>V - Assumir integral responsabilidade pela boa e eficiente execução dos serviços públicos prestados.</w:t>
            </w:r>
          </w:p>
          <w:p w14:paraId="4F46ABCB">
            <w:pPr>
              <w:adjustRightInd w:val="0"/>
              <w:jc w:val="both"/>
              <w:rPr>
                <w:sz w:val="24"/>
                <w:szCs w:val="24"/>
              </w:rPr>
            </w:pPr>
            <w:r>
              <w:rPr>
                <w:b/>
                <w:bCs/>
                <w:sz w:val="24"/>
                <w:szCs w:val="24"/>
              </w:rPr>
              <w:t xml:space="preserve">            </w:t>
            </w:r>
            <w:r>
              <w:rPr>
                <w:sz w:val="24"/>
                <w:szCs w:val="24"/>
              </w:rPr>
              <w:t>VI - Possuir central de videomonitoramento de todo o pátio, 24 (vinte e quatro) horas por dia, 07 (sete) dias por semana, mantendo gravação mínima de 60 (sessenta) dias, disponibilizando Link de acesso às Câmeras para a Secretaria Municipal de Segurança e Trânsito.</w:t>
            </w:r>
          </w:p>
          <w:p w14:paraId="65395F0A">
            <w:pPr>
              <w:adjustRightInd w:val="0"/>
              <w:jc w:val="both"/>
              <w:rPr>
                <w:sz w:val="24"/>
                <w:szCs w:val="24"/>
              </w:rPr>
            </w:pPr>
            <w:r>
              <w:rPr>
                <w:b/>
                <w:bCs/>
                <w:sz w:val="24"/>
                <w:szCs w:val="24"/>
              </w:rPr>
              <w:t xml:space="preserve">            </w:t>
            </w:r>
            <w:r>
              <w:rPr>
                <w:sz w:val="24"/>
                <w:szCs w:val="24"/>
              </w:rPr>
              <w:t>6.5.3.</w:t>
            </w:r>
            <w:r>
              <w:rPr>
                <w:b/>
                <w:bCs/>
                <w:sz w:val="24"/>
                <w:szCs w:val="24"/>
              </w:rPr>
              <w:t xml:space="preserve"> </w:t>
            </w:r>
            <w:r>
              <w:rPr>
                <w:sz w:val="24"/>
                <w:szCs w:val="24"/>
              </w:rPr>
              <w:t>Nos casos de Liberações Condicionadas em que as irregularidades possam ser sanadas dentro do Pátio da empresa credenciada, fica a empresa responsável em tirar fotos do veículo com as irregularidades sanadas e encaminhar para o Departamento de Pátio e Leilão.</w:t>
            </w:r>
          </w:p>
          <w:p w14:paraId="64FFE9BB">
            <w:pPr>
              <w:adjustRightInd w:val="0"/>
              <w:jc w:val="both"/>
              <w:rPr>
                <w:sz w:val="24"/>
                <w:szCs w:val="24"/>
              </w:rPr>
            </w:pPr>
            <w:r>
              <w:rPr>
                <w:sz w:val="24"/>
                <w:szCs w:val="24"/>
              </w:rPr>
              <w:t xml:space="preserve">            6.5.4. A (s) empresa (s) credenciada (s) deverão ter atendimento ao público de segunda a sexta-feira (exceto em feriados), das 07h00min às 17h00min, sem intervalo para almoço.</w:t>
            </w:r>
          </w:p>
          <w:p w14:paraId="48B6A8BD">
            <w:pPr>
              <w:adjustRightInd w:val="0"/>
              <w:jc w:val="both"/>
              <w:rPr>
                <w:b/>
                <w:bCs/>
                <w:sz w:val="24"/>
                <w:szCs w:val="24"/>
              </w:rPr>
            </w:pPr>
            <w:r>
              <w:rPr>
                <w:b/>
                <w:bCs/>
                <w:sz w:val="24"/>
                <w:szCs w:val="24"/>
              </w:rPr>
              <w:t xml:space="preserve">            6.6. DAS TAXAS DE REMOÇÃO, SERVIÇO DE MUNCK E TAXA DE DEPÓSITO EM PÁTIO.</w:t>
            </w:r>
          </w:p>
          <w:p w14:paraId="22743387">
            <w:pPr>
              <w:adjustRightInd w:val="0"/>
              <w:jc w:val="both"/>
              <w:rPr>
                <w:sz w:val="24"/>
                <w:szCs w:val="24"/>
              </w:rPr>
            </w:pPr>
            <w:r>
              <w:rPr>
                <w:b/>
                <w:bCs/>
                <w:sz w:val="24"/>
                <w:szCs w:val="24"/>
              </w:rPr>
              <w:t xml:space="preserve">            </w:t>
            </w:r>
            <w:r>
              <w:rPr>
                <w:sz w:val="24"/>
                <w:szCs w:val="24"/>
              </w:rPr>
              <w:t>6.6.1. Os valores das referidas taxas de Remoção, Serviço de Munck e Taxa de Depósito em Pátio estão expressas no Termo de Referência, de acordo com a Lei Municipal 2985/2021, sendo que as taxas são calculadas com base na U. R. - Unidade de Referência, deste modo, atualizando os valores automaticamente todo início de ano.</w:t>
            </w:r>
          </w:p>
          <w:p w14:paraId="5EE985DA">
            <w:pPr>
              <w:adjustRightInd w:val="0"/>
              <w:jc w:val="both"/>
              <w:rPr>
                <w:sz w:val="24"/>
                <w:szCs w:val="24"/>
              </w:rPr>
            </w:pPr>
            <w:r>
              <w:rPr>
                <w:b/>
                <w:bCs/>
                <w:sz w:val="24"/>
                <w:szCs w:val="24"/>
              </w:rPr>
              <w:t xml:space="preserve">            </w:t>
            </w:r>
            <w:r>
              <w:rPr>
                <w:sz w:val="24"/>
                <w:szCs w:val="24"/>
              </w:rPr>
              <w:t>6.6.2.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3FC0E4CC">
            <w:pPr>
              <w:adjustRightInd w:val="0"/>
              <w:jc w:val="both"/>
              <w:rPr>
                <w:sz w:val="24"/>
                <w:szCs w:val="24"/>
              </w:rPr>
            </w:pPr>
            <w:r>
              <w:rPr>
                <w:sz w:val="24"/>
                <w:szCs w:val="24"/>
              </w:rPr>
              <w:t xml:space="preserve">            6.6.3.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66162F76">
            <w:pPr>
              <w:adjustRightInd w:val="0"/>
              <w:jc w:val="both"/>
              <w:rPr>
                <w:sz w:val="24"/>
                <w:szCs w:val="24"/>
              </w:rPr>
            </w:pPr>
            <w:r>
              <w:rPr>
                <w:b/>
                <w:bCs/>
                <w:sz w:val="24"/>
                <w:szCs w:val="24"/>
              </w:rPr>
              <w:t xml:space="preserve">            </w:t>
            </w:r>
            <w:r>
              <w:rPr>
                <w:sz w:val="24"/>
                <w:szCs w:val="24"/>
              </w:rPr>
              <w:t>6.6.4.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7C27BB66">
            <w:pPr>
              <w:adjustRightInd w:val="0"/>
              <w:jc w:val="both"/>
              <w:rPr>
                <w:b/>
                <w:bCs/>
                <w:sz w:val="24"/>
                <w:szCs w:val="24"/>
              </w:rPr>
            </w:pPr>
            <w:r>
              <w:rPr>
                <w:b/>
                <w:bCs/>
                <w:sz w:val="24"/>
                <w:szCs w:val="24"/>
              </w:rPr>
              <w:t xml:space="preserve">            6.7. METODOLOGIA PARA DISTRIBUIÇÃO DOS SERVIÇOS: </w:t>
            </w:r>
          </w:p>
          <w:p w14:paraId="1B4D29B9">
            <w:pPr>
              <w:adjustRightInd w:val="0"/>
              <w:jc w:val="both"/>
              <w:rPr>
                <w:b/>
                <w:bCs/>
                <w:sz w:val="24"/>
                <w:szCs w:val="24"/>
              </w:rPr>
            </w:pPr>
            <w:r>
              <w:rPr>
                <w:b/>
                <w:bCs/>
                <w:sz w:val="24"/>
                <w:szCs w:val="24"/>
              </w:rPr>
              <w:t xml:space="preserve">            </w:t>
            </w:r>
            <w:r>
              <w:rPr>
                <w:sz w:val="24"/>
                <w:szCs w:val="24"/>
              </w:rPr>
              <w:t>6.7.1.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7A4666CF">
            <w:pPr>
              <w:adjustRightInd w:val="0"/>
              <w:jc w:val="both"/>
              <w:rPr>
                <w:sz w:val="24"/>
                <w:szCs w:val="24"/>
              </w:rPr>
            </w:pPr>
            <w:r>
              <w:rPr>
                <w:b/>
                <w:bCs/>
                <w:sz w:val="24"/>
                <w:szCs w:val="24"/>
              </w:rPr>
              <w:t xml:space="preserve">            </w:t>
            </w:r>
            <w:r>
              <w:rPr>
                <w:sz w:val="24"/>
                <w:szCs w:val="24"/>
              </w:rPr>
              <w:t xml:space="preserve">6.7.2.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79E313C6">
            <w:pPr>
              <w:adjustRightInd w:val="0"/>
              <w:jc w:val="both"/>
              <w:rPr>
                <w:sz w:val="24"/>
                <w:szCs w:val="24"/>
              </w:rPr>
            </w:pPr>
            <w:r>
              <w:rPr>
                <w:sz w:val="24"/>
                <w:szCs w:val="24"/>
              </w:rPr>
              <w:t xml:space="preserve">            6.7.3. Havendo mais de uma empresa credenciada, nas operações integradas da Lei Seca, será feito escala diferenciada pelo Departamento de Pátio e Leilão e encaminhada as mesmas.</w:t>
            </w:r>
          </w:p>
          <w:p w14:paraId="177A8772">
            <w:pPr>
              <w:adjustRightInd w:val="0"/>
              <w:jc w:val="both"/>
              <w:rPr>
                <w:rFonts w:eastAsia="SimSun"/>
                <w:color w:val="000000"/>
                <w:sz w:val="24"/>
                <w:szCs w:val="24"/>
              </w:rPr>
            </w:pPr>
            <w:r>
              <w:rPr>
                <w:rFonts w:eastAsia="SimSun"/>
                <w:color w:val="000000"/>
                <w:sz w:val="24"/>
                <w:szCs w:val="24"/>
              </w:rPr>
              <w:t xml:space="preserve">            </w:t>
            </w:r>
            <w:r>
              <w:rPr>
                <w:sz w:val="24"/>
                <w:szCs w:val="24"/>
              </w:rPr>
              <w:t>6.7.4.</w:t>
            </w:r>
            <w:r>
              <w:rPr>
                <w:rFonts w:eastAsia="SimSun"/>
                <w:color w:val="000000"/>
                <w:sz w:val="24"/>
                <w:szCs w:val="24"/>
              </w:rPr>
              <w:t xml:space="preserve"> Nas Operações Integradas Lei Seca, todos os motoristas dos caminhões do guincho de plantão, serão submetidos ao teste do etilômetro.</w:t>
            </w:r>
          </w:p>
          <w:p w14:paraId="52AAE546">
            <w:pPr>
              <w:ind w:firstLine="720" w:firstLineChars="300"/>
              <w:jc w:val="both"/>
              <w:rPr>
                <w:b/>
                <w:bCs/>
                <w:sz w:val="24"/>
                <w:szCs w:val="24"/>
                <w:u w:val="single"/>
              </w:rPr>
            </w:pPr>
            <w:r>
              <w:rPr>
                <w:b/>
                <w:bCs/>
                <w:sz w:val="24"/>
                <w:szCs w:val="24"/>
                <w:u w:val="single"/>
              </w:rPr>
              <w:t>6.8. CABERÁ À CONTRATANTE:</w:t>
            </w:r>
          </w:p>
          <w:p w14:paraId="012A8580">
            <w:pPr>
              <w:ind w:firstLine="720" w:firstLineChars="300"/>
              <w:jc w:val="both"/>
              <w:rPr>
                <w:sz w:val="24"/>
                <w:szCs w:val="24"/>
              </w:rPr>
            </w:pPr>
            <w:r>
              <w:rPr>
                <w:sz w:val="24"/>
                <w:szCs w:val="24"/>
              </w:rPr>
              <w:t>6.8.1.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57503586">
            <w:pPr>
              <w:ind w:firstLine="720" w:firstLineChars="300"/>
              <w:jc w:val="both"/>
              <w:rPr>
                <w:sz w:val="24"/>
                <w:szCs w:val="24"/>
              </w:rPr>
            </w:pPr>
            <w:r>
              <w:rPr>
                <w:sz w:val="24"/>
                <w:szCs w:val="24"/>
              </w:rPr>
              <w:t xml:space="preserve">6.8.2.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Quando não for possível sanar as irregularidades no pátio da (s) empresa (s) credenciada (s),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3B222E19">
            <w:pPr>
              <w:ind w:firstLine="720" w:firstLineChars="300"/>
              <w:jc w:val="both"/>
              <w:rPr>
                <w:sz w:val="24"/>
                <w:szCs w:val="24"/>
              </w:rPr>
            </w:pPr>
            <w:r>
              <w:rPr>
                <w:sz w:val="24"/>
                <w:szCs w:val="24"/>
              </w:rPr>
              <w:t>6.8.3. Depois de decorrido o prazo de 60 (sessenta) dias, os veículos apreendidos ou removidos não reclamados, serão levados à hasta pública pela contratante, na forma do Código de Trânsito Brasileiro e da Resolução pertinente do Conselho Nacional de Trânsito - CONTRAN.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294F40E9">
            <w:pPr>
              <w:ind w:firstLine="720" w:firstLineChars="300"/>
              <w:jc w:val="both"/>
              <w:rPr>
                <w:sz w:val="24"/>
                <w:szCs w:val="24"/>
              </w:rPr>
            </w:pPr>
            <w:r>
              <w:rPr>
                <w:sz w:val="24"/>
                <w:szCs w:val="24"/>
              </w:rPr>
              <w:t>6.8.4.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6079FD97">
            <w:pPr>
              <w:ind w:firstLine="720" w:firstLineChars="300"/>
              <w:jc w:val="both"/>
              <w:rPr>
                <w:sz w:val="24"/>
                <w:szCs w:val="24"/>
              </w:rPr>
            </w:pPr>
            <w:r>
              <w:rPr>
                <w:sz w:val="24"/>
                <w:szCs w:val="24"/>
              </w:rPr>
              <w:t>6.8.5. 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(s) empresa (s) de Guincho Credenciada (s), ficando a encargo da Secretaria Municipal de Segurança e Trânsito à fiscalização da promoção e execução da hasta pública</w:t>
            </w:r>
          </w:p>
          <w:p w14:paraId="4302669E">
            <w:pPr>
              <w:ind w:firstLine="720" w:firstLineChars="300"/>
              <w:jc w:val="both"/>
              <w:rPr>
                <w:sz w:val="24"/>
                <w:szCs w:val="24"/>
              </w:rPr>
            </w:pPr>
            <w:r>
              <w:rPr>
                <w:sz w:val="24"/>
                <w:szCs w:val="24"/>
              </w:rPr>
              <w:t>6.8.6. Prestar quaisquer esclarecimentos que venham a ser formalmente solicitados pela (s) empresa (s) credenciada (s) e pertinente ao objeto do presente termo.</w:t>
            </w:r>
          </w:p>
          <w:p w14:paraId="4E27904B">
            <w:pPr>
              <w:ind w:firstLine="720" w:firstLineChars="300"/>
              <w:jc w:val="both"/>
              <w:rPr>
                <w:sz w:val="24"/>
                <w:szCs w:val="24"/>
              </w:rPr>
            </w:pPr>
            <w:r>
              <w:rPr>
                <w:sz w:val="24"/>
                <w:szCs w:val="24"/>
              </w:rPr>
              <w:t>6.8.7. Fiscalizar a execução do (s) contrato (s).</w:t>
            </w:r>
          </w:p>
          <w:p w14:paraId="5ED75F5E">
            <w:pPr>
              <w:ind w:firstLine="720" w:firstLineChars="300"/>
              <w:jc w:val="both"/>
              <w:rPr>
                <w:sz w:val="24"/>
                <w:szCs w:val="24"/>
              </w:rPr>
            </w:pPr>
            <w:r>
              <w:rPr>
                <w:sz w:val="24"/>
                <w:szCs w:val="24"/>
              </w:rPr>
              <w:t>6.8.8. Proporcionar todas as facilidades necessárias à (s) empresa (s) vencedora (s), inclusive comunicando por escrito e tempestivamente, qualquer mudança de Administração e conta para pagamento.</w:t>
            </w:r>
          </w:p>
          <w:p w14:paraId="077275FD">
            <w:pPr>
              <w:ind w:firstLine="720" w:firstLineChars="300"/>
              <w:jc w:val="both"/>
              <w:rPr>
                <w:sz w:val="24"/>
                <w:szCs w:val="24"/>
              </w:rPr>
            </w:pPr>
            <w:r>
              <w:rPr>
                <w:sz w:val="24"/>
                <w:szCs w:val="24"/>
              </w:rPr>
              <w:t>6.8.9. A Secretaria através da área demandante notificará, formal e tempestivamente a (s) empresa (s) credenciada (s), sobre irregularidades observadas no cumprimento da execução do objeto da licitação.</w:t>
            </w:r>
          </w:p>
          <w:p w14:paraId="4D252069">
            <w:pPr>
              <w:ind w:firstLine="720" w:firstLineChars="300"/>
              <w:jc w:val="both"/>
              <w:rPr>
                <w:sz w:val="24"/>
                <w:szCs w:val="24"/>
              </w:rPr>
            </w:pPr>
            <w:r>
              <w:rPr>
                <w:sz w:val="24"/>
                <w:szCs w:val="24"/>
              </w:rPr>
              <w:t>6.8.10. Aplicar à (s) detentora (s) do (s) Contrato (s), penalidades, quando for o caso.</w:t>
            </w:r>
          </w:p>
          <w:p w14:paraId="24592A26">
            <w:pPr>
              <w:ind w:firstLine="720" w:firstLineChars="300"/>
              <w:jc w:val="both"/>
              <w:rPr>
                <w:sz w:val="24"/>
                <w:szCs w:val="24"/>
              </w:rPr>
            </w:pPr>
            <w:r>
              <w:rPr>
                <w:sz w:val="24"/>
                <w:szCs w:val="24"/>
              </w:rPr>
              <w:t>6.8.11. Prestar à (s) detentora (s) do (s) Contrato (s), toda e qualquer informação, por esta solicitada, necessária à perfeita execução da prestação dos serviços.</w:t>
            </w:r>
          </w:p>
          <w:p w14:paraId="0BB2AAA8">
            <w:pPr>
              <w:ind w:firstLine="720" w:firstLineChars="300"/>
              <w:jc w:val="both"/>
              <w:rPr>
                <w:sz w:val="24"/>
                <w:szCs w:val="24"/>
              </w:rPr>
            </w:pPr>
            <w:r>
              <w:rPr>
                <w:sz w:val="24"/>
                <w:szCs w:val="24"/>
              </w:rPr>
              <w:t>6.8.12. Notificar, por escrito, à (s) detentora (s) do (s) Contrato (s), da aplicação de qualquer sanção.</w:t>
            </w:r>
          </w:p>
          <w:p w14:paraId="2B0CCCA1">
            <w:pPr>
              <w:ind w:firstLine="720" w:firstLineChars="300"/>
              <w:jc w:val="both"/>
              <w:rPr>
                <w:b/>
                <w:bCs/>
                <w:sz w:val="24"/>
                <w:szCs w:val="24"/>
                <w:highlight w:val="yellow"/>
                <w:u w:val="single"/>
              </w:rPr>
            </w:pPr>
            <w:r>
              <w:rPr>
                <w:sz w:val="24"/>
                <w:szCs w:val="24"/>
              </w:rPr>
              <w:t>6.8.13. O preço da prestação dos serviços é fixado por meio da Lei 2985/2021 e encontra-se em U. R. – Unidade de referência, ou seja, todos os anos, o valor dos serviços será reajustado, de acordo com a variação da U. R..</w:t>
            </w:r>
          </w:p>
        </w:tc>
      </w:tr>
    </w:tbl>
    <w:p w14:paraId="6807694A">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0112C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7F5F2B73">
            <w:pPr>
              <w:rPr>
                <w:sz w:val="24"/>
                <w:szCs w:val="24"/>
              </w:rPr>
            </w:pPr>
            <w:r>
              <w:rPr>
                <w:b/>
                <w:bCs/>
                <w:sz w:val="24"/>
                <w:szCs w:val="24"/>
              </w:rPr>
              <w:t>6.9 - VALOR TOTAL DA CONTRATAÇÃO</w:t>
            </w:r>
          </w:p>
        </w:tc>
      </w:tr>
      <w:tr w14:paraId="6BEF0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4851246B">
            <w:pPr>
              <w:jc w:val="both"/>
              <w:rPr>
                <w:sz w:val="24"/>
                <w:szCs w:val="24"/>
              </w:rPr>
            </w:pPr>
            <w:bookmarkStart w:id="0" w:name="_Hlk199926073"/>
            <w:r>
              <w:rPr>
                <w:sz w:val="24"/>
                <w:szCs w:val="24"/>
              </w:rPr>
              <w:t xml:space="preserve">        6.9.1. 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4C867E35">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687C2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5EA48481">
            <w:pPr>
              <w:rPr>
                <w:sz w:val="24"/>
                <w:szCs w:val="24"/>
              </w:rPr>
            </w:pPr>
            <w:r>
              <w:rPr>
                <w:b/>
                <w:bCs/>
                <w:sz w:val="24"/>
                <w:szCs w:val="24"/>
              </w:rPr>
              <w:t>6.10 - DA ENTREGA, DO PRAZO</w:t>
            </w:r>
          </w:p>
        </w:tc>
      </w:tr>
      <w:tr w14:paraId="4D72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7EDBB315">
            <w:pPr>
              <w:pStyle w:val="20"/>
              <w:spacing w:line="275" w:lineRule="exact"/>
              <w:ind w:firstLine="600" w:firstLineChars="250"/>
              <w:jc w:val="both"/>
              <w:rPr>
                <w:sz w:val="24"/>
                <w:szCs w:val="24"/>
              </w:rPr>
            </w:pPr>
            <w:r>
              <w:rPr>
                <w:bCs/>
                <w:sz w:val="24"/>
                <w:lang w:val="pt-BR"/>
              </w:rPr>
              <w:t>6.10.1. 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tc>
      </w:tr>
      <w:bookmarkEnd w:id="0"/>
    </w:tbl>
    <w:p w14:paraId="3082154D">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5BA29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0977FFF2">
            <w:pPr>
              <w:rPr>
                <w:sz w:val="24"/>
                <w:szCs w:val="24"/>
              </w:rPr>
            </w:pPr>
            <w:r>
              <w:rPr>
                <w:b/>
                <w:bCs/>
                <w:sz w:val="24"/>
                <w:szCs w:val="24"/>
              </w:rPr>
              <w:t xml:space="preserve">6.11 - </w:t>
            </w:r>
            <w:bookmarkStart w:id="1" w:name="_Hlk200004504"/>
            <w:r>
              <w:rPr>
                <w:b/>
                <w:bCs/>
                <w:sz w:val="24"/>
                <w:szCs w:val="24"/>
              </w:rPr>
              <w:t>DAS OBRIGAÇÕES DA (S) EMPRESA (S) CREDENCIADA (S)</w:t>
            </w:r>
            <w:bookmarkEnd w:id="1"/>
          </w:p>
        </w:tc>
      </w:tr>
      <w:tr w14:paraId="4DC64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7ED014C">
            <w:pPr>
              <w:adjustRightInd w:val="0"/>
              <w:ind w:firstLine="709"/>
              <w:jc w:val="both"/>
              <w:rPr>
                <w:rFonts w:eastAsia="SimSun"/>
                <w:color w:val="000000"/>
                <w:sz w:val="24"/>
                <w:szCs w:val="24"/>
              </w:rPr>
            </w:pPr>
            <w:r>
              <w:rPr>
                <w:rFonts w:eastAsia="SimSun"/>
                <w:color w:val="000000"/>
                <w:sz w:val="24"/>
                <w:szCs w:val="24"/>
              </w:rPr>
              <w:t>6.11.1. Prestar todos os esclarecimentos que forem solicitados pela SECRETARIA SOLICITANTE, cujas reclamações se obrigam a atender prontamente ao GESTOR FISCAL DO CONTRATO, bem como dar ciência, imediatamente e por escrito, de qualquer anormalidade que verificar quando da execução do Contrato.</w:t>
            </w:r>
          </w:p>
          <w:p w14:paraId="2A57767C">
            <w:pPr>
              <w:adjustRightInd w:val="0"/>
              <w:ind w:firstLine="709"/>
              <w:jc w:val="both"/>
              <w:rPr>
                <w:rFonts w:eastAsia="SimSun"/>
                <w:color w:val="000000"/>
                <w:sz w:val="24"/>
                <w:szCs w:val="24"/>
              </w:rPr>
            </w:pPr>
            <w:r>
              <w:rPr>
                <w:rFonts w:eastAsia="SimSun"/>
                <w:color w:val="000000"/>
                <w:sz w:val="24"/>
                <w:szCs w:val="24"/>
              </w:rPr>
              <w:t>6.11.2</w:t>
            </w:r>
            <w:r>
              <w:rPr>
                <w:rFonts w:eastAsia="SimSun"/>
                <w:b/>
                <w:bCs/>
                <w:color w:val="000000"/>
                <w:sz w:val="24"/>
                <w:szCs w:val="24"/>
              </w:rPr>
              <w:t xml:space="preserve"> </w:t>
            </w:r>
            <w:r>
              <w:rPr>
                <w:rFonts w:eastAsia="SimSun"/>
                <w:color w:val="000000"/>
                <w:sz w:val="24"/>
                <w:szCs w:val="24"/>
              </w:rPr>
              <w:t>Respeitar e fazer cumprir as legislações e normas regulamentadoras pertinentes.</w:t>
            </w:r>
          </w:p>
          <w:p w14:paraId="78693D86">
            <w:pPr>
              <w:adjustRightInd w:val="0"/>
              <w:ind w:firstLine="709"/>
              <w:jc w:val="both"/>
              <w:rPr>
                <w:rFonts w:eastAsia="SimSun"/>
                <w:color w:val="000000"/>
                <w:sz w:val="24"/>
                <w:szCs w:val="24"/>
              </w:rPr>
            </w:pPr>
            <w:r>
              <w:rPr>
                <w:rFonts w:eastAsia="SimSun"/>
                <w:color w:val="000000"/>
                <w:sz w:val="24"/>
                <w:szCs w:val="24"/>
              </w:rPr>
              <w:t>6.11.3. Fiscalizar o perfeito cumprimento da prestação a que se obrigou, cabendo-lhe, integralmente, os ônus decorrentes. Tal fiscalização dar-se à independentemente da que será exercida pela Contratante.</w:t>
            </w:r>
          </w:p>
          <w:p w14:paraId="786A2CA5">
            <w:pPr>
              <w:adjustRightInd w:val="0"/>
              <w:ind w:firstLine="709"/>
              <w:jc w:val="both"/>
              <w:rPr>
                <w:rFonts w:eastAsia="SimSun"/>
                <w:color w:val="000000"/>
                <w:sz w:val="24"/>
                <w:szCs w:val="24"/>
              </w:rPr>
            </w:pPr>
            <w:r>
              <w:rPr>
                <w:rFonts w:eastAsia="SimSun"/>
                <w:color w:val="000000"/>
                <w:sz w:val="24"/>
                <w:szCs w:val="24"/>
              </w:rPr>
              <w:t>6.11.4. Comunicar imediatamente à Secretaria qualquer alteração ocorrida no endereço e outros julgáveis necessários para o recebimento de correspondências;</w:t>
            </w:r>
          </w:p>
          <w:p w14:paraId="1C3FB699">
            <w:pPr>
              <w:adjustRightInd w:val="0"/>
              <w:ind w:firstLine="709"/>
              <w:jc w:val="both"/>
              <w:rPr>
                <w:rFonts w:eastAsia="SimSun"/>
                <w:color w:val="000000"/>
                <w:sz w:val="24"/>
                <w:szCs w:val="24"/>
              </w:rPr>
            </w:pPr>
            <w:r>
              <w:rPr>
                <w:rFonts w:eastAsia="SimSun"/>
                <w:color w:val="000000"/>
                <w:sz w:val="24"/>
                <w:szCs w:val="24"/>
              </w:rPr>
              <w:t>6.11.5.</w:t>
            </w:r>
            <w:r>
              <w:rPr>
                <w:rFonts w:eastAsia="SimSun"/>
                <w:b/>
                <w:bCs/>
                <w:color w:val="000000"/>
                <w:sz w:val="24"/>
                <w:szCs w:val="24"/>
              </w:rPr>
              <w:t xml:space="preserve"> </w:t>
            </w:r>
            <w:r>
              <w:rPr>
                <w:rFonts w:eastAsia="SimSun"/>
                <w:color w:val="000000"/>
                <w:sz w:val="24"/>
                <w:szCs w:val="24"/>
              </w:rPr>
              <w:t>Efetuar a imediata correção das deficiências apontadas pela Contratante, com relação à prestação dos serviços.</w:t>
            </w:r>
          </w:p>
          <w:p w14:paraId="534CBA69">
            <w:pPr>
              <w:adjustRightInd w:val="0"/>
              <w:ind w:firstLine="709"/>
              <w:jc w:val="both"/>
              <w:rPr>
                <w:rFonts w:eastAsia="SimSun"/>
                <w:color w:val="000000"/>
                <w:sz w:val="24"/>
                <w:szCs w:val="24"/>
              </w:rPr>
            </w:pPr>
            <w:r>
              <w:rPr>
                <w:rFonts w:eastAsia="SimSun"/>
                <w:color w:val="000000"/>
                <w:sz w:val="24"/>
                <w:szCs w:val="24"/>
              </w:rPr>
              <w:t>6.11.6. Executar os serviços, de acordo com a solicitação, obedecendo as normas, dentro dos padrões estabelecidos, de acordo com as especificações constantes na Lei 2985/2021 e no Termo de Referência, responsabilizando-se por eventuais prejuízos decorrentes do descumprimento de condições estabelecidas.</w:t>
            </w:r>
          </w:p>
          <w:p w14:paraId="41983C24">
            <w:pPr>
              <w:adjustRightInd w:val="0"/>
              <w:ind w:firstLine="709"/>
              <w:jc w:val="both"/>
              <w:rPr>
                <w:rFonts w:eastAsia="SimSun"/>
                <w:color w:val="000000"/>
                <w:sz w:val="24"/>
                <w:szCs w:val="24"/>
              </w:rPr>
            </w:pPr>
            <w:r>
              <w:rPr>
                <w:rFonts w:eastAsia="SimSun"/>
                <w:color w:val="000000"/>
                <w:sz w:val="24"/>
                <w:szCs w:val="24"/>
              </w:rPr>
              <w:t>6.11.7. Prestar os esclarecimentos que forem solicitados pela Contratante, cujas reclamações se obrigam a atender prontamente, bem como, dar ciência a Contratante, imediatamente, por escrito, de qualquer anormalidade que verificar quando fornecimento ora contratado.</w:t>
            </w:r>
          </w:p>
          <w:p w14:paraId="0847FD6F">
            <w:pPr>
              <w:adjustRightInd w:val="0"/>
              <w:ind w:firstLine="709"/>
              <w:jc w:val="both"/>
              <w:rPr>
                <w:rFonts w:eastAsia="SimSun"/>
                <w:color w:val="000000"/>
                <w:sz w:val="24"/>
                <w:szCs w:val="24"/>
              </w:rPr>
            </w:pPr>
            <w:r>
              <w:rPr>
                <w:rFonts w:eastAsia="SimSun"/>
                <w:color w:val="000000"/>
                <w:sz w:val="24"/>
                <w:szCs w:val="24"/>
              </w:rPr>
              <w:t>6.11.8. Dispor a toda e qualquer fiscalização da CONTRATANTE, no tocante a prestação dos serviços, assim como ao cumprimento das obrigações que constarão no Contrato.</w:t>
            </w:r>
          </w:p>
          <w:p w14:paraId="4CD24252">
            <w:pPr>
              <w:adjustRightInd w:val="0"/>
              <w:ind w:firstLine="709"/>
              <w:jc w:val="both"/>
              <w:rPr>
                <w:rFonts w:eastAsia="SimSun"/>
                <w:color w:val="000000"/>
                <w:sz w:val="24"/>
                <w:szCs w:val="24"/>
              </w:rPr>
            </w:pPr>
            <w:r>
              <w:rPr>
                <w:rFonts w:eastAsia="SimSun"/>
                <w:color w:val="000000"/>
                <w:sz w:val="24"/>
                <w:szCs w:val="24"/>
              </w:rPr>
              <w:t>6.11.9. Indenizar terceiros e/ou este Órgão, mesmo em caso de ausência ou omissão de fiscalização de sua parte, por quaisquer danos ou prejuízos causados, devendo a contratada adotar todas as medidas preventivas, com fiel observância às exigências das autoridades competentes e as disposições legais vigentes.</w:t>
            </w:r>
          </w:p>
          <w:p w14:paraId="39472A11">
            <w:pPr>
              <w:adjustRightInd w:val="0"/>
              <w:ind w:firstLine="709"/>
              <w:jc w:val="both"/>
              <w:rPr>
                <w:rFonts w:eastAsia="SimSun"/>
                <w:color w:val="000000"/>
                <w:sz w:val="24"/>
                <w:szCs w:val="24"/>
              </w:rPr>
            </w:pPr>
            <w:r>
              <w:rPr>
                <w:rFonts w:eastAsia="SimSun"/>
                <w:color w:val="000000"/>
                <w:sz w:val="24"/>
                <w:szCs w:val="24"/>
              </w:rPr>
              <w:t>6.11.10.</w:t>
            </w:r>
            <w:r>
              <w:rPr>
                <w:rFonts w:eastAsia="SimSun"/>
                <w:b/>
                <w:bCs/>
                <w:color w:val="000000"/>
                <w:sz w:val="24"/>
                <w:szCs w:val="24"/>
              </w:rPr>
              <w:t xml:space="preserve"> </w:t>
            </w:r>
            <w:r>
              <w:rPr>
                <w:rFonts w:eastAsia="SimSun"/>
                <w:color w:val="000000"/>
                <w:sz w:val="24"/>
                <w:szCs w:val="24"/>
              </w:rPr>
              <w:t>Todas as despesas relativas ao objeto contratado (tributos, seguros, encargos sociais, etc.) são de inteira responsabilidade da Contratada.</w:t>
            </w:r>
          </w:p>
          <w:p w14:paraId="7A25A5B0">
            <w:pPr>
              <w:adjustRightInd w:val="0"/>
              <w:ind w:firstLine="709"/>
              <w:jc w:val="both"/>
              <w:rPr>
                <w:rFonts w:eastAsia="SimSun"/>
                <w:color w:val="000000"/>
                <w:sz w:val="24"/>
                <w:szCs w:val="24"/>
              </w:rPr>
            </w:pPr>
            <w:r>
              <w:rPr>
                <w:rFonts w:eastAsia="SimSun"/>
                <w:color w:val="000000"/>
                <w:sz w:val="24"/>
                <w:szCs w:val="24"/>
              </w:rPr>
              <w:t>6.11.11. Responsabilizar- se por todo e qualquer dano que causar ao Órgão ou a terceiros, ainda que culposo praticado por seus prepostos, empregado ou mandatários, não excluindo ou reduzindo essa responsabilidade a fiscalização ou acompanhamento feito pela SECRETARIA.</w:t>
            </w:r>
          </w:p>
          <w:p w14:paraId="11525723">
            <w:pPr>
              <w:adjustRightInd w:val="0"/>
              <w:ind w:firstLine="709"/>
              <w:jc w:val="both"/>
              <w:rPr>
                <w:rFonts w:eastAsia="SimSun"/>
                <w:color w:val="000000"/>
                <w:sz w:val="24"/>
                <w:szCs w:val="24"/>
              </w:rPr>
            </w:pPr>
            <w:r>
              <w:rPr>
                <w:rFonts w:eastAsia="SimSun"/>
                <w:color w:val="000000"/>
                <w:sz w:val="24"/>
                <w:szCs w:val="24"/>
              </w:rPr>
              <w:t>6.11.12. Responsabilizar-se por todo e qualquer tipo de autuação ou ação que venha a sofrer em decorrência do fornecimento/prestação em questão, bem como pelos Contratos de trabalho de seus empregados, mesmo nos casos que envolvam eventuais decisões judiciais, eximindo esta instituição de qualquer solidariedade ou responsabilidade.</w:t>
            </w:r>
          </w:p>
          <w:p w14:paraId="1EE5997B">
            <w:pPr>
              <w:adjustRightInd w:val="0"/>
              <w:ind w:firstLine="709"/>
              <w:jc w:val="both"/>
              <w:rPr>
                <w:rFonts w:eastAsia="SimSun"/>
                <w:color w:val="000000"/>
                <w:sz w:val="24"/>
                <w:szCs w:val="24"/>
              </w:rPr>
            </w:pPr>
            <w:r>
              <w:rPr>
                <w:rFonts w:eastAsia="SimSun"/>
                <w:color w:val="000000"/>
                <w:sz w:val="24"/>
                <w:szCs w:val="24"/>
              </w:rPr>
              <w:t>6.11.13. Credenciar junto a esta Secretaria um preposto para prestar esclarecimentos e atender às reclamações/solicitações que surgirem durante a execução do Contrato.</w:t>
            </w:r>
          </w:p>
          <w:p w14:paraId="693DCD43">
            <w:pPr>
              <w:adjustRightInd w:val="0"/>
              <w:ind w:firstLine="709"/>
              <w:jc w:val="both"/>
              <w:rPr>
                <w:rFonts w:eastAsia="SimSun"/>
                <w:color w:val="000000"/>
                <w:sz w:val="24"/>
                <w:szCs w:val="24"/>
              </w:rPr>
            </w:pPr>
            <w:r>
              <w:rPr>
                <w:rFonts w:eastAsia="SimSun"/>
                <w:color w:val="000000"/>
                <w:sz w:val="24"/>
                <w:szCs w:val="24"/>
              </w:rPr>
              <w:t>6.11.14. Responsabilizar-se por quaisquer ônus decorrentes de omissões ou erros na elaboração de estimativa de custos.</w:t>
            </w:r>
          </w:p>
          <w:p w14:paraId="02F86B6B">
            <w:pPr>
              <w:ind w:firstLine="720" w:firstLineChars="300"/>
              <w:jc w:val="both"/>
              <w:rPr>
                <w:b/>
                <w:bCs/>
                <w:sz w:val="24"/>
                <w:szCs w:val="24"/>
                <w:u w:val="single"/>
              </w:rPr>
            </w:pPr>
            <w:r>
              <w:rPr>
                <w:rFonts w:eastAsia="SimSun"/>
                <w:color w:val="000000"/>
                <w:sz w:val="24"/>
                <w:szCs w:val="24"/>
              </w:rPr>
              <w:t>6.11.15. A contratada se compromete em prestar apoio jurídico no caso de qualquer questionamento do Ministério Público Estadual, Ministério Público Federal, Polícia Federal, enfim, qualquer outro órgão público que venha a fazer qualquer indagação inerentes à prestação dos serviços.</w:t>
            </w:r>
          </w:p>
          <w:p w14:paraId="0F3DA6D0">
            <w:pPr>
              <w:adjustRightInd w:val="0"/>
              <w:jc w:val="both"/>
              <w:rPr>
                <w:b/>
                <w:bCs/>
                <w:sz w:val="24"/>
                <w:szCs w:val="24"/>
                <w:u w:val="single"/>
              </w:rPr>
            </w:pPr>
            <w:r>
              <w:rPr>
                <w:rFonts w:eastAsia="SimSun"/>
                <w:color w:val="000000"/>
                <w:sz w:val="24"/>
                <w:szCs w:val="24"/>
              </w:rPr>
              <w:t xml:space="preserve">            </w:t>
            </w:r>
            <w:r>
              <w:rPr>
                <w:b/>
                <w:bCs/>
                <w:sz w:val="24"/>
                <w:szCs w:val="24"/>
                <w:u w:val="single"/>
              </w:rPr>
              <w:t>DOS SERVIÇOS DE GUINCHO</w:t>
            </w:r>
          </w:p>
          <w:p w14:paraId="4B354338">
            <w:pPr>
              <w:adjustRightInd w:val="0"/>
              <w:jc w:val="both"/>
              <w:rPr>
                <w:sz w:val="24"/>
                <w:szCs w:val="24"/>
              </w:rPr>
            </w:pPr>
            <w:r>
              <w:rPr>
                <w:b/>
                <w:bCs/>
                <w:sz w:val="24"/>
                <w:szCs w:val="24"/>
              </w:rPr>
              <w:t xml:space="preserve">            </w:t>
            </w:r>
            <w:r>
              <w:rPr>
                <w:rFonts w:eastAsia="SimSun"/>
                <w:color w:val="000000"/>
                <w:sz w:val="24"/>
                <w:szCs w:val="24"/>
              </w:rPr>
              <w:t>6.11.16.</w:t>
            </w:r>
            <w:r>
              <w:rPr>
                <w:b/>
                <w:bCs/>
                <w:sz w:val="24"/>
                <w:szCs w:val="24"/>
              </w:rPr>
              <w:t xml:space="preserve"> </w:t>
            </w:r>
            <w:r>
              <w:rPr>
                <w:sz w:val="24"/>
                <w:szCs w:val="24"/>
              </w:rPr>
              <w:t>A (s) empresa (s) habilitada (s) no devido processo licitatório, deverá (ão) obedecer ao seguinte:</w:t>
            </w:r>
          </w:p>
          <w:p w14:paraId="55609B07">
            <w:pPr>
              <w:adjustRightInd w:val="0"/>
              <w:jc w:val="both"/>
              <w:rPr>
                <w:sz w:val="24"/>
                <w:szCs w:val="24"/>
              </w:rPr>
            </w:pPr>
            <w:r>
              <w:rPr>
                <w:b/>
                <w:bCs/>
                <w:sz w:val="24"/>
                <w:szCs w:val="24"/>
              </w:rPr>
              <w:t xml:space="preserve">            </w:t>
            </w:r>
            <w:r>
              <w:rPr>
                <w:sz w:val="24"/>
                <w:szCs w:val="24"/>
              </w:rPr>
              <w:t>I - Os serviços serão requisitados de forma parcelada, de acordo com as autuações realizadas pelos agentes da autoridade de trânsito, sendo essas de competência originária ou delegada por convênio, o qual especificará o local e o tipo de veículo a ser recolhido;</w:t>
            </w:r>
          </w:p>
          <w:p w14:paraId="762833A8">
            <w:pPr>
              <w:adjustRightInd w:val="0"/>
              <w:jc w:val="both"/>
              <w:rPr>
                <w:sz w:val="24"/>
                <w:szCs w:val="24"/>
              </w:rPr>
            </w:pPr>
            <w:r>
              <w:rPr>
                <w:b/>
                <w:bCs/>
                <w:sz w:val="24"/>
                <w:szCs w:val="24"/>
              </w:rPr>
              <w:t xml:space="preserve">            </w:t>
            </w:r>
            <w:r>
              <w:rPr>
                <w:sz w:val="24"/>
                <w:szCs w:val="24"/>
              </w:rPr>
              <w:t>II - A empresa contratada deverá disponibilizar uma central de atendimento, 24 (vinte e quatro) horas por dia, inclusive aos sábados, domingos e feriados para que as autoridades de trânsito possam requisitar os serviços imediatamente após a autuação dos veículos;</w:t>
            </w:r>
          </w:p>
          <w:p w14:paraId="7F52A53F">
            <w:pPr>
              <w:adjustRightInd w:val="0"/>
              <w:jc w:val="both"/>
              <w:rPr>
                <w:sz w:val="24"/>
                <w:szCs w:val="24"/>
              </w:rPr>
            </w:pPr>
            <w:r>
              <w:rPr>
                <w:b/>
                <w:bCs/>
                <w:sz w:val="24"/>
                <w:szCs w:val="24"/>
              </w:rPr>
              <w:t xml:space="preserve">            </w:t>
            </w:r>
            <w:r>
              <w:rPr>
                <w:sz w:val="24"/>
                <w:szCs w:val="24"/>
              </w:rPr>
              <w:t>III - Após a requisição, quando estiver dentro do perímetro urbano, a empresa contratada/conveniada deverá chegar ao local indicado, para transportar o veículo a ser recolhido:</w:t>
            </w:r>
          </w:p>
          <w:p w14:paraId="209A4D69">
            <w:pPr>
              <w:adjustRightInd w:val="0"/>
              <w:jc w:val="both"/>
              <w:rPr>
                <w:sz w:val="24"/>
                <w:szCs w:val="24"/>
              </w:rPr>
            </w:pPr>
            <w:r>
              <w:rPr>
                <w:b/>
                <w:bCs/>
                <w:sz w:val="24"/>
                <w:szCs w:val="24"/>
              </w:rPr>
              <w:t xml:space="preserve">            </w:t>
            </w:r>
            <w:r>
              <w:rPr>
                <w:sz w:val="24"/>
                <w:szCs w:val="24"/>
              </w:rPr>
              <w:t>a) num prazo máximo de 20 (vinte) minutos;</w:t>
            </w:r>
          </w:p>
          <w:p w14:paraId="5A9881CB">
            <w:pPr>
              <w:adjustRightInd w:val="0"/>
              <w:jc w:val="both"/>
              <w:rPr>
                <w:sz w:val="24"/>
                <w:szCs w:val="24"/>
              </w:rPr>
            </w:pPr>
            <w:r>
              <w:rPr>
                <w:b/>
                <w:bCs/>
                <w:sz w:val="24"/>
                <w:szCs w:val="24"/>
              </w:rPr>
              <w:t xml:space="preserve">            </w:t>
            </w:r>
            <w:r>
              <w:rPr>
                <w:sz w:val="24"/>
                <w:szCs w:val="24"/>
              </w:rPr>
              <w:t>b) em até 30 (trinta) minutos do acionamento, em locais distantes até 30 (trinta) quilômetros da base operacional da contratada/credenciada;</w:t>
            </w:r>
          </w:p>
          <w:p w14:paraId="27B841FB">
            <w:pPr>
              <w:adjustRightInd w:val="0"/>
              <w:jc w:val="both"/>
              <w:rPr>
                <w:sz w:val="24"/>
                <w:szCs w:val="24"/>
              </w:rPr>
            </w:pPr>
            <w:r>
              <w:rPr>
                <w:b/>
                <w:bCs/>
                <w:sz w:val="24"/>
                <w:szCs w:val="24"/>
              </w:rPr>
              <w:t xml:space="preserve">            </w:t>
            </w:r>
            <w:r>
              <w:rPr>
                <w:sz w:val="24"/>
                <w:szCs w:val="24"/>
              </w:rPr>
              <w:t>c) em locais distantes mais do que 30 quilômetros da base operacional da contratada/credenciada, acrescentar-se-ão 10 (dez) minutos de prazo de chegada para cada 10 (dez) quilômetros percorridos.</w:t>
            </w:r>
          </w:p>
          <w:p w14:paraId="62C80FFA">
            <w:pPr>
              <w:adjustRightInd w:val="0"/>
              <w:jc w:val="both"/>
              <w:rPr>
                <w:sz w:val="24"/>
                <w:szCs w:val="24"/>
              </w:rPr>
            </w:pPr>
            <w:r>
              <w:rPr>
                <w:b/>
                <w:bCs/>
                <w:sz w:val="24"/>
                <w:szCs w:val="24"/>
              </w:rPr>
              <w:t xml:space="preserve">            </w:t>
            </w:r>
            <w:r>
              <w:rPr>
                <w:sz w:val="24"/>
                <w:szCs w:val="24"/>
              </w:rPr>
              <w:t>IV - O deslocamento em direção ao local determinado deverá iniciar imediatamente após a mobilização, com obediência integral às normas de circulação e conduta, presentes na legislação de trânsito, e sem paradas ou estacionamentos desnecessários durante o percurso, objetivando a chegada no menor tempo possível, com segurança.</w:t>
            </w:r>
          </w:p>
          <w:p w14:paraId="3019C2D6">
            <w:pPr>
              <w:adjustRightInd w:val="0"/>
              <w:jc w:val="both"/>
              <w:rPr>
                <w:sz w:val="24"/>
                <w:szCs w:val="24"/>
              </w:rPr>
            </w:pPr>
            <w:r>
              <w:rPr>
                <w:b/>
                <w:bCs/>
                <w:sz w:val="24"/>
                <w:szCs w:val="24"/>
              </w:rPr>
              <w:t xml:space="preserve">            </w:t>
            </w:r>
            <w:r>
              <w:rPr>
                <w:sz w:val="24"/>
                <w:szCs w:val="24"/>
              </w:rPr>
              <w:t>V - Ao chegar ao local solicitado, desde que em condições seguras, deverá iniciar os serviços determinados pela autoridade responsável, sejam eles de remoção, recolhimento e/ou transporte do veículo.</w:t>
            </w:r>
          </w:p>
          <w:p w14:paraId="67545D7D">
            <w:pPr>
              <w:adjustRightInd w:val="0"/>
              <w:jc w:val="both"/>
              <w:rPr>
                <w:sz w:val="24"/>
                <w:szCs w:val="24"/>
              </w:rPr>
            </w:pPr>
            <w:r>
              <w:rPr>
                <w:b/>
                <w:bCs/>
                <w:sz w:val="24"/>
                <w:szCs w:val="24"/>
              </w:rPr>
              <w:t xml:space="preserve">            </w:t>
            </w:r>
            <w:r>
              <w:rPr>
                <w:sz w:val="24"/>
                <w:szCs w:val="24"/>
              </w:rPr>
              <w:t>VI - Apresentar o veículo para o proprietário/motorista, a fim de que as irregularidades possam ser sanadas no prazo que lhe for estipulado, não sendo possível sanar a irregularidade dentro do pátio contratado/credenciado, somente será liberado para regularização fora do local de guarda, com autorização da autoridade de trânsito responsável pelo recolhimento.</w:t>
            </w:r>
          </w:p>
          <w:p w14:paraId="2A9364C5">
            <w:pPr>
              <w:adjustRightInd w:val="0"/>
              <w:jc w:val="both"/>
              <w:rPr>
                <w:sz w:val="24"/>
                <w:szCs w:val="24"/>
              </w:rPr>
            </w:pPr>
            <w:r>
              <w:rPr>
                <w:b/>
                <w:bCs/>
                <w:sz w:val="24"/>
                <w:szCs w:val="24"/>
              </w:rPr>
              <w:t xml:space="preserve">            </w:t>
            </w:r>
            <w:r>
              <w:rPr>
                <w:sz w:val="24"/>
                <w:szCs w:val="24"/>
              </w:rPr>
              <w:t>VII - Zelar pela manutenção da continuidade do serviço de guincho.</w:t>
            </w:r>
          </w:p>
          <w:p w14:paraId="738DA3AB">
            <w:pPr>
              <w:adjustRightInd w:val="0"/>
              <w:jc w:val="both"/>
              <w:rPr>
                <w:sz w:val="24"/>
                <w:szCs w:val="24"/>
              </w:rPr>
            </w:pPr>
            <w:r>
              <w:rPr>
                <w:b/>
                <w:bCs/>
                <w:sz w:val="24"/>
                <w:szCs w:val="24"/>
              </w:rPr>
              <w:t xml:space="preserve">            </w:t>
            </w:r>
            <w:r>
              <w:rPr>
                <w:sz w:val="24"/>
                <w:szCs w:val="24"/>
              </w:rPr>
              <w:t>VIII - Cumprir os itinerários determinados pela Secretaria Municipal de Segurança e Trânsito – SST.</w:t>
            </w:r>
          </w:p>
          <w:p w14:paraId="1BCCC99D">
            <w:pPr>
              <w:adjustRightInd w:val="0"/>
              <w:jc w:val="both"/>
              <w:rPr>
                <w:sz w:val="24"/>
                <w:szCs w:val="24"/>
              </w:rPr>
            </w:pPr>
            <w:r>
              <w:rPr>
                <w:b/>
                <w:bCs/>
                <w:sz w:val="24"/>
                <w:szCs w:val="24"/>
              </w:rPr>
              <w:t xml:space="preserve">            </w:t>
            </w:r>
            <w:r>
              <w:rPr>
                <w:sz w:val="24"/>
                <w:szCs w:val="24"/>
              </w:rPr>
              <w:t>IX - Responder pelos seus atos, sujeitando-se às normas e penalidades do Código de Trânsito Brasileiro.</w:t>
            </w:r>
          </w:p>
          <w:p w14:paraId="1A5F547E">
            <w:pPr>
              <w:adjustRightInd w:val="0"/>
              <w:jc w:val="both"/>
              <w:rPr>
                <w:sz w:val="24"/>
                <w:szCs w:val="24"/>
              </w:rPr>
            </w:pPr>
            <w:r>
              <w:rPr>
                <w:b/>
                <w:bCs/>
                <w:sz w:val="24"/>
                <w:szCs w:val="24"/>
              </w:rPr>
              <w:t xml:space="preserve">            </w:t>
            </w:r>
            <w:r>
              <w:rPr>
                <w:sz w:val="24"/>
                <w:szCs w:val="24"/>
              </w:rPr>
              <w:t>X - Submeter-se à fiscalização das autoridades competentes.</w:t>
            </w:r>
          </w:p>
          <w:p w14:paraId="5639320D">
            <w:pPr>
              <w:adjustRightInd w:val="0"/>
              <w:jc w:val="both"/>
              <w:rPr>
                <w:sz w:val="24"/>
                <w:szCs w:val="24"/>
              </w:rPr>
            </w:pPr>
            <w:r>
              <w:rPr>
                <w:b/>
                <w:bCs/>
                <w:sz w:val="24"/>
                <w:szCs w:val="24"/>
              </w:rPr>
              <w:t xml:space="preserve">            </w:t>
            </w:r>
            <w:r>
              <w:rPr>
                <w:sz w:val="24"/>
                <w:szCs w:val="24"/>
              </w:rPr>
              <w:t>XI - Substituir imediatamente o veículo quando este apresentar problemas mecânicos.</w:t>
            </w:r>
          </w:p>
          <w:p w14:paraId="6B41F31D">
            <w:pPr>
              <w:adjustRightInd w:val="0"/>
              <w:jc w:val="both"/>
              <w:rPr>
                <w:b/>
                <w:bCs/>
                <w:sz w:val="24"/>
                <w:szCs w:val="24"/>
              </w:rPr>
            </w:pPr>
            <w:r>
              <w:rPr>
                <w:b/>
                <w:bCs/>
                <w:sz w:val="24"/>
                <w:szCs w:val="24"/>
              </w:rPr>
              <w:t xml:space="preserve">            </w:t>
            </w:r>
            <w:r>
              <w:rPr>
                <w:rFonts w:eastAsia="SimSun"/>
                <w:color w:val="000000"/>
                <w:sz w:val="24"/>
                <w:szCs w:val="24"/>
              </w:rPr>
              <w:t>6.11.17.</w:t>
            </w:r>
            <w:r>
              <w:rPr>
                <w:sz w:val="24"/>
                <w:szCs w:val="24"/>
              </w:rPr>
              <w:t xml:space="preserve"> A ocorrência de atraso na chegada ao local determinado sempre deverá ser justificada à autoridade de trânsito responsável pelo recolhimento, sendo admitida tolerância de 20% (vinte por cento) dos prazos estipulados, desde que eventual e decorrente de fatores alheios à vontade da contratada.</w:t>
            </w:r>
          </w:p>
          <w:p w14:paraId="5C1889EF">
            <w:pPr>
              <w:adjustRightInd w:val="0"/>
              <w:jc w:val="both"/>
              <w:rPr>
                <w:sz w:val="24"/>
                <w:szCs w:val="24"/>
              </w:rPr>
            </w:pPr>
            <w:r>
              <w:rPr>
                <w:b/>
                <w:bCs/>
                <w:sz w:val="24"/>
                <w:szCs w:val="24"/>
              </w:rPr>
              <w:t xml:space="preserve">            </w:t>
            </w:r>
            <w:r>
              <w:rPr>
                <w:rFonts w:eastAsia="SimSun"/>
                <w:color w:val="000000"/>
                <w:sz w:val="24"/>
                <w:szCs w:val="24"/>
              </w:rPr>
              <w:t>6.11.18.</w:t>
            </w:r>
            <w:r>
              <w:rPr>
                <w:sz w:val="24"/>
                <w:szCs w:val="24"/>
              </w:rPr>
              <w:t xml:space="preserve"> Os veículos, objetos das medidas administrativas, serão transportados para o pátio da empresa responsável pela remoção, salvo por necessidade do serviço, onde, havendo mais de um contratado pela Prefeitura Municipal de Sinop, a remoção poderá ser realiza por empresa que conste na escala de serviço.</w:t>
            </w:r>
          </w:p>
          <w:p w14:paraId="34706CF8">
            <w:pPr>
              <w:adjustRightInd w:val="0"/>
              <w:jc w:val="both"/>
              <w:rPr>
                <w:sz w:val="24"/>
                <w:szCs w:val="24"/>
              </w:rPr>
            </w:pPr>
            <w:r>
              <w:rPr>
                <w:b/>
                <w:bCs/>
                <w:sz w:val="24"/>
                <w:szCs w:val="24"/>
              </w:rPr>
              <w:t xml:space="preserve">            </w:t>
            </w:r>
            <w:r>
              <w:rPr>
                <w:rFonts w:eastAsia="SimSun"/>
                <w:color w:val="000000"/>
                <w:sz w:val="24"/>
                <w:szCs w:val="24"/>
              </w:rPr>
              <w:t>6.11.19.</w:t>
            </w:r>
            <w:r>
              <w:rPr>
                <w:sz w:val="24"/>
                <w:szCs w:val="24"/>
              </w:rPr>
              <w:t xml:space="preserve"> A contratada é inteiramente responsável pela integridade do veículo transportado, desde o momento que se inicia o serviço de remoção, durante o trajeto do local do recolhimento do veículo, na permanência do mesmo no seu pátio, até o momento de devolução ao proprietário/motorista ou hasta pública.</w:t>
            </w:r>
          </w:p>
          <w:p w14:paraId="58112316">
            <w:pPr>
              <w:adjustRightInd w:val="0"/>
              <w:jc w:val="both"/>
              <w:rPr>
                <w:sz w:val="24"/>
                <w:szCs w:val="24"/>
              </w:rPr>
            </w:pPr>
            <w:r>
              <w:rPr>
                <w:b/>
                <w:bCs/>
                <w:sz w:val="24"/>
                <w:szCs w:val="24"/>
              </w:rPr>
              <w:t xml:space="preserve">            </w:t>
            </w:r>
            <w:r>
              <w:rPr>
                <w:rFonts w:eastAsia="SimSun"/>
                <w:color w:val="000000"/>
                <w:sz w:val="24"/>
                <w:szCs w:val="24"/>
              </w:rPr>
              <w:t>6.11.20.</w:t>
            </w:r>
            <w:r>
              <w:rPr>
                <w:b/>
                <w:bCs/>
                <w:sz w:val="24"/>
                <w:szCs w:val="24"/>
              </w:rPr>
              <w:t xml:space="preserve"> </w:t>
            </w:r>
            <w:r>
              <w:rPr>
                <w:sz w:val="24"/>
                <w:szCs w:val="24"/>
              </w:rPr>
              <w:t>A contratada/credenciada deve atender às obrigações trabalhistas, fiscais, previdenciárias e outras que lhe seja correlata.</w:t>
            </w:r>
          </w:p>
          <w:p w14:paraId="247BD74A">
            <w:pPr>
              <w:adjustRightInd w:val="0"/>
              <w:jc w:val="both"/>
              <w:rPr>
                <w:sz w:val="24"/>
                <w:szCs w:val="24"/>
              </w:rPr>
            </w:pPr>
            <w:r>
              <w:rPr>
                <w:b/>
                <w:bCs/>
                <w:sz w:val="24"/>
                <w:szCs w:val="24"/>
              </w:rPr>
              <w:t xml:space="preserve">            </w:t>
            </w:r>
            <w:r>
              <w:rPr>
                <w:rFonts w:eastAsia="SimSun"/>
                <w:color w:val="000000"/>
                <w:sz w:val="24"/>
                <w:szCs w:val="24"/>
              </w:rPr>
              <w:t>6.11.21.</w:t>
            </w:r>
            <w:r>
              <w:rPr>
                <w:sz w:val="24"/>
                <w:szCs w:val="24"/>
              </w:rPr>
              <w:t xml:space="preserve"> A empresa contratada de serviços de guincho deverá, no momento em que irá recolher o veículo para remoção ao depósito de Pátio, lacrar com adesivos (Lacres Numerados) todas as portas (com exceção da porta do motorista, que será lacrada no momento do descarregamento no Pátio), capô, porta-malas e tampa do tanque. Sendo necessária qualquer movimentação do veículo ora removido dentro do Pátio da empresa credenciada, em que haja a necessidade de romper o lacre da porta do motorista, a empresa deverá manter uma ficha, a qual, deverá informar o motivo da violação, bem como, número do novo lacre que foi colocado no lugar, após a movimentação. Todo os custos com os Lacres correrão por conta da (s) empresa (s) credenciada (s).</w:t>
            </w:r>
          </w:p>
          <w:p w14:paraId="3DFEF29F">
            <w:pPr>
              <w:adjustRightInd w:val="0"/>
              <w:jc w:val="both"/>
              <w:rPr>
                <w:sz w:val="24"/>
                <w:szCs w:val="24"/>
              </w:rPr>
            </w:pPr>
            <w:r>
              <w:rPr>
                <w:sz w:val="24"/>
                <w:szCs w:val="24"/>
              </w:rPr>
              <w:t xml:space="preserve">            </w:t>
            </w:r>
            <w:r>
              <w:rPr>
                <w:rFonts w:eastAsia="SimSun"/>
                <w:color w:val="000000"/>
                <w:sz w:val="24"/>
                <w:szCs w:val="24"/>
              </w:rPr>
              <w:t>6.11.22.</w:t>
            </w:r>
            <w:r>
              <w:rPr>
                <w:sz w:val="24"/>
                <w:szCs w:val="24"/>
              </w:rPr>
              <w:t xml:space="preserve"> Nos casos em que a Autoridade Solicitante não tenha sistema informatizado para fazer o recolhimento do veículo, fica a empresa contratada de serviços de guincho, responsável em preencher um formulário (em três vias), sendo a 1ª (primeira) destinada a Secretaria Municipal de Segurança e Trânsito, a 2ª (segunda) ao condutor/proprietário e a 3ª (terceira) para arquivo do guincho, contendo data e hora do recolhimento, descrição completa do veículo recolhido, nível de combustível, se a chave foi recolhida ou não, os números dos adesivos/lacres e seu posicionamento, constando ainda informações necessárias sobre o estado de conservação do veículo, falta de algum equipamento obrigatório, se possui som automotivo, presença de algum objeto no interior e/ou capacete, por exemplo, no caso de motocicletas, devendo comprovar todo o procedimento com fotografias.</w:t>
            </w:r>
          </w:p>
          <w:p w14:paraId="78AE9533">
            <w:pPr>
              <w:adjustRightInd w:val="0"/>
              <w:jc w:val="both"/>
              <w:rPr>
                <w:sz w:val="24"/>
                <w:szCs w:val="24"/>
              </w:rPr>
            </w:pPr>
            <w:r>
              <w:rPr>
                <w:b/>
                <w:bCs/>
                <w:sz w:val="24"/>
                <w:szCs w:val="24"/>
              </w:rPr>
              <w:t xml:space="preserve">            </w:t>
            </w:r>
            <w:r>
              <w:rPr>
                <w:rFonts w:eastAsia="SimSun"/>
                <w:color w:val="000000"/>
                <w:sz w:val="24"/>
                <w:szCs w:val="24"/>
              </w:rPr>
              <w:t>6.11.23.</w:t>
            </w:r>
            <w:r>
              <w:rPr>
                <w:sz w:val="24"/>
                <w:szCs w:val="24"/>
              </w:rPr>
              <w:t xml:space="preserve"> Os funcionários da (s) empresa (s) credenciada (s) deverão estar uniformizados, portando equipamentos de proteção individual, nos termos da legislação vigente.</w:t>
            </w:r>
          </w:p>
          <w:p w14:paraId="5C9EC4C1">
            <w:pPr>
              <w:adjustRightInd w:val="0"/>
              <w:jc w:val="both"/>
              <w:rPr>
                <w:sz w:val="24"/>
                <w:szCs w:val="24"/>
              </w:rPr>
            </w:pPr>
            <w:r>
              <w:rPr>
                <w:b/>
                <w:bCs/>
                <w:sz w:val="24"/>
                <w:szCs w:val="24"/>
              </w:rPr>
              <w:t xml:space="preserve">            </w:t>
            </w:r>
            <w:r>
              <w:rPr>
                <w:rFonts w:eastAsia="SimSun"/>
                <w:color w:val="000000"/>
                <w:sz w:val="24"/>
                <w:szCs w:val="24"/>
              </w:rPr>
              <w:t>6.11.24.</w:t>
            </w:r>
            <w:r>
              <w:rPr>
                <w:sz w:val="24"/>
                <w:szCs w:val="24"/>
              </w:rPr>
              <w:t xml:space="preserve"> O veículo de guincho deverá estar em excelente condição de uso nas partes mecânicas e lataria, possuindo equipamentos obrigatórios de segurança, estabelecidos no Código de Trânsito Brasileiro, e os guinchos deverão possuir, além dos equipamentos obrigatórios previstos na legislação de trânsito, os seguintes equipamentos:</w:t>
            </w:r>
          </w:p>
          <w:p w14:paraId="51EF0A70">
            <w:pPr>
              <w:adjustRightInd w:val="0"/>
              <w:jc w:val="both"/>
              <w:rPr>
                <w:sz w:val="24"/>
                <w:szCs w:val="24"/>
              </w:rPr>
            </w:pPr>
            <w:r>
              <w:rPr>
                <w:b/>
                <w:bCs/>
                <w:sz w:val="24"/>
                <w:szCs w:val="24"/>
              </w:rPr>
              <w:t xml:space="preserve">            </w:t>
            </w:r>
            <w:r>
              <w:rPr>
                <w:sz w:val="24"/>
                <w:szCs w:val="24"/>
              </w:rPr>
              <w:t>I - Câmera fotográfica digital profissional, com pelo menos 10 (dez) megapixels de resolução cada.</w:t>
            </w:r>
          </w:p>
          <w:p w14:paraId="5A703ADC">
            <w:pPr>
              <w:adjustRightInd w:val="0"/>
              <w:jc w:val="both"/>
              <w:rPr>
                <w:sz w:val="24"/>
                <w:szCs w:val="24"/>
              </w:rPr>
            </w:pPr>
            <w:r>
              <w:rPr>
                <w:b/>
                <w:bCs/>
                <w:sz w:val="24"/>
                <w:szCs w:val="24"/>
              </w:rPr>
              <w:t xml:space="preserve">            </w:t>
            </w:r>
            <w:r>
              <w:rPr>
                <w:sz w:val="24"/>
                <w:szCs w:val="24"/>
              </w:rPr>
              <w:t>II - 01 (um) Extintor de incêndio de pelo menos 06 (seis) kg de pó químico seco ou de gás carbônico, com carga e casco dentro da validade.</w:t>
            </w:r>
          </w:p>
          <w:p w14:paraId="1E8EF166">
            <w:pPr>
              <w:adjustRightInd w:val="0"/>
              <w:jc w:val="both"/>
              <w:rPr>
                <w:sz w:val="24"/>
                <w:szCs w:val="24"/>
              </w:rPr>
            </w:pPr>
            <w:r>
              <w:rPr>
                <w:b/>
                <w:bCs/>
                <w:sz w:val="24"/>
                <w:szCs w:val="24"/>
              </w:rPr>
              <w:t xml:space="preserve">            </w:t>
            </w:r>
            <w:r>
              <w:rPr>
                <w:sz w:val="24"/>
                <w:szCs w:val="24"/>
              </w:rPr>
              <w:t>III - Rolo de fita zebrada para delimitação/isolamento de área nas cores preto e amarelo com largura mínima de 70 (setenta) mm e comprimento mínimo de 100 (cem) metros.</w:t>
            </w:r>
          </w:p>
          <w:p w14:paraId="6CCFA9F9">
            <w:pPr>
              <w:adjustRightInd w:val="0"/>
              <w:jc w:val="both"/>
              <w:rPr>
                <w:sz w:val="24"/>
                <w:szCs w:val="24"/>
              </w:rPr>
            </w:pPr>
            <w:r>
              <w:rPr>
                <w:b/>
                <w:bCs/>
                <w:sz w:val="24"/>
                <w:szCs w:val="24"/>
              </w:rPr>
              <w:t xml:space="preserve">            </w:t>
            </w:r>
            <w:r>
              <w:rPr>
                <w:sz w:val="24"/>
                <w:szCs w:val="24"/>
              </w:rPr>
              <w:t>IV - Cones de Sinalização, no mínimo 10 (dez).</w:t>
            </w:r>
          </w:p>
          <w:p w14:paraId="75B8A014">
            <w:pPr>
              <w:adjustRightInd w:val="0"/>
              <w:jc w:val="both"/>
              <w:rPr>
                <w:sz w:val="24"/>
                <w:szCs w:val="24"/>
              </w:rPr>
            </w:pPr>
            <w:r>
              <w:rPr>
                <w:b/>
                <w:bCs/>
                <w:sz w:val="24"/>
                <w:szCs w:val="24"/>
              </w:rPr>
              <w:t xml:space="preserve">            </w:t>
            </w:r>
            <w:r>
              <w:rPr>
                <w:sz w:val="24"/>
                <w:szCs w:val="24"/>
              </w:rPr>
              <w:t>V - Dispositivo luminoso intermitente ou rotativo, na cor amarela âmbar sobre o teto do veículo, de acordo com a legislação vigente (Resolução nº 268, de 15/02/2008, do CONTRAN).</w:t>
            </w:r>
          </w:p>
          <w:p w14:paraId="46E20B63">
            <w:pPr>
              <w:adjustRightInd w:val="0"/>
              <w:jc w:val="both"/>
              <w:rPr>
                <w:sz w:val="24"/>
                <w:szCs w:val="24"/>
              </w:rPr>
            </w:pPr>
            <w:r>
              <w:rPr>
                <w:b/>
                <w:bCs/>
                <w:sz w:val="24"/>
                <w:szCs w:val="24"/>
              </w:rPr>
              <w:t xml:space="preserve">            </w:t>
            </w:r>
            <w:r>
              <w:rPr>
                <w:sz w:val="24"/>
                <w:szCs w:val="24"/>
              </w:rPr>
              <w:t>VI - Farolete portátil de longo alcance ou dispositivo equivalente de iluminação com tecnologia por LED.</w:t>
            </w:r>
          </w:p>
          <w:p w14:paraId="68DBB2FF">
            <w:pPr>
              <w:adjustRightInd w:val="0"/>
              <w:jc w:val="both"/>
              <w:rPr>
                <w:sz w:val="24"/>
                <w:szCs w:val="24"/>
              </w:rPr>
            </w:pPr>
            <w:r>
              <w:rPr>
                <w:b/>
                <w:bCs/>
                <w:sz w:val="24"/>
                <w:szCs w:val="24"/>
              </w:rPr>
              <w:t xml:space="preserve">            </w:t>
            </w:r>
            <w:r>
              <w:rPr>
                <w:sz w:val="24"/>
                <w:szCs w:val="24"/>
              </w:rPr>
              <w:t>VII - Dispositivo mecânico de tração de veículos com cabo de aço.</w:t>
            </w:r>
          </w:p>
          <w:p w14:paraId="4F6EDF44">
            <w:pPr>
              <w:adjustRightInd w:val="0"/>
              <w:jc w:val="both"/>
              <w:rPr>
                <w:sz w:val="24"/>
                <w:szCs w:val="24"/>
              </w:rPr>
            </w:pPr>
            <w:r>
              <w:rPr>
                <w:b/>
                <w:bCs/>
                <w:sz w:val="24"/>
                <w:szCs w:val="24"/>
              </w:rPr>
              <w:t xml:space="preserve">            </w:t>
            </w:r>
            <w:r>
              <w:rPr>
                <w:sz w:val="24"/>
                <w:szCs w:val="24"/>
              </w:rPr>
              <w:t>VIII - Patins para movimentação e remoção de veículos.</w:t>
            </w:r>
          </w:p>
          <w:p w14:paraId="6B780C7E">
            <w:pPr>
              <w:adjustRightInd w:val="0"/>
              <w:jc w:val="both"/>
              <w:rPr>
                <w:sz w:val="24"/>
                <w:szCs w:val="24"/>
              </w:rPr>
            </w:pPr>
            <w:r>
              <w:rPr>
                <w:b/>
                <w:bCs/>
                <w:sz w:val="24"/>
                <w:szCs w:val="24"/>
              </w:rPr>
              <w:t xml:space="preserve">            </w:t>
            </w:r>
            <w:r>
              <w:rPr>
                <w:rFonts w:eastAsia="SimSun"/>
                <w:color w:val="000000"/>
                <w:sz w:val="24"/>
                <w:szCs w:val="24"/>
              </w:rPr>
              <w:t>6.11.25.</w:t>
            </w:r>
            <w:r>
              <w:rPr>
                <w:sz w:val="24"/>
                <w:szCs w:val="24"/>
              </w:rPr>
              <w:t xml:space="preserve"> Os veículos que executam o Serviço de Remoção do Local solicitado até o Pátio, deverão possuir apólice de seguro contra danos materiais e pessoais a terceiros, com valor não inferior a 80.000 UR`s (oitenta mil unidades de referência).</w:t>
            </w:r>
          </w:p>
          <w:p w14:paraId="778420FA">
            <w:pPr>
              <w:adjustRightInd w:val="0"/>
              <w:jc w:val="both"/>
              <w:rPr>
                <w:sz w:val="24"/>
                <w:szCs w:val="24"/>
              </w:rPr>
            </w:pPr>
            <w:r>
              <w:rPr>
                <w:b/>
                <w:bCs/>
                <w:sz w:val="24"/>
                <w:szCs w:val="24"/>
              </w:rPr>
              <w:t xml:space="preserve">            </w:t>
            </w:r>
            <w:r>
              <w:rPr>
                <w:rFonts w:eastAsia="SimSun"/>
                <w:color w:val="000000"/>
                <w:sz w:val="24"/>
                <w:szCs w:val="24"/>
              </w:rPr>
              <w:t>6.11.26.</w:t>
            </w:r>
            <w:r>
              <w:rPr>
                <w:sz w:val="24"/>
                <w:szCs w:val="24"/>
              </w:rPr>
              <w:t xml:space="preserve"> Os veículos de guincho deverão serem submetidos a vistorias semestrais periódicas estabelecidas pela Secretaria Municipal de Segurança e Trânsito - SST.</w:t>
            </w:r>
          </w:p>
          <w:p w14:paraId="22F2038B">
            <w:pPr>
              <w:adjustRightInd w:val="0"/>
              <w:jc w:val="both"/>
              <w:rPr>
                <w:sz w:val="24"/>
                <w:szCs w:val="24"/>
              </w:rPr>
            </w:pPr>
            <w:r>
              <w:rPr>
                <w:b/>
                <w:bCs/>
                <w:sz w:val="24"/>
                <w:szCs w:val="24"/>
              </w:rPr>
              <w:t xml:space="preserve">            </w:t>
            </w:r>
            <w:r>
              <w:rPr>
                <w:rFonts w:eastAsia="SimSun"/>
                <w:color w:val="000000"/>
                <w:sz w:val="24"/>
                <w:szCs w:val="24"/>
              </w:rPr>
              <w:t>6.11.27.</w:t>
            </w:r>
            <w:r>
              <w:rPr>
                <w:sz w:val="24"/>
                <w:szCs w:val="24"/>
              </w:rPr>
              <w:t xml:space="preserve"> Os condutores/operadores e ajudantes que trabalhem na (s) empresa (s) credenciada (s) deverão ser previamente cadastrados junto à Contratante.</w:t>
            </w:r>
          </w:p>
          <w:p w14:paraId="397EB48D">
            <w:pPr>
              <w:adjustRightInd w:val="0"/>
              <w:jc w:val="both"/>
              <w:rPr>
                <w:sz w:val="24"/>
                <w:szCs w:val="24"/>
              </w:rPr>
            </w:pPr>
            <w:r>
              <w:rPr>
                <w:b/>
                <w:bCs/>
                <w:sz w:val="24"/>
                <w:szCs w:val="24"/>
              </w:rPr>
              <w:t xml:space="preserve">            </w:t>
            </w:r>
            <w:r>
              <w:rPr>
                <w:rFonts w:eastAsia="SimSun"/>
                <w:color w:val="000000"/>
                <w:sz w:val="24"/>
                <w:szCs w:val="24"/>
              </w:rPr>
              <w:t>6.11.28.</w:t>
            </w:r>
            <w:r>
              <w:rPr>
                <w:sz w:val="24"/>
                <w:szCs w:val="24"/>
              </w:rPr>
              <w:t xml:space="preserve"> A (s) empresa (s) credenciada (s) deverá (ão) possuir, pelo menos, 01 (um) veículo regularmente adaptado para a execução segura do serviço de guincho, com capacidade de remoção de motocicletas, ciclomotores, veículos de passeio, utilitários ou similares que não ultrapassem o peso bruto total de 3.500 kg.</w:t>
            </w:r>
          </w:p>
          <w:p w14:paraId="4CE162E2">
            <w:pPr>
              <w:adjustRightInd w:val="0"/>
              <w:jc w:val="both"/>
              <w:rPr>
                <w:sz w:val="24"/>
                <w:szCs w:val="24"/>
              </w:rPr>
            </w:pPr>
            <w:r>
              <w:rPr>
                <w:b/>
                <w:bCs/>
                <w:sz w:val="24"/>
                <w:szCs w:val="24"/>
              </w:rPr>
              <w:t xml:space="preserve">            </w:t>
            </w:r>
            <w:r>
              <w:rPr>
                <w:rFonts w:eastAsia="SimSun"/>
                <w:color w:val="000000"/>
                <w:sz w:val="24"/>
                <w:szCs w:val="24"/>
              </w:rPr>
              <w:t>6.11.29.</w:t>
            </w:r>
            <w:r>
              <w:rPr>
                <w:sz w:val="24"/>
                <w:szCs w:val="24"/>
              </w:rPr>
              <w:t xml:space="preserve"> A (s) empresa (s) credenciada (s) deverá (ão) possuir, pelo menos, 01 (um) veículo regularmente adaptado para a execução segura do serviço de guincho, com capacidade de remoção de veículos de cargas e passageiros com peso bruto superior a 3.500 kg, articulados, reboques e semi-reboques. Caso não possuam o veículo, podem apresentar contrato de locação ou similar que demostre a disponibilização deste veículo para a adequada prestação do serviço. No caso de veículos locados ou similar, os mesmos também deverão serem submetidos a vistorias semestrais periódicas estabelecidas pela Secretaria Municipal de Segurança e Trânsito - SST.</w:t>
            </w:r>
          </w:p>
          <w:p w14:paraId="7D9B53E3">
            <w:pPr>
              <w:adjustRightInd w:val="0"/>
              <w:jc w:val="both"/>
              <w:rPr>
                <w:sz w:val="24"/>
                <w:szCs w:val="24"/>
              </w:rPr>
            </w:pPr>
            <w:r>
              <w:rPr>
                <w:b/>
                <w:bCs/>
                <w:sz w:val="24"/>
                <w:szCs w:val="24"/>
              </w:rPr>
              <w:t xml:space="preserve">            </w:t>
            </w:r>
            <w:r>
              <w:rPr>
                <w:rFonts w:eastAsia="SimSun"/>
                <w:color w:val="000000"/>
                <w:sz w:val="24"/>
                <w:szCs w:val="24"/>
              </w:rPr>
              <w:t>6.11.30.</w:t>
            </w:r>
            <w:r>
              <w:rPr>
                <w:sz w:val="24"/>
                <w:szCs w:val="24"/>
              </w:rPr>
              <w:t xml:space="preserve"> Se for necessário, a empresa deverá disponibilizar mais de um veículo, com as mesmas características, para a realização de todos os serviços contratados, de acordo com a demanda, podendo estes serem locados, porém com o devido cadastro junto ao Departamento de Pátio e Leilão. </w:t>
            </w:r>
          </w:p>
          <w:p w14:paraId="4AEE18DC">
            <w:pPr>
              <w:adjustRightInd w:val="0"/>
              <w:jc w:val="both"/>
              <w:rPr>
                <w:sz w:val="24"/>
                <w:szCs w:val="24"/>
              </w:rPr>
            </w:pPr>
            <w:r>
              <w:rPr>
                <w:b/>
                <w:bCs/>
                <w:sz w:val="24"/>
                <w:szCs w:val="24"/>
              </w:rPr>
              <w:t xml:space="preserve">            </w:t>
            </w:r>
            <w:r>
              <w:rPr>
                <w:rFonts w:eastAsia="SimSun"/>
                <w:color w:val="000000"/>
                <w:sz w:val="24"/>
                <w:szCs w:val="24"/>
              </w:rPr>
              <w:t>6.11.31.</w:t>
            </w:r>
            <w:r>
              <w:rPr>
                <w:sz w:val="24"/>
                <w:szCs w:val="24"/>
              </w:rPr>
              <w:t xml:space="preserve"> Condutor/operador deverá possuir capacidade técnica para a realização das operações contratadas, devendo ser habilitado na categoria correspondente ao veículo conduzido, especialmente, quando houver acoplamento de veículos. </w:t>
            </w:r>
          </w:p>
          <w:p w14:paraId="2B3C9141">
            <w:pPr>
              <w:adjustRightInd w:val="0"/>
              <w:jc w:val="both"/>
              <w:rPr>
                <w:sz w:val="24"/>
                <w:szCs w:val="24"/>
              </w:rPr>
            </w:pPr>
            <w:r>
              <w:rPr>
                <w:b/>
                <w:bCs/>
                <w:sz w:val="24"/>
                <w:szCs w:val="24"/>
              </w:rPr>
              <w:t xml:space="preserve">            </w:t>
            </w:r>
            <w:r>
              <w:rPr>
                <w:rFonts w:eastAsia="SimSun"/>
                <w:color w:val="000000"/>
                <w:sz w:val="24"/>
                <w:szCs w:val="24"/>
              </w:rPr>
              <w:t>6.11.32.</w:t>
            </w:r>
            <w:r>
              <w:rPr>
                <w:sz w:val="24"/>
                <w:szCs w:val="24"/>
              </w:rPr>
              <w:t xml:space="preserve"> A Contratada não poderá utilizar funcionários cuja conduta ou antecedentes sejam incompatíveis com a execução do serviço contratado, podendo a Contratante, a seu critério, requerer a substituição.</w:t>
            </w:r>
          </w:p>
          <w:p w14:paraId="4D9D4294">
            <w:pPr>
              <w:adjustRightInd w:val="0"/>
              <w:jc w:val="both"/>
              <w:rPr>
                <w:b/>
                <w:bCs/>
                <w:sz w:val="24"/>
                <w:szCs w:val="24"/>
                <w:u w:val="single"/>
              </w:rPr>
            </w:pPr>
            <w:r>
              <w:rPr>
                <w:b/>
                <w:bCs/>
                <w:sz w:val="24"/>
                <w:szCs w:val="24"/>
              </w:rPr>
              <w:t xml:space="preserve">            </w:t>
            </w:r>
            <w:r>
              <w:rPr>
                <w:b/>
                <w:bCs/>
                <w:sz w:val="24"/>
                <w:szCs w:val="24"/>
                <w:u w:val="single"/>
              </w:rPr>
              <w:t>SERVIÇOS DE DEPÓSITO EM PÁTIO</w:t>
            </w:r>
          </w:p>
          <w:p w14:paraId="25100B0C">
            <w:pPr>
              <w:adjustRightInd w:val="0"/>
              <w:jc w:val="both"/>
              <w:rPr>
                <w:sz w:val="24"/>
                <w:szCs w:val="24"/>
              </w:rPr>
            </w:pPr>
            <w:r>
              <w:rPr>
                <w:b/>
                <w:bCs/>
                <w:sz w:val="24"/>
                <w:szCs w:val="24"/>
              </w:rPr>
              <w:t xml:space="preserve">            </w:t>
            </w:r>
            <w:r>
              <w:rPr>
                <w:rFonts w:eastAsia="SimSun"/>
                <w:color w:val="000000"/>
                <w:sz w:val="24"/>
                <w:szCs w:val="24"/>
              </w:rPr>
              <w:t>6.11.33.</w:t>
            </w:r>
            <w:r>
              <w:rPr>
                <w:sz w:val="24"/>
                <w:szCs w:val="24"/>
              </w:rPr>
              <w:t xml:space="preserve"> O serviço de depósito em pátio consiste na guarda e depósito em Pátio de veículo apreendido em decorrência de ação fiscalizatória da Guarda Civil Municipal de Sinop ou de outro órgão de segurança pública, com objetivo de garantir a segurança ao patrimônio particular, até regularização do veículo ou das condições de habilitação por parte do motorista e/ou proprietário do veículo.</w:t>
            </w:r>
          </w:p>
          <w:p w14:paraId="738498AF">
            <w:pPr>
              <w:adjustRightInd w:val="0"/>
              <w:jc w:val="both"/>
              <w:rPr>
                <w:sz w:val="24"/>
                <w:szCs w:val="24"/>
              </w:rPr>
            </w:pPr>
            <w:r>
              <w:rPr>
                <w:b/>
                <w:bCs/>
                <w:sz w:val="24"/>
                <w:szCs w:val="24"/>
              </w:rPr>
              <w:t xml:space="preserve">            </w:t>
            </w:r>
            <w:r>
              <w:rPr>
                <w:rFonts w:eastAsia="SimSun"/>
                <w:color w:val="000000"/>
                <w:sz w:val="24"/>
                <w:szCs w:val="24"/>
              </w:rPr>
              <w:t>6.11.34.</w:t>
            </w:r>
            <w:r>
              <w:rPr>
                <w:sz w:val="24"/>
                <w:szCs w:val="24"/>
              </w:rPr>
              <w:t xml:space="preserve"> Para segurança e conservação do patrimônio particular, durante a execução dos serviços de Depósito em Pátio de veículos autuados e apreendidos, a (s) empresa (s) credenciada (s) deverá (ão) possuir (em):</w:t>
            </w:r>
          </w:p>
          <w:p w14:paraId="40E25CCC">
            <w:pPr>
              <w:adjustRightInd w:val="0"/>
              <w:jc w:val="both"/>
              <w:rPr>
                <w:sz w:val="24"/>
                <w:szCs w:val="24"/>
              </w:rPr>
            </w:pPr>
            <w:r>
              <w:rPr>
                <w:b/>
                <w:bCs/>
                <w:sz w:val="24"/>
                <w:szCs w:val="24"/>
              </w:rPr>
              <w:t xml:space="preserve">            </w:t>
            </w:r>
            <w:r>
              <w:rPr>
                <w:sz w:val="24"/>
                <w:szCs w:val="24"/>
              </w:rPr>
              <w:t>I - A (s) empresa (s) credenciada (s) deverá (ão) possuir local apropriado próprio ou alugado (todo murado, com cerca elétrica e alarme), que permita a guarda em total segurança de todos os veículos removidos, independente do motivo da remoção, peso ou tamanho, não podendo alegar falta de espaço como causa de não prestação dos serviços.</w:t>
            </w:r>
          </w:p>
          <w:p w14:paraId="470ED540">
            <w:pPr>
              <w:adjustRightInd w:val="0"/>
              <w:jc w:val="both"/>
              <w:rPr>
                <w:sz w:val="24"/>
                <w:szCs w:val="24"/>
              </w:rPr>
            </w:pPr>
            <w:r>
              <w:rPr>
                <w:b/>
                <w:bCs/>
                <w:sz w:val="24"/>
                <w:szCs w:val="24"/>
              </w:rPr>
              <w:t xml:space="preserve">            </w:t>
            </w:r>
            <w:r>
              <w:rPr>
                <w:sz w:val="24"/>
                <w:szCs w:val="24"/>
              </w:rPr>
              <w:t>II - Controle de registro em local visível ao usuário, no qual o condutor ou proprietário, ao retirar o veículo, registrará eventuais danos, ou falta de equipamentos e/ou acessórios, ou, ainda, a sua inconformidade pelo estado do veículo.</w:t>
            </w:r>
          </w:p>
          <w:p w14:paraId="1F17DB9B">
            <w:pPr>
              <w:adjustRightInd w:val="0"/>
              <w:jc w:val="both"/>
              <w:rPr>
                <w:sz w:val="24"/>
                <w:szCs w:val="24"/>
              </w:rPr>
            </w:pPr>
            <w:r>
              <w:rPr>
                <w:b/>
                <w:bCs/>
                <w:sz w:val="24"/>
                <w:szCs w:val="24"/>
              </w:rPr>
              <w:t xml:space="preserve">            </w:t>
            </w:r>
            <w:r>
              <w:rPr>
                <w:sz w:val="24"/>
                <w:szCs w:val="24"/>
              </w:rPr>
              <w:t>III - Responsabilidade desde a retirada do veículo do local da remoção, até a entrega do veículo ao proprietário ou representante legal, por danos causados ao veículo e pela comprovada falta de equipamentos e/ou acessórios, assegurado o direito de regresso contra o autor do dano ou responsável pelo fato.</w:t>
            </w:r>
          </w:p>
          <w:p w14:paraId="71509D9A">
            <w:pPr>
              <w:adjustRightInd w:val="0"/>
              <w:jc w:val="both"/>
              <w:rPr>
                <w:sz w:val="24"/>
                <w:szCs w:val="24"/>
              </w:rPr>
            </w:pPr>
            <w:r>
              <w:rPr>
                <w:b/>
                <w:bCs/>
                <w:sz w:val="24"/>
                <w:szCs w:val="24"/>
              </w:rPr>
              <w:t xml:space="preserve">            </w:t>
            </w:r>
            <w:r>
              <w:rPr>
                <w:sz w:val="24"/>
                <w:szCs w:val="24"/>
              </w:rPr>
              <w:t>IV - Manter, sob suas expensas, durante todo tempo da permissão, seguro de responsabilidade civil destinado a cobrir prejuízos causados por danos materiais (furto, roubo, incêndio e outros), nos veículos depositados sob sua responsabilidade. A empresa deverá apresentar Apólice de Seguro de Responsabilidade Civil de no mínimo 80.000 UR’s (oitenta mil unidades de referência).</w:t>
            </w:r>
          </w:p>
          <w:p w14:paraId="3CBB040C">
            <w:pPr>
              <w:adjustRightInd w:val="0"/>
              <w:jc w:val="both"/>
              <w:rPr>
                <w:sz w:val="24"/>
                <w:szCs w:val="24"/>
              </w:rPr>
            </w:pPr>
            <w:r>
              <w:rPr>
                <w:b/>
                <w:bCs/>
                <w:sz w:val="24"/>
                <w:szCs w:val="24"/>
              </w:rPr>
              <w:t xml:space="preserve">            </w:t>
            </w:r>
            <w:r>
              <w:rPr>
                <w:sz w:val="24"/>
                <w:szCs w:val="24"/>
              </w:rPr>
              <w:t>V - Assumir integral responsabilidade pela boa e eficiente execução dos serviços públicos prestados.</w:t>
            </w:r>
          </w:p>
          <w:p w14:paraId="6D9717CC">
            <w:pPr>
              <w:adjustRightInd w:val="0"/>
              <w:jc w:val="both"/>
              <w:rPr>
                <w:sz w:val="24"/>
                <w:szCs w:val="24"/>
              </w:rPr>
            </w:pPr>
            <w:r>
              <w:rPr>
                <w:b/>
                <w:bCs/>
                <w:sz w:val="24"/>
                <w:szCs w:val="24"/>
              </w:rPr>
              <w:t xml:space="preserve">            </w:t>
            </w:r>
            <w:r>
              <w:rPr>
                <w:sz w:val="24"/>
                <w:szCs w:val="24"/>
              </w:rPr>
              <w:t>VI - Possuir central de videomonitoramento de todo o pátio, 24 (vinte e quatro) horas por dia, 07 (sete) dias por semana, mantendo gravação mínima de 60 (sessenta) dias, disponibilizando Link de acesso às Câmeras para a Secretaria Municipal de Segurança e Trânsito.</w:t>
            </w:r>
          </w:p>
          <w:p w14:paraId="5878EC56">
            <w:pPr>
              <w:adjustRightInd w:val="0"/>
              <w:jc w:val="both"/>
              <w:rPr>
                <w:sz w:val="24"/>
                <w:szCs w:val="24"/>
              </w:rPr>
            </w:pPr>
            <w:r>
              <w:rPr>
                <w:b/>
                <w:bCs/>
                <w:sz w:val="24"/>
                <w:szCs w:val="24"/>
              </w:rPr>
              <w:t xml:space="preserve">            </w:t>
            </w:r>
            <w:r>
              <w:rPr>
                <w:rFonts w:eastAsia="SimSun"/>
                <w:color w:val="000000"/>
                <w:sz w:val="24"/>
                <w:szCs w:val="24"/>
              </w:rPr>
              <w:t>6.11.35.</w:t>
            </w:r>
            <w:r>
              <w:rPr>
                <w:b/>
                <w:bCs/>
                <w:sz w:val="24"/>
                <w:szCs w:val="24"/>
              </w:rPr>
              <w:t xml:space="preserve"> </w:t>
            </w:r>
            <w:r>
              <w:rPr>
                <w:sz w:val="24"/>
                <w:szCs w:val="24"/>
              </w:rPr>
              <w:t>Nos casos de Liberações Condicionadas em que as irregularidades possam ser sanadas dentro do Pátio da empresa credenciada, fica a empresa responsável em tirar fotos do veículo com as irregularidades sanadas e encaminhar para o Departamento de Pátio e Leilão.</w:t>
            </w:r>
          </w:p>
          <w:p w14:paraId="320F8991">
            <w:pPr>
              <w:adjustRightInd w:val="0"/>
              <w:jc w:val="both"/>
              <w:rPr>
                <w:sz w:val="24"/>
                <w:szCs w:val="24"/>
              </w:rPr>
            </w:pPr>
            <w:r>
              <w:rPr>
                <w:sz w:val="24"/>
                <w:szCs w:val="24"/>
              </w:rPr>
              <w:t xml:space="preserve">            </w:t>
            </w:r>
            <w:r>
              <w:rPr>
                <w:rFonts w:eastAsia="SimSun"/>
                <w:color w:val="000000"/>
                <w:sz w:val="24"/>
                <w:szCs w:val="24"/>
              </w:rPr>
              <w:t>6.11.36.</w:t>
            </w:r>
            <w:r>
              <w:rPr>
                <w:sz w:val="24"/>
                <w:szCs w:val="24"/>
              </w:rPr>
              <w:t xml:space="preserve"> A (s) empresa (s) credenciada (s) deverão ter atendimento ao público de segunda a sexta-feira (exceto em feriados), das 07h00min às 17h00min, sem intervalo para almoço.</w:t>
            </w:r>
          </w:p>
          <w:p w14:paraId="191D4FDA">
            <w:pPr>
              <w:adjustRightInd w:val="0"/>
              <w:jc w:val="both"/>
              <w:rPr>
                <w:b/>
                <w:bCs/>
                <w:sz w:val="24"/>
                <w:szCs w:val="24"/>
                <w:u w:val="single"/>
              </w:rPr>
            </w:pPr>
            <w:r>
              <w:rPr>
                <w:b/>
                <w:bCs/>
                <w:sz w:val="24"/>
                <w:szCs w:val="24"/>
              </w:rPr>
              <w:t xml:space="preserve">            </w:t>
            </w:r>
            <w:r>
              <w:rPr>
                <w:b/>
                <w:bCs/>
                <w:sz w:val="24"/>
                <w:szCs w:val="24"/>
                <w:u w:val="single"/>
              </w:rPr>
              <w:t>DAS TAXAS DE REMOÇÃO, SERVIÇO DE MUNCK E TAXA DE DEPÓSITO EM PÁTIO.</w:t>
            </w:r>
          </w:p>
          <w:p w14:paraId="148D1F50">
            <w:pPr>
              <w:adjustRightInd w:val="0"/>
              <w:jc w:val="both"/>
              <w:rPr>
                <w:sz w:val="24"/>
                <w:szCs w:val="24"/>
              </w:rPr>
            </w:pPr>
            <w:r>
              <w:rPr>
                <w:b/>
                <w:bCs/>
                <w:sz w:val="24"/>
                <w:szCs w:val="24"/>
              </w:rPr>
              <w:t xml:space="preserve">            </w:t>
            </w:r>
            <w:r>
              <w:rPr>
                <w:rFonts w:eastAsia="SimSun"/>
                <w:color w:val="000000"/>
                <w:sz w:val="24"/>
                <w:szCs w:val="24"/>
              </w:rPr>
              <w:t>6.11.37.</w:t>
            </w:r>
            <w:r>
              <w:rPr>
                <w:sz w:val="24"/>
                <w:szCs w:val="24"/>
              </w:rPr>
              <w:t xml:space="preserve"> Os valores das referidas taxas de Remoção, Serviço de Munck e Taxa de Depósito em Pátio estão expressas no Termo de Referência, de acordo com a Lei Municipal 2985/2021, sendo que as taxas são calculadas com base na U. R. - Unidade de Referência, deste modo, atualizando os valores automaticamente todo início de ano.</w:t>
            </w:r>
          </w:p>
          <w:p w14:paraId="04F6ED9F">
            <w:pPr>
              <w:adjustRightInd w:val="0"/>
              <w:jc w:val="both"/>
              <w:rPr>
                <w:sz w:val="24"/>
                <w:szCs w:val="24"/>
              </w:rPr>
            </w:pPr>
            <w:r>
              <w:rPr>
                <w:b/>
                <w:bCs/>
                <w:sz w:val="24"/>
                <w:szCs w:val="24"/>
              </w:rPr>
              <w:t xml:space="preserve">            </w:t>
            </w:r>
            <w:r>
              <w:rPr>
                <w:rFonts w:eastAsia="SimSun"/>
                <w:color w:val="000000"/>
                <w:sz w:val="24"/>
                <w:szCs w:val="24"/>
              </w:rPr>
              <w:t>6.11.38.</w:t>
            </w:r>
            <w:r>
              <w:rPr>
                <w:sz w:val="24"/>
                <w:szCs w:val="24"/>
              </w:rPr>
              <w:t xml:space="preserve"> Em caso de Contratação dos Serviços, o valor percebido pela empresa contratada para cobrança da Taxa de Remoção, Serviço de Munck e Taxa de Depósito em Pátio do veículo, será descontado a importância de 15% (quinze por cento) sobre o valor total bruto das referidas taxas, para fins de manutenção, custeio e aparelhamento da Secretaria Municipal de Segurança e Trânsito, do município de Sinop, aplicado às necessidades dos serviços prestados pelos Guardas Civis Municipais. No caso da Taxa de Depósito em Pátio, os 15% (quinze por cento) deverão ser calculados com base na quantia total de diárias recebidas pela empresa credenciada.</w:t>
            </w:r>
          </w:p>
          <w:p w14:paraId="1006B106">
            <w:pPr>
              <w:adjustRightInd w:val="0"/>
              <w:jc w:val="both"/>
              <w:rPr>
                <w:sz w:val="24"/>
                <w:szCs w:val="24"/>
              </w:rPr>
            </w:pPr>
            <w:r>
              <w:rPr>
                <w:sz w:val="24"/>
                <w:szCs w:val="24"/>
              </w:rPr>
              <w:t xml:space="preserve">            </w:t>
            </w:r>
            <w:r>
              <w:rPr>
                <w:rFonts w:eastAsia="SimSun"/>
                <w:color w:val="000000"/>
                <w:sz w:val="24"/>
                <w:szCs w:val="24"/>
              </w:rPr>
              <w:t>6.11.39.</w:t>
            </w:r>
            <w:r>
              <w:rPr>
                <w:sz w:val="24"/>
                <w:szCs w:val="24"/>
              </w:rPr>
              <w:t xml:space="preserve"> A Referida Taxa de 15% (quinze por cento) será calculada mensalmente pelo Departamento de Pátio e Leilão da Secretaria Municipal de Segurança e Trânsito e encaminhada à (s) empresa (s) credenciada (s) até o quinto dia útil do mês subsequente. A referida taxa deverá ser recolhida pela (s) empresa (s) credenciada (s) até o décimo dia útil do mês subsequente, mediante DAM - Documento de Arrecadação Municipal, sob pena de ser descontratada ou descredenciada em caso de inadimplência. Sendo que os valores recebidos da (s) empresa (s) credenciada (s), deverão cair diretamente no Fundo Municipal de Trânsito.</w:t>
            </w:r>
          </w:p>
          <w:p w14:paraId="6BC1F8DC">
            <w:pPr>
              <w:adjustRightInd w:val="0"/>
              <w:jc w:val="both"/>
              <w:rPr>
                <w:sz w:val="24"/>
                <w:szCs w:val="24"/>
              </w:rPr>
            </w:pPr>
            <w:r>
              <w:rPr>
                <w:b/>
                <w:bCs/>
                <w:sz w:val="24"/>
                <w:szCs w:val="24"/>
              </w:rPr>
              <w:t xml:space="preserve">            </w:t>
            </w:r>
            <w:r>
              <w:rPr>
                <w:rFonts w:eastAsia="SimSun"/>
                <w:color w:val="000000"/>
                <w:sz w:val="24"/>
                <w:szCs w:val="24"/>
              </w:rPr>
              <w:t>6.11.40.</w:t>
            </w:r>
            <w:r>
              <w:rPr>
                <w:sz w:val="24"/>
                <w:szCs w:val="24"/>
              </w:rPr>
              <w:t xml:space="preserve"> Os valores devidos pelo proprietário do veículo guinchado e removido serão pagos direto ao particular prestador dos serviços, mediante apresentação do termo de liberação do veículo, fornecido pelo Departamento de Pátio e Leilão. A (s) empresa (s) credenciada (s) deverá (ão) oferecer aos proprietários dos veículos as opções de pagamento em dinheiro, PIX, cartão de crédito e cartão de débito.</w:t>
            </w:r>
          </w:p>
          <w:p w14:paraId="0B750D48">
            <w:pPr>
              <w:adjustRightInd w:val="0"/>
              <w:jc w:val="both"/>
              <w:rPr>
                <w:b/>
                <w:bCs/>
                <w:sz w:val="24"/>
                <w:szCs w:val="24"/>
                <w:u w:val="single"/>
              </w:rPr>
            </w:pPr>
            <w:r>
              <w:rPr>
                <w:b/>
                <w:bCs/>
                <w:sz w:val="24"/>
                <w:szCs w:val="24"/>
              </w:rPr>
              <w:t xml:space="preserve">            </w:t>
            </w:r>
            <w:r>
              <w:rPr>
                <w:b/>
                <w:bCs/>
                <w:sz w:val="24"/>
                <w:szCs w:val="24"/>
                <w:u w:val="single"/>
              </w:rPr>
              <w:t xml:space="preserve">METODOLOGIA PARA DISTRIBUIÇÃO DOS SERVIÇOS: </w:t>
            </w:r>
          </w:p>
          <w:p w14:paraId="248B324A">
            <w:pPr>
              <w:adjustRightInd w:val="0"/>
              <w:jc w:val="both"/>
              <w:rPr>
                <w:b/>
                <w:bCs/>
                <w:sz w:val="24"/>
                <w:szCs w:val="24"/>
              </w:rPr>
            </w:pPr>
            <w:r>
              <w:rPr>
                <w:b/>
                <w:bCs/>
                <w:sz w:val="24"/>
                <w:szCs w:val="24"/>
              </w:rPr>
              <w:t xml:space="preserve">            </w:t>
            </w:r>
            <w:r>
              <w:rPr>
                <w:rFonts w:eastAsia="SimSun"/>
                <w:color w:val="000000"/>
                <w:sz w:val="24"/>
                <w:szCs w:val="24"/>
              </w:rPr>
              <w:t>6.11.41.</w:t>
            </w:r>
            <w:r>
              <w:rPr>
                <w:sz w:val="24"/>
                <w:szCs w:val="24"/>
              </w:rPr>
              <w:t xml:space="preserve"> Havendo mais de uma empresa credenciada, a ordem de contratação das empresas e profissionais habilitados dar-se-á de acordo com a ordem cronológica de recebimento da documentação na Prefeitura Municipal de Sinop/MT. A Comissão responsável pelo processamento do presente Credenciamento atestará, sob registro no Sistema de Protocolo, a data e hora do efetivo recebimento dos documentos de habilitação. No caso de interessado inabilitado que apresentar a documentação complementar, a data a ser considerada para ordenamento no banco de credenciadas será a última data em que a empresa apresentar a documentação sem os defeitos que deram causa à inabilitação. O credenciado receberá numeração sequencial, a fim de identificá-lo quando da distribuição de serviços.</w:t>
            </w:r>
          </w:p>
          <w:p w14:paraId="0B14FE07">
            <w:pPr>
              <w:adjustRightInd w:val="0"/>
              <w:jc w:val="both"/>
              <w:rPr>
                <w:sz w:val="24"/>
                <w:szCs w:val="24"/>
              </w:rPr>
            </w:pPr>
            <w:r>
              <w:rPr>
                <w:b/>
                <w:bCs/>
                <w:sz w:val="24"/>
                <w:szCs w:val="24"/>
              </w:rPr>
              <w:t xml:space="preserve">            </w:t>
            </w:r>
            <w:r>
              <w:rPr>
                <w:rFonts w:eastAsia="SimSun"/>
                <w:color w:val="000000"/>
                <w:sz w:val="24"/>
                <w:szCs w:val="24"/>
              </w:rPr>
              <w:t>6.11.42.</w:t>
            </w:r>
            <w:r>
              <w:rPr>
                <w:sz w:val="24"/>
                <w:szCs w:val="24"/>
              </w:rPr>
              <w:t xml:space="preserve"> Os serviços serão distribuídos em escala de plantão 24 (vinte e quatro) horas, iniciando e finalizando as seis horas da manhã. Havendo mais de uma empresa credenciada, trabalhará uma empresa por dia, seguindo a ordem de contratação, garantindo uma distribuição equitativa dos serviços entre os credenciados. </w:t>
            </w:r>
          </w:p>
          <w:p w14:paraId="3F620E69">
            <w:pPr>
              <w:adjustRightInd w:val="0"/>
              <w:jc w:val="both"/>
              <w:rPr>
                <w:sz w:val="24"/>
                <w:szCs w:val="24"/>
              </w:rPr>
            </w:pPr>
            <w:r>
              <w:rPr>
                <w:sz w:val="24"/>
                <w:szCs w:val="24"/>
              </w:rPr>
              <w:t xml:space="preserve">            </w:t>
            </w:r>
            <w:r>
              <w:rPr>
                <w:rFonts w:eastAsia="SimSun"/>
                <w:color w:val="000000"/>
                <w:sz w:val="24"/>
                <w:szCs w:val="24"/>
              </w:rPr>
              <w:t>6.11.43.</w:t>
            </w:r>
            <w:r>
              <w:rPr>
                <w:sz w:val="24"/>
                <w:szCs w:val="24"/>
              </w:rPr>
              <w:t xml:space="preserve"> Havendo mais de uma empresa credenciada, nas operações integradas da Lei Seca, será feito escala diferenciada pelo Departamento de Pátio e Leilão e encaminhada as mesmas.</w:t>
            </w:r>
          </w:p>
          <w:p w14:paraId="2FCFB101">
            <w:pPr>
              <w:adjustRightInd w:val="0"/>
              <w:jc w:val="both"/>
              <w:rPr>
                <w:rFonts w:eastAsia="SimSun"/>
                <w:color w:val="000000"/>
                <w:sz w:val="24"/>
                <w:szCs w:val="24"/>
              </w:rPr>
            </w:pPr>
            <w:r>
              <w:rPr>
                <w:rFonts w:eastAsia="SimSun"/>
                <w:color w:val="000000"/>
                <w:sz w:val="24"/>
                <w:szCs w:val="24"/>
              </w:rPr>
              <w:t xml:space="preserve">            6.11.44. Nas Operações Integradas Lei Seca, todos os motoristas dos caminhões do guincho de plantão, serão submetidos ao teste do etilômetro.</w:t>
            </w:r>
          </w:p>
        </w:tc>
      </w:tr>
    </w:tbl>
    <w:p w14:paraId="4B4D5868">
      <w:pPr>
        <w:rPr>
          <w:sz w:val="16"/>
          <w:szCs w:val="16"/>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10AA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7145751B">
            <w:pPr>
              <w:rPr>
                <w:sz w:val="24"/>
                <w:szCs w:val="24"/>
              </w:rPr>
            </w:pPr>
            <w:r>
              <w:rPr>
                <w:b/>
                <w:bCs/>
                <w:sz w:val="24"/>
                <w:szCs w:val="24"/>
              </w:rPr>
              <w:t>6.12 - DAS OBRIGAÇÕES DA CONTRATANTE</w:t>
            </w:r>
          </w:p>
        </w:tc>
      </w:tr>
      <w:tr w14:paraId="78F15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76F6C02E">
            <w:pPr>
              <w:ind w:firstLine="720" w:firstLineChars="300"/>
              <w:jc w:val="both"/>
              <w:rPr>
                <w:sz w:val="24"/>
                <w:szCs w:val="24"/>
              </w:rPr>
            </w:pPr>
            <w:r>
              <w:rPr>
                <w:rFonts w:eastAsia="SimSun"/>
                <w:color w:val="000000"/>
                <w:sz w:val="24"/>
                <w:szCs w:val="24"/>
              </w:rPr>
              <w:t>6.12.1.</w:t>
            </w:r>
            <w:r>
              <w:rPr>
                <w:sz w:val="24"/>
                <w:szCs w:val="24"/>
              </w:rPr>
              <w:t xml:space="preserve"> De acordo com o Artigo 11 da Lei Municipal 2985/2021, caberá à contratante, por meio do Departamento de Pátio e Leilão, gerenciar, controlar e executar as atividades de trânsito em todo o território municipal e adotar medidas necessárias para a implementação dos serviços de guincho e de depósito em pátio de veículos que tenham sido recolhidos por infrações de trânsito e aplicação das medidas administrativas e penalidades cabíveis, conforme previsão contida no Código de Trânsito Brasileiro - CTB.</w:t>
            </w:r>
          </w:p>
          <w:p w14:paraId="73379DF1">
            <w:pPr>
              <w:ind w:firstLine="720" w:firstLineChars="300"/>
              <w:jc w:val="both"/>
              <w:rPr>
                <w:sz w:val="24"/>
                <w:szCs w:val="24"/>
              </w:rPr>
            </w:pPr>
            <w:r>
              <w:rPr>
                <w:rFonts w:eastAsia="SimSun"/>
                <w:color w:val="000000"/>
                <w:sz w:val="24"/>
                <w:szCs w:val="24"/>
              </w:rPr>
              <w:t>6.12.2.</w:t>
            </w:r>
            <w:r>
              <w:rPr>
                <w:sz w:val="24"/>
                <w:szCs w:val="24"/>
              </w:rPr>
              <w:t xml:space="preserve"> A liberação e retirada dos veículos automotores e similares apreendidos no Depósito em Pátio, será solicitado à Secretaria Municipal de Segurança e Trânsito, no Setor de Pátio e Leilão que, mediante autorização da Autoridade Municipal de Trânsito, expedirá documento liberatório. A liberação do veículo será providenciada mediante a comprovação do pagamento de todas as taxas de remoção e de depósito em pátio, registrado pela Secretaria Municipal de Segurança e Trânsito, no Setor de Pátio e Leilão, assim como a regularização de qualquer irregularidade constatada no veículo. Quando não for possível sanar as irregularidades no pátio da (s) empresa (s) credenciada (s), a autoridade municipal de trânsito poderá conceder ao proprietário/representante, liberação condicionada do veículo, com prazo estipulado na liberação, para que o proprietário/representante possa apresentar para vistoria, o veículo com todas as irregularidades sanadas, no Setor de Pátio e Leilão, da Secretaria Municipal de Segurança e Trânsito, mediante o pagamento da taxa de vistoria no valor de 9 (nove) U. R.`s - Unidades de Referência, que, no corrente ano, corresponde a R$ 33,75 (trinta e três reais e setenta e cinco centavos). Neste caso, o veículo deverá ser apresentado fisicamente no setor, não sendo aceito laudo lacrado advindo de outro órgão ou qualquer outro meio de vistoria. </w:t>
            </w:r>
          </w:p>
          <w:p w14:paraId="37B322DC">
            <w:pPr>
              <w:ind w:firstLine="720" w:firstLineChars="300"/>
              <w:jc w:val="both"/>
              <w:rPr>
                <w:sz w:val="24"/>
                <w:szCs w:val="24"/>
              </w:rPr>
            </w:pPr>
            <w:r>
              <w:rPr>
                <w:rFonts w:eastAsia="SimSun"/>
                <w:color w:val="000000"/>
                <w:sz w:val="24"/>
                <w:szCs w:val="24"/>
              </w:rPr>
              <w:t>6.12.3.</w:t>
            </w:r>
            <w:r>
              <w:rPr>
                <w:sz w:val="24"/>
                <w:szCs w:val="24"/>
              </w:rPr>
              <w:t xml:space="preserve"> Depois de decorrido o prazo de 60 (sessenta) dias, os veículos apreendidos ou removidos não reclamados, serão levados à hasta pública pela contratante, na forma do Código de Trânsito Brasileiro e da Resolução pertinente do Conselho Nacional de Trânsito - CONTRAN. Os valores arrecadados com a venda dos veículos deverão ser destinados, obedecida as diretrizes estipuladas pela Resolução do CONTRAN pertinente, à quitação dos débitos existentes sobre o prontuário desse veículo e o restante, se houver, depositado à conta do ex-proprietário.</w:t>
            </w:r>
          </w:p>
          <w:p w14:paraId="6E4D1295">
            <w:pPr>
              <w:ind w:firstLine="720" w:firstLineChars="300"/>
              <w:jc w:val="both"/>
              <w:rPr>
                <w:sz w:val="24"/>
                <w:szCs w:val="24"/>
              </w:rPr>
            </w:pPr>
            <w:r>
              <w:rPr>
                <w:rFonts w:eastAsia="SimSun"/>
                <w:color w:val="000000"/>
                <w:sz w:val="24"/>
                <w:szCs w:val="24"/>
              </w:rPr>
              <w:t>6.12.4.</w:t>
            </w:r>
            <w:r>
              <w:rPr>
                <w:sz w:val="24"/>
                <w:szCs w:val="24"/>
              </w:rPr>
              <w:t xml:space="preserve"> Caberá a contratante, a responsabilidade de notificar por escrito o proprietário do veículo recolhido ao local utilizado para depósito. Nos casos em que não for possível notificar o proprietário do veículo através de protocolo, a contratante o fará por edital e realizará ampla divulgação no período mínimo de 10 (dez) dias.</w:t>
            </w:r>
          </w:p>
          <w:p w14:paraId="1DCED4F8">
            <w:pPr>
              <w:ind w:firstLine="720" w:firstLineChars="300"/>
              <w:jc w:val="both"/>
              <w:rPr>
                <w:sz w:val="24"/>
                <w:szCs w:val="24"/>
              </w:rPr>
            </w:pPr>
            <w:r>
              <w:rPr>
                <w:rFonts w:eastAsia="SimSun"/>
                <w:color w:val="000000"/>
                <w:sz w:val="24"/>
                <w:szCs w:val="24"/>
              </w:rPr>
              <w:t>6.12.5.</w:t>
            </w:r>
            <w:r>
              <w:rPr>
                <w:sz w:val="24"/>
                <w:szCs w:val="24"/>
              </w:rPr>
              <w:t xml:space="preserve"> Caberá a contratante, conjuntamente com a Secretaria Municipal de Administração e Modernização, ouvida a Procuradoria Jurídica do Município, a promoção e execução do leilão, podendo inclusive autorizar a venda através do leilão, observando a legislação vigente. Caso entenda necessário, a contratante poderá atribuir a contratação de leiloeiro para a (s) empresa (s) de Guincho Credenciada (s), ficando a encargo da Secretaria Municipal de Segurança e Trânsito à fiscalização da promoção e execução da hasta pública</w:t>
            </w:r>
          </w:p>
          <w:p w14:paraId="22CCE4DE">
            <w:pPr>
              <w:ind w:firstLine="720" w:firstLineChars="300"/>
              <w:jc w:val="both"/>
              <w:rPr>
                <w:sz w:val="24"/>
                <w:szCs w:val="24"/>
              </w:rPr>
            </w:pPr>
            <w:r>
              <w:rPr>
                <w:rFonts w:eastAsia="SimSun"/>
                <w:color w:val="000000"/>
                <w:sz w:val="24"/>
                <w:szCs w:val="24"/>
              </w:rPr>
              <w:t>6.12.6.</w:t>
            </w:r>
            <w:r>
              <w:rPr>
                <w:sz w:val="24"/>
                <w:szCs w:val="24"/>
              </w:rPr>
              <w:t xml:space="preserve"> Prestar quaisquer esclarecimentos que venham a ser formalmente solicitados pela (s) empresa (s) credenciada (s) e pertinente ao objeto do presente termo.</w:t>
            </w:r>
          </w:p>
          <w:p w14:paraId="2974EA06">
            <w:pPr>
              <w:ind w:firstLine="720" w:firstLineChars="300"/>
              <w:jc w:val="both"/>
              <w:rPr>
                <w:sz w:val="24"/>
                <w:szCs w:val="24"/>
              </w:rPr>
            </w:pPr>
            <w:r>
              <w:rPr>
                <w:rFonts w:eastAsia="SimSun"/>
                <w:color w:val="000000"/>
                <w:sz w:val="24"/>
                <w:szCs w:val="24"/>
              </w:rPr>
              <w:t>6.12.7.</w:t>
            </w:r>
            <w:r>
              <w:rPr>
                <w:sz w:val="24"/>
                <w:szCs w:val="24"/>
              </w:rPr>
              <w:t xml:space="preserve"> Fiscalizar a execução do (s) contrato (s).</w:t>
            </w:r>
          </w:p>
          <w:p w14:paraId="0542A5B3">
            <w:pPr>
              <w:ind w:firstLine="720" w:firstLineChars="300"/>
              <w:jc w:val="both"/>
              <w:rPr>
                <w:sz w:val="24"/>
                <w:szCs w:val="24"/>
              </w:rPr>
            </w:pPr>
            <w:r>
              <w:rPr>
                <w:rFonts w:eastAsia="SimSun"/>
                <w:color w:val="000000"/>
                <w:sz w:val="24"/>
                <w:szCs w:val="24"/>
              </w:rPr>
              <w:t>6.12.8.</w:t>
            </w:r>
            <w:r>
              <w:rPr>
                <w:sz w:val="24"/>
                <w:szCs w:val="24"/>
              </w:rPr>
              <w:t xml:space="preserve"> Proporcionar todas as facilidades necessárias à (s) empresa (s) vencedora (s), inclusive comunicando por escrito e tempestivamente, qualquer mudança de Administração e conta para pagamento.</w:t>
            </w:r>
          </w:p>
          <w:p w14:paraId="68DB7C5F">
            <w:pPr>
              <w:ind w:firstLine="720" w:firstLineChars="300"/>
              <w:jc w:val="both"/>
              <w:rPr>
                <w:sz w:val="24"/>
                <w:szCs w:val="24"/>
              </w:rPr>
            </w:pPr>
            <w:r>
              <w:rPr>
                <w:rFonts w:eastAsia="SimSun"/>
                <w:color w:val="000000"/>
                <w:sz w:val="24"/>
                <w:szCs w:val="24"/>
              </w:rPr>
              <w:t>6.12.9.</w:t>
            </w:r>
            <w:r>
              <w:rPr>
                <w:sz w:val="24"/>
                <w:szCs w:val="24"/>
              </w:rPr>
              <w:t xml:space="preserve"> A Secretaria através da área demandante notificará, formal e tempestivamente a (s) empresa (s) credenciada (s), sobre irregularidades observadas no cumprimento da execução do objeto da licitação.</w:t>
            </w:r>
          </w:p>
          <w:p w14:paraId="473F3921">
            <w:pPr>
              <w:ind w:firstLine="720" w:firstLineChars="300"/>
              <w:jc w:val="both"/>
              <w:rPr>
                <w:sz w:val="24"/>
                <w:szCs w:val="24"/>
              </w:rPr>
            </w:pPr>
            <w:r>
              <w:rPr>
                <w:rFonts w:eastAsia="SimSun"/>
                <w:color w:val="000000"/>
                <w:sz w:val="24"/>
                <w:szCs w:val="24"/>
              </w:rPr>
              <w:t>6.12.10.</w:t>
            </w:r>
            <w:r>
              <w:rPr>
                <w:sz w:val="24"/>
                <w:szCs w:val="24"/>
              </w:rPr>
              <w:t xml:space="preserve"> Aplicar à (s) detentora (s) do (s) Contrato (s), penalidades, quando for o caso.</w:t>
            </w:r>
          </w:p>
          <w:p w14:paraId="5F7F810D">
            <w:pPr>
              <w:ind w:firstLine="720" w:firstLineChars="300"/>
              <w:jc w:val="both"/>
              <w:rPr>
                <w:sz w:val="24"/>
                <w:szCs w:val="24"/>
              </w:rPr>
            </w:pPr>
            <w:r>
              <w:rPr>
                <w:rFonts w:eastAsia="SimSun"/>
                <w:color w:val="000000"/>
                <w:sz w:val="24"/>
                <w:szCs w:val="24"/>
              </w:rPr>
              <w:t>6.12.11.</w:t>
            </w:r>
            <w:r>
              <w:rPr>
                <w:sz w:val="24"/>
                <w:szCs w:val="24"/>
              </w:rPr>
              <w:t xml:space="preserve"> Prestar à (s) detentora (s) do (s) Contrato (s), toda e qualquer informação, por esta solicitada, necessária à perfeita execução da prestação dos serviços.</w:t>
            </w:r>
          </w:p>
          <w:p w14:paraId="3986B64D">
            <w:pPr>
              <w:ind w:firstLine="720" w:firstLineChars="300"/>
              <w:jc w:val="both"/>
              <w:rPr>
                <w:rFonts w:eastAsia="SimSun"/>
                <w:color w:val="000000"/>
                <w:sz w:val="24"/>
                <w:szCs w:val="24"/>
              </w:rPr>
            </w:pPr>
            <w:r>
              <w:rPr>
                <w:rFonts w:eastAsia="SimSun"/>
                <w:color w:val="000000"/>
                <w:sz w:val="24"/>
                <w:szCs w:val="24"/>
              </w:rPr>
              <w:t>6.12.12.</w:t>
            </w:r>
            <w:r>
              <w:rPr>
                <w:sz w:val="24"/>
                <w:szCs w:val="24"/>
              </w:rPr>
              <w:t xml:space="preserve"> Notificar, por escrito, à (s) detentora (s) do (s) Contrato (s), da aplicação de qualquer sanção.</w:t>
            </w:r>
          </w:p>
          <w:p w14:paraId="000C7501">
            <w:pPr>
              <w:ind w:firstLine="720" w:firstLineChars="300"/>
              <w:jc w:val="both"/>
              <w:rPr>
                <w:sz w:val="24"/>
                <w:szCs w:val="24"/>
              </w:rPr>
            </w:pPr>
            <w:r>
              <w:rPr>
                <w:rFonts w:eastAsia="SimSun"/>
                <w:color w:val="000000"/>
                <w:sz w:val="24"/>
                <w:szCs w:val="24"/>
              </w:rPr>
              <w:t>6.12.13.</w:t>
            </w:r>
            <w:r>
              <w:rPr>
                <w:sz w:val="24"/>
                <w:szCs w:val="24"/>
              </w:rPr>
              <w:t xml:space="preserve"> O preço da prestação dos serviços é fixado por meio da Lei 2985/2021 e encontra-se em U. R. – Unidade de referência, ou seja, todos os anos, o valor dos serviços será reajustado, de acordo com a variação da U. R.</w:t>
            </w:r>
          </w:p>
        </w:tc>
      </w:tr>
    </w:tbl>
    <w:p w14:paraId="5CA44DE2">
      <w:pPr>
        <w:rPr>
          <w:sz w:val="16"/>
          <w:szCs w:val="16"/>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6966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264CBFC7">
            <w:pPr>
              <w:rPr>
                <w:sz w:val="24"/>
                <w:szCs w:val="24"/>
              </w:rPr>
            </w:pPr>
            <w:r>
              <w:rPr>
                <w:b/>
                <w:bCs/>
                <w:sz w:val="24"/>
                <w:szCs w:val="24"/>
              </w:rPr>
              <w:t>6.13 - FISCAL DO CONTRATO</w:t>
            </w:r>
          </w:p>
        </w:tc>
      </w:tr>
      <w:tr w14:paraId="6455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9F24D74">
            <w:pPr>
              <w:ind w:firstLine="720" w:firstLineChars="300"/>
              <w:jc w:val="both"/>
              <w:rPr>
                <w:sz w:val="24"/>
                <w:szCs w:val="24"/>
              </w:rPr>
            </w:pPr>
            <w:r>
              <w:rPr>
                <w:rFonts w:eastAsia="SimSun"/>
                <w:color w:val="000000"/>
                <w:sz w:val="24"/>
                <w:szCs w:val="24"/>
              </w:rPr>
              <w:t xml:space="preserve">6.13.1. </w:t>
            </w:r>
            <w:r>
              <w:rPr>
                <w:sz w:val="24"/>
                <w:szCs w:val="24"/>
              </w:rPr>
              <w:t>O acompanhamento e a fiscalização da execução do (s) contrato (s) consistem na verificação da conformidade da prestação dos serviços continuados, de forma a assegurar o perfeito cumprimento do ajustado.</w:t>
            </w:r>
          </w:p>
          <w:p w14:paraId="2F920075">
            <w:pPr>
              <w:ind w:firstLine="720" w:firstLineChars="300"/>
              <w:jc w:val="both"/>
              <w:rPr>
                <w:sz w:val="24"/>
                <w:szCs w:val="24"/>
              </w:rPr>
            </w:pPr>
            <w:r>
              <w:rPr>
                <w:rFonts w:eastAsia="SimSun"/>
                <w:color w:val="000000"/>
                <w:sz w:val="24"/>
                <w:szCs w:val="24"/>
              </w:rPr>
              <w:t xml:space="preserve">6.13.2. </w:t>
            </w:r>
            <w:r>
              <w:rPr>
                <w:sz w:val="24"/>
                <w:szCs w:val="24"/>
              </w:rPr>
              <w:t>A fiscalização do (s) Contrato (s) ficará a cargo da Contratante, através da Secretaria Municipal de Segurança e Trânsito, por intermédio dos servidores abaixo relacionados:</w:t>
            </w:r>
          </w:p>
          <w:p w14:paraId="0F284D84">
            <w:pPr>
              <w:numPr>
                <w:ilvl w:val="0"/>
                <w:numId w:val="1"/>
              </w:numPr>
              <w:ind w:firstLine="720" w:firstLineChars="300"/>
              <w:jc w:val="both"/>
              <w:rPr>
                <w:sz w:val="24"/>
                <w:szCs w:val="24"/>
              </w:rPr>
            </w:pPr>
            <w:r>
              <w:rPr>
                <w:b/>
                <w:bCs/>
                <w:sz w:val="24"/>
                <w:szCs w:val="24"/>
              </w:rPr>
              <w:t xml:space="preserve">Fiscal/Gestor: </w:t>
            </w:r>
            <w:r>
              <w:rPr>
                <w:b/>
                <w:color w:val="000000"/>
                <w:sz w:val="24"/>
                <w:szCs w:val="24"/>
              </w:rPr>
              <w:t xml:space="preserve">MARCIA REGINA PACHECO SOCREPPA, </w:t>
            </w:r>
            <w:r>
              <w:rPr>
                <w:bCs/>
                <w:color w:val="000000"/>
                <w:sz w:val="24"/>
                <w:szCs w:val="24"/>
              </w:rPr>
              <w:t xml:space="preserve">inscrita no CPF sob n.º 581.791.941-91 e Matrícula sob n.º 6.732, ocupante do cargo de Guarda Civil Municipal, lotada na Secretaria Municipal de Segurança e Trânsito - SST, telefone (66) 9.9955-0910 e e-mail </w:t>
            </w:r>
            <w:r>
              <w:fldChar w:fldCharType="begin"/>
            </w:r>
            <w:r>
              <w:instrText xml:space="preserve"> HYPERLINK "mailto:marciapachecosocreppa@gmail.com" </w:instrText>
            </w:r>
            <w:r>
              <w:fldChar w:fldCharType="separate"/>
            </w:r>
            <w:r>
              <w:rPr>
                <w:rStyle w:val="5"/>
                <w:bCs/>
                <w:sz w:val="24"/>
                <w:szCs w:val="24"/>
              </w:rPr>
              <w:t>marciapachecosocreppa@gmail.com</w:t>
            </w:r>
            <w:r>
              <w:rPr>
                <w:rStyle w:val="5"/>
                <w:bCs/>
                <w:sz w:val="24"/>
                <w:szCs w:val="24"/>
              </w:rPr>
              <w:fldChar w:fldCharType="end"/>
            </w:r>
            <w:r>
              <w:rPr>
                <w:bCs/>
                <w:color w:val="000000"/>
                <w:sz w:val="24"/>
                <w:szCs w:val="24"/>
              </w:rPr>
              <w:t xml:space="preserve">. </w:t>
            </w:r>
          </w:p>
          <w:p w14:paraId="18327F99">
            <w:pPr>
              <w:numPr>
                <w:ilvl w:val="0"/>
                <w:numId w:val="1"/>
              </w:numPr>
              <w:ind w:firstLine="720" w:firstLineChars="300"/>
              <w:jc w:val="both"/>
              <w:rPr>
                <w:sz w:val="24"/>
                <w:szCs w:val="24"/>
              </w:rPr>
            </w:pPr>
            <w:r>
              <w:rPr>
                <w:b/>
                <w:bCs/>
                <w:sz w:val="24"/>
                <w:szCs w:val="24"/>
              </w:rPr>
              <w:t xml:space="preserve">Suplente: HUDSON GONÇALVES LIMA, </w:t>
            </w:r>
            <w:r>
              <w:rPr>
                <w:sz w:val="24"/>
                <w:szCs w:val="24"/>
              </w:rPr>
              <w:t xml:space="preserve">inscrito no CPF sob o n.° 906.835.361-68 e Matrícula sob n.° 6720, ocupante do cargo de Guarda Civil Municipal, lotado na Secretaria Municipal de Segurança e Trânsito- SST, telefone (66) 9.9903-9270 e e-mail </w:t>
            </w:r>
            <w:r>
              <w:fldChar w:fldCharType="begin"/>
            </w:r>
            <w:r>
              <w:instrText xml:space="preserve"> HYPERLINK "mailto:cmtehudsonlima@hotmail.com" </w:instrText>
            </w:r>
            <w:r>
              <w:fldChar w:fldCharType="separate"/>
            </w:r>
            <w:r>
              <w:rPr>
                <w:rStyle w:val="5"/>
                <w:sz w:val="24"/>
                <w:szCs w:val="24"/>
              </w:rPr>
              <w:t>cmtehudsonlima@hotmail.com</w:t>
            </w:r>
            <w:r>
              <w:rPr>
                <w:rStyle w:val="5"/>
                <w:sz w:val="24"/>
                <w:szCs w:val="24"/>
              </w:rPr>
              <w:fldChar w:fldCharType="end"/>
            </w:r>
            <w:r>
              <w:rPr>
                <w:sz w:val="24"/>
                <w:szCs w:val="24"/>
              </w:rPr>
              <w:t>.</w:t>
            </w:r>
          </w:p>
        </w:tc>
      </w:tr>
    </w:tbl>
    <w:p w14:paraId="4874CEF3">
      <w:pPr>
        <w:rPr>
          <w:sz w:val="16"/>
          <w:szCs w:val="16"/>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1EBA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44341FF6">
            <w:pPr>
              <w:rPr>
                <w:sz w:val="24"/>
                <w:szCs w:val="24"/>
              </w:rPr>
            </w:pPr>
            <w:r>
              <w:rPr>
                <w:b/>
                <w:bCs/>
                <w:sz w:val="24"/>
                <w:szCs w:val="24"/>
              </w:rPr>
              <w:t>7 – CONTROLE E FISCALIZAÇÃO DO CONTRATO</w:t>
            </w:r>
          </w:p>
        </w:tc>
      </w:tr>
      <w:tr w14:paraId="57B82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5DB77E7">
            <w:pPr>
              <w:pStyle w:val="20"/>
              <w:ind w:firstLine="600" w:firstLineChars="250"/>
              <w:jc w:val="both"/>
              <w:rPr>
                <w:rFonts w:eastAsia="SimSun"/>
                <w:sz w:val="24"/>
                <w:szCs w:val="24"/>
                <w:lang w:val="pt-BR"/>
              </w:rPr>
            </w:pPr>
            <w:r>
              <w:rPr>
                <w:rFonts w:eastAsia="SimSun"/>
                <w:sz w:val="24"/>
                <w:szCs w:val="24"/>
                <w:lang w:val="pt-BR"/>
              </w:rPr>
              <w:t>7.1. O Contrato deverá ser executado fielmente pelas partes, de acordo com as cláusulas avençadas e as normas da Lei Federal nº 14.133/2021, e cada parte responderá pelas consequências de sua inexecução total ou parcial;</w:t>
            </w:r>
          </w:p>
          <w:p w14:paraId="4F939E00">
            <w:pPr>
              <w:pStyle w:val="20"/>
              <w:ind w:firstLine="600" w:firstLineChars="250"/>
              <w:jc w:val="both"/>
              <w:rPr>
                <w:rFonts w:eastAsia="SimSun"/>
                <w:sz w:val="24"/>
                <w:szCs w:val="24"/>
                <w:lang w:val="pt-BR"/>
              </w:rPr>
            </w:pPr>
            <w:r>
              <w:rPr>
                <w:rFonts w:eastAsia="SimSun"/>
                <w:sz w:val="24"/>
                <w:szCs w:val="24"/>
                <w:lang w:val="pt-BR"/>
              </w:rPr>
              <w:t>7.2. As comunicações entre a Secretaria Municipal de Segurança e Trânsito e a (s) contratada (s) devem ser realizadas por escrito sempre que o ato exigir tal formalidade, admitindo-se o uso de mensagem eletrônica para esse fim;</w:t>
            </w:r>
          </w:p>
          <w:p w14:paraId="6D2151F8">
            <w:pPr>
              <w:pStyle w:val="20"/>
              <w:ind w:firstLine="600" w:firstLineChars="250"/>
              <w:jc w:val="both"/>
              <w:rPr>
                <w:rFonts w:eastAsia="SimSun"/>
                <w:sz w:val="24"/>
                <w:szCs w:val="24"/>
                <w:lang w:val="pt-BR"/>
              </w:rPr>
            </w:pPr>
            <w:r>
              <w:rPr>
                <w:rFonts w:eastAsia="SimSun"/>
                <w:sz w:val="24"/>
                <w:szCs w:val="24"/>
                <w:lang w:val="pt-BR"/>
              </w:rPr>
              <w:t>7.3. A execução do Contrato deverá ser acompanhada e fiscalizada pelo (s) fiscal (is) acima elencados;</w:t>
            </w:r>
          </w:p>
          <w:p w14:paraId="32528D7B">
            <w:pPr>
              <w:pStyle w:val="20"/>
              <w:ind w:firstLine="600" w:firstLineChars="250"/>
              <w:jc w:val="both"/>
              <w:rPr>
                <w:rFonts w:eastAsia="SimSun"/>
                <w:sz w:val="24"/>
                <w:szCs w:val="24"/>
                <w:lang w:val="pt-BR"/>
              </w:rPr>
            </w:pPr>
            <w:r>
              <w:rPr>
                <w:rFonts w:eastAsia="SimSun"/>
                <w:sz w:val="24"/>
                <w:szCs w:val="24"/>
                <w:lang w:val="pt-BR"/>
              </w:rPr>
              <w:t>7.4. O fiscal/gestor do Contrato tomará providências para a formalização de processo administrativo de responsabilização para fins de aplicação de sanções;</w:t>
            </w:r>
          </w:p>
          <w:p w14:paraId="240A813A">
            <w:pPr>
              <w:pStyle w:val="20"/>
              <w:ind w:firstLine="600" w:firstLineChars="250"/>
              <w:jc w:val="both"/>
              <w:rPr>
                <w:rFonts w:eastAsia="SimSun"/>
                <w:sz w:val="24"/>
                <w:szCs w:val="24"/>
                <w:lang w:val="pt-BR"/>
              </w:rPr>
            </w:pPr>
            <w:r>
              <w:rPr>
                <w:rFonts w:eastAsia="SimSun"/>
                <w:sz w:val="24"/>
                <w:szCs w:val="24"/>
                <w:lang w:val="pt-BR"/>
              </w:rPr>
              <w:t>7.5. A fiscalização do Contrato ficará a cargo da contratante, através da Secretaria Municipal de Segurança e Trânsito, por intermédio do fiscal gestor e/ou substituto.</w:t>
            </w:r>
          </w:p>
          <w:p w14:paraId="420C43DE">
            <w:pPr>
              <w:pStyle w:val="18"/>
              <w:jc w:val="both"/>
              <w:rPr>
                <w:rFonts w:ascii="Times New Roman" w:hAnsi="Times New Roman" w:cs="Times New Roman"/>
                <w:color w:val="auto"/>
              </w:rPr>
            </w:pPr>
            <w:r>
              <w:rPr>
                <w:rFonts w:ascii="Times New Roman" w:hAnsi="Times New Roman" w:cs="Times New Roman"/>
                <w:b/>
                <w:bCs/>
                <w:color w:val="auto"/>
              </w:rPr>
              <w:t xml:space="preserve">           </w:t>
            </w:r>
            <w:r>
              <w:rPr>
                <w:rFonts w:ascii="Times New Roman" w:hAnsi="Times New Roman" w:cs="Times New Roman"/>
                <w:color w:val="auto"/>
              </w:rPr>
              <w:t>7.6.</w:t>
            </w:r>
            <w:r>
              <w:rPr>
                <w:rFonts w:ascii="Times New Roman" w:hAnsi="Times New Roman" w:cs="Times New Roman"/>
                <w:b/>
                <w:bCs/>
                <w:color w:val="auto"/>
              </w:rPr>
              <w:t xml:space="preserve"> </w:t>
            </w:r>
            <w:r>
              <w:rPr>
                <w:rFonts w:ascii="Times New Roman" w:hAnsi="Times New Roman" w:cs="Times New Roman"/>
                <w:color w:val="auto"/>
              </w:rPr>
              <w:t xml:space="preserve">O Contrato deverá ser executada fielmente pelas partes, de acordo com as cláusulas avençadas e as normas da Lei Federal n.º 14.133/2021, e cada parte responderá pelas consequências de sua inexecução total ou parcial. </w:t>
            </w:r>
          </w:p>
          <w:p w14:paraId="6B948585">
            <w:pPr>
              <w:pStyle w:val="18"/>
              <w:ind w:firstLine="600" w:firstLineChars="250"/>
              <w:jc w:val="both"/>
              <w:rPr>
                <w:rFonts w:ascii="Times New Roman" w:hAnsi="Times New Roman" w:cs="Times New Roman"/>
                <w:b/>
                <w:bCs/>
                <w:color w:val="FF0000"/>
              </w:rPr>
            </w:pPr>
            <w:r>
              <w:rPr>
                <w:rFonts w:ascii="Times New Roman" w:hAnsi="Times New Roman" w:cs="Times New Roman"/>
                <w:color w:val="auto"/>
              </w:rPr>
              <w:t xml:space="preserve"> 7.7 O Contrato será acompanhada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conforme estabelecido no </w:t>
            </w:r>
            <w:r>
              <w:rPr>
                <w:rFonts w:ascii="Times New Roman" w:hAnsi="Times New Roman" w:eastAsia="Arial" w:cs="Times New Roman"/>
                <w:color w:val="auto"/>
              </w:rPr>
              <w:t>Decreto Municipal n.º 359/2023</w:t>
            </w:r>
            <w:r>
              <w:rPr>
                <w:rFonts w:ascii="Times New Roman" w:hAnsi="Times New Roman" w:cs="Times New Roman"/>
                <w:color w:val="auto"/>
              </w:rPr>
              <w:t>.</w:t>
            </w:r>
          </w:p>
          <w:p w14:paraId="3BD33268">
            <w:pPr>
              <w:pStyle w:val="18"/>
              <w:ind w:firstLine="600" w:firstLineChars="250"/>
              <w:jc w:val="both"/>
              <w:rPr>
                <w:rFonts w:ascii="Times New Roman" w:hAnsi="Times New Roman" w:cs="Times New Roman"/>
                <w:b/>
                <w:bCs/>
                <w:color w:val="FF0000"/>
              </w:rPr>
            </w:pPr>
            <w:r>
              <w:rPr>
                <w:rFonts w:ascii="Times New Roman" w:hAnsi="Times New Roman" w:cs="Times New Roman"/>
                <w:color w:val="auto"/>
              </w:rPr>
              <w:t xml:space="preserve">7.8. O Contrato será fiscalizada por um fiscal cujas atribuições são relativas à execução do objeto contratual, conforme estabelecido no </w:t>
            </w:r>
            <w:r>
              <w:rPr>
                <w:rFonts w:ascii="Times New Roman" w:hAnsi="Times New Roman" w:eastAsia="Arial" w:cs="Times New Roman"/>
                <w:color w:val="auto"/>
              </w:rPr>
              <w:t>Decreto Municipal n.º 359/2023</w:t>
            </w:r>
            <w:r>
              <w:rPr>
                <w:rFonts w:ascii="Times New Roman" w:hAnsi="Times New Roman" w:cs="Times New Roman"/>
                <w:color w:val="auto"/>
              </w:rPr>
              <w:t>.</w:t>
            </w:r>
          </w:p>
          <w:p w14:paraId="3041999F">
            <w:pPr>
              <w:adjustRightInd w:val="0"/>
              <w:ind w:firstLine="600" w:firstLineChars="250"/>
              <w:jc w:val="both"/>
              <w:rPr>
                <w:b/>
                <w:bCs/>
                <w:sz w:val="24"/>
                <w:szCs w:val="24"/>
              </w:rPr>
            </w:pPr>
            <w:r>
              <w:rPr>
                <w:sz w:val="24"/>
                <w:szCs w:val="24"/>
              </w:rPr>
              <w:t>7.9.</w:t>
            </w:r>
            <w:r>
              <w:rPr>
                <w:b/>
                <w:bCs/>
                <w:sz w:val="24"/>
                <w:szCs w:val="24"/>
              </w:rPr>
              <w:t xml:space="preserve">  </w:t>
            </w:r>
            <w:r>
              <w:rPr>
                <w:sz w:val="24"/>
                <w:szCs w:val="24"/>
              </w:rPr>
              <w:t>Após a assinatura do Contrato, será elaborado o plano de fiscalização que terá como referência o Termo de Referência, Edital e instrumento contratual e constará as estratégias de execução e fiscalização, conforme estabelecido no</w:t>
            </w:r>
            <w:r>
              <w:rPr>
                <w:rFonts w:eastAsia="Arial"/>
                <w:sz w:val="24"/>
                <w:szCs w:val="24"/>
              </w:rPr>
              <w:t xml:space="preserve"> Decreto Municipal n.º 359/2023</w:t>
            </w:r>
            <w:r>
              <w:rPr>
                <w:sz w:val="24"/>
                <w:szCs w:val="24"/>
              </w:rPr>
              <w:t>.</w:t>
            </w:r>
          </w:p>
          <w:p w14:paraId="5FAF3A6F">
            <w:pPr>
              <w:pStyle w:val="18"/>
              <w:ind w:firstLine="600" w:firstLineChars="250"/>
              <w:jc w:val="both"/>
              <w:rPr>
                <w:rStyle w:val="25"/>
                <w:rFonts w:ascii="Times New Roman" w:hAnsi="Times New Roman" w:cs="Times New Roman"/>
                <w:color w:val="auto"/>
              </w:rPr>
            </w:pPr>
            <w:r>
              <w:rPr>
                <w:rStyle w:val="25"/>
                <w:rFonts w:ascii="Times New Roman" w:hAnsi="Times New Roman" w:cs="Times New Roman"/>
                <w:color w:val="auto"/>
              </w:rPr>
              <w:t>7</w:t>
            </w:r>
            <w:r>
              <w:rPr>
                <w:rStyle w:val="25"/>
                <w:rFonts w:ascii="Times New Roman" w:hAnsi="Times New Roman" w:cs="Times New Roman"/>
              </w:rPr>
              <w:t>.10.</w:t>
            </w:r>
            <w:r>
              <w:rPr>
                <w:rStyle w:val="25"/>
                <w:rFonts w:ascii="Times New Roman" w:hAnsi="Times New Roman" w:cs="Times New Roman"/>
                <w:color w:val="auto"/>
              </w:rPr>
              <w:t xml:space="preserve">  A execução </w:t>
            </w:r>
            <w:r>
              <w:rPr>
                <w:rFonts w:ascii="Times New Roman" w:hAnsi="Times New Roman" w:cs="Times New Roman"/>
                <w:color w:val="auto"/>
              </w:rPr>
              <w:t>do Contrato</w:t>
            </w:r>
            <w:r>
              <w:rPr>
                <w:rStyle w:val="25"/>
                <w:rFonts w:ascii="Times New Roman" w:hAnsi="Times New Roman" w:cs="Times New Roman"/>
                <w:color w:val="auto"/>
              </w:rPr>
              <w:t xml:space="preserve"> deverá ser acompanhada e fiscalizada por meio de instrumentos de controle, que compreendam, quando for o caso, a mensuração dos seguintes aspectos:</w:t>
            </w:r>
          </w:p>
          <w:p w14:paraId="60618DB6">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a) </w:t>
            </w:r>
            <w:r>
              <w:rPr>
                <w:rStyle w:val="25"/>
                <w:rFonts w:ascii="Times New Roman" w:hAnsi="Times New Roman" w:cs="Times New Roman"/>
                <w:color w:val="auto"/>
              </w:rPr>
              <w:t xml:space="preserve">os resultados alcançados em relação ao contrato, com a verificação dos prazos de execução e da qualidade demandada; </w:t>
            </w:r>
          </w:p>
          <w:p w14:paraId="198673B5">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b) </w:t>
            </w:r>
            <w:r>
              <w:rPr>
                <w:rStyle w:val="25"/>
                <w:rFonts w:ascii="Times New Roman" w:hAnsi="Times New Roman" w:cs="Times New Roman"/>
                <w:color w:val="auto"/>
              </w:rPr>
              <w:t>os recursos humanos empregados, em função da quantidade e da formação profissional exigida, quando se tratar de contrato com dedicação exclusiva de mão de obra;</w:t>
            </w:r>
          </w:p>
          <w:p w14:paraId="5611B281">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c) </w:t>
            </w:r>
            <w:r>
              <w:rPr>
                <w:rStyle w:val="25"/>
                <w:rFonts w:ascii="Times New Roman" w:hAnsi="Times New Roman" w:cs="Times New Roman"/>
                <w:color w:val="auto"/>
              </w:rPr>
              <w:t>a qualidade e quantidade dos recursos materiais utilizados;</w:t>
            </w:r>
          </w:p>
          <w:p w14:paraId="7FF9F133">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d) </w:t>
            </w:r>
            <w:r>
              <w:rPr>
                <w:rStyle w:val="25"/>
                <w:rFonts w:ascii="Times New Roman" w:hAnsi="Times New Roman" w:cs="Times New Roman"/>
                <w:color w:val="auto"/>
              </w:rPr>
              <w:t>a adequação dos serviços prestados à rotina de execução estabelecida;</w:t>
            </w:r>
          </w:p>
          <w:p w14:paraId="32A738C6">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e) </w:t>
            </w:r>
            <w:r>
              <w:rPr>
                <w:rStyle w:val="25"/>
                <w:rFonts w:ascii="Times New Roman" w:hAnsi="Times New Roman" w:cs="Times New Roman"/>
                <w:color w:val="auto"/>
              </w:rPr>
              <w:t xml:space="preserve">o cumprimento das demais obrigações decorrentes </w:t>
            </w:r>
            <w:r>
              <w:rPr>
                <w:rFonts w:ascii="Times New Roman" w:hAnsi="Times New Roman" w:cs="Times New Roman"/>
                <w:color w:val="auto"/>
              </w:rPr>
              <w:t>do Contrato</w:t>
            </w:r>
            <w:r>
              <w:rPr>
                <w:rStyle w:val="25"/>
                <w:rFonts w:ascii="Times New Roman" w:hAnsi="Times New Roman" w:cs="Times New Roman"/>
                <w:color w:val="auto"/>
              </w:rPr>
              <w:t xml:space="preserve">; e </w:t>
            </w:r>
          </w:p>
          <w:p w14:paraId="5439D886">
            <w:pPr>
              <w:pStyle w:val="18"/>
              <w:ind w:firstLine="523" w:firstLineChars="218"/>
              <w:jc w:val="both"/>
              <w:rPr>
                <w:rStyle w:val="25"/>
                <w:rFonts w:ascii="Times New Roman" w:hAnsi="Times New Roman" w:cs="Times New Roman"/>
                <w:color w:val="auto"/>
              </w:rPr>
            </w:pPr>
            <w:r>
              <w:rPr>
                <w:rStyle w:val="25"/>
                <w:rFonts w:ascii="Times New Roman" w:hAnsi="Times New Roman" w:cs="Times New Roman"/>
                <w:b/>
                <w:bCs/>
                <w:color w:val="auto"/>
              </w:rPr>
              <w:t xml:space="preserve">f) </w:t>
            </w:r>
            <w:r>
              <w:rPr>
                <w:rStyle w:val="25"/>
                <w:rFonts w:ascii="Times New Roman" w:hAnsi="Times New Roman" w:cs="Times New Roman"/>
                <w:color w:val="auto"/>
              </w:rPr>
              <w:t>a satisfação do público usuário, quando cabível.</w:t>
            </w:r>
          </w:p>
          <w:p w14:paraId="36B9C7BF">
            <w:pPr>
              <w:pStyle w:val="18"/>
              <w:ind w:firstLine="523" w:firstLineChars="218"/>
              <w:jc w:val="both"/>
              <w:rPr>
                <w:rFonts w:ascii="Times New Roman" w:hAnsi="Times New Roman" w:cs="Times New Roman"/>
                <w:color w:val="auto"/>
              </w:rPr>
            </w:pPr>
            <w:r>
              <w:rPr>
                <w:rFonts w:ascii="Times New Roman" w:hAnsi="Times New Roman" w:cs="Times New Roman"/>
                <w:color w:val="auto"/>
              </w:rPr>
              <w:t>7.11. O controle e fiscalização de um contrato administrativo, especialmente em um modelo de credenciamento, é uma atividade vinculada e obrigatória da Administração Pública. A seguir, apresento os principais dispositivos legais e mecanismos aplicáveis à fiscalização do contrato para os serviços de pátio e guincho em Sinop/MT.</w:t>
            </w:r>
          </w:p>
          <w:p w14:paraId="070E54FF">
            <w:pPr>
              <w:pStyle w:val="18"/>
              <w:ind w:firstLine="523" w:firstLineChars="218"/>
              <w:jc w:val="both"/>
              <w:rPr>
                <w:rFonts w:ascii="Times New Roman" w:hAnsi="Times New Roman" w:cs="Times New Roman"/>
                <w:color w:val="auto"/>
              </w:rPr>
            </w:pPr>
            <w:r>
              <w:rPr>
                <w:rFonts w:ascii="Times New Roman" w:hAnsi="Times New Roman" w:cs="Times New Roman"/>
                <w:color w:val="auto"/>
              </w:rPr>
              <w:t xml:space="preserve">7.12. </w:t>
            </w:r>
            <w:r>
              <w:rPr>
                <w:rFonts w:ascii="Times New Roman" w:hAnsi="Times New Roman" w:cs="Times New Roman"/>
                <w:color w:val="auto"/>
                <w:u w:val="single"/>
              </w:rPr>
              <w:t>Lei Federal nº 14.133/2021 (Lei de Licitações):</w:t>
            </w:r>
            <w:r>
              <w:rPr>
                <w:rFonts w:ascii="Times New Roman" w:hAnsi="Times New Roman" w:cs="Times New Roman"/>
                <w:color w:val="auto"/>
              </w:rPr>
              <w:t xml:space="preserve"> É a lei principal. Obriga a Prefeitura a designar um "fiscal de contrato" para acompanhar a execução, registrar ocorrências e, se necessário, iniciar processos para aplicar sanções (multas, advertências, etc.) contra a empresa.</w:t>
            </w:r>
          </w:p>
          <w:p w14:paraId="58506085">
            <w:pPr>
              <w:pStyle w:val="18"/>
              <w:ind w:firstLine="523" w:firstLineChars="218"/>
              <w:jc w:val="both"/>
              <w:rPr>
                <w:rFonts w:ascii="Times New Roman" w:hAnsi="Times New Roman" w:cs="Times New Roman"/>
                <w:color w:val="auto"/>
              </w:rPr>
            </w:pPr>
            <w:r>
              <w:rPr>
                <w:rFonts w:ascii="Times New Roman" w:hAnsi="Times New Roman" w:cs="Times New Roman"/>
                <w:color w:val="auto"/>
              </w:rPr>
              <w:t xml:space="preserve">7.13. </w:t>
            </w:r>
            <w:r>
              <w:rPr>
                <w:rFonts w:ascii="Times New Roman" w:hAnsi="Times New Roman" w:cs="Times New Roman"/>
                <w:color w:val="auto"/>
                <w:u w:val="single"/>
              </w:rPr>
              <w:t>Código de Trânsito Brasileiro (CTB):</w:t>
            </w:r>
            <w:r>
              <w:rPr>
                <w:rFonts w:ascii="Times New Roman" w:hAnsi="Times New Roman" w:cs="Times New Roman"/>
                <w:color w:val="auto"/>
              </w:rPr>
              <w:t xml:space="preserve"> Garante que a empresa siga as regras para remoção e liberação de veículos, especialmente a exigência de que o proprietário regularize todas as pendências antes de retirar o veículo do pátio.</w:t>
            </w:r>
          </w:p>
          <w:p w14:paraId="4A34694A">
            <w:pPr>
              <w:pStyle w:val="18"/>
              <w:ind w:firstLine="523" w:firstLineChars="218"/>
              <w:jc w:val="both"/>
              <w:rPr>
                <w:rFonts w:eastAsia="SimSun"/>
              </w:rPr>
            </w:pPr>
            <w:r>
              <w:rPr>
                <w:rFonts w:ascii="Times New Roman" w:hAnsi="Times New Roman" w:cs="Times New Roman"/>
                <w:color w:val="auto"/>
              </w:rPr>
              <w:t xml:space="preserve">7.14. </w:t>
            </w:r>
            <w:r>
              <w:rPr>
                <w:rFonts w:ascii="Times New Roman" w:hAnsi="Times New Roman" w:cs="Times New Roman"/>
                <w:color w:val="auto"/>
                <w:u w:val="single"/>
              </w:rPr>
              <w:t>Leis Municipais nº’s 2.985/2021, 2.998/2021 e 3.449/2025 (Leis de Sinop):</w:t>
            </w:r>
            <w:r>
              <w:rPr>
                <w:rFonts w:ascii="Times New Roman" w:hAnsi="Times New Roman" w:cs="Times New Roman"/>
                <w:color w:val="auto"/>
              </w:rPr>
              <w:t xml:space="preserve"> É a regra local. Permite ao fiscal auditar se os preços cobrados estão de acordo com a tabela oficial do município e se a infraestrutura do pátio (segurança, organização) atende às exigências.</w:t>
            </w:r>
          </w:p>
        </w:tc>
      </w:tr>
    </w:tbl>
    <w:p w14:paraId="4F118A41">
      <w:pPr>
        <w:rPr>
          <w:sz w:val="16"/>
          <w:szCs w:val="16"/>
        </w:rPr>
      </w:pPr>
    </w:p>
    <w:p w14:paraId="188A3416">
      <w:pPr>
        <w:rPr>
          <w:sz w:val="16"/>
          <w:szCs w:val="16"/>
        </w:rPr>
      </w:pPr>
    </w:p>
    <w:p w14:paraId="686A475E">
      <w:pPr>
        <w:rPr>
          <w:sz w:val="16"/>
          <w:szCs w:val="16"/>
        </w:rPr>
      </w:pPr>
    </w:p>
    <w:p w14:paraId="6193E813">
      <w:pPr>
        <w:rPr>
          <w:sz w:val="16"/>
          <w:szCs w:val="16"/>
        </w:rPr>
      </w:pPr>
    </w:p>
    <w:p w14:paraId="30806558">
      <w:pPr>
        <w:rPr>
          <w:sz w:val="16"/>
          <w:szCs w:val="16"/>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ABAA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6EF1BBB3">
            <w:pPr>
              <w:rPr>
                <w:sz w:val="24"/>
                <w:szCs w:val="24"/>
              </w:rPr>
            </w:pPr>
            <w:r>
              <w:rPr>
                <w:b/>
                <w:bCs/>
                <w:sz w:val="24"/>
                <w:szCs w:val="24"/>
              </w:rPr>
              <w:t>8 – EXECUÇÃO E PAGAMENTO</w:t>
            </w:r>
          </w:p>
        </w:tc>
      </w:tr>
      <w:tr w14:paraId="04A3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755635AB">
            <w:pPr>
              <w:ind w:firstLine="720" w:firstLineChars="300"/>
              <w:jc w:val="both"/>
              <w:rPr>
                <w:sz w:val="24"/>
                <w:szCs w:val="24"/>
              </w:rPr>
            </w:pPr>
            <w:r>
              <w:rPr>
                <w:sz w:val="24"/>
                <w:szCs w:val="24"/>
              </w:rPr>
              <w:t>8.1. Depois de feito todos os tramites legais do processo de credenciamento, a (s) empresa (s) que cumprir (em) com todas as exigências e for (em) credenciada (s) por meio de Contrato Administrativo, deverão começar a prestação dos serviços a partir do dia 05/08/2025 (cinco de agosto de dois mil e vinte e cinco).</w:t>
            </w:r>
          </w:p>
          <w:p w14:paraId="0755E0F4">
            <w:pPr>
              <w:ind w:firstLine="720" w:firstLineChars="300"/>
              <w:jc w:val="both"/>
              <w:rPr>
                <w:sz w:val="24"/>
                <w:szCs w:val="24"/>
              </w:rPr>
            </w:pPr>
            <w:r>
              <w:rPr>
                <w:sz w:val="24"/>
                <w:szCs w:val="24"/>
              </w:rPr>
              <w:t>8.2. 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142F6C55">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2C6E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7A5BBCFC">
            <w:pPr>
              <w:rPr>
                <w:sz w:val="24"/>
                <w:szCs w:val="24"/>
              </w:rPr>
            </w:pPr>
            <w:r>
              <w:rPr>
                <w:b/>
                <w:bCs/>
                <w:sz w:val="24"/>
                <w:szCs w:val="24"/>
              </w:rPr>
              <w:t>9 – FORMA E CRITÉRIOS DE SELEÇÃO DO FORNECEDOR</w:t>
            </w:r>
          </w:p>
        </w:tc>
      </w:tr>
      <w:tr w14:paraId="3832E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1602E30E">
            <w:pPr>
              <w:ind w:firstLine="840" w:firstLineChars="350"/>
              <w:jc w:val="both"/>
              <w:rPr>
                <w:sz w:val="24"/>
                <w:szCs w:val="24"/>
              </w:rPr>
            </w:pPr>
            <w:r>
              <w:rPr>
                <w:sz w:val="24"/>
                <w:szCs w:val="24"/>
              </w:rPr>
              <w:t>O credenciamento de fornecedores será realizado por meio de chamada pública, em que os interessados deverão apresentar a documentação exigida e comprovar o atendimento aos critérios técnicos, legais e operacionais estabelecidos na Lei Municipal 2985/2021 e no presente Termo de Referência.</w:t>
            </w:r>
          </w:p>
          <w:p w14:paraId="07CD3E65">
            <w:pPr>
              <w:ind w:firstLine="840" w:firstLineChars="350"/>
              <w:jc w:val="both"/>
              <w:rPr>
                <w:b/>
                <w:sz w:val="24"/>
                <w:szCs w:val="24"/>
                <w:u w:val="single"/>
              </w:rPr>
            </w:pPr>
            <w:r>
              <w:rPr>
                <w:b/>
                <w:sz w:val="24"/>
                <w:szCs w:val="24"/>
                <w:u w:val="single"/>
              </w:rPr>
              <w:t>DOS DOCUMENTOS DE HABILITAÇÃO</w:t>
            </w:r>
          </w:p>
          <w:p w14:paraId="67DF65E8">
            <w:pPr>
              <w:ind w:firstLine="840" w:firstLineChars="350"/>
              <w:jc w:val="both"/>
              <w:rPr>
                <w:sz w:val="24"/>
                <w:szCs w:val="24"/>
              </w:rPr>
            </w:pPr>
            <w:r>
              <w:rPr>
                <w:sz w:val="24"/>
                <w:szCs w:val="24"/>
              </w:rPr>
              <w:t>9.1. No prazo de 02 (duas) horas, juntamente com o aceite da empresa em prestar os serviços nas condições estipuladas na Lei Municipal 2985/2021 e neste termo de referência, a empresa deverá apresentar os Documentos de Habilitação, nos termos dos arts. 62 a 70 da Lei Federal nº 14.133/2021, conforme documentos listados a partir do item 9.2.</w:t>
            </w:r>
          </w:p>
          <w:p w14:paraId="00555E7C">
            <w:pPr>
              <w:ind w:firstLine="840" w:firstLineChars="350"/>
              <w:jc w:val="both"/>
              <w:rPr>
                <w:sz w:val="24"/>
                <w:szCs w:val="24"/>
              </w:rPr>
            </w:pPr>
            <w:r>
              <w:rPr>
                <w:sz w:val="24"/>
                <w:szCs w:val="24"/>
              </w:rPr>
              <w:t>9.1.1. Não serão aceitos protocolos, documentos em cópia não, nem documentos com prazo de validade vencido.</w:t>
            </w:r>
          </w:p>
          <w:p w14:paraId="66166F6B">
            <w:pPr>
              <w:ind w:firstLine="840" w:firstLineChars="350"/>
              <w:jc w:val="both"/>
              <w:rPr>
                <w:sz w:val="24"/>
                <w:szCs w:val="24"/>
              </w:rPr>
            </w:pPr>
            <w:r>
              <w:rPr>
                <w:sz w:val="24"/>
                <w:szCs w:val="24"/>
              </w:rPr>
              <w:t>9.1.2. Os documentos deverão ser apresentados com impressão apenas no anverso (frente) das folhas, não sendo aceitas quaisquer impressões no verso das folhas.</w:t>
            </w:r>
          </w:p>
          <w:p w14:paraId="05BD5ACE">
            <w:pPr>
              <w:ind w:firstLine="840" w:firstLineChars="350"/>
              <w:jc w:val="both"/>
              <w:rPr>
                <w:sz w:val="24"/>
                <w:szCs w:val="24"/>
              </w:rPr>
            </w:pPr>
            <w:r>
              <w:rPr>
                <w:sz w:val="24"/>
                <w:szCs w:val="24"/>
              </w:rPr>
              <w:t xml:space="preserve">9.1.2.1. O descumprimento do item 9.1.2 não será motivo de inabilitação do proponente. </w:t>
            </w:r>
          </w:p>
          <w:p w14:paraId="4C514729">
            <w:pPr>
              <w:ind w:firstLine="840" w:firstLineChars="350"/>
              <w:jc w:val="both"/>
              <w:rPr>
                <w:sz w:val="24"/>
                <w:szCs w:val="24"/>
              </w:rPr>
            </w:pPr>
            <w:r>
              <w:rPr>
                <w:sz w:val="24"/>
                <w:szCs w:val="24"/>
              </w:rPr>
              <w:t>9.1.3. Todos os documentos exigidos para habilitação deverão estar no prazo de validade. Caso o órgão emissor não declare a validade do documento, esta será de 90 (noventa) dias contados a partir da data de emissão.</w:t>
            </w:r>
          </w:p>
          <w:p w14:paraId="6523BDD1">
            <w:pPr>
              <w:ind w:firstLine="840" w:firstLineChars="350"/>
              <w:jc w:val="both"/>
              <w:rPr>
                <w:sz w:val="24"/>
                <w:szCs w:val="24"/>
              </w:rPr>
            </w:pPr>
            <w:r>
              <w:rPr>
                <w:sz w:val="24"/>
                <w:szCs w:val="24"/>
              </w:rPr>
              <w:t>9.1.4. Após a entrega dos documentos para habilitação, não será permitida a substituição ou a apresentação de novos documentos, salvo em sede de diligência, para (Lei Federal nº 14.133/2021, art. 64):</w:t>
            </w:r>
          </w:p>
          <w:p w14:paraId="2735F789">
            <w:pPr>
              <w:ind w:firstLine="840" w:firstLineChars="350"/>
              <w:jc w:val="both"/>
              <w:rPr>
                <w:sz w:val="24"/>
                <w:szCs w:val="24"/>
              </w:rPr>
            </w:pPr>
            <w:r>
              <w:rPr>
                <w:sz w:val="24"/>
                <w:szCs w:val="24"/>
              </w:rPr>
              <w:t>9.1.4.1. Complementação de informações acerca dos documentos já apresentados pelos licitantes e desde que necessária para apurar fatos existentes à época da abertura do certame; e</w:t>
            </w:r>
          </w:p>
          <w:p w14:paraId="5C65F8DE">
            <w:pPr>
              <w:ind w:firstLine="840" w:firstLineChars="350"/>
              <w:jc w:val="both"/>
              <w:rPr>
                <w:sz w:val="24"/>
                <w:szCs w:val="24"/>
              </w:rPr>
            </w:pPr>
            <w:r>
              <w:rPr>
                <w:sz w:val="24"/>
                <w:szCs w:val="24"/>
              </w:rPr>
              <w:t>9.1.4.2. Atualização de documentos cuja validade tenha expirado após a data de recebimento das propostas.</w:t>
            </w:r>
          </w:p>
          <w:p w14:paraId="4F093C08">
            <w:pPr>
              <w:ind w:firstLine="840" w:firstLineChars="350"/>
              <w:jc w:val="both"/>
              <w:rPr>
                <w:sz w:val="24"/>
                <w:szCs w:val="24"/>
              </w:rPr>
            </w:pPr>
            <w:r>
              <w:rPr>
                <w:sz w:val="24"/>
                <w:szCs w:val="24"/>
              </w:rPr>
              <w:t>9.1.5. 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3050E183">
            <w:pPr>
              <w:ind w:firstLine="840" w:firstLineChars="350"/>
              <w:jc w:val="both"/>
              <w:rPr>
                <w:sz w:val="24"/>
                <w:szCs w:val="24"/>
              </w:rPr>
            </w:pPr>
            <w:r>
              <w:rPr>
                <w:sz w:val="24"/>
                <w:szCs w:val="24"/>
              </w:rPr>
              <w:t>9.1.6. Na hipótese de o licitante não atender às exigências para habilitação, o Pregoeiro examinará a proposta subsequente e assim sucessivamente, na ordem de classificação, até a apuração de uma proposta que atenda ao presente Edital.</w:t>
            </w:r>
          </w:p>
          <w:p w14:paraId="29E839EE">
            <w:pPr>
              <w:ind w:firstLine="840" w:firstLineChars="350"/>
              <w:jc w:val="both"/>
              <w:rPr>
                <w:sz w:val="24"/>
                <w:szCs w:val="24"/>
              </w:rPr>
            </w:pPr>
            <w:r>
              <w:rPr>
                <w:sz w:val="24"/>
                <w:szCs w:val="24"/>
              </w:rPr>
              <w:t>9.1.7. Somente serão disponibilizados para acesso público os documentos de habilitação do licitante cuja proposta atenda ao Edital de licitação, após concluídos os procedimentos de que trata o subitem anterior.</w:t>
            </w:r>
          </w:p>
          <w:p w14:paraId="4D03230C">
            <w:pPr>
              <w:ind w:firstLine="840" w:firstLineChars="350"/>
              <w:jc w:val="both"/>
              <w:rPr>
                <w:sz w:val="24"/>
                <w:szCs w:val="24"/>
              </w:rPr>
            </w:pPr>
            <w:r>
              <w:rPr>
                <w:sz w:val="24"/>
                <w:szCs w:val="24"/>
              </w:rPr>
              <w:t>9.1.8.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0C64570F">
            <w:pPr>
              <w:ind w:firstLine="840" w:firstLineChars="350"/>
              <w:jc w:val="both"/>
              <w:rPr>
                <w:sz w:val="24"/>
                <w:szCs w:val="24"/>
              </w:rPr>
            </w:pPr>
            <w:r>
              <w:rPr>
                <w:sz w:val="24"/>
                <w:szCs w:val="24"/>
              </w:rPr>
              <w:t>9.2. Habilitação jurídica:</w:t>
            </w:r>
          </w:p>
          <w:p w14:paraId="006C89CF">
            <w:pPr>
              <w:ind w:firstLine="840" w:firstLineChars="350"/>
              <w:jc w:val="both"/>
              <w:rPr>
                <w:sz w:val="24"/>
                <w:szCs w:val="24"/>
              </w:rPr>
            </w:pPr>
            <w:r>
              <w:rPr>
                <w:sz w:val="24"/>
                <w:szCs w:val="24"/>
              </w:rPr>
              <w:t xml:space="preserve">9.2.1. Empresário individual: inscrição no Registro Público de Empresas Mercantis, a cargo da Junta Comercial da respectiva sede; </w:t>
            </w:r>
          </w:p>
          <w:p w14:paraId="5EEF75E1">
            <w:pPr>
              <w:ind w:firstLine="840" w:firstLineChars="350"/>
              <w:jc w:val="both"/>
              <w:rPr>
                <w:sz w:val="24"/>
                <w:szCs w:val="24"/>
              </w:rPr>
            </w:pPr>
            <w:r>
              <w:rPr>
                <w:sz w:val="24"/>
                <w:szCs w:val="24"/>
              </w:rPr>
              <w:t>9.2.2. Microempreendedor Individual - MEI: Certificado da Condição de Microempreendedor Individual - CCMEI, cuja aceitação ficará condicionada à verificação da autenticidade no sítio https://www.gov.br/empresas-e-negocios/pt-br/empreendedor;</w:t>
            </w:r>
          </w:p>
          <w:p w14:paraId="238A34F9">
            <w:pPr>
              <w:ind w:firstLine="840" w:firstLineChars="350"/>
              <w:jc w:val="both"/>
              <w:rPr>
                <w:sz w:val="24"/>
                <w:szCs w:val="24"/>
              </w:rPr>
            </w:pPr>
            <w:r>
              <w:rPr>
                <w:sz w:val="24"/>
                <w:szCs w:val="24"/>
              </w:rPr>
              <w:t>9.2.3.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81EF98B">
            <w:pPr>
              <w:ind w:firstLine="840" w:firstLineChars="350"/>
              <w:jc w:val="both"/>
              <w:rPr>
                <w:sz w:val="24"/>
                <w:szCs w:val="24"/>
              </w:rPr>
            </w:pPr>
            <w:r>
              <w:rPr>
                <w:sz w:val="24"/>
                <w:szCs w:val="24"/>
              </w:rPr>
              <w:t>9.2.4.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7580F1B">
            <w:pPr>
              <w:ind w:firstLine="840" w:firstLineChars="350"/>
              <w:jc w:val="both"/>
              <w:rPr>
                <w:sz w:val="24"/>
                <w:szCs w:val="24"/>
              </w:rPr>
            </w:pPr>
            <w:r>
              <w:rPr>
                <w:sz w:val="24"/>
                <w:szCs w:val="24"/>
              </w:rPr>
              <w:t>9.2.5. Sociedade simples: inscrição do ato constitutivo no Registro Civil de Pessoas Jurídicas do local de sua sede, acompanhada de documento comprobatório de seus administradores;</w:t>
            </w:r>
          </w:p>
          <w:p w14:paraId="78484ED4">
            <w:pPr>
              <w:ind w:firstLine="840" w:firstLineChars="350"/>
              <w:jc w:val="both"/>
              <w:rPr>
                <w:sz w:val="24"/>
                <w:szCs w:val="24"/>
              </w:rPr>
            </w:pPr>
            <w:r>
              <w:rPr>
                <w:sz w:val="24"/>
                <w:szCs w:val="24"/>
              </w:rPr>
              <w:t>9.2.6.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9051AEC">
            <w:pPr>
              <w:ind w:firstLine="840" w:firstLineChars="350"/>
              <w:jc w:val="both"/>
              <w:rPr>
                <w:sz w:val="24"/>
                <w:szCs w:val="24"/>
              </w:rPr>
            </w:pPr>
            <w:r>
              <w:rPr>
                <w:sz w:val="24"/>
                <w:szCs w:val="24"/>
              </w:rPr>
              <w:t>9.2.7. No caso do item 9.2.3.,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23E6859C">
            <w:pPr>
              <w:ind w:firstLine="840" w:firstLineChars="350"/>
              <w:jc w:val="both"/>
              <w:rPr>
                <w:sz w:val="24"/>
                <w:szCs w:val="24"/>
              </w:rPr>
            </w:pPr>
            <w:r>
              <w:rPr>
                <w:sz w:val="24"/>
                <w:szCs w:val="24"/>
              </w:rPr>
              <w:t>9.2.8. 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5DA07C26">
            <w:pPr>
              <w:ind w:firstLine="840" w:firstLineChars="350"/>
              <w:jc w:val="both"/>
              <w:rPr>
                <w:sz w:val="24"/>
                <w:szCs w:val="24"/>
              </w:rPr>
            </w:pPr>
            <w:r>
              <w:rPr>
                <w:sz w:val="24"/>
                <w:szCs w:val="24"/>
              </w:rPr>
              <w:t>9.3.  Regularidade fiscal, social e trabalhista:</w:t>
            </w:r>
          </w:p>
          <w:p w14:paraId="70C7ACC5">
            <w:pPr>
              <w:ind w:firstLine="840" w:firstLineChars="350"/>
              <w:jc w:val="both"/>
              <w:rPr>
                <w:sz w:val="24"/>
                <w:szCs w:val="24"/>
              </w:rPr>
            </w:pPr>
            <w:r>
              <w:rPr>
                <w:sz w:val="24"/>
                <w:szCs w:val="24"/>
              </w:rPr>
              <w:t>9.3.1. Inscrição no Cadastro Nacional de Pessoas Jurídicas (CNPJ);</w:t>
            </w:r>
          </w:p>
          <w:p w14:paraId="373C0225">
            <w:pPr>
              <w:ind w:firstLine="840" w:firstLineChars="350"/>
              <w:jc w:val="both"/>
              <w:rPr>
                <w:sz w:val="24"/>
                <w:szCs w:val="24"/>
              </w:rPr>
            </w:pPr>
            <w:r>
              <w:rPr>
                <w:sz w:val="24"/>
                <w:szCs w:val="24"/>
              </w:rPr>
              <w:t>9.3.2. Inscrição no cadastro de contribuintes estadual ou municipal, relativo ao domicilio ou sede do licitante, pertinente ao seu ramo de atividade e compatível com o objeto contratual;</w:t>
            </w:r>
          </w:p>
          <w:p w14:paraId="142B1398">
            <w:pPr>
              <w:ind w:firstLine="840" w:firstLineChars="350"/>
              <w:jc w:val="both"/>
              <w:rPr>
                <w:sz w:val="24"/>
                <w:szCs w:val="24"/>
              </w:rPr>
            </w:pPr>
            <w:r>
              <w:rPr>
                <w:sz w:val="24"/>
                <w:szCs w:val="24"/>
              </w:rPr>
              <w:t>9.3.3. Regularidade perante a Fazenda Federal (incluindo Seguridade Social), Estadual e Municipal do domicílio ou sede do licitante, ou outra equivalente, na forma da lei;</w:t>
            </w:r>
          </w:p>
          <w:p w14:paraId="539B7301">
            <w:pPr>
              <w:ind w:firstLine="840" w:firstLineChars="350"/>
              <w:jc w:val="both"/>
              <w:rPr>
                <w:sz w:val="24"/>
                <w:szCs w:val="24"/>
              </w:rPr>
            </w:pPr>
            <w:r>
              <w:rPr>
                <w:sz w:val="24"/>
                <w:szCs w:val="24"/>
              </w:rPr>
              <w:t>9.3.4. Regularidade relativa ao Fundo de Garantia por Tempo de Serviço (FGTS), que demonstre cumprimento dos encargos sociais instituídos por lei;</w:t>
            </w:r>
          </w:p>
          <w:p w14:paraId="0D97BD77">
            <w:pPr>
              <w:ind w:firstLine="840" w:firstLineChars="350"/>
              <w:jc w:val="both"/>
              <w:rPr>
                <w:sz w:val="24"/>
                <w:szCs w:val="24"/>
              </w:rPr>
            </w:pPr>
            <w:r>
              <w:rPr>
                <w:sz w:val="24"/>
                <w:szCs w:val="24"/>
              </w:rPr>
              <w:t xml:space="preserve">9.3.5. Regularidade perante a Justiça do Trabalho, mediante a apresentação de Certidão Negativa de Débitos Trabalhistas (CNDT); </w:t>
            </w:r>
          </w:p>
          <w:p w14:paraId="114C3861">
            <w:pPr>
              <w:ind w:firstLine="840" w:firstLineChars="350"/>
              <w:jc w:val="both"/>
              <w:rPr>
                <w:sz w:val="24"/>
                <w:szCs w:val="24"/>
              </w:rPr>
            </w:pPr>
            <w:r>
              <w:rPr>
                <w:sz w:val="24"/>
                <w:szCs w:val="24"/>
              </w:rPr>
              <w:t>9.3.6. 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VIII.</w:t>
            </w:r>
          </w:p>
          <w:p w14:paraId="341B92EB">
            <w:pPr>
              <w:ind w:firstLine="840" w:firstLineChars="350"/>
              <w:jc w:val="both"/>
              <w:rPr>
                <w:sz w:val="24"/>
                <w:szCs w:val="24"/>
              </w:rPr>
            </w:pPr>
            <w:r>
              <w:rPr>
                <w:sz w:val="24"/>
                <w:szCs w:val="24"/>
              </w:rPr>
              <w:t>9.4. Certidão negativa de feitos sobre falência expedida pelo distribuidor da sede do licitante (Lei nº 14.133, de 2021, art. 69, inciso II).</w:t>
            </w:r>
          </w:p>
          <w:p w14:paraId="20E00542">
            <w:pPr>
              <w:ind w:firstLine="840" w:firstLineChars="350"/>
              <w:jc w:val="both"/>
              <w:rPr>
                <w:sz w:val="24"/>
                <w:szCs w:val="24"/>
              </w:rPr>
            </w:pPr>
            <w:r>
              <w:rPr>
                <w:sz w:val="24"/>
                <w:szCs w:val="24"/>
              </w:rPr>
              <w:t>9.5. Declarações Conjuntas (Anexo III):</w:t>
            </w:r>
          </w:p>
          <w:p w14:paraId="4D367E2E">
            <w:pPr>
              <w:ind w:firstLine="840" w:firstLineChars="350"/>
              <w:jc w:val="both"/>
              <w:rPr>
                <w:sz w:val="24"/>
                <w:szCs w:val="24"/>
              </w:rPr>
            </w:pPr>
            <w:r>
              <w:rPr>
                <w:sz w:val="24"/>
                <w:szCs w:val="24"/>
              </w:rPr>
              <w:t>9.5.1. Declaração de conhecimento do edital e dos requisitos de habilitação:</w:t>
            </w:r>
          </w:p>
          <w:p w14:paraId="3E93964F">
            <w:pPr>
              <w:ind w:firstLine="840" w:firstLineChars="350"/>
              <w:jc w:val="both"/>
              <w:rPr>
                <w:sz w:val="24"/>
                <w:szCs w:val="24"/>
              </w:rPr>
            </w:pPr>
            <w:r>
              <w:rPr>
                <w:sz w:val="24"/>
                <w:szCs w:val="24"/>
              </w:rPr>
              <w:t>9.5.1.1. A licitante deverá apresentar declaração de que possui o pleno conhecimento e aceitação de todas as regras e das condições gerais do Edital e das condições locais para o cumprimento das obrigações objeto da licitação, bem como conhece e atende a todos os requisitos de habilitação estabelecidos no referido Edital e que todas as declarações são verídicas, assim como todas as certidões apresentadas são autênticas, conforme art. 63, I, da Lei Federal nº 14.133/2021, assumindo como firmes e verdadeiras a responsabilidade pelas transações que forem efetuadas. Declara, ainda, que a proposta está em conformidade com as exigências deste instrumento convocatório, conforme modelo no Anexo III.</w:t>
            </w:r>
          </w:p>
          <w:p w14:paraId="3EFA283F">
            <w:pPr>
              <w:ind w:firstLine="840" w:firstLineChars="350"/>
              <w:jc w:val="both"/>
              <w:rPr>
                <w:sz w:val="24"/>
                <w:szCs w:val="24"/>
              </w:rPr>
            </w:pPr>
            <w:r>
              <w:rPr>
                <w:sz w:val="24"/>
                <w:szCs w:val="24"/>
              </w:rPr>
              <w:t>9.5.2. Declaração de inexistência de fatos impeditivos:</w:t>
            </w:r>
          </w:p>
          <w:p w14:paraId="1DE6C0AC">
            <w:pPr>
              <w:ind w:firstLine="840" w:firstLineChars="350"/>
              <w:jc w:val="both"/>
              <w:rPr>
                <w:sz w:val="24"/>
                <w:szCs w:val="24"/>
              </w:rPr>
            </w:pPr>
            <w:r>
              <w:rPr>
                <w:sz w:val="24"/>
                <w:szCs w:val="24"/>
              </w:rPr>
              <w:t>9.5.2.1. A licitante deverá apresentar declaração de inexistência de fatos supervenientes e/ou impeditivos para sua habilitação no processo licitatório e que não consta nos cadastros oficiais de impedimentos, conforme Modelo de Declaração do Anexo III.</w:t>
            </w:r>
          </w:p>
          <w:p w14:paraId="387A3A69">
            <w:pPr>
              <w:ind w:firstLine="840" w:firstLineChars="350"/>
              <w:jc w:val="both"/>
              <w:rPr>
                <w:sz w:val="24"/>
                <w:szCs w:val="24"/>
              </w:rPr>
            </w:pPr>
            <w:r>
              <w:rPr>
                <w:sz w:val="24"/>
                <w:szCs w:val="24"/>
              </w:rPr>
              <w:t>9.5.2.2. Juntamente com esta declaração deverá ser apresentada a certidão de Consulta Consolidada de Pessoa Jurídica, disponível através do site https://certidoes-apf.apps.tcu.gov.br/, expedida em até 90 (noventa) dias imediatamente anteriores à data prevista para abertura do certame.</w:t>
            </w:r>
          </w:p>
          <w:p w14:paraId="441FA343">
            <w:pPr>
              <w:ind w:firstLine="840" w:firstLineChars="350"/>
              <w:jc w:val="both"/>
              <w:rPr>
                <w:sz w:val="24"/>
                <w:szCs w:val="24"/>
              </w:rPr>
            </w:pPr>
            <w:r>
              <w:rPr>
                <w:sz w:val="24"/>
                <w:szCs w:val="24"/>
              </w:rPr>
              <w:t>9.5.3. Declaração de reserva de cargos e de trabalho não degradante:</w:t>
            </w:r>
          </w:p>
          <w:p w14:paraId="0CC7285F">
            <w:pPr>
              <w:ind w:firstLine="840" w:firstLineChars="350"/>
              <w:jc w:val="both"/>
              <w:rPr>
                <w:sz w:val="24"/>
                <w:szCs w:val="24"/>
              </w:rPr>
            </w:pPr>
            <w:r>
              <w:rPr>
                <w:sz w:val="24"/>
                <w:szCs w:val="24"/>
              </w:rPr>
              <w:t>9.5.3.1. A licitante deverá apresentar declaração de que cumpre as exigências de reserva de cargos para pessoa com deficiência e para reabilitado da Previdência Social, previstas em lei e em outras normas especificas, conforme art. 63, IV, da Lei Federal 14.133/2021, e que, se aplicado ao número de funcionários da minha empresa, atendo às regras de acessibilidade previstas na legislação, bem como não possui empregados executando trabalho degradante ou forçado, observando o disposto nos incisos III e IV do art. 1º e no inciso III do art. 5º da Constituição Federal., conforme Modelo de Declaração do Anexo III.</w:t>
            </w:r>
          </w:p>
          <w:p w14:paraId="4F646E9F">
            <w:pPr>
              <w:ind w:firstLine="840" w:firstLineChars="350"/>
              <w:jc w:val="both"/>
              <w:rPr>
                <w:sz w:val="24"/>
                <w:szCs w:val="24"/>
              </w:rPr>
            </w:pPr>
            <w:r>
              <w:rPr>
                <w:sz w:val="24"/>
                <w:szCs w:val="24"/>
              </w:rPr>
              <w:t>9.5.4. Declaração de não parentesco:</w:t>
            </w:r>
          </w:p>
          <w:p w14:paraId="5AF4A6BF">
            <w:pPr>
              <w:ind w:firstLine="840" w:firstLineChars="350"/>
              <w:jc w:val="both"/>
              <w:rPr>
                <w:sz w:val="24"/>
                <w:szCs w:val="24"/>
              </w:rPr>
            </w:pPr>
            <w:r>
              <w:rPr>
                <w:sz w:val="24"/>
                <w:szCs w:val="24"/>
              </w:rPr>
              <w:t>9.5.4.1. A licitante deverá apresentar declaração de que não mantém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conforme Modelo de Declaração do Anexo III.</w:t>
            </w:r>
          </w:p>
          <w:p w14:paraId="76ADD72F">
            <w:pPr>
              <w:ind w:firstLine="840" w:firstLineChars="350"/>
              <w:jc w:val="both"/>
              <w:rPr>
                <w:sz w:val="24"/>
                <w:szCs w:val="24"/>
              </w:rPr>
            </w:pPr>
            <w:r>
              <w:rPr>
                <w:sz w:val="24"/>
                <w:szCs w:val="24"/>
              </w:rPr>
              <w:t>9.5.5. Declaração de que não emprega menor de idade:</w:t>
            </w:r>
          </w:p>
          <w:p w14:paraId="06251233">
            <w:pPr>
              <w:ind w:firstLine="840" w:firstLineChars="350"/>
              <w:jc w:val="both"/>
              <w:rPr>
                <w:sz w:val="24"/>
                <w:szCs w:val="24"/>
              </w:rPr>
            </w:pPr>
            <w:r>
              <w:rPr>
                <w:sz w:val="24"/>
                <w:szCs w:val="24"/>
              </w:rPr>
              <w:t>9.5.5.1. A licitante deverá apresentar declaração, para fins do disposto no art. 68, VI, da Lei Federal nº 14.133/2021, que não emprega menor de 18 (dezoito) anos em trabalho noturno, perigoso ou insalubre e não emprega menor de 16 (dezesseis) anos em qualquer trabalho, salvo na condição de aprendiz, a partir dos 14 (quatorze) anos, em cumprimento ao disposto no art. 7º, XXXIII, da Constituição Federal, bem como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trabalhistaconforme Modelo de Declaração do Anexo III.</w:t>
            </w:r>
          </w:p>
          <w:p w14:paraId="5737E633">
            <w:pPr>
              <w:ind w:firstLine="840" w:firstLineChars="350"/>
              <w:jc w:val="both"/>
              <w:rPr>
                <w:sz w:val="24"/>
                <w:szCs w:val="24"/>
              </w:rPr>
            </w:pPr>
            <w:r>
              <w:rPr>
                <w:sz w:val="24"/>
                <w:szCs w:val="24"/>
              </w:rPr>
              <w:t>9.6. Observações:</w:t>
            </w:r>
          </w:p>
          <w:p w14:paraId="16870ACC">
            <w:pPr>
              <w:ind w:firstLine="840" w:firstLineChars="350"/>
              <w:jc w:val="both"/>
              <w:rPr>
                <w:sz w:val="24"/>
                <w:szCs w:val="24"/>
              </w:rPr>
            </w:pPr>
            <w:r>
              <w:rPr>
                <w:sz w:val="24"/>
                <w:szCs w:val="24"/>
              </w:rPr>
              <w:t>9.6.1. O objeto constante do ato constitutivo da empresa deve ser compatível com o objeto licitado.</w:t>
            </w:r>
          </w:p>
          <w:p w14:paraId="55B5E689">
            <w:pPr>
              <w:ind w:firstLine="840" w:firstLineChars="350"/>
              <w:jc w:val="both"/>
              <w:rPr>
                <w:sz w:val="24"/>
                <w:szCs w:val="24"/>
              </w:rPr>
            </w:pPr>
            <w:r>
              <w:rPr>
                <w:sz w:val="24"/>
                <w:szCs w:val="24"/>
              </w:rPr>
              <w:t>9.6.2. Não serão aceitas certidões positivas de débito, exceto quando constar da própria certidão ressalva que autorize a sua aceitação.</w:t>
            </w:r>
          </w:p>
          <w:p w14:paraId="3E59F8FA">
            <w:pPr>
              <w:ind w:firstLine="840" w:firstLineChars="350"/>
              <w:jc w:val="both"/>
              <w:rPr>
                <w:sz w:val="24"/>
                <w:szCs w:val="24"/>
              </w:rPr>
            </w:pPr>
            <w:r>
              <w:rPr>
                <w:sz w:val="24"/>
                <w:szCs w:val="24"/>
              </w:rPr>
              <w:t>9.6.3. A documentação exigida no item 9 deverá ser compatível com as respectivas inscrições nas esferas federal, estadual e municipal.</w:t>
            </w:r>
          </w:p>
          <w:p w14:paraId="1CB1552E">
            <w:pPr>
              <w:ind w:firstLine="840" w:firstLineChars="350"/>
              <w:jc w:val="both"/>
              <w:rPr>
                <w:sz w:val="24"/>
                <w:szCs w:val="24"/>
              </w:rPr>
            </w:pPr>
            <w:r>
              <w:rPr>
                <w:sz w:val="24"/>
                <w:szCs w:val="24"/>
              </w:rPr>
              <w:t>9.6.4. A aceitação dos documentos obtidos via Internet ficará condicionada à confirmação de sua validade, também por esse meio, se dúvida houver quanto à sua autenticidade, pelo Pregoeiro.</w:t>
            </w:r>
          </w:p>
          <w:p w14:paraId="5A1D8EB1">
            <w:pPr>
              <w:ind w:firstLine="840" w:firstLineChars="350"/>
              <w:jc w:val="both"/>
              <w:rPr>
                <w:sz w:val="24"/>
                <w:szCs w:val="24"/>
              </w:rPr>
            </w:pPr>
            <w:r>
              <w:rPr>
                <w:sz w:val="24"/>
                <w:szCs w:val="24"/>
              </w:rPr>
              <w:t>9.6.5. Para efeito da validade das certidões de regularidade de situação perante a Administração Pública, se outro prazo não constar da lei ou do próprio documento, será considerado o lapso de 90 (noventa) dias entre a data de sua expedição e a da abertura do certame.</w:t>
            </w:r>
          </w:p>
          <w:p w14:paraId="3AF7F2FE">
            <w:pPr>
              <w:ind w:firstLine="840" w:firstLineChars="350"/>
              <w:jc w:val="both"/>
              <w:rPr>
                <w:sz w:val="24"/>
                <w:szCs w:val="24"/>
              </w:rPr>
            </w:pPr>
            <w:r>
              <w:rPr>
                <w:sz w:val="24"/>
                <w:szCs w:val="24"/>
              </w:rPr>
              <w:t>9.6.6. Os documentos poderão ser apresentados no original, por qualquer processo de cópia reprográfica autenticada por tabelião por força de lei ou a publicação em órgão da imprensa na forma da lei.</w:t>
            </w:r>
          </w:p>
          <w:p w14:paraId="5531DA2E">
            <w:pPr>
              <w:ind w:firstLine="840" w:firstLineChars="350"/>
              <w:jc w:val="both"/>
              <w:rPr>
                <w:sz w:val="24"/>
                <w:szCs w:val="24"/>
              </w:rPr>
            </w:pPr>
            <w:r>
              <w:rPr>
                <w:sz w:val="24"/>
                <w:szCs w:val="24"/>
              </w:rPr>
              <w:t>9.6.7. As autenticações serão aceitas quando feitas em cartório ou através de certificação digital.</w:t>
            </w:r>
          </w:p>
          <w:p w14:paraId="748C03BB">
            <w:pPr>
              <w:ind w:firstLine="840" w:firstLineChars="350"/>
              <w:jc w:val="both"/>
              <w:rPr>
                <w:sz w:val="24"/>
                <w:szCs w:val="24"/>
              </w:rPr>
            </w:pPr>
            <w:r>
              <w:rPr>
                <w:sz w:val="24"/>
                <w:szCs w:val="24"/>
              </w:rPr>
              <w:t>9.6.8. Na hipótese da apresentação de documentos originais, estes serão anexados ao processo licitatório.</w:t>
            </w:r>
          </w:p>
          <w:p w14:paraId="3A7801CA">
            <w:pPr>
              <w:ind w:firstLine="840" w:firstLineChars="350"/>
              <w:jc w:val="both"/>
              <w:rPr>
                <w:sz w:val="24"/>
                <w:szCs w:val="24"/>
              </w:rPr>
            </w:pPr>
            <w:r>
              <w:rPr>
                <w:sz w:val="24"/>
                <w:szCs w:val="24"/>
              </w:rPr>
              <w:t>9.6.9. Os documentos exigidos para habilitação, consoante o estabelecido no item 9 do Edital, não poderão, em hipótese alguma, ser substituídos por protocolos que configurem o seu requerimento, ou apresentados por meio de fitas, discos magnéticos e filmes.</w:t>
            </w:r>
          </w:p>
          <w:p w14:paraId="28E968BE">
            <w:pPr>
              <w:ind w:firstLine="840" w:firstLineChars="350"/>
              <w:jc w:val="both"/>
              <w:rPr>
                <w:sz w:val="24"/>
                <w:szCs w:val="24"/>
              </w:rPr>
            </w:pPr>
            <w:r>
              <w:rPr>
                <w:sz w:val="24"/>
                <w:szCs w:val="24"/>
              </w:rPr>
              <w:t>9.6.10. A ausência de documento ou a apresentação dos documentos de habilitação em desacordo com o previsto no item 9 inabilitará o licitante e o Pregoeiro examinará a oferta subsequente, verificando a sua aceitabilidade e procedendo a verificação das condições de habilitação do licitante, na ordem de classificação e, assim, sucessivamente, até a apuração de uma proposta ou lance que atenda ao Edital, sendo o respectivo licitante declarado vencedor e a ele adjudicado o objeto do Edital.</w:t>
            </w:r>
          </w:p>
          <w:p w14:paraId="1D640A02">
            <w:pPr>
              <w:ind w:firstLine="840" w:firstLineChars="350"/>
              <w:jc w:val="both"/>
              <w:rPr>
                <w:sz w:val="24"/>
                <w:szCs w:val="24"/>
              </w:rPr>
            </w:pPr>
            <w:r>
              <w:rPr>
                <w:sz w:val="24"/>
                <w:szCs w:val="24"/>
              </w:rPr>
              <w:t>9.6.11. Uma vez incluído no processo licitatório, nenhum documento será devolvido, salvo se original a ser substituído por cópia reprográfica autenticada.</w:t>
            </w:r>
          </w:p>
          <w:p w14:paraId="21E09F0F">
            <w:pPr>
              <w:ind w:firstLine="840" w:firstLineChars="350"/>
              <w:jc w:val="both"/>
              <w:rPr>
                <w:sz w:val="24"/>
                <w:szCs w:val="24"/>
              </w:rPr>
            </w:pPr>
            <w:r>
              <w:rPr>
                <w:sz w:val="24"/>
                <w:szCs w:val="24"/>
              </w:rPr>
              <w:t>9.6.12. A licitante que declarar que cumpre os requisitos de habilitação e não os cumprir será inabilitada e sujeita às penalidades legais.</w:t>
            </w:r>
          </w:p>
          <w:p w14:paraId="4142BBFF">
            <w:pPr>
              <w:ind w:firstLine="840" w:firstLineChars="350"/>
              <w:jc w:val="both"/>
              <w:rPr>
                <w:sz w:val="24"/>
                <w:szCs w:val="24"/>
              </w:rPr>
            </w:pPr>
            <w:r>
              <w:rPr>
                <w:sz w:val="24"/>
                <w:szCs w:val="24"/>
              </w:rPr>
              <w:t>9.6.13. Se a vencedora não encaminhar os documentos de habilitação dentro do prazo estabelecido no Edital será penalizada de acordo com as sanções dispostas no art. 156 da Lei Federal nº 14.133/2021.</w:t>
            </w:r>
          </w:p>
        </w:tc>
      </w:tr>
    </w:tbl>
    <w:p w14:paraId="149FDE1A">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4015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31" w:type="dxa"/>
            <w:shd w:val="clear" w:color="auto" w:fill="D6E3BC" w:themeFill="accent3" w:themeFillTint="66"/>
          </w:tcPr>
          <w:p w14:paraId="541851A7">
            <w:pPr>
              <w:rPr>
                <w:sz w:val="24"/>
                <w:szCs w:val="24"/>
              </w:rPr>
            </w:pPr>
            <w:r>
              <w:rPr>
                <w:b/>
                <w:bCs/>
                <w:sz w:val="24"/>
                <w:szCs w:val="24"/>
              </w:rPr>
              <w:t>10 – CUSTO ESTIMADO DA CONTRATAÇÃO/PREÇO DE REFERÊNCIA</w:t>
            </w:r>
          </w:p>
        </w:tc>
      </w:tr>
      <w:tr w14:paraId="10D92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22998D7">
            <w:pPr>
              <w:jc w:val="both"/>
              <w:rPr>
                <w:sz w:val="24"/>
                <w:szCs w:val="24"/>
              </w:rPr>
            </w:pPr>
            <w:r>
              <w:rPr>
                <w:sz w:val="24"/>
                <w:szCs w:val="24"/>
              </w:rPr>
              <w:t xml:space="preserve">              10.1. Este processo de credenciamento vai gerar receitas mensalmente, que devem cair direto no Fundo Municipal de Trânsito, via recolhimento de Documento de Arrecadação Municipal – DAM, por parte da (s) empresa (s) credenciada (s), de acordo com os Artigos 15 e 18 da Lei Municipal 2985/2021 (com alterações trazidas pelas Leis 2998/2021 e 3449/2025). Os valores cobrados para a prestação dos serviços já são pré-fixados na Lei Municipal 2985/2021 e não temos como prever o valor total, pois vai depender da demanda de veículos removidos.</w:t>
            </w:r>
          </w:p>
        </w:tc>
      </w:tr>
    </w:tbl>
    <w:p w14:paraId="7602F39E">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0BA30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6A48F31A">
            <w:pPr>
              <w:rPr>
                <w:sz w:val="24"/>
                <w:szCs w:val="24"/>
              </w:rPr>
            </w:pPr>
            <w:r>
              <w:rPr>
                <w:b/>
                <w:bCs/>
                <w:sz w:val="24"/>
                <w:szCs w:val="24"/>
              </w:rPr>
              <w:t>11 – DOTAÇÃO ORÇAMENTÁRIA</w:t>
            </w:r>
          </w:p>
        </w:tc>
      </w:tr>
      <w:tr w14:paraId="67F07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091AE5D9">
            <w:pPr>
              <w:jc w:val="both"/>
              <w:rPr>
                <w:sz w:val="24"/>
                <w:szCs w:val="24"/>
              </w:rPr>
            </w:pPr>
            <w:r>
              <w:rPr>
                <w:sz w:val="24"/>
                <w:szCs w:val="24"/>
              </w:rPr>
              <w:t xml:space="preserve">              11.1. Não existe dotação orçamentária para este processo de credenciamento. Ele não vai gerar nenhum custo ao município, pelo contrário, irá gerar receitas, as quais, deverão cair direto no Fundo Municipal de Trânsito, mediante pagamento de Documento de Arrecadação Municipal - DAM.</w:t>
            </w:r>
          </w:p>
        </w:tc>
      </w:tr>
    </w:tbl>
    <w:p w14:paraId="0F497340">
      <w:pP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1"/>
      </w:tblGrid>
      <w:tr w14:paraId="4A794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shd w:val="clear" w:color="auto" w:fill="D6E3BC" w:themeFill="accent3" w:themeFillTint="66"/>
          </w:tcPr>
          <w:p w14:paraId="0FD71CD2">
            <w:pPr>
              <w:rPr>
                <w:sz w:val="24"/>
                <w:szCs w:val="24"/>
              </w:rPr>
            </w:pPr>
            <w:r>
              <w:rPr>
                <w:b/>
                <w:bCs/>
                <w:sz w:val="24"/>
                <w:szCs w:val="24"/>
              </w:rPr>
              <w:t>12 – DEMAIS INFORMAÇÕES ESPECÍFICAS DO PROJETO BÁSICO</w:t>
            </w:r>
          </w:p>
        </w:tc>
      </w:tr>
      <w:tr w14:paraId="67A64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31" w:type="dxa"/>
            <w:vAlign w:val="center"/>
          </w:tcPr>
          <w:p w14:paraId="2A4301BC">
            <w:pPr>
              <w:jc w:val="both"/>
              <w:rPr>
                <w:sz w:val="24"/>
                <w:szCs w:val="24"/>
              </w:rPr>
            </w:pPr>
            <w:r>
              <w:rPr>
                <w:sz w:val="24"/>
                <w:szCs w:val="24"/>
              </w:rPr>
              <w:t xml:space="preserve">             12.1. Não se aplica.</w:t>
            </w:r>
          </w:p>
        </w:tc>
      </w:tr>
    </w:tbl>
    <w:p w14:paraId="70482028">
      <w:pPr>
        <w:rPr>
          <w:sz w:val="24"/>
          <w:szCs w:val="24"/>
        </w:rPr>
      </w:pPr>
    </w:p>
    <w:p w14:paraId="1A06A45B">
      <w:pPr>
        <w:rPr>
          <w:sz w:val="24"/>
          <w:szCs w:val="24"/>
        </w:rPr>
      </w:pPr>
      <w:r>
        <w:rPr>
          <w:sz w:val="24"/>
          <w:szCs w:val="24"/>
        </w:rPr>
        <w:t>Sinop/MT, 18 de setembro de 2025.</w:t>
      </w:r>
    </w:p>
    <w:p w14:paraId="0BDBFA6C">
      <w:pPr>
        <w:rPr>
          <w:sz w:val="24"/>
          <w:szCs w:val="24"/>
        </w:rPr>
      </w:pPr>
    </w:p>
    <w:p w14:paraId="1122C007">
      <w:pPr>
        <w:rPr>
          <w:sz w:val="16"/>
          <w:szCs w:val="16"/>
        </w:rPr>
      </w:pPr>
    </w:p>
    <w:p w14:paraId="05323F34">
      <w:pPr>
        <w:rPr>
          <w:sz w:val="16"/>
          <w:szCs w:val="16"/>
        </w:rPr>
      </w:pPr>
    </w:p>
    <w:p w14:paraId="3F2ABF0F">
      <w:pPr>
        <w:spacing w:line="360" w:lineRule="auto"/>
        <w:rPr>
          <w:sz w:val="24"/>
          <w:szCs w:val="24"/>
        </w:rPr>
      </w:pPr>
    </w:p>
    <w:p w14:paraId="0DA520B3">
      <w:pPr>
        <w:spacing w:line="360" w:lineRule="auto"/>
        <w:rPr>
          <w:sz w:val="24"/>
          <w:szCs w:val="24"/>
        </w:rPr>
      </w:pPr>
    </w:p>
    <w:p w14:paraId="6CD0865D">
      <w:pPr>
        <w:spacing w:line="360" w:lineRule="auto"/>
        <w:jc w:val="center"/>
        <w:rPr>
          <w:sz w:val="24"/>
          <w:szCs w:val="24"/>
        </w:rPr>
      </w:pPr>
      <w:r>
        <w:rPr>
          <w:sz w:val="24"/>
          <w:szCs w:val="24"/>
        </w:rPr>
        <w:t>Responsável pelo TR/PB</w:t>
      </w:r>
    </w:p>
    <w:p w14:paraId="37559D05">
      <w:pPr>
        <w:spacing w:line="360" w:lineRule="auto"/>
        <w:jc w:val="center"/>
        <w:rPr>
          <w:b/>
          <w:bCs/>
          <w:sz w:val="24"/>
          <w:szCs w:val="24"/>
        </w:rPr>
      </w:pPr>
      <w:r>
        <w:rPr>
          <w:b/>
          <w:bCs/>
          <w:sz w:val="24"/>
          <w:szCs w:val="24"/>
        </w:rPr>
        <w:t>JONAS CLEUNIR SIMON</w:t>
      </w:r>
    </w:p>
    <w:p w14:paraId="6A758E46">
      <w:pPr>
        <w:spacing w:line="360" w:lineRule="auto"/>
        <w:jc w:val="center"/>
        <w:rPr>
          <w:sz w:val="24"/>
          <w:szCs w:val="24"/>
        </w:rPr>
      </w:pPr>
      <w:r>
        <w:rPr>
          <w:sz w:val="24"/>
          <w:szCs w:val="24"/>
        </w:rPr>
        <w:t>Matrícula de nº. 8079 / Ouvidor da Guarda Civil Municipal</w:t>
      </w:r>
    </w:p>
    <w:p w14:paraId="3ADFFBE1">
      <w:pPr>
        <w:spacing w:line="360" w:lineRule="auto"/>
        <w:jc w:val="center"/>
        <w:rPr>
          <w:sz w:val="24"/>
          <w:szCs w:val="24"/>
        </w:rPr>
      </w:pPr>
      <w:r>
        <w:rPr>
          <w:sz w:val="24"/>
          <w:szCs w:val="24"/>
        </w:rPr>
        <w:t>Equipe de Planejamento de Contratação</w:t>
      </w:r>
    </w:p>
    <w:p w14:paraId="3DCEC885">
      <w:pPr>
        <w:spacing w:line="360" w:lineRule="auto"/>
        <w:jc w:val="center"/>
        <w:rPr>
          <w:sz w:val="24"/>
          <w:szCs w:val="24"/>
        </w:rPr>
      </w:pPr>
      <w:r>
        <w:rPr>
          <w:sz w:val="24"/>
          <w:szCs w:val="24"/>
        </w:rPr>
        <w:t>Portaria n°. 1137/2025</w:t>
      </w:r>
    </w:p>
    <w:p w14:paraId="09B8AD02">
      <w:pPr>
        <w:spacing w:line="360" w:lineRule="auto"/>
        <w:jc w:val="center"/>
        <w:rPr>
          <w:sz w:val="24"/>
          <w:szCs w:val="24"/>
        </w:rPr>
      </w:pPr>
    </w:p>
    <w:p w14:paraId="6BE21667">
      <w:pPr>
        <w:spacing w:line="360" w:lineRule="auto"/>
        <w:jc w:val="center"/>
        <w:rPr>
          <w:sz w:val="24"/>
          <w:szCs w:val="24"/>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2"/>
      </w:tblGrid>
      <w:tr w14:paraId="5D1F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2" w:type="dxa"/>
            <w:shd w:val="clear" w:color="auto" w:fill="D6E3BC" w:themeFill="accent3" w:themeFillTint="66"/>
          </w:tcPr>
          <w:p w14:paraId="15C90DB1">
            <w:pPr>
              <w:jc w:val="center"/>
              <w:rPr>
                <w:sz w:val="24"/>
                <w:szCs w:val="24"/>
              </w:rPr>
            </w:pPr>
            <w:r>
              <w:rPr>
                <w:b/>
                <w:bCs/>
                <w:sz w:val="24"/>
                <w:szCs w:val="24"/>
              </w:rPr>
              <w:t>13 - CIÊNCIA DA AUTORIDADE COMPETENTE</w:t>
            </w:r>
          </w:p>
        </w:tc>
      </w:tr>
    </w:tbl>
    <w:p w14:paraId="0B230220">
      <w:pPr>
        <w:spacing w:line="360" w:lineRule="auto"/>
        <w:jc w:val="center"/>
        <w:rPr>
          <w:sz w:val="8"/>
          <w:szCs w:val="8"/>
        </w:rPr>
      </w:pPr>
    </w:p>
    <w:p w14:paraId="59154F0E">
      <w:pPr>
        <w:spacing w:line="360" w:lineRule="auto"/>
        <w:jc w:val="both"/>
        <w:rPr>
          <w:sz w:val="24"/>
          <w:szCs w:val="24"/>
        </w:rPr>
      </w:pPr>
      <w:r>
        <w:rPr>
          <w:sz w:val="24"/>
          <w:szCs w:val="24"/>
        </w:rPr>
        <w:t xml:space="preserve">( </w:t>
      </w:r>
      <w:r>
        <w:rPr>
          <w:b/>
          <w:bCs/>
          <w:sz w:val="24"/>
          <w:szCs w:val="24"/>
        </w:rPr>
        <w:t>X</w:t>
      </w:r>
      <w:r>
        <w:rPr>
          <w:sz w:val="24"/>
          <w:szCs w:val="24"/>
        </w:rPr>
        <w:t xml:space="preserve"> ) Concordo com o Termo de Referência/Projeto Básico realizado e autorizo a aquisição nos termos da Lei 14.133/2021.</w:t>
      </w:r>
    </w:p>
    <w:p w14:paraId="2186A63A">
      <w:pPr>
        <w:spacing w:line="360" w:lineRule="auto"/>
        <w:jc w:val="both"/>
        <w:rPr>
          <w:sz w:val="24"/>
          <w:szCs w:val="24"/>
        </w:rPr>
      </w:pPr>
    </w:p>
    <w:p w14:paraId="45A3C641">
      <w:pPr>
        <w:spacing w:line="360" w:lineRule="auto"/>
        <w:jc w:val="both"/>
        <w:rPr>
          <w:sz w:val="24"/>
          <w:szCs w:val="24"/>
        </w:rPr>
      </w:pPr>
      <w:r>
        <w:rPr>
          <w:sz w:val="24"/>
          <w:szCs w:val="24"/>
        </w:rPr>
        <w:t>Sinop/MT, 18 de setembro de 2025.</w:t>
      </w:r>
    </w:p>
    <w:p w14:paraId="36F97485">
      <w:pPr>
        <w:spacing w:line="360" w:lineRule="auto"/>
        <w:jc w:val="both"/>
        <w:rPr>
          <w:sz w:val="24"/>
          <w:szCs w:val="24"/>
        </w:rPr>
      </w:pPr>
    </w:p>
    <w:p w14:paraId="1AF7E20B">
      <w:pPr>
        <w:spacing w:line="360" w:lineRule="auto"/>
        <w:jc w:val="both"/>
        <w:rPr>
          <w:sz w:val="24"/>
          <w:szCs w:val="24"/>
        </w:rPr>
      </w:pPr>
    </w:p>
    <w:p w14:paraId="32A77DAA">
      <w:pPr>
        <w:spacing w:line="360" w:lineRule="auto"/>
        <w:jc w:val="both"/>
        <w:rPr>
          <w:sz w:val="24"/>
          <w:szCs w:val="24"/>
        </w:rPr>
      </w:pPr>
    </w:p>
    <w:p w14:paraId="5E8CA90A">
      <w:pPr>
        <w:spacing w:line="360" w:lineRule="auto"/>
        <w:jc w:val="center"/>
        <w:rPr>
          <w:b/>
          <w:bCs/>
          <w:sz w:val="24"/>
          <w:szCs w:val="24"/>
        </w:rPr>
      </w:pPr>
      <w:bookmarkStart w:id="2" w:name="_Hlk203983741"/>
      <w:r>
        <w:rPr>
          <w:b/>
          <w:bCs/>
          <w:sz w:val="24"/>
          <w:szCs w:val="24"/>
        </w:rPr>
        <w:t>WESNEY DE CASTRO SODRÉ</w:t>
      </w:r>
      <w:bookmarkEnd w:id="2"/>
    </w:p>
    <w:p w14:paraId="553DCD02">
      <w:pPr>
        <w:spacing w:line="360" w:lineRule="auto"/>
        <w:jc w:val="center"/>
        <w:rPr>
          <w:sz w:val="24"/>
          <w:szCs w:val="24"/>
        </w:rPr>
      </w:pPr>
      <w:r>
        <w:rPr>
          <w:sz w:val="24"/>
          <w:szCs w:val="24"/>
        </w:rPr>
        <w:t>Matrícula de nº. 17268 - Secretário Municipal de Segurança e Trânsito</w:t>
      </w:r>
    </w:p>
    <w:p w14:paraId="3EEEA08A">
      <w:pPr>
        <w:spacing w:line="360" w:lineRule="auto"/>
        <w:jc w:val="center"/>
        <w:rPr>
          <w:sz w:val="24"/>
          <w:szCs w:val="24"/>
        </w:rPr>
      </w:pPr>
      <w:r>
        <w:rPr>
          <w:sz w:val="24"/>
          <w:szCs w:val="24"/>
        </w:rPr>
        <w:t>Portaria nº. 0605/2025</w:t>
      </w:r>
    </w:p>
    <w:p w14:paraId="7D2D8842">
      <w:pPr>
        <w:rPr>
          <w:sz w:val="24"/>
          <w:szCs w:val="24"/>
        </w:rPr>
      </w:pPr>
    </w:p>
    <w:sectPr>
      <w:headerReference r:id="rId3" w:type="default"/>
      <w:footerReference r:id="rId5" w:type="default"/>
      <w:headerReference r:id="rId4" w:type="even"/>
      <w:footerReference r:id="rId6" w:type="even"/>
      <w:pgSz w:w="11907" w:h="16840"/>
      <w:pgMar w:top="1701" w:right="1134" w:bottom="1134" w:left="1701" w:header="425" w:footer="567"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FBB49">
    <w:pPr>
      <w:pStyle w:val="10"/>
      <w:jc w:val="center"/>
      <w:rPr>
        <w:bCs/>
        <w:sz w:val="16"/>
        <w:szCs w:val="16"/>
      </w:rPr>
    </w:pPr>
    <w:r>
      <w:rPr>
        <w:bCs/>
        <w:sz w:val="16"/>
        <w:szCs w:val="16"/>
      </w:rPr>
      <w:t>Secretaria Municipal de Segurança e Trânsito - SST</w:t>
    </w:r>
  </w:p>
  <w:p w14:paraId="1E3089B5">
    <w:pPr>
      <w:pStyle w:val="10"/>
      <w:jc w:val="center"/>
      <w:rPr>
        <w:bCs/>
        <w:sz w:val="16"/>
        <w:szCs w:val="16"/>
      </w:rPr>
    </w:pPr>
    <w:r>
      <w:rPr>
        <w:bCs/>
        <w:sz w:val="16"/>
        <w:szCs w:val="16"/>
      </w:rPr>
      <w:t>Avenida dos Jacarandás, n° 6.271, rotatória Avenida dos Pinheiros, Parque das Araras, CEP 78.550-456 - Fone (66) 3511-1854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98E0E">
    <w:pPr>
      <w:pStyle w:val="10"/>
      <w:framePr w:wrap="around" w:vAnchor="text" w:hAnchor="margin" w:xAlign="center" w:y="1"/>
      <w:rPr>
        <w:rStyle w:val="6"/>
      </w:rPr>
    </w:pPr>
    <w:r>
      <w:rPr>
        <w:rStyle w:val="6"/>
      </w:rPr>
      <w:fldChar w:fldCharType="begin"/>
    </w:r>
    <w:r>
      <w:rPr>
        <w:rStyle w:val="6"/>
      </w:rPr>
      <w:instrText xml:space="preserve">PAGE  </w:instrText>
    </w:r>
    <w:r>
      <w:rPr>
        <w:rStyle w:val="6"/>
      </w:rPr>
      <w:fldChar w:fldCharType="separate"/>
    </w:r>
    <w:r>
      <w:rPr>
        <w:rStyle w:val="6"/>
      </w:rPr>
      <w:t>10</w:t>
    </w:r>
    <w:r>
      <w:rPr>
        <w:rStyle w:val="6"/>
      </w:rPr>
      <w:fldChar w:fldCharType="end"/>
    </w:r>
  </w:p>
  <w:p w14:paraId="2A1B6303">
    <w:pPr>
      <w:pStyle w:val="1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101A1">
    <w:pPr>
      <w:pStyle w:val="9"/>
      <w:jc w:val="center"/>
    </w:pPr>
    <w:r>
      <w:drawing>
        <wp:inline distT="0" distB="0" distL="0" distR="0">
          <wp:extent cx="2842260" cy="1079500"/>
          <wp:effectExtent l="0" t="0" r="0" b="6350"/>
          <wp:docPr id="115633737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337370" name="Imagem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42839" cy="1080000"/>
                  </a:xfrm>
                  <a:prstGeom prst="rect">
                    <a:avLst/>
                  </a:prstGeom>
                </pic:spPr>
              </pic:pic>
            </a:graphicData>
          </a:graphic>
        </wp:inline>
      </w:drawing>
    </w:r>
    <w:r>
      <w:t xml:space="preserve">           </w:t>
    </w:r>
    <w:r>
      <w:drawing>
        <wp:inline distT="0" distB="0" distL="0" distR="0">
          <wp:extent cx="1034415" cy="1079500"/>
          <wp:effectExtent l="0" t="0" r="0" b="6350"/>
          <wp:docPr id="8401991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199141" name="Imagem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035000" cy="1080000"/>
                  </a:xfrm>
                  <a:prstGeom prst="rect">
                    <a:avLst/>
                  </a:prstGeom>
                </pic:spPr>
              </pic:pic>
            </a:graphicData>
          </a:graphic>
        </wp:inline>
      </w:drawing>
    </w:r>
    <w:r>
      <w:t xml:space="preserve">            </w:t>
    </w:r>
    <w:r>
      <w:drawing>
        <wp:inline distT="0" distB="0" distL="0" distR="0">
          <wp:extent cx="890270" cy="1079500"/>
          <wp:effectExtent l="19050" t="0" r="4968" b="0"/>
          <wp:docPr id="5" name="Imagem 1" descr="Brasão GCM Sino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Brasão GCM Sinop.jpg"/>
                  <pic:cNvPicPr>
                    <a:picLocks noChangeAspect="1"/>
                  </pic:cNvPicPr>
                </pic:nvPicPr>
                <pic:blipFill>
                  <a:blip r:embed="rId3"/>
                  <a:stretch>
                    <a:fillRect/>
                  </a:stretch>
                </pic:blipFill>
                <pic:spPr>
                  <a:xfrm>
                    <a:off x="0" y="0"/>
                    <a:ext cx="890382" cy="10800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92AB3">
    <w:pPr>
      <w:pStyle w:val="9"/>
      <w:framePr w:wrap="around" w:vAnchor="text" w:hAnchor="margin" w:xAlign="right" w:y="1"/>
      <w:rPr>
        <w:rStyle w:val="6"/>
      </w:rPr>
    </w:pPr>
    <w:r>
      <w:rPr>
        <w:rStyle w:val="6"/>
      </w:rPr>
      <w:fldChar w:fldCharType="begin"/>
    </w:r>
    <w:r>
      <w:rPr>
        <w:rStyle w:val="6"/>
      </w:rPr>
      <w:instrText xml:space="preserve">PAGE  </w:instrText>
    </w:r>
    <w:r>
      <w:rPr>
        <w:rStyle w:val="6"/>
      </w:rPr>
      <w:fldChar w:fldCharType="separate"/>
    </w:r>
    <w:r>
      <w:rPr>
        <w:rStyle w:val="6"/>
      </w:rPr>
      <w:t>1</w:t>
    </w:r>
    <w:r>
      <w:rPr>
        <w:rStyle w:val="6"/>
      </w:rPr>
      <w:fldChar w:fldCharType="end"/>
    </w:r>
  </w:p>
  <w:p w14:paraId="30C7C98E">
    <w:pPr>
      <w:pStyle w:val="9"/>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6DBF804"/>
    <w:multiLevelType w:val="singleLevel"/>
    <w:tmpl w:val="E6DBF804"/>
    <w:lvl w:ilvl="0" w:tentative="0">
      <w:start w:val="1"/>
      <w:numFmt w:val="lowerLetter"/>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noPunctuationKerning w:val="1"/>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18E"/>
    <w:rsid w:val="00001B83"/>
    <w:rsid w:val="00004264"/>
    <w:rsid w:val="00005331"/>
    <w:rsid w:val="00006358"/>
    <w:rsid w:val="00007D21"/>
    <w:rsid w:val="00012042"/>
    <w:rsid w:val="00014BBA"/>
    <w:rsid w:val="00015BC2"/>
    <w:rsid w:val="000179F2"/>
    <w:rsid w:val="00020FAF"/>
    <w:rsid w:val="00021D90"/>
    <w:rsid w:val="00025070"/>
    <w:rsid w:val="0003039E"/>
    <w:rsid w:val="00031F1F"/>
    <w:rsid w:val="00034775"/>
    <w:rsid w:val="00037C02"/>
    <w:rsid w:val="00040AA0"/>
    <w:rsid w:val="00041B0B"/>
    <w:rsid w:val="00050AEC"/>
    <w:rsid w:val="00051BF1"/>
    <w:rsid w:val="0005242D"/>
    <w:rsid w:val="0005318E"/>
    <w:rsid w:val="00054A31"/>
    <w:rsid w:val="0005772B"/>
    <w:rsid w:val="00057D59"/>
    <w:rsid w:val="00060F5F"/>
    <w:rsid w:val="0006520A"/>
    <w:rsid w:val="00076FFE"/>
    <w:rsid w:val="0008235A"/>
    <w:rsid w:val="00082A27"/>
    <w:rsid w:val="00084300"/>
    <w:rsid w:val="0009638A"/>
    <w:rsid w:val="000A0F06"/>
    <w:rsid w:val="000A196D"/>
    <w:rsid w:val="000A1D06"/>
    <w:rsid w:val="000A6463"/>
    <w:rsid w:val="000A7DB2"/>
    <w:rsid w:val="000B2AAF"/>
    <w:rsid w:val="000B3504"/>
    <w:rsid w:val="000B4FE7"/>
    <w:rsid w:val="000C0ADB"/>
    <w:rsid w:val="000C0D15"/>
    <w:rsid w:val="000C13DC"/>
    <w:rsid w:val="000C1680"/>
    <w:rsid w:val="000C3429"/>
    <w:rsid w:val="000D1E0D"/>
    <w:rsid w:val="000D3763"/>
    <w:rsid w:val="000D441F"/>
    <w:rsid w:val="000E3023"/>
    <w:rsid w:val="000F0BFD"/>
    <w:rsid w:val="000F764C"/>
    <w:rsid w:val="00100712"/>
    <w:rsid w:val="00102082"/>
    <w:rsid w:val="001056E2"/>
    <w:rsid w:val="00107E87"/>
    <w:rsid w:val="0011152F"/>
    <w:rsid w:val="00116441"/>
    <w:rsid w:val="00121D3B"/>
    <w:rsid w:val="00131DBD"/>
    <w:rsid w:val="0013257F"/>
    <w:rsid w:val="00136FC0"/>
    <w:rsid w:val="00137DC8"/>
    <w:rsid w:val="00163CD8"/>
    <w:rsid w:val="00167786"/>
    <w:rsid w:val="001728BA"/>
    <w:rsid w:val="00176B5E"/>
    <w:rsid w:val="0018222C"/>
    <w:rsid w:val="0018799C"/>
    <w:rsid w:val="0019047B"/>
    <w:rsid w:val="001B00CA"/>
    <w:rsid w:val="001B0A76"/>
    <w:rsid w:val="001B0C28"/>
    <w:rsid w:val="001C0A7A"/>
    <w:rsid w:val="001C4ED3"/>
    <w:rsid w:val="001C7294"/>
    <w:rsid w:val="001C75D6"/>
    <w:rsid w:val="001D3FE0"/>
    <w:rsid w:val="001D6F9C"/>
    <w:rsid w:val="001E27E9"/>
    <w:rsid w:val="001E3EA2"/>
    <w:rsid w:val="001E40B6"/>
    <w:rsid w:val="001E4B01"/>
    <w:rsid w:val="001E51DA"/>
    <w:rsid w:val="001E6B8D"/>
    <w:rsid w:val="001F0BB7"/>
    <w:rsid w:val="001F24EA"/>
    <w:rsid w:val="001F2FF0"/>
    <w:rsid w:val="00203569"/>
    <w:rsid w:val="0021344F"/>
    <w:rsid w:val="00213CC1"/>
    <w:rsid w:val="00220CEB"/>
    <w:rsid w:val="00225498"/>
    <w:rsid w:val="002310AF"/>
    <w:rsid w:val="00236421"/>
    <w:rsid w:val="00236FBE"/>
    <w:rsid w:val="002416D1"/>
    <w:rsid w:val="002420DA"/>
    <w:rsid w:val="002472B3"/>
    <w:rsid w:val="002510C6"/>
    <w:rsid w:val="002545AF"/>
    <w:rsid w:val="002546F8"/>
    <w:rsid w:val="00262001"/>
    <w:rsid w:val="00267572"/>
    <w:rsid w:val="00275040"/>
    <w:rsid w:val="00280D6C"/>
    <w:rsid w:val="00297CF5"/>
    <w:rsid w:val="002A06BE"/>
    <w:rsid w:val="002B06B5"/>
    <w:rsid w:val="002C3753"/>
    <w:rsid w:val="002D0350"/>
    <w:rsid w:val="002D2247"/>
    <w:rsid w:val="002E2A41"/>
    <w:rsid w:val="002E5DA0"/>
    <w:rsid w:val="002F7A67"/>
    <w:rsid w:val="003017A8"/>
    <w:rsid w:val="00302FC7"/>
    <w:rsid w:val="00305B38"/>
    <w:rsid w:val="0031023D"/>
    <w:rsid w:val="00316696"/>
    <w:rsid w:val="00332E9E"/>
    <w:rsid w:val="00340210"/>
    <w:rsid w:val="00340FFA"/>
    <w:rsid w:val="003419BA"/>
    <w:rsid w:val="00347C09"/>
    <w:rsid w:val="00350CBC"/>
    <w:rsid w:val="003559C8"/>
    <w:rsid w:val="00355BA6"/>
    <w:rsid w:val="0035607A"/>
    <w:rsid w:val="003560AF"/>
    <w:rsid w:val="00363BBF"/>
    <w:rsid w:val="00364445"/>
    <w:rsid w:val="0036610C"/>
    <w:rsid w:val="0037558C"/>
    <w:rsid w:val="00376B95"/>
    <w:rsid w:val="00377485"/>
    <w:rsid w:val="00382F9D"/>
    <w:rsid w:val="00396C04"/>
    <w:rsid w:val="003C52C2"/>
    <w:rsid w:val="003D0029"/>
    <w:rsid w:val="003D241F"/>
    <w:rsid w:val="003D357F"/>
    <w:rsid w:val="003D5355"/>
    <w:rsid w:val="003D69D9"/>
    <w:rsid w:val="003D6EDB"/>
    <w:rsid w:val="003D77A6"/>
    <w:rsid w:val="003E1B28"/>
    <w:rsid w:val="003E50E6"/>
    <w:rsid w:val="003E55CD"/>
    <w:rsid w:val="003F27BF"/>
    <w:rsid w:val="003F4AE9"/>
    <w:rsid w:val="003F4E18"/>
    <w:rsid w:val="00400880"/>
    <w:rsid w:val="00400C42"/>
    <w:rsid w:val="0040188A"/>
    <w:rsid w:val="00404D9A"/>
    <w:rsid w:val="0040672E"/>
    <w:rsid w:val="004072D9"/>
    <w:rsid w:val="0041180E"/>
    <w:rsid w:val="00411E99"/>
    <w:rsid w:val="004176DD"/>
    <w:rsid w:val="00422A8F"/>
    <w:rsid w:val="00424828"/>
    <w:rsid w:val="004278A4"/>
    <w:rsid w:val="004310F5"/>
    <w:rsid w:val="004334F5"/>
    <w:rsid w:val="00437F15"/>
    <w:rsid w:val="00443B82"/>
    <w:rsid w:val="0044430C"/>
    <w:rsid w:val="00450806"/>
    <w:rsid w:val="00472F7D"/>
    <w:rsid w:val="00484DE1"/>
    <w:rsid w:val="0049426E"/>
    <w:rsid w:val="00495234"/>
    <w:rsid w:val="004A051E"/>
    <w:rsid w:val="004A274F"/>
    <w:rsid w:val="004A2A50"/>
    <w:rsid w:val="004A57A9"/>
    <w:rsid w:val="004A63AE"/>
    <w:rsid w:val="004A6AAC"/>
    <w:rsid w:val="004B3750"/>
    <w:rsid w:val="004B69B8"/>
    <w:rsid w:val="004C03D1"/>
    <w:rsid w:val="004C0F8F"/>
    <w:rsid w:val="004C1C73"/>
    <w:rsid w:val="004C4496"/>
    <w:rsid w:val="004C56BB"/>
    <w:rsid w:val="004D41CB"/>
    <w:rsid w:val="004D6C86"/>
    <w:rsid w:val="004D7175"/>
    <w:rsid w:val="004E6199"/>
    <w:rsid w:val="004E7C31"/>
    <w:rsid w:val="004E7D2E"/>
    <w:rsid w:val="004F243E"/>
    <w:rsid w:val="004F727D"/>
    <w:rsid w:val="00500047"/>
    <w:rsid w:val="005125E0"/>
    <w:rsid w:val="0051629B"/>
    <w:rsid w:val="00524441"/>
    <w:rsid w:val="00525EB9"/>
    <w:rsid w:val="0052631B"/>
    <w:rsid w:val="00526E71"/>
    <w:rsid w:val="005305B6"/>
    <w:rsid w:val="00532BA6"/>
    <w:rsid w:val="0053690F"/>
    <w:rsid w:val="00540B42"/>
    <w:rsid w:val="00543540"/>
    <w:rsid w:val="0054678E"/>
    <w:rsid w:val="005547FE"/>
    <w:rsid w:val="005564EA"/>
    <w:rsid w:val="00561891"/>
    <w:rsid w:val="00561DEE"/>
    <w:rsid w:val="005667B3"/>
    <w:rsid w:val="00576547"/>
    <w:rsid w:val="00576CA9"/>
    <w:rsid w:val="00577F56"/>
    <w:rsid w:val="0058148F"/>
    <w:rsid w:val="00581A6A"/>
    <w:rsid w:val="00582380"/>
    <w:rsid w:val="005852D4"/>
    <w:rsid w:val="00587979"/>
    <w:rsid w:val="00590711"/>
    <w:rsid w:val="005954B4"/>
    <w:rsid w:val="005A4633"/>
    <w:rsid w:val="005A7AE2"/>
    <w:rsid w:val="005B7564"/>
    <w:rsid w:val="005C08A3"/>
    <w:rsid w:val="005C3A2A"/>
    <w:rsid w:val="005C4CA0"/>
    <w:rsid w:val="005C69AB"/>
    <w:rsid w:val="005C6D8E"/>
    <w:rsid w:val="005C6F0E"/>
    <w:rsid w:val="005E3B08"/>
    <w:rsid w:val="005E6D78"/>
    <w:rsid w:val="005F270D"/>
    <w:rsid w:val="005F29ED"/>
    <w:rsid w:val="005F4C1A"/>
    <w:rsid w:val="005F6435"/>
    <w:rsid w:val="006104D0"/>
    <w:rsid w:val="00610A81"/>
    <w:rsid w:val="006126E9"/>
    <w:rsid w:val="00615599"/>
    <w:rsid w:val="00617C4D"/>
    <w:rsid w:val="00631DA9"/>
    <w:rsid w:val="006329EB"/>
    <w:rsid w:val="006362A6"/>
    <w:rsid w:val="006374AC"/>
    <w:rsid w:val="00640573"/>
    <w:rsid w:val="0064525D"/>
    <w:rsid w:val="00647EC1"/>
    <w:rsid w:val="00653B6F"/>
    <w:rsid w:val="006563EA"/>
    <w:rsid w:val="00660AF7"/>
    <w:rsid w:val="00662DE8"/>
    <w:rsid w:val="006648D5"/>
    <w:rsid w:val="00674A0D"/>
    <w:rsid w:val="00683C6C"/>
    <w:rsid w:val="00683FD3"/>
    <w:rsid w:val="006845D0"/>
    <w:rsid w:val="006863CA"/>
    <w:rsid w:val="0068649E"/>
    <w:rsid w:val="00687963"/>
    <w:rsid w:val="006949F2"/>
    <w:rsid w:val="006A1125"/>
    <w:rsid w:val="006A5A53"/>
    <w:rsid w:val="006B5AF6"/>
    <w:rsid w:val="006C03D3"/>
    <w:rsid w:val="006C2FC5"/>
    <w:rsid w:val="006C364E"/>
    <w:rsid w:val="006C7F38"/>
    <w:rsid w:val="006D3196"/>
    <w:rsid w:val="006D49E4"/>
    <w:rsid w:val="006D4CF5"/>
    <w:rsid w:val="006D6C69"/>
    <w:rsid w:val="006E0B80"/>
    <w:rsid w:val="006E3CA3"/>
    <w:rsid w:val="006E5E06"/>
    <w:rsid w:val="006E6351"/>
    <w:rsid w:val="006E7D53"/>
    <w:rsid w:val="006F56EF"/>
    <w:rsid w:val="00700820"/>
    <w:rsid w:val="00702560"/>
    <w:rsid w:val="00702DE4"/>
    <w:rsid w:val="007035EB"/>
    <w:rsid w:val="007057BA"/>
    <w:rsid w:val="00707CF2"/>
    <w:rsid w:val="00711BE2"/>
    <w:rsid w:val="00713877"/>
    <w:rsid w:val="007156C4"/>
    <w:rsid w:val="00730A69"/>
    <w:rsid w:val="00732A72"/>
    <w:rsid w:val="00744220"/>
    <w:rsid w:val="00745847"/>
    <w:rsid w:val="007511DF"/>
    <w:rsid w:val="007534B2"/>
    <w:rsid w:val="00755252"/>
    <w:rsid w:val="00761756"/>
    <w:rsid w:val="00764557"/>
    <w:rsid w:val="00766A85"/>
    <w:rsid w:val="007714FE"/>
    <w:rsid w:val="00782753"/>
    <w:rsid w:val="007927F4"/>
    <w:rsid w:val="00794CC5"/>
    <w:rsid w:val="00795590"/>
    <w:rsid w:val="007A5D59"/>
    <w:rsid w:val="007A7F2E"/>
    <w:rsid w:val="007B1994"/>
    <w:rsid w:val="007B19B6"/>
    <w:rsid w:val="007B1E77"/>
    <w:rsid w:val="007C24AB"/>
    <w:rsid w:val="007D2C1E"/>
    <w:rsid w:val="007D4B5E"/>
    <w:rsid w:val="007D731A"/>
    <w:rsid w:val="007E0B6D"/>
    <w:rsid w:val="007E1463"/>
    <w:rsid w:val="007E1DD1"/>
    <w:rsid w:val="007F03F3"/>
    <w:rsid w:val="007F20B8"/>
    <w:rsid w:val="007F57F7"/>
    <w:rsid w:val="008136A6"/>
    <w:rsid w:val="0081505F"/>
    <w:rsid w:val="00825FAF"/>
    <w:rsid w:val="008305F3"/>
    <w:rsid w:val="0083510D"/>
    <w:rsid w:val="00836D5B"/>
    <w:rsid w:val="00837A93"/>
    <w:rsid w:val="008422E2"/>
    <w:rsid w:val="00853F49"/>
    <w:rsid w:val="00860D8D"/>
    <w:rsid w:val="00861799"/>
    <w:rsid w:val="00862469"/>
    <w:rsid w:val="00862ABB"/>
    <w:rsid w:val="00865CBC"/>
    <w:rsid w:val="00865ED2"/>
    <w:rsid w:val="008729C6"/>
    <w:rsid w:val="0088202D"/>
    <w:rsid w:val="0088295D"/>
    <w:rsid w:val="00884741"/>
    <w:rsid w:val="0088543F"/>
    <w:rsid w:val="00893BA1"/>
    <w:rsid w:val="00893C98"/>
    <w:rsid w:val="008B101F"/>
    <w:rsid w:val="008B2EA6"/>
    <w:rsid w:val="008B7E6B"/>
    <w:rsid w:val="008C0FBC"/>
    <w:rsid w:val="008C34BD"/>
    <w:rsid w:val="008C3E3E"/>
    <w:rsid w:val="008D103F"/>
    <w:rsid w:val="008D1D20"/>
    <w:rsid w:val="008D7766"/>
    <w:rsid w:val="008E124B"/>
    <w:rsid w:val="008E1720"/>
    <w:rsid w:val="008E3571"/>
    <w:rsid w:val="008E44E3"/>
    <w:rsid w:val="008E543F"/>
    <w:rsid w:val="008E5DBF"/>
    <w:rsid w:val="008F32CB"/>
    <w:rsid w:val="008F3D51"/>
    <w:rsid w:val="00904FA9"/>
    <w:rsid w:val="00907B08"/>
    <w:rsid w:val="00914E92"/>
    <w:rsid w:val="00916D11"/>
    <w:rsid w:val="00921183"/>
    <w:rsid w:val="0092180D"/>
    <w:rsid w:val="00921B55"/>
    <w:rsid w:val="00921B5F"/>
    <w:rsid w:val="00924F47"/>
    <w:rsid w:val="00940266"/>
    <w:rsid w:val="00942DD6"/>
    <w:rsid w:val="00953EEE"/>
    <w:rsid w:val="0095670E"/>
    <w:rsid w:val="0096001F"/>
    <w:rsid w:val="00963236"/>
    <w:rsid w:val="00965E5F"/>
    <w:rsid w:val="00973BF7"/>
    <w:rsid w:val="0097446A"/>
    <w:rsid w:val="0097688A"/>
    <w:rsid w:val="00977455"/>
    <w:rsid w:val="00982566"/>
    <w:rsid w:val="0098392B"/>
    <w:rsid w:val="0098476E"/>
    <w:rsid w:val="00986678"/>
    <w:rsid w:val="00987D43"/>
    <w:rsid w:val="0099348B"/>
    <w:rsid w:val="0099382F"/>
    <w:rsid w:val="00994183"/>
    <w:rsid w:val="00995DB9"/>
    <w:rsid w:val="009A4405"/>
    <w:rsid w:val="009B2B67"/>
    <w:rsid w:val="009B2D1A"/>
    <w:rsid w:val="009C7D3C"/>
    <w:rsid w:val="009D0438"/>
    <w:rsid w:val="009D28BE"/>
    <w:rsid w:val="009D6246"/>
    <w:rsid w:val="009D6AF5"/>
    <w:rsid w:val="009D71A0"/>
    <w:rsid w:val="009D798F"/>
    <w:rsid w:val="009E113E"/>
    <w:rsid w:val="009F6ADA"/>
    <w:rsid w:val="00A02693"/>
    <w:rsid w:val="00A0459B"/>
    <w:rsid w:val="00A06B8B"/>
    <w:rsid w:val="00A143B2"/>
    <w:rsid w:val="00A145C3"/>
    <w:rsid w:val="00A22A74"/>
    <w:rsid w:val="00A23055"/>
    <w:rsid w:val="00A24BF0"/>
    <w:rsid w:val="00A27DBC"/>
    <w:rsid w:val="00A32B68"/>
    <w:rsid w:val="00A345F6"/>
    <w:rsid w:val="00A34A7D"/>
    <w:rsid w:val="00A35442"/>
    <w:rsid w:val="00A361FB"/>
    <w:rsid w:val="00A423E5"/>
    <w:rsid w:val="00A44318"/>
    <w:rsid w:val="00A46715"/>
    <w:rsid w:val="00A47317"/>
    <w:rsid w:val="00A51C89"/>
    <w:rsid w:val="00A55045"/>
    <w:rsid w:val="00A568D7"/>
    <w:rsid w:val="00A647DD"/>
    <w:rsid w:val="00A64F5B"/>
    <w:rsid w:val="00A6769A"/>
    <w:rsid w:val="00A76B24"/>
    <w:rsid w:val="00A819CA"/>
    <w:rsid w:val="00A82126"/>
    <w:rsid w:val="00A83291"/>
    <w:rsid w:val="00A861E4"/>
    <w:rsid w:val="00AA1DC4"/>
    <w:rsid w:val="00AA21F3"/>
    <w:rsid w:val="00AA60CB"/>
    <w:rsid w:val="00AC1F95"/>
    <w:rsid w:val="00AC5902"/>
    <w:rsid w:val="00AC5FC0"/>
    <w:rsid w:val="00AC6973"/>
    <w:rsid w:val="00AC7D0C"/>
    <w:rsid w:val="00AD0BD3"/>
    <w:rsid w:val="00AD4203"/>
    <w:rsid w:val="00AD4BE1"/>
    <w:rsid w:val="00AD605A"/>
    <w:rsid w:val="00AD71C4"/>
    <w:rsid w:val="00AE18E4"/>
    <w:rsid w:val="00AE318A"/>
    <w:rsid w:val="00AE6C64"/>
    <w:rsid w:val="00AF0036"/>
    <w:rsid w:val="00AF0429"/>
    <w:rsid w:val="00AF5FD6"/>
    <w:rsid w:val="00AF67D3"/>
    <w:rsid w:val="00B00591"/>
    <w:rsid w:val="00B01487"/>
    <w:rsid w:val="00B01D75"/>
    <w:rsid w:val="00B030FB"/>
    <w:rsid w:val="00B05663"/>
    <w:rsid w:val="00B07E2E"/>
    <w:rsid w:val="00B11A81"/>
    <w:rsid w:val="00B16F2C"/>
    <w:rsid w:val="00B25835"/>
    <w:rsid w:val="00B314A0"/>
    <w:rsid w:val="00B34EC3"/>
    <w:rsid w:val="00B36D9A"/>
    <w:rsid w:val="00B373B1"/>
    <w:rsid w:val="00B43884"/>
    <w:rsid w:val="00B46804"/>
    <w:rsid w:val="00B54644"/>
    <w:rsid w:val="00B54CEB"/>
    <w:rsid w:val="00B56340"/>
    <w:rsid w:val="00B62471"/>
    <w:rsid w:val="00B64DDD"/>
    <w:rsid w:val="00B66DCE"/>
    <w:rsid w:val="00B70C97"/>
    <w:rsid w:val="00B762C5"/>
    <w:rsid w:val="00B76F9D"/>
    <w:rsid w:val="00B84148"/>
    <w:rsid w:val="00B86785"/>
    <w:rsid w:val="00B9192F"/>
    <w:rsid w:val="00B9442B"/>
    <w:rsid w:val="00B947FB"/>
    <w:rsid w:val="00B96D6F"/>
    <w:rsid w:val="00BA390B"/>
    <w:rsid w:val="00BA4977"/>
    <w:rsid w:val="00BC082A"/>
    <w:rsid w:val="00BC5F29"/>
    <w:rsid w:val="00BC6F73"/>
    <w:rsid w:val="00BC6FED"/>
    <w:rsid w:val="00BD0E75"/>
    <w:rsid w:val="00BD468D"/>
    <w:rsid w:val="00BD5089"/>
    <w:rsid w:val="00BD5F46"/>
    <w:rsid w:val="00BE1C0A"/>
    <w:rsid w:val="00BF4C2D"/>
    <w:rsid w:val="00C024ED"/>
    <w:rsid w:val="00C042A9"/>
    <w:rsid w:val="00C04892"/>
    <w:rsid w:val="00C0514A"/>
    <w:rsid w:val="00C05FBB"/>
    <w:rsid w:val="00C14317"/>
    <w:rsid w:val="00C15B86"/>
    <w:rsid w:val="00C24855"/>
    <w:rsid w:val="00C2514E"/>
    <w:rsid w:val="00C263DC"/>
    <w:rsid w:val="00C30E11"/>
    <w:rsid w:val="00C31C35"/>
    <w:rsid w:val="00C4070E"/>
    <w:rsid w:val="00C5299C"/>
    <w:rsid w:val="00C5703B"/>
    <w:rsid w:val="00C574BD"/>
    <w:rsid w:val="00C611DD"/>
    <w:rsid w:val="00C6202E"/>
    <w:rsid w:val="00C6217E"/>
    <w:rsid w:val="00C64609"/>
    <w:rsid w:val="00C64852"/>
    <w:rsid w:val="00C71BAB"/>
    <w:rsid w:val="00C72BBD"/>
    <w:rsid w:val="00C77224"/>
    <w:rsid w:val="00C81917"/>
    <w:rsid w:val="00C8431A"/>
    <w:rsid w:val="00C92057"/>
    <w:rsid w:val="00C944C5"/>
    <w:rsid w:val="00C96271"/>
    <w:rsid w:val="00CA3846"/>
    <w:rsid w:val="00CA4492"/>
    <w:rsid w:val="00CA6399"/>
    <w:rsid w:val="00CB4CF8"/>
    <w:rsid w:val="00CC657D"/>
    <w:rsid w:val="00CC7E06"/>
    <w:rsid w:val="00CD311B"/>
    <w:rsid w:val="00CD31B9"/>
    <w:rsid w:val="00CD34A6"/>
    <w:rsid w:val="00CD4197"/>
    <w:rsid w:val="00CD4C76"/>
    <w:rsid w:val="00CD7E5E"/>
    <w:rsid w:val="00CE355C"/>
    <w:rsid w:val="00CF5A43"/>
    <w:rsid w:val="00CF5D79"/>
    <w:rsid w:val="00CF5E6D"/>
    <w:rsid w:val="00CF6F3A"/>
    <w:rsid w:val="00D05D68"/>
    <w:rsid w:val="00D16DF9"/>
    <w:rsid w:val="00D17768"/>
    <w:rsid w:val="00D30057"/>
    <w:rsid w:val="00D315A7"/>
    <w:rsid w:val="00D3367F"/>
    <w:rsid w:val="00D41CB3"/>
    <w:rsid w:val="00D423C6"/>
    <w:rsid w:val="00D459E2"/>
    <w:rsid w:val="00D468DC"/>
    <w:rsid w:val="00D46961"/>
    <w:rsid w:val="00D51351"/>
    <w:rsid w:val="00D544FC"/>
    <w:rsid w:val="00D55E65"/>
    <w:rsid w:val="00D611F4"/>
    <w:rsid w:val="00D64B52"/>
    <w:rsid w:val="00D71289"/>
    <w:rsid w:val="00D7310F"/>
    <w:rsid w:val="00D77F99"/>
    <w:rsid w:val="00D80BC1"/>
    <w:rsid w:val="00D86842"/>
    <w:rsid w:val="00D962C1"/>
    <w:rsid w:val="00D9780E"/>
    <w:rsid w:val="00DA15A9"/>
    <w:rsid w:val="00DA34E5"/>
    <w:rsid w:val="00DB5950"/>
    <w:rsid w:val="00DB63E1"/>
    <w:rsid w:val="00DC6913"/>
    <w:rsid w:val="00DD13D0"/>
    <w:rsid w:val="00DE04A9"/>
    <w:rsid w:val="00DE1C85"/>
    <w:rsid w:val="00DE3BD2"/>
    <w:rsid w:val="00DE4F96"/>
    <w:rsid w:val="00DE5CAE"/>
    <w:rsid w:val="00DE5E01"/>
    <w:rsid w:val="00DF032E"/>
    <w:rsid w:val="00DF23DA"/>
    <w:rsid w:val="00DF244A"/>
    <w:rsid w:val="00DF2793"/>
    <w:rsid w:val="00E05ACC"/>
    <w:rsid w:val="00E1258A"/>
    <w:rsid w:val="00E17CBA"/>
    <w:rsid w:val="00E2081C"/>
    <w:rsid w:val="00E23531"/>
    <w:rsid w:val="00E237CA"/>
    <w:rsid w:val="00E251E8"/>
    <w:rsid w:val="00E26B13"/>
    <w:rsid w:val="00E26E92"/>
    <w:rsid w:val="00E30338"/>
    <w:rsid w:val="00E3468E"/>
    <w:rsid w:val="00E4664A"/>
    <w:rsid w:val="00E47692"/>
    <w:rsid w:val="00E52A0F"/>
    <w:rsid w:val="00E6354B"/>
    <w:rsid w:val="00E757D6"/>
    <w:rsid w:val="00E76496"/>
    <w:rsid w:val="00E77309"/>
    <w:rsid w:val="00E8082B"/>
    <w:rsid w:val="00E82983"/>
    <w:rsid w:val="00E857CC"/>
    <w:rsid w:val="00E92889"/>
    <w:rsid w:val="00EA1130"/>
    <w:rsid w:val="00EA530E"/>
    <w:rsid w:val="00EA5D78"/>
    <w:rsid w:val="00EA6062"/>
    <w:rsid w:val="00EB71AA"/>
    <w:rsid w:val="00EC34C6"/>
    <w:rsid w:val="00EC57B0"/>
    <w:rsid w:val="00ED4749"/>
    <w:rsid w:val="00EE1E9A"/>
    <w:rsid w:val="00EE2AEC"/>
    <w:rsid w:val="00EF4327"/>
    <w:rsid w:val="00EF7B48"/>
    <w:rsid w:val="00F00C1C"/>
    <w:rsid w:val="00F04290"/>
    <w:rsid w:val="00F052FF"/>
    <w:rsid w:val="00F0687E"/>
    <w:rsid w:val="00F0786D"/>
    <w:rsid w:val="00F07E75"/>
    <w:rsid w:val="00F10AAC"/>
    <w:rsid w:val="00F13AE2"/>
    <w:rsid w:val="00F2076D"/>
    <w:rsid w:val="00F21CD9"/>
    <w:rsid w:val="00F263E1"/>
    <w:rsid w:val="00F31FA2"/>
    <w:rsid w:val="00F34F0B"/>
    <w:rsid w:val="00F351E5"/>
    <w:rsid w:val="00F35469"/>
    <w:rsid w:val="00F42519"/>
    <w:rsid w:val="00F42AD2"/>
    <w:rsid w:val="00F42F6C"/>
    <w:rsid w:val="00F43EC0"/>
    <w:rsid w:val="00F43FD7"/>
    <w:rsid w:val="00F44063"/>
    <w:rsid w:val="00F539BA"/>
    <w:rsid w:val="00F60D0D"/>
    <w:rsid w:val="00F60FA4"/>
    <w:rsid w:val="00F618F0"/>
    <w:rsid w:val="00F70AA3"/>
    <w:rsid w:val="00F744A3"/>
    <w:rsid w:val="00F80DD5"/>
    <w:rsid w:val="00F84DF0"/>
    <w:rsid w:val="00F857D0"/>
    <w:rsid w:val="00F8607B"/>
    <w:rsid w:val="00F926D6"/>
    <w:rsid w:val="00F92C74"/>
    <w:rsid w:val="00FA0E3D"/>
    <w:rsid w:val="00FA1EE9"/>
    <w:rsid w:val="00FA320A"/>
    <w:rsid w:val="00FA3C76"/>
    <w:rsid w:val="00FA4773"/>
    <w:rsid w:val="00FA5A29"/>
    <w:rsid w:val="00FB6145"/>
    <w:rsid w:val="00FB7DC2"/>
    <w:rsid w:val="00FC4BF4"/>
    <w:rsid w:val="00FC4EA3"/>
    <w:rsid w:val="00FC7BA8"/>
    <w:rsid w:val="00FD02F1"/>
    <w:rsid w:val="00FD3B9C"/>
    <w:rsid w:val="00FE1196"/>
    <w:rsid w:val="00FE164C"/>
    <w:rsid w:val="00FE3E3E"/>
    <w:rsid w:val="00FE4805"/>
    <w:rsid w:val="00FF07C5"/>
    <w:rsid w:val="00FF1A92"/>
    <w:rsid w:val="00FF7DD2"/>
    <w:rsid w:val="013A3525"/>
    <w:rsid w:val="034C3044"/>
    <w:rsid w:val="04C5668F"/>
    <w:rsid w:val="051A128C"/>
    <w:rsid w:val="05761A1B"/>
    <w:rsid w:val="058344F1"/>
    <w:rsid w:val="062D534F"/>
    <w:rsid w:val="062E33B9"/>
    <w:rsid w:val="072E2590"/>
    <w:rsid w:val="08710556"/>
    <w:rsid w:val="08D12C20"/>
    <w:rsid w:val="08FB1BD1"/>
    <w:rsid w:val="09722EE8"/>
    <w:rsid w:val="0C2C0940"/>
    <w:rsid w:val="0C572DDE"/>
    <w:rsid w:val="0E1A7D0F"/>
    <w:rsid w:val="0ED32F72"/>
    <w:rsid w:val="0F5528EB"/>
    <w:rsid w:val="0F5F5F60"/>
    <w:rsid w:val="0F74650F"/>
    <w:rsid w:val="0FD5101A"/>
    <w:rsid w:val="108B4D67"/>
    <w:rsid w:val="115E2820"/>
    <w:rsid w:val="144D7FE1"/>
    <w:rsid w:val="14A91370"/>
    <w:rsid w:val="152F449F"/>
    <w:rsid w:val="15EC0095"/>
    <w:rsid w:val="162A1F05"/>
    <w:rsid w:val="16920F27"/>
    <w:rsid w:val="17077019"/>
    <w:rsid w:val="174C2277"/>
    <w:rsid w:val="174C786E"/>
    <w:rsid w:val="17D74B81"/>
    <w:rsid w:val="18422CDC"/>
    <w:rsid w:val="186526F1"/>
    <w:rsid w:val="1899684D"/>
    <w:rsid w:val="194B58BA"/>
    <w:rsid w:val="1A864E70"/>
    <w:rsid w:val="1AA607BB"/>
    <w:rsid w:val="1AB172BA"/>
    <w:rsid w:val="1BDA6BC7"/>
    <w:rsid w:val="1D4541D6"/>
    <w:rsid w:val="1EC30DE9"/>
    <w:rsid w:val="20CC233A"/>
    <w:rsid w:val="21276BFE"/>
    <w:rsid w:val="219656CA"/>
    <w:rsid w:val="23C855C2"/>
    <w:rsid w:val="24A258D1"/>
    <w:rsid w:val="253A5E64"/>
    <w:rsid w:val="274F000B"/>
    <w:rsid w:val="2BE5194F"/>
    <w:rsid w:val="2DA61330"/>
    <w:rsid w:val="2E7A41F5"/>
    <w:rsid w:val="2EEC2F96"/>
    <w:rsid w:val="2EF70140"/>
    <w:rsid w:val="2F845F0D"/>
    <w:rsid w:val="30071004"/>
    <w:rsid w:val="300C0BA5"/>
    <w:rsid w:val="3125365F"/>
    <w:rsid w:val="31630B5A"/>
    <w:rsid w:val="321E3CF0"/>
    <w:rsid w:val="32BC30CF"/>
    <w:rsid w:val="3507280B"/>
    <w:rsid w:val="35914279"/>
    <w:rsid w:val="37640B10"/>
    <w:rsid w:val="378C05D2"/>
    <w:rsid w:val="385661ED"/>
    <w:rsid w:val="38C522B1"/>
    <w:rsid w:val="3B0308F8"/>
    <w:rsid w:val="3C5E78A1"/>
    <w:rsid w:val="3DF83E38"/>
    <w:rsid w:val="3E5654D6"/>
    <w:rsid w:val="3E6202EF"/>
    <w:rsid w:val="403F5DDF"/>
    <w:rsid w:val="40E53168"/>
    <w:rsid w:val="41B4021C"/>
    <w:rsid w:val="42234190"/>
    <w:rsid w:val="427D68F4"/>
    <w:rsid w:val="442D2686"/>
    <w:rsid w:val="46785BA9"/>
    <w:rsid w:val="470805C4"/>
    <w:rsid w:val="48143A14"/>
    <w:rsid w:val="4A0D7AA1"/>
    <w:rsid w:val="4A150FD8"/>
    <w:rsid w:val="4A1F41DE"/>
    <w:rsid w:val="4A4764FF"/>
    <w:rsid w:val="4B705DE9"/>
    <w:rsid w:val="4B7F4031"/>
    <w:rsid w:val="4BD750C0"/>
    <w:rsid w:val="4D7E5509"/>
    <w:rsid w:val="4E167ABB"/>
    <w:rsid w:val="4ECC4356"/>
    <w:rsid w:val="4EFE6C7E"/>
    <w:rsid w:val="4F5A501D"/>
    <w:rsid w:val="4F727D31"/>
    <w:rsid w:val="509D3715"/>
    <w:rsid w:val="50E12107"/>
    <w:rsid w:val="51665F92"/>
    <w:rsid w:val="523555EC"/>
    <w:rsid w:val="53E32981"/>
    <w:rsid w:val="542962C9"/>
    <w:rsid w:val="571E107A"/>
    <w:rsid w:val="57EC65D1"/>
    <w:rsid w:val="58085E8A"/>
    <w:rsid w:val="584162DC"/>
    <w:rsid w:val="589D7DC4"/>
    <w:rsid w:val="58AB517C"/>
    <w:rsid w:val="59722B21"/>
    <w:rsid w:val="5A904D92"/>
    <w:rsid w:val="5AA62FC9"/>
    <w:rsid w:val="5AF53713"/>
    <w:rsid w:val="5C255026"/>
    <w:rsid w:val="5C3D17A7"/>
    <w:rsid w:val="5C9F5A23"/>
    <w:rsid w:val="5E0F4C15"/>
    <w:rsid w:val="5EC31518"/>
    <w:rsid w:val="5F451495"/>
    <w:rsid w:val="5F847079"/>
    <w:rsid w:val="5F8529C6"/>
    <w:rsid w:val="5FD30547"/>
    <w:rsid w:val="61717DF9"/>
    <w:rsid w:val="621839B4"/>
    <w:rsid w:val="62B41630"/>
    <w:rsid w:val="63E61658"/>
    <w:rsid w:val="646A2F20"/>
    <w:rsid w:val="672C2A24"/>
    <w:rsid w:val="678872C9"/>
    <w:rsid w:val="67AD18E4"/>
    <w:rsid w:val="69183462"/>
    <w:rsid w:val="6A3D5BDA"/>
    <w:rsid w:val="6B2626B6"/>
    <w:rsid w:val="6BF10919"/>
    <w:rsid w:val="6CBB323A"/>
    <w:rsid w:val="6D766CF5"/>
    <w:rsid w:val="6F8D4047"/>
    <w:rsid w:val="6FD34AFA"/>
    <w:rsid w:val="709F2B54"/>
    <w:rsid w:val="71011A97"/>
    <w:rsid w:val="710D4E5C"/>
    <w:rsid w:val="72222C9A"/>
    <w:rsid w:val="742A5B7E"/>
    <w:rsid w:val="74544E51"/>
    <w:rsid w:val="76F42BD1"/>
    <w:rsid w:val="7A114D1B"/>
    <w:rsid w:val="7B4D7D47"/>
    <w:rsid w:val="7BF27257"/>
    <w:rsid w:val="7C2648BF"/>
    <w:rsid w:val="7C80392D"/>
    <w:rsid w:val="7D7232C6"/>
    <w:rsid w:val="7F5E2F4F"/>
    <w:rsid w:val="7F6C00E1"/>
    <w:rsid w:val="FFFD50FF"/>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iPriority="34" w:semiHidden="0" w:name="List Paragraph"/>
  </w:latentStyles>
  <w:style w:type="paragraph" w:default="1" w:styleId="1">
    <w:name w:val="Normal"/>
    <w:qFormat/>
    <w:uiPriority w:val="0"/>
    <w:pPr>
      <w:autoSpaceDE w:val="0"/>
      <w:autoSpaceDN w:val="0"/>
    </w:pPr>
    <w:rPr>
      <w:rFonts w:ascii="Times New Roman" w:hAnsi="Times New Roman" w:eastAsia="Times New Roman" w:cs="Times New Roman"/>
      <w:lang w:val="pt-BR" w:eastAsia="pt-BR" w:bidi="ar-SA"/>
    </w:rPr>
  </w:style>
  <w:style w:type="paragraph" w:styleId="2">
    <w:name w:val="heading 3"/>
    <w:basedOn w:val="1"/>
    <w:next w:val="1"/>
    <w:link w:val="21"/>
    <w:semiHidden/>
    <w:unhideWhenUsed/>
    <w:qFormat/>
    <w:uiPriority w:val="9"/>
    <w:pPr>
      <w:keepNext/>
      <w:keepLines/>
      <w:autoSpaceDE/>
      <w:autoSpaceDN/>
      <w:spacing w:before="200"/>
      <w:outlineLvl w:val="2"/>
    </w:pPr>
    <w:rPr>
      <w:rFonts w:asciiTheme="majorHAnsi" w:hAnsiTheme="majorHAnsi" w:eastAsiaTheme="majorEastAsia" w:cstheme="majorBidi"/>
      <w:b/>
      <w:bCs/>
      <w:color w:val="4F81BD" w:themeColor="accent1"/>
      <w:sz w:val="24"/>
      <w:szCs w:val="24"/>
      <w14:textFill>
        <w14:solidFill>
          <w14:schemeClr w14:val="accent1"/>
        </w14:solidFill>
      </w14:textFill>
    </w:rPr>
  </w:style>
  <w:style w:type="character" w:default="1" w:styleId="3">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character" w:styleId="5">
    <w:name w:val="Hyperlink"/>
    <w:basedOn w:val="3"/>
    <w:unhideWhenUsed/>
    <w:qFormat/>
    <w:uiPriority w:val="99"/>
    <w:rPr>
      <w:color w:val="0000FF" w:themeColor="hyperlink"/>
      <w:u w:val="single"/>
      <w14:textFill>
        <w14:solidFill>
          <w14:schemeClr w14:val="hlink"/>
        </w14:solidFill>
      </w14:textFill>
    </w:rPr>
  </w:style>
  <w:style w:type="character" w:styleId="6">
    <w:name w:val="page number"/>
    <w:basedOn w:val="3"/>
    <w:qFormat/>
    <w:uiPriority w:val="0"/>
  </w:style>
  <w:style w:type="paragraph" w:styleId="7">
    <w:name w:val="Body Text"/>
    <w:basedOn w:val="1"/>
    <w:link w:val="15"/>
    <w:unhideWhenUsed/>
    <w:qFormat/>
    <w:uiPriority w:val="99"/>
    <w:pPr>
      <w:spacing w:after="120"/>
    </w:pPr>
  </w:style>
  <w:style w:type="paragraph" w:styleId="8">
    <w:name w:val="Normal (Web)"/>
    <w:basedOn w:val="1"/>
    <w:unhideWhenUsed/>
    <w:qFormat/>
    <w:uiPriority w:val="99"/>
    <w:pPr>
      <w:autoSpaceDE/>
      <w:autoSpaceDN/>
      <w:spacing w:before="240" w:after="240"/>
      <w:jc w:val="both"/>
    </w:pPr>
    <w:rPr>
      <w:sz w:val="24"/>
      <w:szCs w:val="24"/>
    </w:rPr>
  </w:style>
  <w:style w:type="paragraph" w:styleId="9">
    <w:name w:val="header"/>
    <w:basedOn w:val="1"/>
    <w:link w:val="14"/>
    <w:qFormat/>
    <w:uiPriority w:val="0"/>
    <w:pPr>
      <w:tabs>
        <w:tab w:val="center" w:pos="4419"/>
        <w:tab w:val="right" w:pos="8838"/>
      </w:tabs>
    </w:pPr>
  </w:style>
  <w:style w:type="paragraph" w:styleId="10">
    <w:name w:val="footer"/>
    <w:basedOn w:val="1"/>
    <w:link w:val="13"/>
    <w:qFormat/>
    <w:uiPriority w:val="0"/>
    <w:pPr>
      <w:tabs>
        <w:tab w:val="center" w:pos="4419"/>
        <w:tab w:val="right" w:pos="8838"/>
      </w:tabs>
    </w:pPr>
  </w:style>
  <w:style w:type="paragraph" w:styleId="11">
    <w:name w:val="Balloon Text"/>
    <w:basedOn w:val="1"/>
    <w:link w:val="17"/>
    <w:unhideWhenUsed/>
    <w:qFormat/>
    <w:uiPriority w:val="99"/>
    <w:rPr>
      <w:rFonts w:ascii="Tahoma" w:hAnsi="Tahoma" w:cs="Tahoma"/>
      <w:sz w:val="16"/>
      <w:szCs w:val="16"/>
    </w:rPr>
  </w:style>
  <w:style w:type="table" w:styleId="12">
    <w:name w:val="Table Grid"/>
    <w:basedOn w:val="4"/>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3">
    <w:name w:val="Rodapé Char"/>
    <w:basedOn w:val="3"/>
    <w:link w:val="10"/>
    <w:qFormat/>
    <w:uiPriority w:val="0"/>
    <w:rPr>
      <w:rFonts w:ascii="Times New Roman" w:hAnsi="Times New Roman" w:eastAsia="Times New Roman" w:cs="Times New Roman"/>
      <w:sz w:val="20"/>
      <w:szCs w:val="20"/>
      <w:lang w:eastAsia="pt-BR"/>
    </w:rPr>
  </w:style>
  <w:style w:type="character" w:customStyle="1" w:styleId="14">
    <w:name w:val="Cabeçalho Char"/>
    <w:basedOn w:val="3"/>
    <w:link w:val="9"/>
    <w:qFormat/>
    <w:uiPriority w:val="0"/>
    <w:rPr>
      <w:rFonts w:ascii="Times New Roman" w:hAnsi="Times New Roman" w:eastAsia="Times New Roman" w:cs="Times New Roman"/>
      <w:sz w:val="20"/>
      <w:szCs w:val="20"/>
      <w:lang w:eastAsia="pt-BR"/>
    </w:rPr>
  </w:style>
  <w:style w:type="character" w:customStyle="1" w:styleId="15">
    <w:name w:val="Corpo de texto Char"/>
    <w:basedOn w:val="3"/>
    <w:link w:val="7"/>
    <w:qFormat/>
    <w:uiPriority w:val="99"/>
    <w:rPr>
      <w:rFonts w:ascii="Times New Roman" w:hAnsi="Times New Roman" w:eastAsia="Times New Roman" w:cs="Times New Roman"/>
      <w:sz w:val="20"/>
      <w:szCs w:val="20"/>
      <w:lang w:eastAsia="pt-BR"/>
    </w:rPr>
  </w:style>
  <w:style w:type="paragraph" w:customStyle="1" w:styleId="16">
    <w:name w:val="Parágrafo da Lista1"/>
    <w:basedOn w:val="1"/>
    <w:qFormat/>
    <w:uiPriority w:val="34"/>
    <w:pPr>
      <w:ind w:left="720"/>
      <w:contextualSpacing/>
    </w:pPr>
  </w:style>
  <w:style w:type="character" w:customStyle="1" w:styleId="17">
    <w:name w:val="Texto de balão Char"/>
    <w:basedOn w:val="3"/>
    <w:link w:val="11"/>
    <w:semiHidden/>
    <w:qFormat/>
    <w:uiPriority w:val="99"/>
    <w:rPr>
      <w:rFonts w:ascii="Tahoma" w:hAnsi="Tahoma" w:eastAsia="Times New Roman" w:cs="Tahoma"/>
      <w:sz w:val="16"/>
      <w:szCs w:val="16"/>
      <w:lang w:eastAsia="pt-BR"/>
    </w:rPr>
  </w:style>
  <w:style w:type="paragraph" w:customStyle="1" w:styleId="18">
    <w:name w:val="Default"/>
    <w:qFormat/>
    <w:uiPriority w:val="0"/>
    <w:pPr>
      <w:autoSpaceDE w:val="0"/>
      <w:autoSpaceDN w:val="0"/>
      <w:adjustRightInd w:val="0"/>
    </w:pPr>
    <w:rPr>
      <w:rFonts w:ascii="Arial" w:hAnsi="Arial" w:cs="Arial" w:eastAsiaTheme="minorHAnsi"/>
      <w:color w:val="000000"/>
      <w:sz w:val="24"/>
      <w:szCs w:val="24"/>
      <w:lang w:val="pt-BR" w:eastAsia="en-US" w:bidi="ar-SA"/>
    </w:rPr>
  </w:style>
  <w:style w:type="paragraph" w:customStyle="1" w:styleId="19">
    <w:name w:val="Sem Espaçamento1"/>
    <w:qFormat/>
    <w:uiPriority w:val="1"/>
    <w:rPr>
      <w:rFonts w:asciiTheme="minorHAnsi" w:hAnsiTheme="minorHAnsi" w:eastAsiaTheme="minorHAnsi" w:cstheme="minorBidi"/>
      <w:sz w:val="22"/>
      <w:szCs w:val="22"/>
      <w:lang w:val="pt-BR" w:eastAsia="en-US" w:bidi="ar-SA"/>
    </w:rPr>
  </w:style>
  <w:style w:type="paragraph" w:customStyle="1" w:styleId="20">
    <w:name w:val="Table Paragraph"/>
    <w:basedOn w:val="1"/>
    <w:qFormat/>
    <w:uiPriority w:val="1"/>
    <w:pPr>
      <w:widowControl w:val="0"/>
      <w:ind w:left="105"/>
    </w:pPr>
    <w:rPr>
      <w:sz w:val="22"/>
      <w:szCs w:val="22"/>
      <w:lang w:val="en-US" w:eastAsia="en-US"/>
    </w:rPr>
  </w:style>
  <w:style w:type="character" w:customStyle="1" w:styleId="21">
    <w:name w:val="Título 3 Char"/>
    <w:basedOn w:val="3"/>
    <w:link w:val="2"/>
    <w:semiHidden/>
    <w:qFormat/>
    <w:uiPriority w:val="9"/>
    <w:rPr>
      <w:rFonts w:asciiTheme="majorHAnsi" w:hAnsiTheme="majorHAnsi" w:eastAsiaTheme="majorEastAsia" w:cstheme="majorBidi"/>
      <w:b/>
      <w:bCs/>
      <w:color w:val="4F81BD" w:themeColor="accent1"/>
      <w:sz w:val="24"/>
      <w:szCs w:val="24"/>
      <w14:textFill>
        <w14:solidFill>
          <w14:schemeClr w14:val="accent1"/>
        </w14:solidFill>
      </w14:textFill>
    </w:rPr>
  </w:style>
  <w:style w:type="paragraph" w:customStyle="1" w:styleId="22">
    <w:name w:val="x_m_6497026663868770949gmail-msobodytext"/>
    <w:basedOn w:val="1"/>
    <w:qFormat/>
    <w:uiPriority w:val="0"/>
    <w:pPr>
      <w:autoSpaceDE/>
      <w:autoSpaceDN/>
      <w:spacing w:before="100" w:beforeAutospacing="1" w:after="100" w:afterAutospacing="1"/>
    </w:pPr>
    <w:rPr>
      <w:sz w:val="24"/>
      <w:szCs w:val="24"/>
    </w:rPr>
  </w:style>
  <w:style w:type="paragraph" w:styleId="23">
    <w:name w:val="List Paragraph"/>
    <w:basedOn w:val="1"/>
    <w:unhideWhenUsed/>
    <w:qFormat/>
    <w:uiPriority w:val="34"/>
    <w:pPr>
      <w:ind w:left="720"/>
      <w:contextualSpacing/>
    </w:pPr>
  </w:style>
  <w:style w:type="character" w:customStyle="1" w:styleId="24">
    <w:name w:val="Menção Pendente1"/>
    <w:basedOn w:val="3"/>
    <w:semiHidden/>
    <w:unhideWhenUsed/>
    <w:qFormat/>
    <w:uiPriority w:val="99"/>
    <w:rPr>
      <w:color w:val="605E5C"/>
      <w:shd w:val="clear" w:color="auto" w:fill="E1DFDD"/>
    </w:rPr>
  </w:style>
  <w:style w:type="character" w:customStyle="1" w:styleId="25">
    <w:name w:val="markedcontent"/>
    <w:basedOn w:val="3"/>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59FF4-FE1E-4A79-8DF6-7B21CB3D7833}">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36</Pages>
  <Words>15582</Words>
  <Characters>84143</Characters>
  <Lines>701</Lines>
  <Paragraphs>199</Paragraphs>
  <TotalTime>147</TotalTime>
  <ScaleCrop>false</ScaleCrop>
  <LinksUpToDate>false</LinksUpToDate>
  <CharactersWithSpaces>99526</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2023-02-28T13:20:00Z</dcterms:created>
  <dc:creator>silvia.oliveira</dc:creator>
  <cp:lastModifiedBy>EDNA.ESCOBAR</cp:lastModifiedBy>
  <cp:lastPrinted>2025-06-18T11:59:00Z</cp:lastPrinted>
  <dcterms:modified xsi:type="dcterms:W3CDTF">2025-10-08T12:29:02Z</dcterms:modified>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127DD5B20F784292B3C736133D588693_13</vt:lpwstr>
  </property>
</Properties>
</file>