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4EC25B">
      <w:pPr>
        <w:pStyle w:val="2"/>
        <w:spacing w:line="360" w:lineRule="auto"/>
        <w:rPr>
          <w:rFonts w:cs="Arial"/>
          <w:b/>
          <w:color w:val="auto"/>
          <w:sz w:val="22"/>
          <w:szCs w:val="22"/>
        </w:rPr>
      </w:pPr>
    </w:p>
    <w:p w14:paraId="3F18E548">
      <w:pPr>
        <w:pStyle w:val="2"/>
        <w:spacing w:line="360" w:lineRule="auto"/>
        <w:rPr>
          <w:rFonts w:cs="Arial"/>
          <w:b/>
          <w:color w:val="auto"/>
          <w:sz w:val="22"/>
          <w:szCs w:val="22"/>
        </w:rPr>
      </w:pPr>
      <w:r>
        <w:rPr>
          <w:rFonts w:cs="Arial"/>
          <w:b/>
          <w:color w:val="auto"/>
          <w:sz w:val="22"/>
          <w:szCs w:val="22"/>
        </w:rPr>
        <w:t>EDITAL DE LICITAÇÃO</w:t>
      </w:r>
    </w:p>
    <w:p w14:paraId="1C7DCECE">
      <w:pPr>
        <w:spacing w:line="360" w:lineRule="auto"/>
        <w:jc w:val="center"/>
        <w:rPr>
          <w:rFonts w:hint="default" w:ascii="Arial" w:hAnsi="Arial" w:cs="Arial"/>
          <w:b/>
          <w:bCs/>
          <w:sz w:val="22"/>
          <w:szCs w:val="22"/>
          <w:lang w:val="pt-BR"/>
        </w:rPr>
      </w:pPr>
      <w:r>
        <w:rPr>
          <w:rFonts w:ascii="Arial" w:hAnsi="Arial" w:cs="Arial"/>
          <w:b/>
          <w:bCs/>
          <w:sz w:val="22"/>
          <w:szCs w:val="22"/>
        </w:rPr>
        <w:t xml:space="preserve">PREGÃO ELETRÔNICO N° </w:t>
      </w:r>
      <w:r>
        <w:rPr>
          <w:rFonts w:hint="default" w:ascii="Arial" w:hAnsi="Arial" w:cs="Arial"/>
          <w:b/>
          <w:bCs/>
          <w:sz w:val="22"/>
          <w:szCs w:val="22"/>
          <w:lang w:val="pt-BR"/>
        </w:rPr>
        <w:t>09/2025</w:t>
      </w:r>
    </w:p>
    <w:p w14:paraId="7B01B38B">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16/2025</w:t>
      </w:r>
    </w:p>
    <w:p w14:paraId="2B63D77D">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117DAF83">
      <w:pPr>
        <w:spacing w:before="240" w:after="240" w:line="360" w:lineRule="auto"/>
        <w:ind w:left="108"/>
        <w:jc w:val="both"/>
        <w:rPr>
          <w:rFonts w:hint="default" w:ascii="Arial" w:hAnsi="Arial" w:cs="Arial"/>
          <w:sz w:val="22"/>
          <w:szCs w:val="22"/>
          <w:lang w:val="pt-BR"/>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Estado de Mato Grosso, por meio de s</w:t>
      </w:r>
      <w:r>
        <w:rPr>
          <w:rFonts w:hint="default" w:ascii="Arial" w:hAnsi="Arial" w:cs="Arial"/>
          <w:sz w:val="22"/>
          <w:szCs w:val="22"/>
          <w:lang w:val="pt-BR"/>
        </w:rPr>
        <w:t>ua</w:t>
      </w:r>
      <w:r>
        <w:rPr>
          <w:rFonts w:ascii="Arial" w:hAnsi="Arial" w:cs="Arial"/>
          <w:sz w:val="22"/>
          <w:szCs w:val="22"/>
        </w:rPr>
        <w:t xml:space="preserve"> Pregoeir</w:t>
      </w:r>
      <w:r>
        <w:rPr>
          <w:rFonts w:hint="default" w:ascii="Arial" w:hAnsi="Arial" w:cs="Arial"/>
          <w:sz w:val="22"/>
          <w:szCs w:val="22"/>
          <w:lang w:val="pt-BR"/>
        </w:rPr>
        <w:t>a</w:t>
      </w:r>
      <w:r>
        <w:rPr>
          <w:rFonts w:ascii="Arial" w:hAnsi="Arial" w:cs="Arial"/>
          <w:sz w:val="22"/>
          <w:szCs w:val="22"/>
        </w:rPr>
        <w:t>, nomead</w:t>
      </w:r>
      <w:r>
        <w:rPr>
          <w:rFonts w:hint="default" w:ascii="Arial" w:hAnsi="Arial" w:cs="Arial"/>
          <w:sz w:val="22"/>
          <w:szCs w:val="22"/>
          <w:lang w:val="pt-BR"/>
        </w:rPr>
        <w:t>a</w:t>
      </w:r>
      <w:r>
        <w:rPr>
          <w:rFonts w:ascii="Arial" w:hAnsi="Arial" w:cs="Arial"/>
          <w:sz w:val="22"/>
          <w:szCs w:val="22"/>
        </w:rPr>
        <w:t xml:space="preserve"> pela </w:t>
      </w:r>
      <w:r>
        <w:rPr>
          <w:rFonts w:ascii="Arial" w:hAnsi="Arial" w:cs="Arial"/>
          <w:sz w:val="22"/>
          <w:szCs w:val="22"/>
          <w:highlight w:val="none"/>
        </w:rPr>
        <w:t xml:space="preserve">Portaria nº </w:t>
      </w:r>
      <w:r>
        <w:rPr>
          <w:rFonts w:hint="default" w:ascii="Arial" w:hAnsi="Arial" w:cs="Arial"/>
          <w:sz w:val="22"/>
          <w:szCs w:val="22"/>
          <w:highlight w:val="none"/>
          <w:lang w:val="pt-BR"/>
        </w:rPr>
        <w:t>068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de </w:t>
      </w:r>
      <w:r>
        <w:rPr>
          <w:rFonts w:hint="default" w:ascii="Arial" w:hAnsi="Arial" w:cs="Arial"/>
          <w:sz w:val="22"/>
          <w:szCs w:val="22"/>
          <w:highlight w:val="none"/>
          <w:lang w:val="pt-BR"/>
        </w:rPr>
        <w:t xml:space="preserve">25 </w:t>
      </w:r>
      <w:r>
        <w:rPr>
          <w:rFonts w:ascii="Arial" w:hAnsi="Arial" w:cs="Arial"/>
          <w:sz w:val="22"/>
          <w:szCs w:val="22"/>
          <w:highlight w:val="none"/>
        </w:rPr>
        <w:t xml:space="preserve">de </w:t>
      </w:r>
      <w:r>
        <w:rPr>
          <w:rFonts w:hint="default" w:ascii="Arial" w:hAnsi="Arial" w:cs="Arial"/>
          <w:sz w:val="22"/>
          <w:szCs w:val="22"/>
          <w:highlight w:val="none"/>
          <w:lang w:val="pt-BR"/>
        </w:rPr>
        <w:t>janeiro</w:t>
      </w:r>
      <w:r>
        <w:rPr>
          <w:rFonts w:ascii="Arial" w:hAnsi="Arial" w:cs="Arial"/>
          <w:sz w:val="22"/>
          <w:szCs w:val="22"/>
          <w:highlight w:val="none"/>
        </w:rPr>
        <w:t xml:space="preserve"> de 202</w:t>
      </w:r>
      <w:r>
        <w:rPr>
          <w:rFonts w:hint="default" w:ascii="Arial" w:hAnsi="Arial" w:cs="Arial"/>
          <w:sz w:val="22"/>
          <w:szCs w:val="22"/>
          <w:highlight w:val="none"/>
          <w:lang w:val="pt-BR"/>
        </w:rPr>
        <w:t>4</w:t>
      </w:r>
      <w:r>
        <w:rPr>
          <w:rFonts w:ascii="Arial" w:hAnsi="Arial" w:cs="Arial"/>
          <w:sz w:val="22"/>
          <w:szCs w:val="22"/>
          <w:highlight w:val="none"/>
        </w:rPr>
        <w:t>,</w:t>
      </w:r>
      <w:r>
        <w:rPr>
          <w:rFonts w:ascii="Arial" w:hAnsi="Arial" w:cs="Arial"/>
          <w:sz w:val="22"/>
          <w:szCs w:val="22"/>
        </w:rPr>
        <w:t xml:space="preserve"> com endereço à Avenida das Embaúbas, nº 1.386, Setor Comercial, Sinop/MT, CEP 78.550-206, CNPJ 15.024.003/0001-32, isent</w:t>
      </w:r>
      <w:r>
        <w:rPr>
          <w:rFonts w:hint="default" w:ascii="Arial" w:hAnsi="Arial" w:cs="Arial"/>
          <w:sz w:val="22"/>
          <w:szCs w:val="22"/>
          <w:lang w:val="pt-BR"/>
        </w:rPr>
        <w:t>o</w:t>
      </w:r>
      <w:r>
        <w:rPr>
          <w:rFonts w:ascii="Arial" w:hAnsi="Arial" w:cs="Arial"/>
          <w:sz w:val="22"/>
          <w:szCs w:val="22"/>
        </w:rPr>
        <w:t xml:space="preserve"> de inscrição estadual, torna pública a abertura do processo licitatório, na modalidade </w:t>
      </w:r>
      <w:r>
        <w:rPr>
          <w:rFonts w:ascii="Arial" w:hAnsi="Arial" w:cs="Arial"/>
          <w:b w:val="0"/>
          <w:bCs/>
          <w:sz w:val="22"/>
          <w:szCs w:val="22"/>
        </w:rPr>
        <w:t>PREGÃO</w:t>
      </w:r>
      <w:r>
        <w:rPr>
          <w:rFonts w:hint="default" w:ascii="Arial" w:hAnsi="Arial" w:cs="Arial"/>
          <w:b w:val="0"/>
          <w:bCs/>
          <w:sz w:val="22"/>
          <w:szCs w:val="22"/>
          <w:lang w:val="pt-BR"/>
        </w:rPr>
        <w:t>, 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xml:space="preserve">, para REGISTRO DE PREÇOS, do tipo </w:t>
      </w:r>
      <w:r>
        <w:rPr>
          <w:rFonts w:ascii="Arial" w:hAnsi="Arial" w:cs="Arial"/>
          <w:b/>
          <w:bCs w:val="0"/>
          <w:sz w:val="22"/>
          <w:szCs w:val="22"/>
        </w:rPr>
        <w:t xml:space="preserve">MENOR PREÇO POR </w:t>
      </w:r>
      <w:r>
        <w:rPr>
          <w:rFonts w:hint="default" w:ascii="Arial" w:hAnsi="Arial" w:cs="Arial"/>
          <w:b/>
          <w:bCs w:val="0"/>
          <w:sz w:val="22"/>
          <w:szCs w:val="22"/>
          <w:lang w:val="pt-BR"/>
        </w:rPr>
        <w:t>ITEM</w:t>
      </w:r>
      <w:r>
        <w:rPr>
          <w:rFonts w:ascii="Arial" w:hAnsi="Arial" w:cs="Arial"/>
          <w:b w:val="0"/>
          <w:bCs/>
          <w:sz w:val="22"/>
          <w:szCs w:val="22"/>
        </w:rPr>
        <w:t xml:space="preserve">, </w:t>
      </w:r>
      <w:r>
        <w:rPr>
          <w:rFonts w:hint="default" w:ascii="Arial" w:hAnsi="Arial" w:cs="Arial"/>
          <w:b w:val="0"/>
          <w:bCs/>
          <w:sz w:val="22"/>
          <w:szCs w:val="22"/>
          <w:lang w:val="pt-BR"/>
        </w:rPr>
        <w:t xml:space="preserve">com </w:t>
      </w:r>
      <w:r>
        <w:rPr>
          <w:rFonts w:hint="default" w:ascii="Arial" w:hAnsi="Arial" w:cs="Arial"/>
          <w:b/>
          <w:bCs w:val="0"/>
          <w:sz w:val="22"/>
          <w:szCs w:val="22"/>
          <w:lang w:val="pt-BR"/>
        </w:rPr>
        <w:t>COTA PRINCIPAL</w:t>
      </w:r>
      <w:r>
        <w:rPr>
          <w:rFonts w:hint="default" w:ascii="Arial" w:hAnsi="Arial" w:cs="Arial"/>
          <w:b w:val="0"/>
          <w:bCs/>
          <w:sz w:val="22"/>
          <w:szCs w:val="22"/>
          <w:lang w:val="pt-BR"/>
        </w:rPr>
        <w:t xml:space="preserve"> para </w:t>
      </w:r>
      <w:r>
        <w:rPr>
          <w:rFonts w:hint="default" w:ascii="Arial" w:hAnsi="Arial" w:cs="Arial"/>
          <w:b/>
          <w:bCs w:val="0"/>
          <w:sz w:val="22"/>
          <w:szCs w:val="22"/>
          <w:lang w:val="pt-BR"/>
        </w:rPr>
        <w:t>AMPLA CONCORRÊNCIA e COTA RESERVADA p</w:t>
      </w:r>
      <w:r>
        <w:rPr>
          <w:rFonts w:ascii="Arial" w:hAnsi="Arial" w:cs="Arial"/>
          <w:b/>
          <w:bCs w:val="0"/>
          <w:sz w:val="22"/>
          <w:szCs w:val="22"/>
          <w:u w:val="none"/>
        </w:rPr>
        <w:t>ara ME e EPP</w:t>
      </w:r>
      <w:r>
        <w:rPr>
          <w:rFonts w:hint="default" w:ascii="Arial" w:hAnsi="Arial" w:cs="Arial"/>
          <w:b/>
          <w:bCs w:val="0"/>
          <w:sz w:val="22"/>
          <w:szCs w:val="22"/>
          <w:u w:val="none"/>
          <w:lang w:val="pt-BR"/>
        </w:rPr>
        <w:t xml:space="preserve"> </w:t>
      </w:r>
      <w:r>
        <w:rPr>
          <w:rFonts w:hint="default" w:ascii="Arial" w:hAnsi="Arial" w:cs="Arial"/>
          <w:b w:val="0"/>
          <w:bCs/>
          <w:sz w:val="22"/>
          <w:szCs w:val="22"/>
          <w:lang w:val="pt-BR"/>
        </w:rPr>
        <w:t>e com</w:t>
      </w:r>
      <w:r>
        <w:rPr>
          <w:rFonts w:ascii="Arial" w:hAnsi="Arial" w:cs="Arial"/>
          <w:b w:val="0"/>
          <w:bCs/>
          <w:sz w:val="22"/>
          <w:szCs w:val="22"/>
        </w:rPr>
        <w:t xml:space="preserve"> </w:t>
      </w:r>
      <w:r>
        <w:rPr>
          <w:rFonts w:ascii="Arial" w:hAnsi="Arial" w:cs="Arial"/>
          <w:b/>
          <w:bCs w:val="0"/>
          <w:sz w:val="22"/>
          <w:szCs w:val="22"/>
          <w:u w:val="none"/>
        </w:rPr>
        <w:t>EXCLUSIVIDADE para ME e EPP</w:t>
      </w:r>
      <w:r>
        <w:rPr>
          <w:rFonts w:ascii="Arial" w:hAnsi="Arial" w:cs="Arial"/>
          <w:b w:val="0"/>
          <w:bCs/>
          <w:sz w:val="22"/>
          <w:szCs w:val="22"/>
          <w:u w:val="none"/>
        </w:rPr>
        <w:t>,</w:t>
      </w:r>
      <w:r>
        <w:rPr>
          <w:rFonts w:hint="default" w:ascii="Arial" w:hAnsi="Arial" w:cs="Arial"/>
          <w:b w:val="0"/>
          <w:bCs/>
          <w:sz w:val="22"/>
          <w:szCs w:val="22"/>
          <w:u w:val="none"/>
          <w:lang w:val="pt-BR"/>
        </w:rPr>
        <w:t xml:space="preserve"> com MODO DE DISPUTA ABERTO, </w:t>
      </w:r>
      <w:r>
        <w:rPr>
          <w:rFonts w:ascii="Arial" w:hAnsi="Arial" w:cs="Arial"/>
          <w:b w:val="0"/>
          <w:bCs/>
          <w:sz w:val="22"/>
          <w:szCs w:val="22"/>
        </w:rPr>
        <w:t>às 0</w:t>
      </w:r>
      <w:r>
        <w:rPr>
          <w:rFonts w:hint="default" w:ascii="Arial" w:hAnsi="Arial" w:cs="Arial"/>
          <w:b w:val="0"/>
          <w:bCs/>
          <w:sz w:val="22"/>
          <w:szCs w:val="22"/>
          <w:lang w:val="pt-BR"/>
        </w:rPr>
        <w:t>9</w:t>
      </w:r>
      <w:r>
        <w:rPr>
          <w:rFonts w:ascii="Arial" w:hAnsi="Arial" w:cs="Arial"/>
          <w:b w:val="0"/>
          <w:bCs/>
          <w:sz w:val="22"/>
          <w:szCs w:val="22"/>
        </w:rPr>
        <w:t xml:space="preserve">h00min (horário de Brasília/DF) do dia </w:t>
      </w:r>
      <w:r>
        <w:rPr>
          <w:rFonts w:hint="default" w:ascii="Arial" w:hAnsi="Arial" w:cs="Arial"/>
          <w:b/>
          <w:bCs w:val="0"/>
          <w:sz w:val="22"/>
          <w:szCs w:val="22"/>
          <w:lang w:val="pt-BR"/>
        </w:rPr>
        <w:t>25 de março de 2025</w:t>
      </w:r>
      <w:r>
        <w:rPr>
          <w:rFonts w:ascii="Arial" w:hAnsi="Arial" w:cs="Arial"/>
          <w:b/>
          <w:bCs w:val="0"/>
          <w:sz w:val="22"/>
          <w:szCs w:val="22"/>
        </w:rPr>
        <w:t>,</w:t>
      </w:r>
      <w:r>
        <w:rPr>
          <w:rFonts w:ascii="Arial" w:hAnsi="Arial" w:cs="Arial"/>
          <w:b w:val="0"/>
          <w:bCs/>
          <w:sz w:val="22"/>
          <w:szCs w:val="22"/>
        </w:rPr>
        <w:t xml:space="preserve"> para </w:t>
      </w:r>
      <w:r>
        <w:rPr>
          <w:rFonts w:hint="default" w:ascii="Arial" w:hAnsi="Arial" w:cs="Arial"/>
          <w:b/>
          <w:bCs/>
          <w:sz w:val="22"/>
          <w:szCs w:val="22"/>
        </w:rPr>
        <w:t>Aquisição de insumos para microbiologia, covid/influenza, insumos gerais para uso em laboratório de análises clínicas</w:t>
      </w:r>
      <w:r>
        <w:rPr>
          <w:rFonts w:hint="default" w:ascii="Arial" w:hAnsi="Arial" w:cs="Arial"/>
          <w:b/>
          <w:bCs/>
          <w:sz w:val="22"/>
          <w:szCs w:val="22"/>
          <w:lang w:val="pt-BR"/>
        </w:rPr>
        <w:t>, dos itens fracassados no PE nº 54/2024,  para atender as necessidades da Secretaria Municipal de Saúde</w:t>
      </w:r>
      <w:r>
        <w:rPr>
          <w:rFonts w:ascii="Arial" w:hAnsi="Arial" w:cs="Arial"/>
          <w:b w:val="0"/>
          <w:bCs/>
          <w:sz w:val="22"/>
          <w:szCs w:val="22"/>
        </w:rPr>
        <w:t xml:space="preserve">, conforme descrito no </w:t>
      </w:r>
      <w:r>
        <w:rPr>
          <w:rFonts w:ascii="Arial" w:hAnsi="Arial" w:cs="Arial"/>
          <w:b w:val="0"/>
          <w:bCs/>
          <w:sz w:val="22"/>
          <w:szCs w:val="22"/>
          <w:u w:val="none"/>
        </w:rPr>
        <w:t>Anexo I</w:t>
      </w:r>
      <w:r>
        <w:rPr>
          <w:rFonts w:ascii="Arial" w:hAnsi="Arial" w:cs="Arial"/>
          <w:b w:val="0"/>
          <w:bCs/>
          <w:sz w:val="22"/>
          <w:szCs w:val="22"/>
        </w:rPr>
        <w:t xml:space="preserve"> – </w:t>
      </w:r>
      <w:r>
        <w:rPr>
          <w:rFonts w:ascii="Arial" w:hAnsi="Arial" w:cs="Arial"/>
          <w:sz w:val="22"/>
          <w:szCs w:val="22"/>
        </w:rPr>
        <w:t xml:space="preserve">Termo de Referência deste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nos termos da Lei Federal n.º 14.133/2021, do </w:t>
      </w:r>
      <w:r>
        <w:rPr>
          <w:rFonts w:hint="default" w:ascii="Arial" w:hAnsi="Arial" w:cs="Arial"/>
          <w:sz w:val="22"/>
          <w:szCs w:val="22"/>
          <w:highlight w:val="none"/>
          <w:lang w:val="pt-BR"/>
        </w:rPr>
        <w:t>Decreto Municipal n.º 359/2023,</w:t>
      </w:r>
      <w:r>
        <w:rPr>
          <w:rFonts w:hint="default" w:ascii="Arial" w:hAnsi="Arial" w:cs="Arial"/>
          <w:sz w:val="22"/>
          <w:szCs w:val="22"/>
          <w:lang w:val="pt-BR"/>
        </w:rPr>
        <w:t xml:space="preserve"> demais legislações aplicáveis e, ainda, de acordo com as condições estabelecidas neste Edital e seus Anexos.</w:t>
      </w:r>
    </w:p>
    <w:p w14:paraId="6CF7BDCC">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781167BF">
      <w:pPr>
        <w:spacing w:line="240" w:lineRule="auto"/>
        <w:jc w:val="both"/>
        <w:rPr>
          <w:rFonts w:hint="default" w:ascii="Arial" w:hAnsi="Arial" w:cs="Arial"/>
          <w:sz w:val="22"/>
          <w:szCs w:val="22"/>
        </w:rPr>
      </w:pPr>
    </w:p>
    <w:p w14:paraId="0233DFD2">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14:paraId="58684218">
      <w:pPr>
        <w:spacing w:line="240" w:lineRule="auto"/>
        <w:jc w:val="both"/>
        <w:rPr>
          <w:rFonts w:hint="default" w:ascii="Arial" w:hAnsi="Arial" w:cs="Arial"/>
          <w:sz w:val="22"/>
          <w:szCs w:val="22"/>
          <w:highlight w:val="none"/>
          <w:lang w:val="pt-BR"/>
        </w:rPr>
      </w:pPr>
    </w:p>
    <w:p w14:paraId="07840D48">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cadastramento.</w:t>
      </w:r>
    </w:p>
    <w:p w14:paraId="40DCA66A">
      <w:pPr>
        <w:pStyle w:val="2"/>
        <w:widowControl w:val="0"/>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73B21797">
      <w:pPr>
        <w:pStyle w:val="16"/>
        <w:numPr>
          <w:ilvl w:val="1"/>
          <w:numId w:val="4"/>
        </w:numPr>
        <w:tabs>
          <w:tab w:val="left" w:pos="426"/>
        </w:tabs>
        <w:spacing w:before="240" w:after="240" w:line="360" w:lineRule="auto"/>
        <w:ind w:left="0" w:firstLine="0"/>
        <w:rPr>
          <w:rFonts w:ascii="Arial" w:hAnsi="Arial" w:cs="Arial"/>
          <w:sz w:val="22"/>
          <w:szCs w:val="22"/>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 xml:space="preserve">dital </w:t>
      </w:r>
      <w:r>
        <w:rPr>
          <w:rFonts w:hint="default" w:ascii="Arial" w:hAnsi="Arial" w:cs="Arial"/>
          <w:b w:val="0"/>
          <w:bCs w:val="0"/>
          <w:sz w:val="22"/>
          <w:szCs w:val="22"/>
          <w:lang w:val="pt-BR"/>
        </w:rPr>
        <w:t>para a</w:t>
      </w:r>
      <w:r>
        <w:rPr>
          <w:rFonts w:ascii="Arial" w:hAnsi="Arial" w:cs="Arial"/>
          <w:b w:val="0"/>
          <w:bCs w:val="0"/>
          <w:sz w:val="22"/>
          <w:szCs w:val="22"/>
        </w:rPr>
        <w:t xml:space="preserve"> </w:t>
      </w:r>
      <w:r>
        <w:rPr>
          <w:rFonts w:hint="default" w:ascii="Arial" w:hAnsi="Arial" w:cs="Arial"/>
          <w:b/>
          <w:bCs/>
          <w:sz w:val="22"/>
          <w:szCs w:val="22"/>
        </w:rPr>
        <w:t>Aquisição de insumos para microbiologia, covid/influenza, insumos gerais para uso em laboratório de análises clínicas</w:t>
      </w:r>
      <w:r>
        <w:rPr>
          <w:rFonts w:hint="default" w:ascii="Arial" w:hAnsi="Arial" w:cs="Arial"/>
          <w:b/>
          <w:bCs/>
          <w:sz w:val="22"/>
          <w:szCs w:val="22"/>
          <w:lang w:val="pt-BR"/>
        </w:rPr>
        <w:t>, dos itens fracassados no PE nº 54/2024,  para atender as necessidades da Secretaria Municipal de Saúde</w:t>
      </w:r>
      <w:r>
        <w:rPr>
          <w:rFonts w:hint="default" w:ascii="Arial" w:hAnsi="Arial" w:cs="Arial"/>
          <w:b/>
          <w:bCs/>
          <w:sz w:val="22"/>
          <w:szCs w:val="22"/>
          <w:highlight w:val="none"/>
          <w:lang w:val="pt-BR"/>
        </w:rPr>
        <w:t xml:space="preserve">, </w:t>
      </w:r>
      <w:r>
        <w:rPr>
          <w:rFonts w:ascii="Arial" w:hAnsi="Arial" w:cs="Arial"/>
          <w:b w:val="0"/>
          <w:bCs w:val="0"/>
          <w:sz w:val="22"/>
          <w:szCs w:val="22"/>
        </w:rPr>
        <w:t xml:space="preserve">conforme especificações constantes do Anexo I, parte integrante deste </w:t>
      </w:r>
      <w:r>
        <w:rPr>
          <w:rFonts w:hint="default" w:ascii="Arial" w:hAnsi="Arial" w:cs="Arial"/>
          <w:b w:val="0"/>
          <w:bCs w:val="0"/>
          <w:sz w:val="22"/>
          <w:szCs w:val="22"/>
          <w:lang w:val="pt-BR"/>
        </w:rPr>
        <w:t>E</w:t>
      </w:r>
      <w:r>
        <w:rPr>
          <w:rFonts w:ascii="Arial" w:hAnsi="Arial" w:cs="Arial"/>
          <w:b w:val="0"/>
          <w:bCs w:val="0"/>
          <w:sz w:val="22"/>
          <w:szCs w:val="22"/>
        </w:rPr>
        <w:t>dital.</w:t>
      </w:r>
    </w:p>
    <w:p w14:paraId="0037AF43">
      <w:pPr>
        <w:pStyle w:val="133"/>
        <w:numPr>
          <w:ilvl w:val="1"/>
          <w:numId w:val="4"/>
        </w:numPr>
        <w:tabs>
          <w:tab w:val="left" w:pos="480"/>
        </w:tabs>
        <w:spacing w:line="360" w:lineRule="auto"/>
        <w:ind w:left="0" w:leftChars="0" w:firstLine="0" w:firstLineChars="0"/>
        <w:rPr>
          <w:color w:val="auto"/>
          <w:sz w:val="22"/>
          <w:szCs w:val="22"/>
          <w:highlight w:val="none"/>
        </w:rPr>
      </w:pPr>
      <w:r>
        <w:rPr>
          <w:color w:val="auto"/>
          <w:sz w:val="22"/>
          <w:szCs w:val="22"/>
          <w:highlight w:val="none"/>
        </w:rPr>
        <w:t>As regras referentes ao órgão gerenciador, bem como a eventuais adesões são as que constam da minuta de Ata de Registro de Preços</w:t>
      </w:r>
      <w:r>
        <w:rPr>
          <w:rFonts w:hint="default"/>
          <w:color w:val="auto"/>
          <w:sz w:val="22"/>
          <w:szCs w:val="22"/>
          <w:highlight w:val="none"/>
          <w:lang w:val="pt-BR"/>
        </w:rPr>
        <w:t xml:space="preserve"> (</w:t>
      </w:r>
      <w:r>
        <w:rPr>
          <w:rFonts w:hint="default"/>
          <w:color w:val="auto"/>
          <w:sz w:val="22"/>
          <w:szCs w:val="22"/>
          <w:highlight w:val="none"/>
          <w:u w:val="none"/>
          <w:lang w:val="pt-BR"/>
        </w:rPr>
        <w:t>Anexo IV)</w:t>
      </w:r>
      <w:r>
        <w:rPr>
          <w:color w:val="auto"/>
          <w:sz w:val="22"/>
          <w:szCs w:val="22"/>
          <w:highlight w:val="none"/>
        </w:rPr>
        <w:t>.</w:t>
      </w:r>
    </w:p>
    <w:p w14:paraId="3D4FCF50">
      <w:pPr>
        <w:pStyle w:val="151"/>
        <w:keepNext w:val="0"/>
        <w:widowControl/>
        <w:numPr>
          <w:ilvl w:val="1"/>
          <w:numId w:val="4"/>
        </w:numPr>
        <w:shd w:val="clear" w:color="auto" w:fill="auto"/>
        <w:tabs>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 xml:space="preserve">Fica facultada à licitante participar de quantos </w:t>
      </w:r>
      <w:r>
        <w:rPr>
          <w:rFonts w:hint="default" w:ascii="Arial" w:hAnsi="Arial" w:cs="Arial"/>
          <w:color w:val="auto"/>
          <w:sz w:val="22"/>
          <w:szCs w:val="22"/>
        </w:rPr>
        <w:t>itens</w:t>
      </w:r>
      <w:r>
        <w:rPr>
          <w:rFonts w:hint="default" w:ascii="Arial" w:hAnsi="Arial" w:cs="Arial"/>
          <w:sz w:val="22"/>
          <w:szCs w:val="22"/>
        </w:rPr>
        <w:t xml:space="preserve"> forem de seu interesse. Entretanto, optando-se por participar de um item, deverá enviar proposta para a totalidade solicitada.</w:t>
      </w:r>
    </w:p>
    <w:p w14:paraId="66750061">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5932EC1F">
      <w:pPr>
        <w:pStyle w:val="151"/>
        <w:keepNext w:val="0"/>
        <w:widowControl/>
        <w:numPr>
          <w:ilvl w:val="1"/>
          <w:numId w:val="4"/>
        </w:numPr>
        <w:shd w:val="clear" w:color="auto" w:fill="auto"/>
        <w:tabs>
          <w:tab w:val="left" w:pos="240"/>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A licitante deverá ficar atenta às especificações dos itens, especialmente quando indicar marcas como referência de qualidade, necessidade de padronização, necessidade de manter a compatibilidade com plataformas padrões ou única capaz de atender, assim como eventuais vedações de marcas ou produtos que não atendam as expectativas da Administração, conforme art. 42 da Lei</w:t>
      </w:r>
      <w:r>
        <w:rPr>
          <w:rFonts w:hint="default" w:ascii="Arial" w:hAnsi="Arial" w:cs="Arial"/>
          <w:sz w:val="22"/>
          <w:szCs w:val="22"/>
          <w:lang w:val="pt-BR"/>
        </w:rPr>
        <w:t xml:space="preserve"> Federal n.º</w:t>
      </w:r>
      <w:r>
        <w:rPr>
          <w:rFonts w:hint="default" w:ascii="Arial" w:hAnsi="Arial" w:cs="Arial"/>
          <w:sz w:val="22"/>
          <w:szCs w:val="22"/>
        </w:rPr>
        <w:t xml:space="preserve"> 14.133/2021.</w:t>
      </w:r>
    </w:p>
    <w:p w14:paraId="72B7EE9D">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0046409C">
      <w:pPr>
        <w:pStyle w:val="16"/>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49FD3CAF">
      <w:pPr>
        <w:widowControl w:val="0"/>
        <w:numPr>
          <w:ilvl w:val="1"/>
          <w:numId w:val="5"/>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xml:space="preserve">) do </w:t>
      </w:r>
      <w:r>
        <w:rPr>
          <w:rFonts w:ascii="Arial" w:hAnsi="Arial" w:cs="Arial"/>
          <w:b/>
          <w:bCs w:val="0"/>
          <w:color w:val="000000"/>
          <w:sz w:val="22"/>
          <w:szCs w:val="22"/>
        </w:rPr>
        <w:t xml:space="preserve">dia </w:t>
      </w:r>
      <w:r>
        <w:rPr>
          <w:rFonts w:hint="default" w:ascii="Arial" w:hAnsi="Arial" w:cs="Arial"/>
          <w:b/>
          <w:bCs w:val="0"/>
          <w:color w:val="000000"/>
          <w:sz w:val="22"/>
          <w:szCs w:val="22"/>
          <w:lang w:val="pt-BR"/>
        </w:rPr>
        <w:t>25</w:t>
      </w:r>
      <w:r>
        <w:rPr>
          <w:rFonts w:ascii="Arial" w:hAnsi="Arial" w:cs="Arial"/>
          <w:b/>
          <w:bCs w:val="0"/>
          <w:color w:val="000000"/>
          <w:sz w:val="22"/>
          <w:szCs w:val="22"/>
        </w:rPr>
        <w:t xml:space="preserve"> de </w:t>
      </w:r>
      <w:r>
        <w:rPr>
          <w:rFonts w:hint="default" w:ascii="Arial" w:hAnsi="Arial" w:cs="Arial"/>
          <w:b/>
          <w:bCs w:val="0"/>
          <w:color w:val="000000"/>
          <w:sz w:val="22"/>
          <w:szCs w:val="22"/>
          <w:lang w:val="pt-BR"/>
        </w:rPr>
        <w:t xml:space="preserve">março </w:t>
      </w:r>
      <w:r>
        <w:rPr>
          <w:rFonts w:ascii="Arial" w:hAnsi="Arial" w:cs="Arial"/>
          <w:b/>
          <w:bCs w:val="0"/>
          <w:color w:val="000000"/>
          <w:sz w:val="22"/>
          <w:szCs w:val="22"/>
        </w:rPr>
        <w:t xml:space="preserve">de </w:t>
      </w:r>
      <w:r>
        <w:rPr>
          <w:rFonts w:ascii="Arial" w:hAnsi="Arial" w:cs="Arial"/>
          <w:b/>
          <w:bCs w:val="0"/>
          <w:color w:val="000000"/>
          <w:sz w:val="22"/>
          <w:szCs w:val="22"/>
          <w:lang w:val="pt-BR"/>
        </w:rPr>
        <w:t>202</w:t>
      </w:r>
      <w:r>
        <w:rPr>
          <w:rFonts w:hint="default" w:ascii="Arial" w:hAnsi="Arial" w:cs="Arial"/>
          <w:b/>
          <w:bCs w:val="0"/>
          <w:color w:val="000000"/>
          <w:sz w:val="22"/>
          <w:szCs w:val="22"/>
          <w:lang w:val="pt-BR"/>
        </w:rPr>
        <w:t>5</w:t>
      </w:r>
      <w:r>
        <w:rPr>
          <w:rFonts w:ascii="Arial" w:hAnsi="Arial" w:cs="Arial"/>
          <w:b w:val="0"/>
          <w:bCs/>
          <w:snapToGrid w:val="0"/>
          <w:color w:val="000000"/>
          <w:sz w:val="22"/>
          <w:szCs w:val="22"/>
        </w:rPr>
        <w:t>, 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5B81BEAD">
      <w:pPr>
        <w:pStyle w:val="2"/>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12D56016">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07DDA56B">
      <w:pPr>
        <w:pStyle w:val="25"/>
        <w:widowControl w:val="0"/>
        <w:numPr>
          <w:ilvl w:val="0"/>
          <w:numId w:val="0"/>
        </w:numPr>
        <w:tabs>
          <w:tab w:val="left" w:pos="284"/>
          <w:tab w:val="left" w:pos="426"/>
        </w:tabs>
        <w:adjustRightInd w:val="0"/>
        <w:spacing w:before="240" w:after="240" w:line="360" w:lineRule="auto"/>
        <w:ind w:left="0" w:leftChars="0" w:firstLine="481" w:firstLineChars="218"/>
        <w:textAlignment w:val="baseline"/>
        <w:rPr>
          <w:rFonts w:hint="default" w:ascii="Arial" w:hAnsi="Arial" w:cs="Arial"/>
          <w:b/>
          <w:bCs/>
          <w:sz w:val="22"/>
          <w:szCs w:val="22"/>
          <w:highlight w:val="none"/>
          <w:u w:val="none"/>
          <w:lang w:val="pt-BR"/>
        </w:rPr>
      </w:pPr>
      <w:r>
        <w:rPr>
          <w:rFonts w:hint="default" w:ascii="Arial" w:hAnsi="Arial" w:cs="Arial"/>
          <w:b/>
          <w:bCs/>
          <w:sz w:val="22"/>
          <w:szCs w:val="22"/>
          <w:highlight w:val="none"/>
          <w:u w:val="none"/>
          <w:lang w:val="pt-BR"/>
        </w:rPr>
        <w:t xml:space="preserve">3.1.1. </w:t>
      </w:r>
      <w:r>
        <w:rPr>
          <w:rFonts w:ascii="Arial" w:hAnsi="Arial" w:cs="Arial"/>
          <w:sz w:val="22"/>
          <w:szCs w:val="22"/>
          <w:highlight w:val="none"/>
          <w:u w:val="none"/>
        </w:rPr>
        <w:t>Em relação ao</w:t>
      </w:r>
      <w:r>
        <w:rPr>
          <w:rFonts w:hint="default" w:ascii="Arial" w:hAnsi="Arial" w:cs="Arial"/>
          <w:sz w:val="22"/>
          <w:szCs w:val="22"/>
          <w:highlight w:val="none"/>
          <w:u w:val="none"/>
          <w:lang w:val="pt-BR"/>
        </w:rPr>
        <w:t>s</w:t>
      </w:r>
      <w:r>
        <w:rPr>
          <w:rFonts w:ascii="Arial" w:hAnsi="Arial" w:cs="Arial"/>
          <w:sz w:val="22"/>
          <w:szCs w:val="22"/>
          <w:highlight w:val="none"/>
          <w:u w:val="none"/>
        </w:rPr>
        <w:t xml:space="preserve"> </w:t>
      </w:r>
      <w:r>
        <w:rPr>
          <w:rFonts w:hint="default" w:ascii="Arial" w:hAnsi="Arial" w:cs="Arial"/>
          <w:sz w:val="22"/>
          <w:szCs w:val="22"/>
          <w:highlight w:val="none"/>
          <w:u w:val="none"/>
          <w:lang w:val="pt-BR"/>
        </w:rPr>
        <w:t xml:space="preserve">itens </w:t>
      </w:r>
      <w:r>
        <w:rPr>
          <w:rFonts w:hint="default" w:ascii="Arial" w:hAnsi="Arial" w:cs="Arial"/>
          <w:b/>
          <w:bCs/>
          <w:sz w:val="22"/>
          <w:szCs w:val="22"/>
          <w:highlight w:val="none"/>
          <w:u w:val="none"/>
          <w:lang w:val="pt-BR"/>
        </w:rPr>
        <w:t>1-13 18 e 19</w:t>
      </w:r>
      <w:r>
        <w:rPr>
          <w:rFonts w:hint="default" w:ascii="Arial" w:hAnsi="Arial" w:cs="Arial"/>
          <w:sz w:val="22"/>
          <w:szCs w:val="22"/>
          <w:highlight w:val="none"/>
          <w:u w:val="none"/>
          <w:lang w:val="pt-BR"/>
        </w:rPr>
        <w:t xml:space="preserve"> </w:t>
      </w:r>
      <w:r>
        <w:rPr>
          <w:rFonts w:ascii="Arial" w:hAnsi="Arial" w:cs="Arial"/>
          <w:sz w:val="22"/>
          <w:szCs w:val="22"/>
          <w:highlight w:val="none"/>
          <w:u w:val="none"/>
        </w:rPr>
        <w:t xml:space="preserve">a participação </w:t>
      </w:r>
      <w:r>
        <w:rPr>
          <w:rFonts w:ascii="Arial" w:hAnsi="Arial" w:cs="Arial"/>
          <w:b/>
          <w:bCs/>
          <w:sz w:val="22"/>
          <w:szCs w:val="22"/>
          <w:highlight w:val="none"/>
          <w:u w:val="none"/>
        </w:rPr>
        <w:t xml:space="preserve">é exclusiva a </w:t>
      </w:r>
      <w:r>
        <w:rPr>
          <w:rFonts w:hint="default" w:ascii="Arial" w:hAnsi="Arial" w:cs="Arial"/>
          <w:b/>
          <w:bCs/>
          <w:sz w:val="22"/>
          <w:szCs w:val="22"/>
          <w:highlight w:val="none"/>
          <w:u w:val="none"/>
          <w:lang w:val="pt-BR"/>
        </w:rPr>
        <w:t>M</w:t>
      </w:r>
      <w:r>
        <w:rPr>
          <w:rFonts w:ascii="Arial" w:hAnsi="Arial" w:cs="Arial"/>
          <w:b/>
          <w:bCs/>
          <w:sz w:val="22"/>
          <w:szCs w:val="22"/>
          <w:highlight w:val="none"/>
          <w:u w:val="none"/>
        </w:rPr>
        <w:t xml:space="preserve">icroempresas e </w:t>
      </w:r>
      <w:r>
        <w:rPr>
          <w:rFonts w:hint="default" w:ascii="Arial" w:hAnsi="Arial" w:cs="Arial"/>
          <w:b/>
          <w:bCs/>
          <w:sz w:val="22"/>
          <w:szCs w:val="22"/>
          <w:highlight w:val="none"/>
          <w:u w:val="none"/>
          <w:lang w:val="pt-BR"/>
        </w:rPr>
        <w:t>E</w:t>
      </w:r>
      <w:r>
        <w:rPr>
          <w:rFonts w:ascii="Arial" w:hAnsi="Arial" w:cs="Arial"/>
          <w:b/>
          <w:bCs/>
          <w:sz w:val="22"/>
          <w:szCs w:val="22"/>
          <w:highlight w:val="none"/>
          <w:u w:val="none"/>
        </w:rPr>
        <w:t xml:space="preserve">mpresas de </w:t>
      </w:r>
      <w:r>
        <w:rPr>
          <w:rFonts w:hint="default" w:ascii="Arial" w:hAnsi="Arial" w:cs="Arial"/>
          <w:b/>
          <w:bCs/>
          <w:sz w:val="22"/>
          <w:szCs w:val="22"/>
          <w:highlight w:val="none"/>
          <w:u w:val="none"/>
          <w:lang w:val="pt-BR"/>
        </w:rPr>
        <w:t>P</w:t>
      </w:r>
      <w:r>
        <w:rPr>
          <w:rFonts w:ascii="Arial" w:hAnsi="Arial" w:cs="Arial"/>
          <w:b/>
          <w:bCs/>
          <w:sz w:val="22"/>
          <w:szCs w:val="22"/>
          <w:highlight w:val="none"/>
          <w:u w:val="none"/>
        </w:rPr>
        <w:t xml:space="preserve">equeno </w:t>
      </w:r>
      <w:r>
        <w:rPr>
          <w:rFonts w:hint="default" w:ascii="Arial" w:hAnsi="Arial" w:cs="Arial"/>
          <w:b/>
          <w:bCs/>
          <w:sz w:val="22"/>
          <w:szCs w:val="22"/>
          <w:highlight w:val="none"/>
          <w:u w:val="none"/>
          <w:lang w:val="pt-BR"/>
        </w:rPr>
        <w:t>P</w:t>
      </w:r>
      <w:r>
        <w:rPr>
          <w:rFonts w:ascii="Arial" w:hAnsi="Arial" w:cs="Arial"/>
          <w:b/>
          <w:bCs/>
          <w:sz w:val="22"/>
          <w:szCs w:val="22"/>
          <w:highlight w:val="none"/>
          <w:u w:val="none"/>
        </w:rPr>
        <w:t>orte</w:t>
      </w:r>
      <w:r>
        <w:rPr>
          <w:rFonts w:ascii="Arial" w:hAnsi="Arial" w:cs="Arial"/>
          <w:sz w:val="22"/>
          <w:szCs w:val="22"/>
          <w:highlight w:val="none"/>
          <w:u w:val="none"/>
        </w:rPr>
        <w:t>.</w:t>
      </w:r>
      <w:r>
        <w:rPr>
          <w:rFonts w:hint="default" w:ascii="Arial" w:hAnsi="Arial" w:cs="Arial"/>
          <w:sz w:val="22"/>
          <w:szCs w:val="22"/>
          <w:highlight w:val="none"/>
          <w:u w:val="none"/>
          <w:lang w:val="pt-BR"/>
        </w:rPr>
        <w:t xml:space="preserve"> Em relação aos itens </w:t>
      </w:r>
      <w:r>
        <w:rPr>
          <w:rFonts w:hint="default" w:ascii="Arial" w:hAnsi="Arial" w:cs="Arial"/>
          <w:b/>
          <w:bCs/>
          <w:sz w:val="22"/>
          <w:szCs w:val="22"/>
          <w:highlight w:val="none"/>
          <w:u w:val="none"/>
          <w:lang w:val="pt-BR"/>
        </w:rPr>
        <w:t>14 e 16</w:t>
      </w:r>
      <w:r>
        <w:rPr>
          <w:rFonts w:hint="default" w:ascii="Arial" w:hAnsi="Arial" w:cs="Arial"/>
          <w:sz w:val="22"/>
          <w:szCs w:val="22"/>
          <w:highlight w:val="none"/>
          <w:u w:val="none"/>
          <w:lang w:val="pt-BR"/>
        </w:rPr>
        <w:t xml:space="preserve"> a participação será</w:t>
      </w:r>
      <w:r>
        <w:rPr>
          <w:rFonts w:ascii="Arial" w:hAnsi="Arial" w:cs="Arial"/>
          <w:sz w:val="22"/>
          <w:szCs w:val="22"/>
          <w:highlight w:val="none"/>
          <w:u w:val="none"/>
        </w:rPr>
        <w:t xml:space="preserve"> destinad</w:t>
      </w:r>
      <w:r>
        <w:rPr>
          <w:rFonts w:hint="default" w:ascii="Arial" w:hAnsi="Arial" w:cs="Arial"/>
          <w:sz w:val="22"/>
          <w:szCs w:val="22"/>
          <w:highlight w:val="none"/>
          <w:u w:val="none"/>
          <w:lang w:val="pt-BR"/>
        </w:rPr>
        <w:t>a</w:t>
      </w:r>
      <w:r>
        <w:rPr>
          <w:rFonts w:ascii="Arial" w:hAnsi="Arial" w:cs="Arial"/>
          <w:sz w:val="22"/>
          <w:szCs w:val="22"/>
          <w:highlight w:val="none"/>
          <w:u w:val="none"/>
        </w:rPr>
        <w:t xml:space="preserve"> a todas as empresas, incluindo </w:t>
      </w:r>
      <w:r>
        <w:rPr>
          <w:rFonts w:hint="default" w:ascii="Arial" w:hAnsi="Arial" w:cs="Arial"/>
          <w:sz w:val="22"/>
          <w:szCs w:val="22"/>
          <w:highlight w:val="none"/>
          <w:u w:val="none"/>
          <w:lang w:val="pt-BR"/>
        </w:rPr>
        <w:t>M</w:t>
      </w:r>
      <w:r>
        <w:rPr>
          <w:rFonts w:ascii="Arial" w:hAnsi="Arial" w:cs="Arial"/>
          <w:sz w:val="22"/>
          <w:szCs w:val="22"/>
          <w:highlight w:val="none"/>
          <w:u w:val="none"/>
        </w:rPr>
        <w:t xml:space="preserve">icroempresas e </w:t>
      </w:r>
      <w:r>
        <w:rPr>
          <w:rFonts w:hint="default" w:ascii="Arial" w:hAnsi="Arial" w:cs="Arial"/>
          <w:sz w:val="22"/>
          <w:szCs w:val="22"/>
          <w:highlight w:val="none"/>
          <w:u w:val="none"/>
          <w:lang w:val="pt-BR"/>
        </w:rPr>
        <w:t>E</w:t>
      </w:r>
      <w:r>
        <w:rPr>
          <w:rFonts w:ascii="Arial" w:hAnsi="Arial" w:cs="Arial"/>
          <w:sz w:val="22"/>
          <w:szCs w:val="22"/>
          <w:highlight w:val="none"/>
          <w:u w:val="none"/>
        </w:rPr>
        <w:t xml:space="preserve">mpresas de </w:t>
      </w:r>
      <w:r>
        <w:rPr>
          <w:rFonts w:hint="default" w:ascii="Arial" w:hAnsi="Arial" w:cs="Arial"/>
          <w:sz w:val="22"/>
          <w:szCs w:val="22"/>
          <w:highlight w:val="none"/>
          <w:u w:val="none"/>
          <w:lang w:val="pt-BR"/>
        </w:rPr>
        <w:t>P</w:t>
      </w:r>
      <w:r>
        <w:rPr>
          <w:rFonts w:ascii="Arial" w:hAnsi="Arial" w:cs="Arial"/>
          <w:sz w:val="22"/>
          <w:szCs w:val="22"/>
          <w:highlight w:val="none"/>
          <w:u w:val="none"/>
        </w:rPr>
        <w:t xml:space="preserve">equeno </w:t>
      </w:r>
      <w:r>
        <w:rPr>
          <w:rFonts w:hint="default" w:ascii="Arial" w:hAnsi="Arial" w:cs="Arial"/>
          <w:sz w:val="22"/>
          <w:szCs w:val="22"/>
          <w:highlight w:val="none"/>
          <w:u w:val="none"/>
          <w:lang w:val="pt-BR"/>
        </w:rPr>
        <w:t>P</w:t>
      </w:r>
      <w:r>
        <w:rPr>
          <w:rFonts w:ascii="Arial" w:hAnsi="Arial" w:cs="Arial"/>
          <w:sz w:val="22"/>
          <w:szCs w:val="22"/>
          <w:highlight w:val="none"/>
          <w:u w:val="none"/>
        </w:rPr>
        <w:t xml:space="preserve">orte, com tratamento diferenciado </w:t>
      </w:r>
      <w:r>
        <w:rPr>
          <w:rFonts w:ascii="Arial" w:hAnsi="Arial" w:cs="Arial"/>
          <w:b/>
          <w:bCs/>
          <w:sz w:val="22"/>
          <w:szCs w:val="22"/>
          <w:highlight w:val="none"/>
          <w:u w:val="none"/>
        </w:rPr>
        <w:t>(Cota Principal de 75%)</w:t>
      </w:r>
      <w:r>
        <w:rPr>
          <w:rFonts w:hint="default" w:ascii="Arial" w:hAnsi="Arial" w:cs="Arial"/>
          <w:sz w:val="22"/>
          <w:szCs w:val="22"/>
          <w:highlight w:val="none"/>
          <w:u w:val="none"/>
          <w:lang w:val="pt-BR"/>
        </w:rPr>
        <w:t xml:space="preserve"> e os itens </w:t>
      </w:r>
      <w:r>
        <w:rPr>
          <w:rFonts w:hint="default" w:ascii="Arial" w:hAnsi="Arial" w:cs="Arial"/>
          <w:b/>
          <w:bCs/>
          <w:sz w:val="22"/>
          <w:szCs w:val="22"/>
          <w:highlight w:val="none"/>
          <w:u w:val="none"/>
          <w:lang w:val="pt-BR"/>
        </w:rPr>
        <w:t>15 e 17</w:t>
      </w:r>
      <w:r>
        <w:rPr>
          <w:rFonts w:hint="default" w:ascii="Arial" w:hAnsi="Arial" w:cs="Arial"/>
          <w:sz w:val="22"/>
          <w:szCs w:val="22"/>
          <w:highlight w:val="none"/>
          <w:u w:val="none"/>
          <w:lang w:val="pt-BR"/>
        </w:rPr>
        <w:t>,</w:t>
      </w:r>
      <w:r>
        <w:rPr>
          <w:rFonts w:ascii="Arial" w:hAnsi="Arial" w:cs="Arial"/>
          <w:sz w:val="22"/>
          <w:szCs w:val="22"/>
          <w:highlight w:val="none"/>
          <w:u w:val="none"/>
        </w:rPr>
        <w:t xml:space="preserve"> a participação </w:t>
      </w:r>
      <w:r>
        <w:rPr>
          <w:rFonts w:hint="default" w:ascii="Arial" w:hAnsi="Arial" w:cs="Arial"/>
          <w:sz w:val="22"/>
          <w:szCs w:val="22"/>
          <w:highlight w:val="none"/>
          <w:u w:val="none"/>
          <w:lang w:val="pt-BR"/>
        </w:rPr>
        <w:t>será</w:t>
      </w:r>
      <w:r>
        <w:rPr>
          <w:rFonts w:ascii="Arial" w:hAnsi="Arial" w:cs="Arial"/>
          <w:sz w:val="22"/>
          <w:szCs w:val="22"/>
          <w:highlight w:val="none"/>
          <w:u w:val="none"/>
        </w:rPr>
        <w:t xml:space="preserve"> exclusiva a </w:t>
      </w:r>
      <w:r>
        <w:rPr>
          <w:rFonts w:hint="default" w:ascii="Arial" w:hAnsi="Arial" w:cs="Arial"/>
          <w:sz w:val="22"/>
          <w:szCs w:val="22"/>
          <w:highlight w:val="none"/>
          <w:u w:val="none"/>
          <w:lang w:val="pt-BR"/>
        </w:rPr>
        <w:t>M</w:t>
      </w:r>
      <w:r>
        <w:rPr>
          <w:rFonts w:ascii="Arial" w:hAnsi="Arial" w:cs="Arial"/>
          <w:sz w:val="22"/>
          <w:szCs w:val="22"/>
          <w:highlight w:val="none"/>
          <w:u w:val="none"/>
        </w:rPr>
        <w:t xml:space="preserve">icroempresas e </w:t>
      </w:r>
      <w:r>
        <w:rPr>
          <w:rFonts w:hint="default" w:ascii="Arial" w:hAnsi="Arial" w:cs="Arial"/>
          <w:sz w:val="22"/>
          <w:szCs w:val="22"/>
          <w:highlight w:val="none"/>
          <w:u w:val="none"/>
          <w:lang w:val="pt-BR"/>
        </w:rPr>
        <w:t>E</w:t>
      </w:r>
      <w:r>
        <w:rPr>
          <w:rFonts w:ascii="Arial" w:hAnsi="Arial" w:cs="Arial"/>
          <w:sz w:val="22"/>
          <w:szCs w:val="22"/>
          <w:highlight w:val="none"/>
          <w:u w:val="none"/>
        </w:rPr>
        <w:t xml:space="preserve">mpresas de </w:t>
      </w:r>
      <w:r>
        <w:rPr>
          <w:rFonts w:hint="default" w:ascii="Arial" w:hAnsi="Arial" w:cs="Arial"/>
          <w:sz w:val="22"/>
          <w:szCs w:val="22"/>
          <w:highlight w:val="none"/>
          <w:u w:val="none"/>
          <w:lang w:val="pt-BR"/>
        </w:rPr>
        <w:t>P</w:t>
      </w:r>
      <w:r>
        <w:rPr>
          <w:rFonts w:ascii="Arial" w:hAnsi="Arial" w:cs="Arial"/>
          <w:sz w:val="22"/>
          <w:szCs w:val="22"/>
          <w:highlight w:val="none"/>
          <w:u w:val="none"/>
        </w:rPr>
        <w:t xml:space="preserve">equeno </w:t>
      </w:r>
      <w:r>
        <w:rPr>
          <w:rFonts w:hint="default" w:ascii="Arial" w:hAnsi="Arial" w:cs="Arial"/>
          <w:sz w:val="22"/>
          <w:szCs w:val="22"/>
          <w:highlight w:val="none"/>
          <w:u w:val="none"/>
          <w:lang w:val="pt-BR"/>
        </w:rPr>
        <w:t>P</w:t>
      </w:r>
      <w:r>
        <w:rPr>
          <w:rFonts w:ascii="Arial" w:hAnsi="Arial" w:cs="Arial"/>
          <w:sz w:val="22"/>
          <w:szCs w:val="22"/>
          <w:highlight w:val="none"/>
          <w:u w:val="none"/>
        </w:rPr>
        <w:t xml:space="preserve">orte </w:t>
      </w:r>
      <w:r>
        <w:rPr>
          <w:rFonts w:ascii="Arial" w:hAnsi="Arial" w:cs="Arial"/>
          <w:b/>
          <w:bCs/>
          <w:sz w:val="22"/>
          <w:szCs w:val="22"/>
          <w:highlight w:val="none"/>
          <w:u w:val="none"/>
        </w:rPr>
        <w:t>(Cota Reservada de 25%).</w:t>
      </w:r>
      <w:r>
        <w:rPr>
          <w:rFonts w:hint="default" w:ascii="Arial" w:hAnsi="Arial" w:cs="Arial"/>
          <w:b/>
          <w:bCs/>
          <w:sz w:val="22"/>
          <w:szCs w:val="22"/>
          <w:highlight w:val="none"/>
          <w:u w:val="none"/>
          <w:lang w:val="pt-BR"/>
        </w:rPr>
        <w:t xml:space="preserve"> </w:t>
      </w:r>
    </w:p>
    <w:p w14:paraId="0B9ED0C8">
      <w:pPr>
        <w:pStyle w:val="25"/>
        <w:widowControl w:val="0"/>
        <w:numPr>
          <w:ilvl w:val="0"/>
          <w:numId w:val="0"/>
        </w:numPr>
        <w:tabs>
          <w:tab w:val="left" w:pos="993"/>
          <w:tab w:val="left" w:pos="1276"/>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 xml:space="preserve">3.1.2. </w:t>
      </w:r>
      <w:r>
        <w:rPr>
          <w:rFonts w:ascii="Arial" w:hAnsi="Arial" w:cs="Arial"/>
          <w:sz w:val="22"/>
          <w:szCs w:val="22"/>
        </w:rPr>
        <w:t xml:space="preserve">Se a mesma empresa vencer a </w:t>
      </w:r>
      <w:r>
        <w:rPr>
          <w:rFonts w:hint="default" w:ascii="Arial" w:hAnsi="Arial" w:cs="Arial"/>
          <w:sz w:val="22"/>
          <w:szCs w:val="22"/>
          <w:lang w:val="pt-BR"/>
        </w:rPr>
        <w:t>C</w:t>
      </w:r>
      <w:r>
        <w:rPr>
          <w:rFonts w:ascii="Arial" w:hAnsi="Arial" w:cs="Arial"/>
          <w:sz w:val="22"/>
          <w:szCs w:val="22"/>
        </w:rPr>
        <w:t xml:space="preserve">ota </w:t>
      </w:r>
      <w:r>
        <w:rPr>
          <w:rFonts w:hint="default" w:ascii="Arial" w:hAnsi="Arial" w:cs="Arial"/>
          <w:sz w:val="22"/>
          <w:szCs w:val="22"/>
          <w:lang w:val="pt-BR"/>
        </w:rPr>
        <w:t>R</w:t>
      </w:r>
      <w:r>
        <w:rPr>
          <w:rFonts w:ascii="Arial" w:hAnsi="Arial" w:cs="Arial"/>
          <w:sz w:val="22"/>
          <w:szCs w:val="22"/>
        </w:rPr>
        <w:t xml:space="preserve">eservada e a </w:t>
      </w:r>
      <w:r>
        <w:rPr>
          <w:rFonts w:hint="default" w:ascii="Arial" w:hAnsi="Arial" w:cs="Arial"/>
          <w:sz w:val="22"/>
          <w:szCs w:val="22"/>
          <w:lang w:val="pt-BR"/>
        </w:rPr>
        <w:t>C</w:t>
      </w:r>
      <w:r>
        <w:rPr>
          <w:rFonts w:ascii="Arial" w:hAnsi="Arial" w:cs="Arial"/>
          <w:sz w:val="22"/>
          <w:szCs w:val="22"/>
        </w:rPr>
        <w:t xml:space="preserve">ota </w:t>
      </w:r>
      <w:r>
        <w:rPr>
          <w:rFonts w:hint="default" w:ascii="Arial" w:hAnsi="Arial" w:cs="Arial"/>
          <w:sz w:val="22"/>
          <w:szCs w:val="22"/>
          <w:lang w:val="pt-BR"/>
        </w:rPr>
        <w:t>P</w:t>
      </w:r>
      <w:r>
        <w:rPr>
          <w:rFonts w:ascii="Arial" w:hAnsi="Arial" w:cs="Arial"/>
          <w:sz w:val="22"/>
          <w:szCs w:val="22"/>
        </w:rPr>
        <w:t>rincipal</w:t>
      </w:r>
      <w:r>
        <w:rPr>
          <w:rFonts w:hint="default" w:ascii="Arial" w:hAnsi="Arial" w:cs="Arial"/>
          <w:sz w:val="22"/>
          <w:szCs w:val="22"/>
          <w:lang w:val="pt-BR"/>
        </w:rPr>
        <w:t xml:space="preserve"> com valores diferentes</w:t>
      </w:r>
      <w:r>
        <w:rPr>
          <w:rFonts w:ascii="Arial" w:hAnsi="Arial" w:cs="Arial"/>
          <w:sz w:val="22"/>
          <w:szCs w:val="22"/>
        </w:rPr>
        <w:t xml:space="preserve">, a </w:t>
      </w:r>
      <w:r>
        <w:rPr>
          <w:rFonts w:hint="default" w:ascii="Arial" w:hAnsi="Arial" w:cs="Arial"/>
          <w:sz w:val="22"/>
          <w:szCs w:val="22"/>
          <w:lang w:val="pt-BR"/>
        </w:rPr>
        <w:t>empresa vencedora deverá equiparar os valores das cotas com o menor valor registrado em uma delas.</w:t>
      </w:r>
    </w:p>
    <w:p w14:paraId="7505D0B1">
      <w:pPr>
        <w:pStyle w:val="25"/>
        <w:widowControl w:val="0"/>
        <w:numPr>
          <w:ilvl w:val="0"/>
          <w:numId w:val="0"/>
        </w:numPr>
        <w:tabs>
          <w:tab w:val="left" w:pos="993"/>
          <w:tab w:val="left" w:pos="1276"/>
        </w:tabs>
        <w:adjustRightInd w:val="0"/>
        <w:spacing w:before="240" w:after="240" w:line="360" w:lineRule="auto"/>
        <w:ind w:left="0" w:leftChars="0" w:firstLine="479" w:firstLineChars="217"/>
        <w:textAlignment w:val="baseline"/>
        <w:rPr>
          <w:rFonts w:ascii="Arial" w:hAnsi="Arial" w:cs="Arial"/>
          <w:sz w:val="22"/>
          <w:szCs w:val="22"/>
        </w:rPr>
      </w:pPr>
      <w:r>
        <w:rPr>
          <w:rFonts w:hint="default" w:ascii="Arial" w:hAnsi="Arial" w:cs="Arial"/>
          <w:b/>
          <w:bCs/>
          <w:sz w:val="22"/>
          <w:szCs w:val="22"/>
          <w:lang w:val="pt-BR"/>
        </w:rPr>
        <w:t xml:space="preserve">3.1.3. </w:t>
      </w:r>
      <w:r>
        <w:rPr>
          <w:rFonts w:ascii="Arial" w:hAnsi="Arial" w:cs="Arial"/>
          <w:sz w:val="22"/>
          <w:szCs w:val="22"/>
        </w:rPr>
        <w:t xml:space="preserve">Será observada quando da aquisição dos produtos </w:t>
      </w:r>
      <w:r>
        <w:rPr>
          <w:rFonts w:hint="default" w:ascii="Arial" w:hAnsi="Arial" w:cs="Arial"/>
          <w:sz w:val="22"/>
          <w:szCs w:val="22"/>
          <w:lang w:val="pt-BR"/>
        </w:rPr>
        <w:t xml:space="preserve">ou da prestação dos serviços </w:t>
      </w:r>
      <w:r>
        <w:rPr>
          <w:rFonts w:ascii="Arial" w:hAnsi="Arial" w:cs="Arial"/>
          <w:sz w:val="22"/>
          <w:szCs w:val="22"/>
        </w:rPr>
        <w:t xml:space="preserve">a prioridade </w:t>
      </w:r>
      <w:r>
        <w:rPr>
          <w:rFonts w:hint="default" w:ascii="Arial" w:hAnsi="Arial" w:cs="Arial"/>
          <w:sz w:val="22"/>
          <w:szCs w:val="22"/>
          <w:lang w:val="pt-BR"/>
        </w:rPr>
        <w:t>daqueles constantes n</w:t>
      </w:r>
      <w:r>
        <w:rPr>
          <w:rFonts w:ascii="Arial" w:hAnsi="Arial" w:cs="Arial"/>
          <w:sz w:val="22"/>
          <w:szCs w:val="22"/>
        </w:rPr>
        <w:t xml:space="preserve">as </w:t>
      </w:r>
      <w:r>
        <w:rPr>
          <w:rFonts w:hint="default" w:ascii="Arial" w:hAnsi="Arial" w:cs="Arial"/>
          <w:sz w:val="22"/>
          <w:szCs w:val="22"/>
          <w:lang w:val="pt-BR"/>
        </w:rPr>
        <w:t>C</w:t>
      </w:r>
      <w:r>
        <w:rPr>
          <w:rFonts w:ascii="Arial" w:hAnsi="Arial" w:cs="Arial"/>
          <w:sz w:val="22"/>
          <w:szCs w:val="22"/>
        </w:rPr>
        <w:t xml:space="preserve">otas </w:t>
      </w:r>
      <w:r>
        <w:rPr>
          <w:rFonts w:hint="default" w:ascii="Arial" w:hAnsi="Arial" w:cs="Arial"/>
          <w:sz w:val="22"/>
          <w:szCs w:val="22"/>
          <w:lang w:val="pt-BR"/>
        </w:rPr>
        <w:t>R</w:t>
      </w:r>
      <w:r>
        <w:rPr>
          <w:rFonts w:ascii="Arial" w:hAnsi="Arial" w:cs="Arial"/>
          <w:sz w:val="22"/>
          <w:szCs w:val="22"/>
        </w:rPr>
        <w:t>eservadas.</w:t>
      </w:r>
    </w:p>
    <w:p w14:paraId="0909C63A">
      <w:pPr>
        <w:pStyle w:val="25"/>
        <w:widowControl w:val="0"/>
        <w:numPr>
          <w:ilvl w:val="0"/>
          <w:numId w:val="0"/>
        </w:numPr>
        <w:tabs>
          <w:tab w:val="left" w:pos="993"/>
          <w:tab w:val="left" w:pos="1276"/>
        </w:tabs>
        <w:adjustRightInd w:val="0"/>
        <w:spacing w:before="240" w:after="240" w:line="360" w:lineRule="auto"/>
        <w:ind w:left="0" w:leftChars="0" w:firstLine="479" w:firstLineChars="217"/>
        <w:textAlignment w:val="baseline"/>
        <w:rPr>
          <w:rFonts w:hint="default" w:ascii="Arial" w:hAnsi="Arial" w:cs="Arial"/>
          <w:sz w:val="22"/>
          <w:szCs w:val="22"/>
          <w:lang w:val="pt-BR"/>
        </w:rPr>
      </w:pPr>
      <w:r>
        <w:rPr>
          <w:rFonts w:hint="default" w:ascii="Arial" w:hAnsi="Arial" w:cs="Arial"/>
          <w:b/>
          <w:bCs/>
          <w:sz w:val="22"/>
          <w:szCs w:val="22"/>
          <w:lang w:val="pt-BR"/>
        </w:rPr>
        <w:t>3.1.4.</w:t>
      </w:r>
      <w:r>
        <w:rPr>
          <w:rFonts w:hint="default" w:ascii="Arial" w:hAnsi="Arial" w:cs="Arial"/>
          <w:sz w:val="22"/>
          <w:szCs w:val="22"/>
          <w:lang w:val="pt-BR"/>
        </w:rPr>
        <w:t xml:space="preserve"> N</w:t>
      </w:r>
      <w:r>
        <w:rPr>
          <w:rFonts w:hint="default" w:ascii="Arial" w:hAnsi="Arial" w:cs="Arial"/>
          <w:sz w:val="22"/>
          <w:szCs w:val="22"/>
          <w:highlight w:val="none"/>
        </w:rPr>
        <w:t>ão havendo vencedor para a cota reservada a microempresas, empresas de pequeno porte e microempreendedores individuais, esta poderá ser adjudicada ao vencedor da cota principal ou, diante de sua recusa, aos licitantes remanescentes, desde que pratiquem o preço do primeiro colocado.</w:t>
      </w:r>
    </w:p>
    <w:p w14:paraId="4F073EBA">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14:paraId="0C45E5D0">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40C9608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12A75506">
      <w:pPr>
        <w:pStyle w:val="136"/>
        <w:numPr>
          <w:ilvl w:val="0"/>
          <w:numId w:val="0"/>
        </w:numPr>
        <w:spacing w:line="360" w:lineRule="auto"/>
        <w:ind w:left="0" w:leftChars="0" w:firstLine="592"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1"/>
    </w:p>
    <w:p w14:paraId="25A7C1A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5BABB227">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59FE39F4">
      <w:pPr>
        <w:pStyle w:val="136"/>
        <w:numPr>
          <w:ilvl w:val="0"/>
          <w:numId w:val="0"/>
        </w:numPr>
        <w:spacing w:line="360" w:lineRule="auto"/>
        <w:ind w:left="0" w:leftChars="0" w:firstLine="481"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ou que deles seja cônjuge, companheiro ou parente em linha reta, colateral ou por afinidade, até o terceiro grau;</w:t>
      </w:r>
    </w:p>
    <w:p w14:paraId="6F0D1D77">
      <w:pPr>
        <w:pStyle w:val="127"/>
        <w:numPr>
          <w:ilvl w:val="2"/>
          <w:numId w:val="6"/>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56A7D2ED">
      <w:pPr>
        <w:numPr>
          <w:ilvl w:val="2"/>
          <w:numId w:val="6"/>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0B42221C">
      <w:pPr>
        <w:pStyle w:val="136"/>
        <w:numPr>
          <w:ilvl w:val="2"/>
          <w:numId w:val="6"/>
        </w:numPr>
        <w:tabs>
          <w:tab w:val="left" w:pos="1200"/>
        </w:tabs>
        <w:spacing w:line="360" w:lineRule="auto"/>
        <w:ind w:left="0" w:leftChars="0" w:firstLine="567" w:firstLineChars="0"/>
        <w:rPr>
          <w:sz w:val="22"/>
          <w:szCs w:val="22"/>
        </w:rPr>
      </w:pPr>
      <w:bookmarkStart w:id="2" w:name="_Ref114659912"/>
      <w:bookmarkStart w:id="3" w:name="_Ref113883338"/>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2"/>
      <w:bookmarkEnd w:id="3"/>
    </w:p>
    <w:p w14:paraId="6C3F035A">
      <w:pPr>
        <w:pStyle w:val="136"/>
        <w:numPr>
          <w:ilvl w:val="2"/>
          <w:numId w:val="6"/>
        </w:numPr>
        <w:spacing w:line="360" w:lineRule="auto"/>
        <w:ind w:left="0" w:leftChars="0" w:firstLine="567" w:firstLineChars="0"/>
        <w:rPr>
          <w:sz w:val="22"/>
          <w:szCs w:val="22"/>
        </w:rPr>
      </w:pPr>
      <w:bookmarkStart w:id="4" w:name="_Ref114659913"/>
      <w:bookmarkStart w:id="5"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4781DC76">
      <w:pPr>
        <w:pStyle w:val="136"/>
        <w:numPr>
          <w:ilvl w:val="2"/>
          <w:numId w:val="6"/>
        </w:numPr>
        <w:spacing w:line="360" w:lineRule="auto"/>
        <w:ind w:left="0" w:leftChars="0" w:firstLine="567" w:firstLineChars="0"/>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14:paraId="543322C9">
      <w:pPr>
        <w:pStyle w:val="136"/>
        <w:numPr>
          <w:ilvl w:val="2"/>
          <w:numId w:val="6"/>
        </w:numPr>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F258086">
      <w:pPr>
        <w:pStyle w:val="136"/>
        <w:numPr>
          <w:ilvl w:val="2"/>
          <w:numId w:val="6"/>
        </w:numPr>
        <w:spacing w:line="360" w:lineRule="auto"/>
        <w:ind w:left="0" w:leftChars="0" w:firstLine="567" w:firstLineChars="0"/>
        <w:rPr>
          <w:sz w:val="22"/>
          <w:szCs w:val="22"/>
        </w:rPr>
      </w:pPr>
      <w:bookmarkStart w:id="7" w:name="_Ref113962336"/>
      <w:r>
        <w:rPr>
          <w:rFonts w:hint="default"/>
          <w:sz w:val="22"/>
          <w:szCs w:val="22"/>
          <w:lang w:val="pt-BR"/>
        </w:rPr>
        <w:t>A</w:t>
      </w:r>
      <w:r>
        <w:rPr>
          <w:sz w:val="22"/>
          <w:szCs w:val="22"/>
        </w:rPr>
        <w:t>gente público do órgão ou entidade licitante;</w:t>
      </w:r>
      <w:bookmarkEnd w:id="7"/>
    </w:p>
    <w:p w14:paraId="500F1E13">
      <w:pPr>
        <w:pStyle w:val="136"/>
        <w:numPr>
          <w:ilvl w:val="2"/>
          <w:numId w:val="6"/>
        </w:numPr>
        <w:spacing w:line="360" w:lineRule="auto"/>
        <w:ind w:left="0" w:leftChars="0" w:firstLine="567" w:firstLineChars="0"/>
        <w:rPr>
          <w:sz w:val="22"/>
          <w:szCs w:val="22"/>
        </w:rPr>
      </w:pPr>
      <w:r>
        <w:rPr>
          <w:sz w:val="22"/>
          <w:szCs w:val="22"/>
        </w:rPr>
        <w:t>Organizações da Sociedade Civil de Interesse Público - OSCIP, atuando nessa condição;</w:t>
      </w:r>
    </w:p>
    <w:p w14:paraId="7A0E45DA">
      <w:pPr>
        <w:pStyle w:val="136"/>
        <w:numPr>
          <w:ilvl w:val="2"/>
          <w:numId w:val="6"/>
        </w:numPr>
        <w:spacing w:line="360" w:lineRule="auto"/>
        <w:ind w:left="0" w:leftChars="0" w:firstLine="567" w:firstLineChars="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4"/>
          <w:color w:val="auto"/>
          <w:sz w:val="22"/>
          <w:szCs w:val="22"/>
          <w:u w:val="none"/>
        </w:rPr>
        <w:t>§ 1º do art. 9º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w:t>
      </w:r>
    </w:p>
    <w:p w14:paraId="02C93417">
      <w:pPr>
        <w:pStyle w:val="133"/>
        <w:numPr>
          <w:ilvl w:val="1"/>
          <w:numId w:val="6"/>
        </w:numPr>
        <w:tabs>
          <w:tab w:val="left" w:pos="480"/>
        </w:tabs>
        <w:spacing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CAFBFB9">
      <w:pPr>
        <w:pStyle w:val="133"/>
        <w:numPr>
          <w:ilvl w:val="1"/>
          <w:numId w:val="6"/>
        </w:numPr>
        <w:tabs>
          <w:tab w:val="left" w:pos="480"/>
        </w:tabs>
        <w:spacing w:line="360" w:lineRule="auto"/>
        <w:ind w:left="0" w:leftChars="0" w:firstLine="0" w:firstLineChars="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desde que sob supervisão exclusiva de agentes públicos do órgão ou entidade.</w:t>
      </w:r>
    </w:p>
    <w:p w14:paraId="1012EF05">
      <w:pPr>
        <w:pStyle w:val="133"/>
        <w:numPr>
          <w:ilvl w:val="1"/>
          <w:numId w:val="6"/>
        </w:numPr>
        <w:tabs>
          <w:tab w:val="left" w:pos="480"/>
        </w:tabs>
        <w:spacing w:line="360" w:lineRule="auto"/>
        <w:ind w:left="0" w:leftChars="0" w:firstLine="0" w:firstLineChars="0"/>
        <w:rPr>
          <w:sz w:val="22"/>
          <w:szCs w:val="22"/>
        </w:rPr>
      </w:pPr>
      <w:bookmarkStart w:id="9" w:name="art14§3"/>
      <w:bookmarkEnd w:id="9"/>
      <w:r>
        <w:rPr>
          <w:sz w:val="22"/>
          <w:szCs w:val="22"/>
        </w:rPr>
        <w:t>Equiparam-se aos autores do projeto as empresas integrantes do mesmo grupo econômico.</w:t>
      </w:r>
    </w:p>
    <w:p w14:paraId="7DC35D3A">
      <w:pPr>
        <w:pStyle w:val="133"/>
        <w:numPr>
          <w:ilvl w:val="1"/>
          <w:numId w:val="6"/>
        </w:numPr>
        <w:tabs>
          <w:tab w:val="left" w:pos="480"/>
        </w:tabs>
        <w:spacing w:line="360" w:lineRule="auto"/>
        <w:ind w:left="0" w:leftChars="0" w:firstLine="0" w:firstLineChars="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11CBB9F9">
      <w:pPr>
        <w:pStyle w:val="133"/>
        <w:numPr>
          <w:ilvl w:val="1"/>
          <w:numId w:val="6"/>
        </w:numPr>
        <w:tabs>
          <w:tab w:val="left" w:pos="480"/>
        </w:tabs>
        <w:spacing w:line="360" w:lineRule="auto"/>
        <w:ind w:left="0" w:leftChars="0" w:firstLine="0" w:firstLineChars="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14:paraId="246E1E40">
      <w:pPr>
        <w:pStyle w:val="133"/>
        <w:numPr>
          <w:ilvl w:val="1"/>
          <w:numId w:val="6"/>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7C727375">
      <w:pPr>
        <w:pStyle w:val="127"/>
        <w:widowControl w:val="0"/>
        <w:numPr>
          <w:ilvl w:val="1"/>
          <w:numId w:val="6"/>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64EB657A">
      <w:pPr>
        <w:pStyle w:val="127"/>
        <w:widowControl w:val="0"/>
        <w:numPr>
          <w:ilvl w:val="0"/>
          <w:numId w:val="0"/>
        </w:numPr>
        <w:tabs>
          <w:tab w:val="left" w:pos="1276"/>
        </w:tabs>
        <w:adjustRightInd w:val="0"/>
        <w:spacing w:before="240" w:after="240" w:line="360" w:lineRule="auto"/>
        <w:ind w:left="0" w:leftChars="0" w:firstLine="481"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7F79FA1B">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4B9DF39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19D7F01A">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definidos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1FB34EF9">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3B0C1CC1">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38C80D75">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color w:val="000000"/>
          <w:sz w:val="22"/>
          <w:szCs w:val="22"/>
        </w:rPr>
      </w:pPr>
      <w:r>
        <w:rPr>
          <w:rFonts w:hint="default" w:ascii="Arial" w:hAnsi="Arial" w:cs="Arial"/>
          <w:b/>
          <w:bCs/>
          <w:color w:val="000000"/>
          <w:sz w:val="22"/>
          <w:szCs w:val="22"/>
          <w:lang w:val="pt-BR"/>
        </w:rPr>
        <w:t xml:space="preserve">3.9.7.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06151C4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hint="default" w:ascii="Arial" w:hAnsi="Arial" w:cs="Arial"/>
          <w:color w:val="000000"/>
          <w:sz w:val="22"/>
          <w:szCs w:val="22"/>
          <w:lang w:val="pt-BR"/>
        </w:rPr>
      </w:pPr>
      <w:r>
        <w:rPr>
          <w:rFonts w:hint="default" w:ascii="Arial" w:hAnsi="Arial" w:cs="Arial"/>
          <w:b/>
          <w:bCs/>
          <w:sz w:val="22"/>
          <w:szCs w:val="22"/>
          <w:lang w:val="pt-BR"/>
        </w:rPr>
        <w:t xml:space="preserve">3.9.8. </w:t>
      </w:r>
      <w:r>
        <w:rPr>
          <w:rFonts w:hint="default" w:ascii="Arial" w:hAnsi="Arial" w:cs="Arial"/>
          <w:sz w:val="22"/>
          <w:szCs w:val="22"/>
          <w:lang w:val="pt-BR"/>
        </w:rPr>
        <w:t>Fica estabelecido</w:t>
      </w:r>
      <w:r>
        <w:rPr>
          <w:rFonts w:hint="default" w:ascii="Arial" w:hAnsi="Arial" w:cs="Arial"/>
          <w:sz w:val="22"/>
          <w:szCs w:val="22"/>
        </w:rPr>
        <w:t xml:space="preserve"> para o consórcio </w:t>
      </w:r>
      <w:r>
        <w:rPr>
          <w:rFonts w:hint="default" w:ascii="Arial" w:hAnsi="Arial" w:cs="Arial"/>
          <w:sz w:val="22"/>
          <w:szCs w:val="22"/>
          <w:lang w:val="pt-BR"/>
        </w:rPr>
        <w:t xml:space="preserve">o </w:t>
      </w:r>
      <w:r>
        <w:rPr>
          <w:rFonts w:hint="default" w:ascii="Arial" w:hAnsi="Arial" w:cs="Arial"/>
          <w:sz w:val="22"/>
          <w:szCs w:val="22"/>
        </w:rPr>
        <w:t>acréscimo de 10% (dez por cento)  sobre o valor exigido de licitante individual para a habilitação econômico-financeira</w:t>
      </w:r>
      <w:r>
        <w:rPr>
          <w:rFonts w:hint="default" w:ascii="Arial" w:hAnsi="Arial" w:cs="Arial"/>
          <w:sz w:val="22"/>
          <w:szCs w:val="22"/>
          <w:lang w:val="pt-BR"/>
        </w:rPr>
        <w:t xml:space="preserve"> quando esta for exigida no item 9 deste Edital.</w:t>
      </w:r>
    </w:p>
    <w:p w14:paraId="3D174B78">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23F366A8">
      <w:pPr>
        <w:pStyle w:val="25"/>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3253384A">
      <w:pPr>
        <w:pStyle w:val="133"/>
        <w:numPr>
          <w:ilvl w:val="0"/>
          <w:numId w:val="0"/>
        </w:numPr>
        <w:spacing w:line="360" w:lineRule="auto"/>
        <w:ind w:leftChars="0"/>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M</w:t>
      </w:r>
      <w:r>
        <w:rPr>
          <w:b w:val="0"/>
          <w:bCs w:val="0"/>
          <w:color w:val="auto"/>
          <w:sz w:val="22"/>
          <w:szCs w:val="22"/>
          <w:u w:val="none"/>
        </w:rPr>
        <w:t xml:space="preserve">icroempresas e </w:t>
      </w:r>
      <w:r>
        <w:rPr>
          <w:rFonts w:hint="default"/>
          <w:b w:val="0"/>
          <w:bCs w:val="0"/>
          <w:color w:val="auto"/>
          <w:sz w:val="22"/>
          <w:szCs w:val="22"/>
          <w:u w:val="none"/>
          <w:lang w:val="pt-BR"/>
        </w:rPr>
        <w:t>E</w:t>
      </w:r>
      <w:r>
        <w:rPr>
          <w:b w:val="0"/>
          <w:bCs w:val="0"/>
          <w:color w:val="auto"/>
          <w:sz w:val="22"/>
          <w:szCs w:val="22"/>
          <w:u w:val="none"/>
        </w:rPr>
        <w:t xml:space="preserve">mpresas de </w:t>
      </w:r>
      <w:r>
        <w:rPr>
          <w:rFonts w:hint="default"/>
          <w:b w:val="0"/>
          <w:bCs w:val="0"/>
          <w:color w:val="auto"/>
          <w:sz w:val="22"/>
          <w:szCs w:val="22"/>
          <w:u w:val="none"/>
          <w:lang w:val="pt-BR"/>
        </w:rPr>
        <w:t>P</w:t>
      </w:r>
      <w:r>
        <w:rPr>
          <w:b w:val="0"/>
          <w:bCs w:val="0"/>
          <w:color w:val="auto"/>
          <w:sz w:val="22"/>
          <w:szCs w:val="22"/>
          <w:u w:val="none"/>
        </w:rPr>
        <w:t xml:space="preserve">equeno </w:t>
      </w:r>
      <w:r>
        <w:rPr>
          <w:rFonts w:hint="default"/>
          <w:b w:val="0"/>
          <w:bCs w:val="0"/>
          <w:color w:val="auto"/>
          <w:sz w:val="22"/>
          <w:szCs w:val="22"/>
          <w:u w:val="none"/>
          <w:lang w:val="pt-BR"/>
        </w:rPr>
        <w:t>P</w:t>
      </w:r>
      <w:r>
        <w:rPr>
          <w:b w:val="0"/>
          <w:bCs w:val="0"/>
          <w:color w:val="auto"/>
          <w:sz w:val="22"/>
          <w:szCs w:val="22"/>
          <w:u w:val="none"/>
        </w:rPr>
        <w:t xml:space="preserve">orte, para as </w:t>
      </w:r>
      <w:r>
        <w:rPr>
          <w:rFonts w:hint="default"/>
          <w:b w:val="0"/>
          <w:bCs w:val="0"/>
          <w:color w:val="auto"/>
          <w:sz w:val="22"/>
          <w:szCs w:val="22"/>
          <w:u w:val="none"/>
          <w:lang w:val="pt-BR"/>
        </w:rPr>
        <w:t>S</w:t>
      </w:r>
      <w:r>
        <w:rPr>
          <w:b w:val="0"/>
          <w:bCs w:val="0"/>
          <w:color w:val="auto"/>
          <w:sz w:val="22"/>
          <w:szCs w:val="22"/>
          <w:u w:val="none"/>
        </w:rPr>
        <w:t xml:space="preserve">ociedades </w:t>
      </w:r>
      <w:r>
        <w:rPr>
          <w:rFonts w:hint="default"/>
          <w:b w:val="0"/>
          <w:bCs w:val="0"/>
          <w:color w:val="auto"/>
          <w:sz w:val="22"/>
          <w:szCs w:val="22"/>
          <w:u w:val="none"/>
          <w:lang w:val="pt-BR"/>
        </w:rPr>
        <w:t>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14"/>
          <w:rFonts w:eastAsia="Times New Roman"/>
          <w:b w:val="0"/>
          <w:bCs w:val="0"/>
          <w:color w:val="auto"/>
          <w:sz w:val="22"/>
          <w:szCs w:val="22"/>
          <w:u w:val="none"/>
        </w:rPr>
        <w:t xml:space="preserve">artigo </w:t>
      </w:r>
      <w:r>
        <w:rPr>
          <w:rStyle w:val="14"/>
          <w:b w:val="0"/>
          <w:bCs w:val="0"/>
          <w:color w:val="auto"/>
          <w:sz w:val="22"/>
          <w:szCs w:val="22"/>
          <w:u w:val="none"/>
        </w:rPr>
        <w:t xml:space="preserve">16 da 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14.133</w:t>
      </w:r>
      <w:r>
        <w:rPr>
          <w:rStyle w:val="14"/>
          <w:rFonts w:hint="default"/>
          <w:b w:val="0"/>
          <w:bCs w:val="0"/>
          <w:color w:val="auto"/>
          <w:sz w:val="22"/>
          <w:szCs w:val="22"/>
          <w:u w:val="none"/>
          <w:lang w:val="pt-BR"/>
        </w:rPr>
        <w:t>/</w:t>
      </w:r>
      <w:r>
        <w:rPr>
          <w:rStyle w:val="14"/>
          <w:b w:val="0"/>
          <w:bCs w:val="0"/>
          <w:color w:val="auto"/>
          <w:sz w:val="22"/>
          <w:szCs w:val="22"/>
          <w:u w:val="none"/>
        </w:rPr>
        <w:t>2021</w:t>
      </w:r>
      <w:r>
        <w:rPr>
          <w:rStyle w:val="14"/>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A</w:t>
      </w:r>
      <w:r>
        <w:rPr>
          <w:b w:val="0"/>
          <w:bCs w:val="0"/>
          <w:color w:val="auto"/>
          <w:sz w:val="22"/>
          <w:szCs w:val="22"/>
          <w:u w:val="none"/>
        </w:rPr>
        <w:t xml:space="preserve">gricultor </w:t>
      </w:r>
      <w:r>
        <w:rPr>
          <w:rFonts w:hint="default"/>
          <w:b w:val="0"/>
          <w:bCs w:val="0"/>
          <w:color w:val="auto"/>
          <w:sz w:val="22"/>
          <w:szCs w:val="22"/>
          <w:u w:val="none"/>
          <w:lang w:val="pt-BR"/>
        </w:rPr>
        <w:t>F</w:t>
      </w:r>
      <w:r>
        <w:rPr>
          <w:b w:val="0"/>
          <w:bCs w:val="0"/>
          <w:color w:val="auto"/>
          <w:sz w:val="22"/>
          <w:szCs w:val="22"/>
          <w:u w:val="none"/>
        </w:rPr>
        <w:t xml:space="preserve">amiliar, o </w:t>
      </w:r>
      <w:r>
        <w:rPr>
          <w:rFonts w:hint="default"/>
          <w:b w:val="0"/>
          <w:bCs w:val="0"/>
          <w:color w:val="auto"/>
          <w:sz w:val="22"/>
          <w:szCs w:val="22"/>
          <w:u w:val="none"/>
          <w:lang w:val="pt-BR"/>
        </w:rPr>
        <w:t>P</w:t>
      </w:r>
      <w:r>
        <w:rPr>
          <w:b w:val="0"/>
          <w:bCs w:val="0"/>
          <w:color w:val="auto"/>
          <w:sz w:val="22"/>
          <w:szCs w:val="22"/>
          <w:u w:val="none"/>
        </w:rPr>
        <w:t xml:space="preserve">rodutor </w:t>
      </w:r>
      <w:r>
        <w:rPr>
          <w:rFonts w:hint="default"/>
          <w:b w:val="0"/>
          <w:bCs w:val="0"/>
          <w:color w:val="auto"/>
          <w:sz w:val="22"/>
          <w:szCs w:val="22"/>
          <w:u w:val="none"/>
          <w:lang w:val="pt-BR"/>
        </w:rPr>
        <w:t>R</w:t>
      </w:r>
      <w:r>
        <w:rPr>
          <w:b w:val="0"/>
          <w:bCs w:val="0"/>
          <w:color w:val="auto"/>
          <w:sz w:val="22"/>
          <w:szCs w:val="22"/>
          <w:u w:val="none"/>
        </w:rPr>
        <w:t xml:space="preserve">ural pessoa física e para o </w:t>
      </w:r>
      <w:r>
        <w:rPr>
          <w:rFonts w:hint="default"/>
          <w:b w:val="0"/>
          <w:bCs w:val="0"/>
          <w:color w:val="auto"/>
          <w:sz w:val="22"/>
          <w:szCs w:val="22"/>
          <w:u w:val="none"/>
          <w:lang w:val="pt-BR"/>
        </w:rPr>
        <w:t>M</w:t>
      </w:r>
      <w:r>
        <w:rPr>
          <w:b w:val="0"/>
          <w:bCs w:val="0"/>
          <w:color w:val="auto"/>
          <w:sz w:val="22"/>
          <w:szCs w:val="22"/>
          <w:u w:val="none"/>
        </w:rPr>
        <w:t xml:space="preserve">icroempreendedor </w:t>
      </w:r>
      <w:r>
        <w:rPr>
          <w:rFonts w:hint="default"/>
          <w:b w:val="0"/>
          <w:bCs w:val="0"/>
          <w:color w:val="auto"/>
          <w:sz w:val="22"/>
          <w:szCs w:val="22"/>
          <w:u w:val="none"/>
          <w:lang w:val="pt-BR"/>
        </w:rPr>
        <w:t>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14"/>
          <w:b w:val="0"/>
          <w:bCs w:val="0"/>
          <w:color w:val="auto"/>
          <w:sz w:val="22"/>
          <w:szCs w:val="22"/>
          <w:u w:val="none"/>
        </w:rPr>
        <w:t>Lei Complementar nº 123</w:t>
      </w:r>
      <w:r>
        <w:rPr>
          <w:rStyle w:val="14"/>
          <w:rFonts w:hint="default"/>
          <w:b w:val="0"/>
          <w:bCs w:val="0"/>
          <w:color w:val="auto"/>
          <w:sz w:val="22"/>
          <w:szCs w:val="22"/>
          <w:u w:val="none"/>
          <w:lang w:val="pt-BR"/>
        </w:rPr>
        <w:t>/</w:t>
      </w:r>
      <w:r>
        <w:rPr>
          <w:rStyle w:val="14"/>
          <w:b w:val="0"/>
          <w:bCs w:val="0"/>
          <w:color w:val="auto"/>
          <w:sz w:val="22"/>
          <w:szCs w:val="22"/>
          <w:u w:val="none"/>
        </w:rPr>
        <w:t>2006</w:t>
      </w:r>
      <w:r>
        <w:rPr>
          <w:rStyle w:val="14"/>
          <w:b w:val="0"/>
          <w:bCs w:val="0"/>
          <w:color w:val="auto"/>
          <w:sz w:val="22"/>
          <w:szCs w:val="22"/>
          <w:u w:val="none"/>
        </w:rPr>
        <w:fldChar w:fldCharType="end"/>
      </w:r>
      <w:r>
        <w:rPr>
          <w:b w:val="0"/>
          <w:bCs w:val="0"/>
          <w:color w:val="auto"/>
          <w:sz w:val="22"/>
          <w:szCs w:val="22"/>
          <w:u w:val="none"/>
        </w:rPr>
        <w:t xml:space="preserve"> e do De</w:t>
      </w:r>
      <w:r>
        <w:rPr>
          <w:color w:val="auto"/>
          <w:sz w:val="22"/>
          <w:szCs w:val="22"/>
        </w:rPr>
        <w:t>creto n.º 8.538</w:t>
      </w:r>
      <w:r>
        <w:rPr>
          <w:rFonts w:hint="default"/>
          <w:color w:val="auto"/>
          <w:sz w:val="22"/>
          <w:szCs w:val="22"/>
          <w:lang w:val="pt-BR"/>
        </w:rPr>
        <w:t>/</w:t>
      </w:r>
      <w:r>
        <w:rPr>
          <w:color w:val="auto"/>
          <w:sz w:val="22"/>
          <w:szCs w:val="22"/>
        </w:rPr>
        <w:t>2015.</w:t>
      </w:r>
    </w:p>
    <w:p w14:paraId="57C81085">
      <w:pPr>
        <w:pStyle w:val="137"/>
        <w:numPr>
          <w:ilvl w:val="0"/>
          <w:numId w:val="0"/>
        </w:numPr>
        <w:spacing w:line="360" w:lineRule="auto"/>
        <w:ind w:left="4" w:leftChars="0" w:hanging="4" w:firstLineChars="0"/>
        <w:rPr>
          <w:i w:val="0"/>
          <w:iCs w:val="0"/>
          <w:color w:val="auto"/>
          <w:sz w:val="22"/>
          <w:szCs w:val="22"/>
        </w:rPr>
      </w:pPr>
      <w:bookmarkStart w:id="12"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2"/>
    </w:p>
    <w:p w14:paraId="4DEC9E00">
      <w:pPr>
        <w:pStyle w:val="20"/>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784B223B">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bookmarkStart w:id="13" w:name="art4§1ii"/>
      <w:bookmarkEnd w:id="13"/>
      <w:r>
        <w:rPr>
          <w:rFonts w:cs="Arial"/>
          <w:sz w:val="22"/>
          <w:szCs w:val="22"/>
        </w:rPr>
        <w:t>4. D</w:t>
      </w:r>
      <w:r>
        <w:rPr>
          <w:rFonts w:hint="default" w:cs="Arial"/>
          <w:sz w:val="22"/>
          <w:szCs w:val="22"/>
          <w:lang w:val="pt-BR"/>
        </w:rPr>
        <w:t xml:space="preserve">OS ESCLARECIMENTOS E DA IMPUGNAÇÃO </w:t>
      </w:r>
    </w:p>
    <w:p w14:paraId="4A462B41">
      <w:pPr>
        <w:pStyle w:val="133"/>
        <w:numPr>
          <w:ilvl w:val="0"/>
          <w:numId w:val="0"/>
        </w:numPr>
        <w:spacing w:line="360" w:lineRule="auto"/>
        <w:ind w:leftChars="0"/>
        <w:rPr>
          <w:rStyle w:val="14"/>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rStyle w:val="14"/>
          <w:rFonts w:hint="default"/>
          <w:color w:val="000000"/>
          <w:sz w:val="22"/>
          <w:szCs w:val="22"/>
          <w:u w:val="none"/>
          <w:lang w:val="pt-BR"/>
        </w:rPr>
        <w:t>.</w:t>
      </w:r>
    </w:p>
    <w:p w14:paraId="5C0C9347">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e no sítio eletrônico oficial,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3667F98E">
      <w:pPr>
        <w:pStyle w:val="132"/>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4"/>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5C532851">
      <w:pPr>
        <w:pStyle w:val="133"/>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4CD97D72">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14:paraId="78C78713">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43D1BDBD">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5F7A3624">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07F18612">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500B0354">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6B42EA2E">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730D8F19">
      <w:pPr>
        <w:pStyle w:val="2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1BFD6EFC">
      <w:pPr>
        <w:pStyle w:val="118"/>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38AA81D4">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napToGrid w:val="0"/>
          <w:sz w:val="22"/>
          <w:szCs w:val="22"/>
          <w:lang w:val="pt-BR"/>
        </w:rPr>
        <w:t xml:space="preserve"> </w:t>
      </w:r>
    </w:p>
    <w:p w14:paraId="1F748F45">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2E3E5675">
      <w:pPr>
        <w:pStyle w:val="16"/>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w:t>
      </w:r>
      <w:r>
        <w:rPr>
          <w:rFonts w:hint="default" w:ascii="Arial" w:hAnsi="Arial" w:cs="Arial"/>
          <w:sz w:val="22"/>
          <w:szCs w:val="22"/>
          <w:lang w:val="pt-BR"/>
        </w:rPr>
        <w:t>declarar que atende a todas às exigências contidas nas declarações do Anexo III do Edital, bem como apresentá-las em documento devidamente assinado</w:t>
      </w:r>
      <w:r>
        <w:rPr>
          <w:rFonts w:ascii="Arial" w:hAnsi="Arial" w:cs="Arial"/>
          <w:sz w:val="22"/>
          <w:szCs w:val="22"/>
        </w:rPr>
        <w:t>.</w:t>
      </w:r>
    </w:p>
    <w:p w14:paraId="7EE9A98D">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7AF54CC9">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14:paraId="5F2EA689">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13206046">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11C1BBF">
      <w:pPr>
        <w:pStyle w:val="133"/>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2E66015">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5D22DBFE">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14:paraId="444FAF23">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4"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val="0"/>
          <w:bCs w:val="0"/>
          <w:color w:val="000000"/>
          <w:sz w:val="22"/>
          <w:szCs w:val="22"/>
          <w:lang w:val="pt-BR"/>
        </w:rPr>
        <w:t>09</w:t>
      </w:r>
      <w:r>
        <w:rPr>
          <w:rFonts w:ascii="Arial" w:hAnsi="Arial" w:cs="Arial"/>
          <w:b w:val="0"/>
          <w:bCs w:val="0"/>
          <w:color w:val="000000"/>
          <w:sz w:val="22"/>
          <w:szCs w:val="22"/>
        </w:rPr>
        <w:t>h</w:t>
      </w:r>
      <w:r>
        <w:rPr>
          <w:rFonts w:hint="default" w:ascii="Arial" w:hAnsi="Arial" w:cs="Arial"/>
          <w:b w:val="0"/>
          <w:bCs w:val="0"/>
          <w:color w:val="000000"/>
          <w:sz w:val="22"/>
          <w:szCs w:val="22"/>
          <w:lang w:val="pt-BR"/>
        </w:rPr>
        <w:t>00</w:t>
      </w:r>
      <w:r>
        <w:rPr>
          <w:rFonts w:ascii="Arial" w:hAnsi="Arial" w:cs="Arial"/>
          <w:b w:val="0"/>
          <w:bCs w:val="0"/>
          <w:color w:val="000000"/>
          <w:sz w:val="22"/>
          <w:szCs w:val="22"/>
        </w:rPr>
        <w:t xml:space="preserve">min (horário de Brasília/DF) do dia </w:t>
      </w:r>
      <w:r>
        <w:rPr>
          <w:rFonts w:hint="default" w:ascii="Arial" w:hAnsi="Arial" w:cs="Arial"/>
          <w:b/>
          <w:bCs/>
          <w:color w:val="000000"/>
          <w:sz w:val="22"/>
          <w:szCs w:val="22"/>
          <w:lang w:val="pt-BR"/>
        </w:rPr>
        <w:t xml:space="preserve">11 de março </w:t>
      </w:r>
      <w:r>
        <w:rPr>
          <w:rFonts w:ascii="Arial" w:hAnsi="Arial" w:cs="Arial"/>
          <w:b/>
          <w:bCs/>
          <w:color w:val="000000"/>
          <w:sz w:val="22"/>
          <w:szCs w:val="22"/>
        </w:rPr>
        <w:t xml:space="preserve">de </w:t>
      </w:r>
      <w:r>
        <w:rPr>
          <w:rFonts w:ascii="Arial" w:hAnsi="Arial" w:cs="Arial"/>
          <w:b/>
          <w:bCs/>
          <w:color w:val="000000"/>
          <w:sz w:val="22"/>
          <w:szCs w:val="22"/>
          <w:lang w:val="pt-BR"/>
        </w:rPr>
        <w:t>202</w:t>
      </w:r>
      <w:r>
        <w:rPr>
          <w:rFonts w:hint="default" w:ascii="Arial" w:hAnsi="Arial" w:cs="Arial"/>
          <w:b/>
          <w:bCs/>
          <w:color w:val="000000"/>
          <w:sz w:val="22"/>
          <w:szCs w:val="22"/>
          <w:lang w:val="pt-BR"/>
        </w:rPr>
        <w:t>5</w:t>
      </w:r>
      <w:r>
        <w:rPr>
          <w:rFonts w:ascii="Arial" w:hAnsi="Arial" w:cs="Arial"/>
          <w:b w:val="0"/>
          <w:bCs w:val="0"/>
          <w:color w:val="000000"/>
          <w:sz w:val="22"/>
          <w:szCs w:val="22"/>
        </w:rPr>
        <w:t xml:space="preserve">, até às </w:t>
      </w:r>
      <w:r>
        <w:rPr>
          <w:rFonts w:hint="default" w:ascii="Arial" w:hAnsi="Arial" w:cs="Arial"/>
          <w:b w:val="0"/>
          <w:bCs w:val="0"/>
          <w:color w:val="000000"/>
          <w:sz w:val="22"/>
          <w:szCs w:val="22"/>
          <w:lang w:val="pt-BR"/>
        </w:rPr>
        <w:t>09</w:t>
      </w:r>
      <w:r>
        <w:rPr>
          <w:rFonts w:ascii="Arial" w:hAnsi="Arial" w:cs="Arial"/>
          <w:b w:val="0"/>
          <w:bCs w:val="0"/>
          <w:color w:val="000000"/>
          <w:sz w:val="22"/>
          <w:szCs w:val="22"/>
        </w:rPr>
        <w:t xml:space="preserve">h00min (horário de Brasília/DF) do dia </w:t>
      </w:r>
      <w:r>
        <w:rPr>
          <w:rFonts w:hint="default" w:ascii="Arial" w:hAnsi="Arial" w:cs="Arial"/>
          <w:b/>
          <w:bCs/>
          <w:color w:val="000000"/>
          <w:sz w:val="22"/>
          <w:szCs w:val="22"/>
          <w:lang w:val="pt-BR"/>
        </w:rPr>
        <w:t>25 de março de 2025.</w:t>
      </w:r>
      <w:r>
        <w:rPr>
          <w:rFonts w:ascii="Arial" w:hAnsi="Arial" w:cs="Arial"/>
          <w:b w:val="0"/>
          <w:bCs w:val="0"/>
          <w:color w:val="000000"/>
          <w:sz w:val="22"/>
          <w:szCs w:val="22"/>
        </w:rPr>
        <w:t xml:space="preserve"> </w:t>
      </w:r>
      <w:bookmarkStart w:id="15" w:name="_Ref113968921"/>
    </w:p>
    <w:p w14:paraId="143E49FE">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lang w:val="pt-BR"/>
        </w:rPr>
        <w:t>5.12.</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No c</w:t>
      </w:r>
      <w:r>
        <w:rPr>
          <w:rFonts w:hint="default" w:ascii="Arial" w:hAnsi="Arial" w:cs="Arial"/>
          <w:i w:val="0"/>
          <w:iCs w:val="0"/>
          <w:color w:val="auto"/>
          <w:sz w:val="22"/>
          <w:szCs w:val="22"/>
          <w:highlight w:val="none"/>
        </w:rPr>
        <w:t xml:space="preserve">adastramento da proposta inicial, o licitante </w:t>
      </w:r>
      <w:r>
        <w:rPr>
          <w:rFonts w:hint="default" w:ascii="Arial" w:hAnsi="Arial" w:cs="Arial"/>
          <w:i w:val="0"/>
          <w:iCs w:val="0"/>
          <w:color w:val="auto"/>
          <w:sz w:val="22"/>
          <w:szCs w:val="22"/>
          <w:highlight w:val="none"/>
          <w:lang w:val="pt-BR"/>
        </w:rPr>
        <w:t>marcará</w:t>
      </w:r>
      <w:r>
        <w:rPr>
          <w:rFonts w:hint="default" w:ascii="Arial" w:hAnsi="Arial" w:cs="Arial"/>
          <w:i w:val="0"/>
          <w:iCs w:val="0"/>
          <w:color w:val="auto"/>
          <w:sz w:val="22"/>
          <w:szCs w:val="22"/>
          <w:highlight w:val="none"/>
        </w:rPr>
        <w:t>, em campo próprio do sistema, que:</w:t>
      </w:r>
      <w:bookmarkEnd w:id="15"/>
    </w:p>
    <w:p w14:paraId="741FF207">
      <w:pPr>
        <w:pStyle w:val="136"/>
        <w:numPr>
          <w:ilvl w:val="0"/>
          <w:numId w:val="0"/>
        </w:numPr>
        <w:spacing w:before="288" w:beforeLines="120" w:after="288" w:afterLines="120" w:line="360" w:lineRule="auto"/>
        <w:ind w:left="9" w:leftChars="0" w:firstLine="473" w:firstLineChars="214"/>
        <w:rPr>
          <w:rFonts w:ascii="Arial" w:hAnsi="Arial" w:cs="Arial"/>
          <w:sz w:val="22"/>
          <w:szCs w:val="22"/>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dital,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cs="Arial"/>
          <w:kern w:val="0"/>
          <w:sz w:val="22"/>
          <w:szCs w:val="22"/>
          <w:lang w:val="pt-BR" w:eastAsia="zh-CN" w:bidi="ar"/>
        </w:rPr>
        <w:t xml:space="preserve"> </w:t>
      </w:r>
      <w:r>
        <w:rPr>
          <w:rFonts w:hint="default" w:ascii="Arial" w:hAnsi="Arial" w:cs="Arial"/>
          <w:kern w:val="0"/>
          <w:sz w:val="22"/>
          <w:szCs w:val="22"/>
          <w:lang w:val="pt-BR" w:eastAsia="zh-CN" w:bidi="ar"/>
        </w:rPr>
        <w:t>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r>
        <w:rPr>
          <w:rFonts w:hint="default" w:cs="Arial"/>
          <w:sz w:val="22"/>
          <w:szCs w:val="22"/>
          <w:lang w:val="pt-BR"/>
        </w:rPr>
        <w:t>;</w:t>
      </w:r>
      <w:r>
        <w:rPr>
          <w:rFonts w:ascii="Arial" w:hAnsi="Arial" w:cs="Arial"/>
          <w:sz w:val="22"/>
          <w:szCs w:val="22"/>
        </w:rPr>
        <w:t xml:space="preserve"> </w:t>
      </w:r>
    </w:p>
    <w:p w14:paraId="1440F9B1">
      <w:pPr>
        <w:autoSpaceDE w:val="0"/>
        <w:autoSpaceDN w:val="0"/>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 xml:space="preserve">5.12.2. </w:t>
      </w:r>
      <w:r>
        <w:rPr>
          <w:rFonts w:hint="default" w:ascii="Arial" w:hAnsi="Arial" w:cs="Arial"/>
          <w:b w:val="0"/>
          <w:bCs w:val="0"/>
          <w:sz w:val="22"/>
          <w:szCs w:val="22"/>
          <w:lang w:val="pt-BR"/>
        </w:rPr>
        <w:t>D</w:t>
      </w:r>
      <w:r>
        <w:rPr>
          <w:rFonts w:ascii="Arial" w:hAnsi="Arial" w:cs="Arial"/>
          <w:sz w:val="22"/>
          <w:szCs w:val="22"/>
        </w:rPr>
        <w:t xml:space="preserve">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w:t>
      </w:r>
      <w:r>
        <w:rPr>
          <w:rFonts w:ascii="Arial" w:hAnsi="Arial" w:cs="Arial"/>
          <w:sz w:val="22"/>
          <w:szCs w:val="22"/>
        </w:rPr>
        <w:t xml:space="preserve"> </w:t>
      </w:r>
    </w:p>
    <w:p w14:paraId="5E5D6870">
      <w:pPr>
        <w:autoSpaceDE w:val="0"/>
        <w:autoSpaceDN w:val="0"/>
        <w:spacing w:before="100" w:beforeAutospacing="1" w:after="100" w:afterAutospacing="1"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5.12.3.</w:t>
      </w:r>
      <w:r>
        <w:rPr>
          <w:rFonts w:hint="default" w:ascii="Arial" w:hAnsi="Arial" w:cs="Arial"/>
          <w:sz w:val="22"/>
          <w:szCs w:val="22"/>
          <w:lang w:val="pt-BR"/>
        </w:rPr>
        <w:t xml:space="preserve"> D</w:t>
      </w:r>
      <w:r>
        <w:rPr>
          <w:rFonts w:ascii="Arial" w:hAnsi="Arial" w:cs="Arial"/>
          <w:sz w:val="22"/>
          <w:szCs w:val="22"/>
        </w:rPr>
        <w:t xml:space="preserve">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0F544087">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68924BD9">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CE62497">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33999053">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505D8141">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D16620F">
      <w:pPr>
        <w:autoSpaceDE w:val="0"/>
        <w:autoSpaceDN w:val="0"/>
        <w:spacing w:before="240" w:after="240" w:line="360" w:lineRule="auto"/>
        <w:ind w:left="0" w:leftChars="0" w:firstLine="481" w:firstLineChars="218"/>
        <w:jc w:val="both"/>
        <w:rPr>
          <w:rStyle w:val="14"/>
          <w:rFonts w:hint="default" w:ascii="Arial" w:hAnsi="Arial" w:cs="Arial"/>
          <w:color w:val="auto"/>
          <w:sz w:val="22"/>
          <w:szCs w:val="22"/>
          <w:highlight w:val="none"/>
          <w:u w:val="none"/>
          <w:lang w:val="pt-BR"/>
        </w:rPr>
      </w:pPr>
      <w:r>
        <w:rPr>
          <w:rFonts w:hint="default" w:ascii="Arial" w:hAnsi="Arial" w:cs="Arial"/>
          <w:b/>
          <w:bCs/>
          <w:sz w:val="22"/>
          <w:szCs w:val="22"/>
          <w:lang w:val="pt-BR"/>
        </w:rPr>
        <w:t>5.12.4.</w:t>
      </w:r>
      <w:r>
        <w:rPr>
          <w:rFonts w:hint="default" w:ascii="Arial" w:hAnsi="Arial" w:cs="Arial"/>
          <w:sz w:val="22"/>
          <w:szCs w:val="22"/>
          <w:lang w:val="pt-BR"/>
        </w:rPr>
        <w:t xml:space="preserve"> D</w:t>
      </w:r>
      <w:r>
        <w:rPr>
          <w:rFonts w:ascii="Arial" w:hAnsi="Arial" w:cs="Arial"/>
          <w:sz w:val="22"/>
          <w:szCs w:val="22"/>
        </w:rPr>
        <w:t xml:space="preserve">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5D2BAAA8">
      <w:pPr>
        <w:tabs>
          <w:tab w:val="left" w:pos="1440"/>
          <w:tab w:val="left" w:pos="8576"/>
          <w:tab w:val="left" w:pos="10419"/>
        </w:tabs>
        <w:spacing w:before="240" w:after="240" w:line="360" w:lineRule="auto"/>
        <w:ind w:left="0" w:leftChars="0" w:firstLine="481" w:firstLineChars="218"/>
        <w:jc w:val="both"/>
        <w:rPr>
          <w:rFonts w:hint="default" w:ascii="Arial" w:hAnsi="Arial" w:cs="Arial"/>
          <w:sz w:val="22"/>
          <w:szCs w:val="22"/>
          <w:lang w:val="pt-BR"/>
        </w:rPr>
      </w:pPr>
      <w:r>
        <w:rPr>
          <w:rFonts w:hint="default" w:ascii="Arial" w:hAnsi="Arial" w:cs="Arial"/>
          <w:b/>
          <w:bCs/>
          <w:sz w:val="22"/>
          <w:szCs w:val="22"/>
          <w:lang w:val="pt-BR"/>
        </w:rPr>
        <w:t>5.12.5.</w:t>
      </w:r>
      <w:r>
        <w:rPr>
          <w:rFonts w:hint="default" w:ascii="Arial" w:hAnsi="Arial" w:cs="Arial"/>
          <w:sz w:val="22"/>
          <w:szCs w:val="22"/>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 xml:space="preserve">dital,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4CBD95B5">
      <w:pPr>
        <w:autoSpaceDE w:val="0"/>
        <w:autoSpaceDN w:val="0"/>
        <w:spacing w:before="240" w:after="240" w:line="360" w:lineRule="auto"/>
        <w:ind w:left="0" w:leftChars="0" w:firstLine="481" w:firstLineChars="218"/>
        <w:jc w:val="both"/>
        <w:rPr>
          <w:rFonts w:hint="default" w:ascii="Arial" w:hAnsi="Arial" w:cs="Arial"/>
          <w:sz w:val="22"/>
          <w:szCs w:val="22"/>
        </w:rPr>
      </w:pPr>
      <w:r>
        <w:rPr>
          <w:rFonts w:hint="default" w:ascii="Arial" w:hAnsi="Arial" w:cs="Arial"/>
          <w:b/>
          <w:bCs/>
          <w:sz w:val="22"/>
          <w:szCs w:val="22"/>
          <w:lang w:val="pt-BR"/>
        </w:rPr>
        <w:t>5.12.6.</w:t>
      </w:r>
      <w:r>
        <w:rPr>
          <w:rFonts w:hint="default" w:ascii="Arial" w:hAnsi="Arial" w:cs="Arial"/>
          <w:sz w:val="22"/>
          <w:szCs w:val="22"/>
          <w:lang w:val="pt-BR"/>
        </w:rPr>
        <w:t xml:space="preserve"> D</w:t>
      </w:r>
      <w:r>
        <w:rPr>
          <w:rFonts w:ascii="Arial" w:hAnsi="Arial" w:cs="Arial"/>
          <w:sz w:val="22"/>
          <w:szCs w:val="22"/>
        </w:rPr>
        <w:t>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r>
        <w:rPr>
          <w:rFonts w:hint="default" w:ascii="Arial" w:hAnsi="Arial" w:cs="Arial"/>
          <w:sz w:val="22"/>
          <w:szCs w:val="22"/>
          <w:lang w:val="pt-BR"/>
        </w:rPr>
        <w:t xml:space="preserve"> </w:t>
      </w: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19C3836D">
      <w:pPr>
        <w:pStyle w:val="133"/>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16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nº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u w:val="none"/>
        </w:rPr>
        <w:t>.</w:t>
      </w:r>
    </w:p>
    <w:p w14:paraId="43A67DBB">
      <w:pPr>
        <w:pStyle w:val="133"/>
        <w:numPr>
          <w:ilvl w:val="0"/>
          <w:numId w:val="0"/>
        </w:numPr>
        <w:spacing w:line="360" w:lineRule="auto"/>
        <w:ind w:leftChars="0"/>
        <w:rPr>
          <w:i w:val="0"/>
          <w:iCs w:val="0"/>
          <w:color w:val="auto"/>
          <w:sz w:val="22"/>
          <w:szCs w:val="22"/>
        </w:rPr>
      </w:pPr>
      <w:bookmarkStart w:id="16"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4"/>
          <w:i w:val="0"/>
          <w:iCs w:val="0"/>
          <w:color w:val="auto"/>
          <w:sz w:val="22"/>
          <w:szCs w:val="22"/>
          <w:u w:val="none"/>
        </w:rPr>
        <w:t>artigo 3° da 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6"/>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4"/>
          <w:i w:val="0"/>
          <w:iCs w:val="0"/>
          <w:color w:val="auto"/>
          <w:sz w:val="22"/>
          <w:szCs w:val="22"/>
          <w:u w:val="none"/>
        </w:rPr>
        <w:t>arts. 42 a 49</w:t>
      </w:r>
      <w:r>
        <w:rPr>
          <w:rStyle w:val="14"/>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4"/>
          <w:i w:val="0"/>
          <w:iCs w:val="0"/>
          <w:color w:val="auto"/>
          <w:sz w:val="22"/>
          <w:szCs w:val="22"/>
          <w:u w:val="none"/>
        </w:rPr>
        <w:t xml:space="preserve">§§ 1º ao 3º do art. 4º, da 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p>
    <w:p w14:paraId="7F3FF573">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N</w:t>
      </w:r>
      <w:r>
        <w:rPr>
          <w:i w:val="0"/>
          <w:iCs w:val="0"/>
          <w:color w:val="auto"/>
          <w:sz w:val="22"/>
          <w:szCs w:val="22"/>
        </w:rPr>
        <w:t xml:space="preserve">o item exclusivo para participação de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impedirá o prosseguimento no certame, para aquele item;</w:t>
      </w:r>
    </w:p>
    <w:p w14:paraId="6A42AF06">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4"/>
          <w:i w:val="0"/>
          <w:iCs w:val="0"/>
          <w:color w:val="auto"/>
          <w:sz w:val="22"/>
          <w:szCs w:val="22"/>
          <w:u w:val="none"/>
        </w:rPr>
        <w:t>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M</w:t>
      </w:r>
      <w:r>
        <w:rPr>
          <w:i w:val="0"/>
          <w:iCs w:val="0"/>
          <w:color w:val="auto"/>
          <w:sz w:val="22"/>
          <w:szCs w:val="22"/>
          <w:u w:val="none"/>
        </w:rPr>
        <w:t xml:space="preserve">icroempresa, </w:t>
      </w:r>
      <w:r>
        <w:rPr>
          <w:rFonts w:hint="default"/>
          <w:i w:val="0"/>
          <w:iCs w:val="0"/>
          <w:color w:val="auto"/>
          <w:sz w:val="22"/>
          <w:szCs w:val="22"/>
          <w:u w:val="none"/>
          <w:lang w:val="pt-BR"/>
        </w:rPr>
        <w:t>E</w:t>
      </w:r>
      <w:r>
        <w:rPr>
          <w:i w:val="0"/>
          <w:iCs w:val="0"/>
          <w:color w:val="auto"/>
          <w:sz w:val="22"/>
          <w:szCs w:val="22"/>
          <w:u w:val="none"/>
        </w:rPr>
        <w:t xml:space="preserve">mpresa de </w:t>
      </w:r>
      <w:r>
        <w:rPr>
          <w:rFonts w:hint="default"/>
          <w:i w:val="0"/>
          <w:iCs w:val="0"/>
          <w:color w:val="auto"/>
          <w:sz w:val="22"/>
          <w:szCs w:val="22"/>
          <w:u w:val="none"/>
          <w:lang w:val="pt-BR"/>
        </w:rPr>
        <w:t>P</w:t>
      </w:r>
      <w:r>
        <w:rPr>
          <w:i w:val="0"/>
          <w:iCs w:val="0"/>
          <w:color w:val="auto"/>
          <w:sz w:val="22"/>
          <w:szCs w:val="22"/>
          <w:u w:val="none"/>
        </w:rPr>
        <w:t xml:space="preserve">equeno </w:t>
      </w:r>
      <w:r>
        <w:rPr>
          <w:rFonts w:hint="default"/>
          <w:i w:val="0"/>
          <w:iCs w:val="0"/>
          <w:color w:val="auto"/>
          <w:sz w:val="22"/>
          <w:szCs w:val="22"/>
          <w:u w:val="none"/>
          <w:lang w:val="pt-BR"/>
        </w:rPr>
        <w:t>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ooperativa.</w:t>
      </w:r>
    </w:p>
    <w:p w14:paraId="5777E441">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4"/>
          <w:i w:val="0"/>
          <w:iCs w:val="0"/>
          <w:color w:val="auto"/>
          <w:sz w:val="22"/>
          <w:szCs w:val="22"/>
          <w:u w:val="none"/>
        </w:rPr>
        <w:t xml:space="preserve">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r>
        <w:rPr>
          <w:i w:val="0"/>
          <w:iCs w:val="0"/>
          <w:color w:val="auto"/>
          <w:sz w:val="22"/>
          <w:szCs w:val="22"/>
        </w:rPr>
        <w:t xml:space="preserve"> e neste Edital.</w:t>
      </w:r>
    </w:p>
    <w:p w14:paraId="42F3D89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98CC90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52C314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14:paraId="0E9E85A3">
      <w:pPr>
        <w:pStyle w:val="133"/>
        <w:numPr>
          <w:ilvl w:val="0"/>
          <w:numId w:val="0"/>
        </w:numPr>
        <w:spacing w:line="360" w:lineRule="auto"/>
        <w:ind w:leftChars="0"/>
        <w:rPr>
          <w:i w:val="0"/>
          <w:iCs w:val="0"/>
          <w:color w:val="auto"/>
          <w:sz w:val="22"/>
          <w:szCs w:val="22"/>
        </w:rPr>
      </w:pPr>
      <w:bookmarkStart w:id="17"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14:paraId="5CDB4B32">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784A38D5">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250FE55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14:paraId="16036901">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77CD55CC">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6D72020C">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78EE9968">
      <w:pPr>
        <w:pStyle w:val="133"/>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0EB083C">
      <w:pPr>
        <w:pStyle w:val="133"/>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3FCC60AB">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560F9BB0">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1CE7E190">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775998BB">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1ACBF9F9">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0B56AB94">
      <w:pPr>
        <w:pStyle w:val="118"/>
        <w:widowControl w:val="0"/>
        <w:suppressLineNumbers w:val="0"/>
        <w:spacing w:before="240" w:after="240" w:line="360" w:lineRule="auto"/>
      </w:pPr>
      <w:r>
        <w:rPr>
          <w:b/>
        </w:rPr>
        <w:t>5.</w:t>
      </w:r>
      <w:r>
        <w:rPr>
          <w:rFonts w:hint="default"/>
          <w:b/>
          <w:lang w:val="pt-BR"/>
        </w:rPr>
        <w:t>28</w:t>
      </w:r>
      <w:r>
        <w:rPr>
          <w:b/>
        </w:rPr>
        <w:t>.</w:t>
      </w:r>
      <w:r>
        <w:t xml:space="preserve"> O julgamento das propostas será feito pelo menor valor </w:t>
      </w:r>
      <w:r>
        <w:rPr>
          <w:rFonts w:hint="default"/>
          <w:lang w:val="pt-BR"/>
        </w:rPr>
        <w:t xml:space="preserve">ou maior desconto </w:t>
      </w:r>
      <w:r>
        <w:t>de acordo com o especificado no Anexo I.</w:t>
      </w:r>
    </w:p>
    <w:p w14:paraId="11B0E6B6">
      <w:pPr>
        <w:pStyle w:val="118"/>
        <w:widowControl w:val="0"/>
        <w:suppressLineNumbers w:val="0"/>
        <w:spacing w:before="240" w:after="240" w:line="360" w:lineRule="auto"/>
        <w:rPr>
          <w:rFonts w:hint="default"/>
          <w:lang w:val="pt-BR"/>
        </w:rPr>
      </w:pPr>
      <w:r>
        <w:rPr>
          <w:b/>
        </w:rPr>
        <w:t>5.2</w:t>
      </w:r>
      <w:r>
        <w:rPr>
          <w:rFonts w:hint="default"/>
          <w:b/>
          <w:lang w:val="pt-BR"/>
        </w:rPr>
        <w:t>9</w:t>
      </w:r>
      <w:r>
        <w:rPr>
          <w:b/>
        </w:rPr>
        <w:t>.</w:t>
      </w:r>
      <w:r>
        <w:t xml:space="preserve"> A proponente deverá manter o valor da proposta registrada por no </w:t>
      </w:r>
      <w:r>
        <w:rPr>
          <w:b w:val="0"/>
          <w:bCs/>
        </w:rPr>
        <w:t>mínimo 60 (sessenta) dias</w:t>
      </w:r>
      <w:r>
        <w:rPr>
          <w:rFonts w:hint="default"/>
          <w:lang w:val="pt-BR"/>
        </w:rPr>
        <w:t>.</w:t>
      </w:r>
    </w:p>
    <w:p w14:paraId="2537AE4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rPr>
          <w:rFonts w:cs="Arial"/>
          <w:b/>
          <w:bCs/>
          <w:iCs/>
          <w:sz w:val="22"/>
          <w:szCs w:val="22"/>
        </w:rPr>
      </w:pPr>
      <w:bookmarkStart w:id="18"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8"/>
    </w:p>
    <w:p w14:paraId="7DA3B536">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76AABC2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0BC78E7D">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3</w:t>
      </w:r>
      <w:r>
        <w:rPr>
          <w:b/>
          <w:snapToGrid w:val="0"/>
          <w:lang w:eastAsia="pt-BR"/>
        </w:rPr>
        <w:t>.</w:t>
      </w:r>
      <w:r>
        <w:rPr>
          <w:snapToGrid w:val="0"/>
          <w:lang w:eastAsia="pt-BR"/>
        </w:rPr>
        <w:t xml:space="preserve"> O Pregoeiro, via sistema eletrônico, dará início à sessão pública, na data e horário previstos neste </w:t>
      </w:r>
      <w:r>
        <w:rPr>
          <w:rFonts w:hint="default"/>
          <w:snapToGrid w:val="0"/>
          <w:lang w:val="en-US" w:eastAsia="pt-BR"/>
        </w:rPr>
        <w:t>E</w:t>
      </w:r>
      <w:r>
        <w:rPr>
          <w:snapToGrid w:val="0"/>
          <w:lang w:eastAsia="pt-BR"/>
        </w:rPr>
        <w:t>dital, com a divulgação da melhor proposta para cada item.</w:t>
      </w:r>
    </w:p>
    <w:p w14:paraId="6FD01D66">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menor preço ofertado na etapa de propostas.</w:t>
      </w:r>
    </w:p>
    <w:p w14:paraId="7410C642">
      <w:pPr>
        <w:pStyle w:val="118"/>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3835CAD8">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2D94A40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3FBEF6D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6A4B6D47">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646951DB">
      <w:pPr>
        <w:pStyle w:val="118"/>
        <w:widowControl w:val="0"/>
        <w:suppressLineNumbers w:val="0"/>
        <w:suppressAutoHyphen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4A09EFDC">
      <w:pPr>
        <w:pStyle w:val="118"/>
        <w:widowControl w:val="0"/>
        <w:suppressLineNumbers w:val="0"/>
        <w:suppressAutoHyphen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4D0B0272">
      <w:pPr>
        <w:pStyle w:val="16"/>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46D314E4">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13</w:t>
      </w:r>
      <w:r>
        <w:rPr>
          <w:b/>
          <w:snapToGrid w:val="0"/>
          <w:lang w:eastAsia="pt-BR"/>
        </w:rPr>
        <w:t>.</w:t>
      </w:r>
      <w:r>
        <w:rPr>
          <w:snapToGrid w:val="0"/>
          <w:lang w:eastAsia="pt-BR"/>
        </w:rPr>
        <w:t xml:space="preserve"> Durante a sessão pública do Pregão Eletrônico, as proponentes serão informadas em tempo real, do valor do menor lance registrado, vedada a identificação do seu detentor.</w:t>
      </w:r>
    </w:p>
    <w:p w14:paraId="45E2F892">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14:paraId="53AE9882">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395ADFC6">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5ADBFCE6">
      <w:pPr>
        <w:pStyle w:val="136"/>
        <w:numPr>
          <w:ilvl w:val="0"/>
          <w:numId w:val="0"/>
        </w:numPr>
        <w:spacing w:line="360" w:lineRule="auto"/>
        <w:ind w:left="0" w:leftChars="0" w:firstLine="481" w:firstLineChars="218"/>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14:paraId="7E9F476A">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14:paraId="47F3C634">
      <w:pPr>
        <w:pStyle w:val="136"/>
        <w:numPr>
          <w:ilvl w:val="0"/>
          <w:numId w:val="0"/>
        </w:numPr>
        <w:spacing w:line="360" w:lineRule="auto"/>
        <w:ind w:left="4" w:leftChars="0" w:firstLine="477" w:firstLineChars="216"/>
        <w:rPr>
          <w:rFonts w:hint="default" w:ascii="Arial" w:hAnsi="Arial" w:cs="Arial"/>
          <w:color w:val="auto"/>
          <w:sz w:val="22"/>
          <w:szCs w:val="22"/>
          <w:u w:val="none"/>
        </w:rPr>
      </w:pPr>
      <w:bookmarkStart w:id="19"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19"/>
      <w:bookmarkStart w:id="20" w:name="_Hlk113631522"/>
    </w:p>
    <w:p w14:paraId="5477688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4D227500">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632110B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76D78B85">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14:paraId="5C77137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p>
    <w:bookmarkEnd w:id="20"/>
    <w:p w14:paraId="22BA575F">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bCs w:val="0"/>
          <w:sz w:val="22"/>
          <w:szCs w:val="22"/>
        </w:rPr>
        <w:t>R$ 0,01 (um centavo de real)</w:t>
      </w:r>
      <w:r>
        <w:rPr>
          <w:rFonts w:ascii="Arial" w:hAnsi="Arial" w:cs="Arial"/>
          <w:sz w:val="22"/>
          <w:szCs w:val="22"/>
        </w:rPr>
        <w:t>, que incidirá tanto em relação aos lances intermediários quanto em relação ao lance que cobrir a melhor oferta.</w:t>
      </w:r>
    </w:p>
    <w:p w14:paraId="2C3E4050">
      <w:pPr>
        <w:widowControl w:val="0"/>
        <w:spacing w:before="240" w:after="240" w:line="360" w:lineRule="auto"/>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574B5A88">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1BFC669F">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0A6F3900">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1577CA27">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3E82F17B">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.5.</w:t>
      </w:r>
      <w:r>
        <w:rPr>
          <w:rFonts w:ascii="Arial" w:hAnsi="Arial" w:cs="Arial"/>
          <w:snapToGrid w:val="0"/>
          <w:sz w:val="22"/>
          <w:szCs w:val="22"/>
        </w:rPr>
        <w:t xml:space="preserve"> </w:t>
      </w:r>
      <w:r>
        <w:rPr>
          <w:rFonts w:ascii="Arial" w:hAnsi="Arial" w:cs="Arial"/>
          <w:sz w:val="22"/>
          <w:szCs w:val="22"/>
        </w:rPr>
        <w:t>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6F53EA2C">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3EA3A1A9">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6.22.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4"/>
          <w:rFonts w:hint="default" w:ascii="Arial" w:hAnsi="Arial" w:eastAsia="Arial" w:cs="Arial"/>
          <w:color w:val="auto"/>
          <w:sz w:val="22"/>
          <w:szCs w:val="22"/>
          <w:u w:val="none"/>
        </w:rPr>
        <w:t>art</w:t>
      </w:r>
      <w:r>
        <w:rPr>
          <w:rStyle w:val="14"/>
          <w:rFonts w:hint="default" w:ascii="Arial" w:hAnsi="Arial" w:cs="Arial"/>
          <w:color w:val="auto"/>
          <w:sz w:val="22"/>
          <w:szCs w:val="22"/>
          <w:u w:val="none"/>
        </w:rPr>
        <w:t>. 60 da Lei</w:t>
      </w:r>
      <w:r>
        <w:rPr>
          <w:rStyle w:val="14"/>
          <w:rFonts w:hint="default"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0B05F549">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6E332986">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5E6313E5">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06CE600F">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6FA408E8">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6.23. </w:t>
      </w:r>
      <w:r>
        <w:rPr>
          <w:rFonts w:hint="default" w:ascii="Arial" w:hAnsi="Arial" w:cs="Arial"/>
          <w:color w:val="auto"/>
          <w:sz w:val="22"/>
          <w:szCs w:val="22"/>
          <w:u w:val="none"/>
        </w:rPr>
        <w:t>Persistindo o empate, será assegurada preferência, sucessivamente, aos bens e serviços produzidos ou prestados por:</w:t>
      </w:r>
    </w:p>
    <w:p w14:paraId="1DBEB871">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1" w:name="art60§1i"/>
      <w:bookmarkEnd w:id="21"/>
      <w:r>
        <w:rPr>
          <w:rFonts w:hint="default" w:cs="Arial"/>
          <w:b/>
          <w:bCs/>
          <w:color w:val="auto"/>
          <w:sz w:val="22"/>
          <w:szCs w:val="22"/>
          <w:u w:val="none"/>
          <w:lang w:val="pt-BR"/>
        </w:rPr>
        <w:t xml:space="preserve">6.23.1.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110B210E">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2" w:name="art60§1ii"/>
      <w:bookmarkEnd w:id="22"/>
      <w:r>
        <w:rPr>
          <w:rFonts w:hint="default" w:cs="Arial"/>
          <w:b/>
          <w:bCs/>
          <w:color w:val="auto"/>
          <w:sz w:val="22"/>
          <w:szCs w:val="22"/>
          <w:u w:val="none"/>
          <w:lang w:val="pt-BR"/>
        </w:rPr>
        <w:t>6.23.2.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768EB701">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3" w:name="art60§1iii"/>
      <w:bookmarkEnd w:id="23"/>
      <w:r>
        <w:rPr>
          <w:rFonts w:hint="default" w:cs="Arial"/>
          <w:b/>
          <w:bCs/>
          <w:color w:val="auto"/>
          <w:sz w:val="22"/>
          <w:szCs w:val="22"/>
          <w:u w:val="none"/>
          <w:lang w:val="pt-BR"/>
        </w:rPr>
        <w:t>6.23.3.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5CE55479">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4" w:name="art60§1iv"/>
      <w:bookmarkEnd w:id="24"/>
      <w:r>
        <w:rPr>
          <w:rFonts w:hint="default" w:cs="Arial"/>
          <w:b/>
          <w:bCs/>
          <w:color w:val="auto"/>
          <w:sz w:val="22"/>
          <w:szCs w:val="22"/>
          <w:u w:val="none"/>
          <w:lang w:val="pt-BR"/>
        </w:rPr>
        <w:t xml:space="preserve">6.23.4.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Lei nº 12.187</w:t>
      </w:r>
      <w:r>
        <w:rPr>
          <w:rStyle w:val="14"/>
          <w:rFonts w:hint="default" w:cs="Arial"/>
          <w:color w:val="auto"/>
          <w:sz w:val="22"/>
          <w:szCs w:val="22"/>
          <w:u w:val="none"/>
          <w:lang w:val="pt-BR"/>
        </w:rPr>
        <w:t>/</w:t>
      </w:r>
      <w:r>
        <w:rPr>
          <w:rStyle w:val="14"/>
          <w:rFonts w:hint="default" w:ascii="Arial" w:hAnsi="Arial" w:cs="Arial"/>
          <w:color w:val="auto"/>
          <w:sz w:val="22"/>
          <w:szCs w:val="22"/>
          <w:u w:val="none"/>
        </w:rPr>
        <w:t>2009</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2313F830">
      <w:pPr>
        <w:pStyle w:val="133"/>
        <w:numPr>
          <w:ilvl w:val="0"/>
          <w:numId w:val="0"/>
        </w:numPr>
        <w:spacing w:line="360" w:lineRule="auto"/>
        <w:ind w:leftChars="0"/>
        <w:rPr>
          <w:rFonts w:hint="default" w:ascii="Arial" w:hAnsi="Arial" w:cs="Arial"/>
          <w:color w:val="auto"/>
          <w:sz w:val="22"/>
          <w:szCs w:val="22"/>
          <w:u w:val="none"/>
        </w:rPr>
      </w:pPr>
      <w:bookmarkStart w:id="25" w:name="_Hlk114646655"/>
      <w:r>
        <w:rPr>
          <w:rFonts w:hint="default" w:cs="Arial"/>
          <w:b/>
          <w:bCs/>
          <w:color w:val="auto"/>
          <w:sz w:val="22"/>
          <w:szCs w:val="22"/>
          <w:u w:val="none"/>
          <w:lang w:val="pt-BR"/>
        </w:rPr>
        <w:t>6.24.</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35CE871A">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6.25.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9C1E153">
      <w:pPr>
        <w:pStyle w:val="136"/>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6.26.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560A6302">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O resultado da negociação será divulgado a todos os licitantes e anexado aos autos do processo licitatório.</w:t>
      </w:r>
    </w:p>
    <w:p w14:paraId="08160351">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p>
    <w:bookmarkEnd w:id="26"/>
    <w:p w14:paraId="744A08BD">
      <w:pPr>
        <w:pStyle w:val="136"/>
        <w:numPr>
          <w:ilvl w:val="0"/>
          <w:numId w:val="0"/>
        </w:numPr>
        <w:spacing w:line="360" w:lineRule="auto"/>
        <w:ind w:left="4" w:leftChars="0" w:hanging="4" w:firstLineChars="0"/>
        <w:rPr>
          <w:rFonts w:hint="default" w:ascii="Arial" w:hAnsi="Arial" w:cs="Arial"/>
          <w:iCs/>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688AD760">
      <w:pPr>
        <w:pStyle w:val="133"/>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cs="Arial"/>
          <w:b/>
          <w:bCs/>
          <w:color w:val="auto"/>
          <w:sz w:val="22"/>
          <w:szCs w:val="22"/>
          <w:u w:val="none"/>
          <w:lang w:val="pt-BR"/>
        </w:rPr>
        <w:t>6.30.</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5"/>
    </w:p>
    <w:p w14:paraId="070ABF9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1448BBBE">
      <w:pPr>
        <w:tabs>
          <w:tab w:val="left" w:pos="426"/>
        </w:tabs>
        <w:autoSpaceDE w:val="0"/>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278994F2">
      <w:pPr>
        <w:tabs>
          <w:tab w:val="left" w:pos="426"/>
        </w:tabs>
        <w:autoSpaceDE w:val="0"/>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MENOR PREÇO POR ITEM, observado o preço total de referência do item, obtido por meio de pesquisa de mercado.</w:t>
      </w:r>
    </w:p>
    <w:p w14:paraId="67B7C4FD">
      <w:pPr>
        <w:pStyle w:val="133"/>
        <w:numPr>
          <w:ilvl w:val="0"/>
          <w:numId w:val="0"/>
        </w:numPr>
        <w:spacing w:line="360" w:lineRule="auto"/>
        <w:ind w:leftChars="0"/>
        <w:rPr>
          <w:b/>
          <w:sz w:val="22"/>
          <w:szCs w:val="22"/>
        </w:rPr>
      </w:pPr>
      <w:r>
        <w:rPr>
          <w:rFonts w:hint="default"/>
          <w:b/>
          <w:bCs/>
          <w:sz w:val="22"/>
          <w:szCs w:val="22"/>
          <w:lang w:val="pt-BR"/>
        </w:rPr>
        <w:t xml:space="preserve">7.3. </w:t>
      </w:r>
      <w:r>
        <w:rPr>
          <w:sz w:val="22"/>
          <w:szCs w:val="22"/>
        </w:rPr>
        <w:t xml:space="preserve">Será desclassificada a proposta vencedora que: </w:t>
      </w:r>
    </w:p>
    <w:p w14:paraId="3510938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053990C3">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14:paraId="76F1F8DD">
      <w:pPr>
        <w:pStyle w:val="136"/>
        <w:numPr>
          <w:ilvl w:val="0"/>
          <w:numId w:val="0"/>
        </w:numPr>
        <w:spacing w:line="360" w:lineRule="auto"/>
        <w:ind w:left="0" w:leftChars="0" w:firstLine="481" w:firstLineChars="218"/>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1F230DDE">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329E287D">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44DE0A9B">
      <w:pPr>
        <w:pStyle w:val="133"/>
        <w:numPr>
          <w:ilvl w:val="0"/>
          <w:numId w:val="0"/>
        </w:numPr>
        <w:spacing w:line="360" w:lineRule="auto"/>
        <w:ind w:leftChars="0"/>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14:paraId="4A43AAB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14:paraId="23961103">
      <w:pPr>
        <w:pStyle w:val="141"/>
        <w:numPr>
          <w:ilvl w:val="0"/>
          <w:numId w:val="0"/>
        </w:numPr>
        <w:spacing w:line="360" w:lineRule="auto"/>
        <w:ind w:left="0" w:leftChars="0" w:firstLine="722" w:firstLineChars="327"/>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6FFC16EB">
      <w:pPr>
        <w:pStyle w:val="141"/>
        <w:numPr>
          <w:ilvl w:val="0"/>
          <w:numId w:val="0"/>
        </w:numPr>
        <w:spacing w:line="360" w:lineRule="auto"/>
        <w:ind w:left="0" w:leftChars="0" w:firstLine="722" w:firstLineChars="327"/>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44838747">
      <w:pPr>
        <w:pStyle w:val="133"/>
        <w:numPr>
          <w:ilvl w:val="0"/>
          <w:numId w:val="0"/>
        </w:numPr>
        <w:spacing w:line="360" w:lineRule="auto"/>
        <w:ind w:leftChars="0"/>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14:paraId="2F241541">
      <w:pPr>
        <w:pStyle w:val="136"/>
        <w:numPr>
          <w:ilvl w:val="0"/>
          <w:numId w:val="0"/>
        </w:numPr>
        <w:spacing w:line="360" w:lineRule="auto"/>
        <w:ind w:left="4" w:leftChars="0" w:firstLine="477" w:firstLineChars="216"/>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14:paraId="2FA2F5BF">
      <w:pPr>
        <w:pStyle w:val="136"/>
        <w:numPr>
          <w:ilvl w:val="0"/>
          <w:numId w:val="0"/>
        </w:numPr>
        <w:spacing w:line="360" w:lineRule="auto"/>
        <w:ind w:left="4" w:leftChars="0" w:firstLine="477" w:firstLineChars="216"/>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14:paraId="0680142C">
      <w:pPr>
        <w:pStyle w:val="136"/>
        <w:numPr>
          <w:ilvl w:val="0"/>
          <w:numId w:val="0"/>
        </w:numPr>
        <w:spacing w:line="360" w:lineRule="auto"/>
        <w:ind w:left="4" w:leftChars="0" w:firstLine="477" w:firstLineChars="216"/>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A80A42F">
      <w:pPr>
        <w:pStyle w:val="136"/>
        <w:numPr>
          <w:ilvl w:val="0"/>
          <w:numId w:val="0"/>
        </w:numPr>
        <w:spacing w:line="360" w:lineRule="auto"/>
        <w:ind w:left="4" w:leftChars="0" w:firstLine="477" w:firstLineChars="216"/>
        <w:rPr>
          <w:sz w:val="22"/>
          <w:szCs w:val="22"/>
        </w:rPr>
      </w:pPr>
      <w:bookmarkStart w:id="27"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7"/>
      <w:r>
        <w:rPr>
          <w:sz w:val="22"/>
          <w:szCs w:val="22"/>
        </w:rPr>
        <w:t>.</w:t>
      </w:r>
    </w:p>
    <w:p w14:paraId="533B082F">
      <w:pPr>
        <w:pStyle w:val="133"/>
        <w:numPr>
          <w:ilvl w:val="0"/>
          <w:numId w:val="0"/>
        </w:numPr>
        <w:spacing w:line="360" w:lineRule="auto"/>
        <w:ind w:leftChars="0"/>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07EA1F70">
      <w:pPr>
        <w:pStyle w:val="133"/>
        <w:numPr>
          <w:ilvl w:val="0"/>
          <w:numId w:val="0"/>
        </w:numPr>
        <w:spacing w:line="360" w:lineRule="auto"/>
        <w:ind w:leftChars="0"/>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8882071">
      <w:pPr>
        <w:pStyle w:val="136"/>
        <w:numPr>
          <w:ilvl w:val="0"/>
          <w:numId w:val="0"/>
        </w:numPr>
        <w:spacing w:line="360" w:lineRule="auto"/>
        <w:ind w:left="4" w:leftChars="0" w:firstLine="477" w:firstLineChars="216"/>
        <w:rPr>
          <w:b/>
          <w:bCs/>
          <w:sz w:val="22"/>
          <w:szCs w:val="22"/>
        </w:rPr>
      </w:pPr>
      <w:bookmarkStart w:id="28"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8"/>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7568692F">
      <w:pPr>
        <w:pStyle w:val="133"/>
        <w:numPr>
          <w:ilvl w:val="0"/>
          <w:numId w:val="0"/>
        </w:numPr>
        <w:tabs>
          <w:tab w:val="left" w:pos="1200"/>
        </w:tabs>
        <w:spacing w:line="360" w:lineRule="auto"/>
        <w:ind w:left="0" w:leftChars="0" w:firstLine="481" w:firstLineChars="218"/>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C695D4C">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25083E32">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3DE880F3">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2069BB60">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0A363BAD">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p>
    <w:p w14:paraId="4F527A56">
      <w:pPr>
        <w:pStyle w:val="132"/>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29" w:name="art39"/>
      <w:bookmarkEnd w:id="29"/>
    </w:p>
    <w:p w14:paraId="34907219">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11A3E1EE">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 xml:space="preserve">7.9.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482E8F88">
      <w:pPr>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w:t>
      </w:r>
      <w:r>
        <w:rPr>
          <w:rFonts w:hint="default" w:ascii="Arial" w:hAnsi="Arial" w:cs="Arial"/>
          <w:b/>
          <w:sz w:val="22"/>
          <w:szCs w:val="22"/>
          <w:lang w:val="pt-BR"/>
        </w:rPr>
        <w:t xml:space="preserve"> READEQUADA</w:t>
      </w:r>
    </w:p>
    <w:p w14:paraId="3090B78A">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321412B4">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51E5BFB7">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128F6200">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1BE262CA">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17825459">
      <w:pPr>
        <w:widowControl w:val="0"/>
        <w:tabs>
          <w:tab w:val="left" w:pos="1276"/>
        </w:tabs>
        <w:adjustRightInd w:val="0"/>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w:t>
      </w:r>
      <w:r>
        <w:rPr>
          <w:rFonts w:hint="default" w:ascii="Arial" w:hAnsi="Arial" w:cs="Arial"/>
          <w:sz w:val="22"/>
          <w:szCs w:val="22"/>
          <w:lang w:val="pt-BR"/>
        </w:rPr>
        <w:t xml:space="preserve"> ou lote ou grupo de itens</w:t>
      </w:r>
      <w:r>
        <w:rPr>
          <w:rFonts w:ascii="Arial" w:hAnsi="Arial" w:cs="Arial"/>
          <w:sz w:val="22"/>
          <w:szCs w:val="22"/>
        </w:rPr>
        <w:t xml:space="preserve">, </w:t>
      </w:r>
      <w:r>
        <w:rPr>
          <w:rFonts w:hint="default" w:ascii="Arial" w:hAnsi="Arial" w:cs="Arial"/>
          <w:sz w:val="22"/>
          <w:szCs w:val="22"/>
          <w:lang w:val="pt-BR"/>
        </w:rPr>
        <w:t xml:space="preserve">valor total do item ou lote ou grupo de itens, valor total da proposta, </w:t>
      </w:r>
      <w:r>
        <w:rPr>
          <w:rFonts w:ascii="Arial" w:hAnsi="Arial" w:cs="Arial"/>
          <w:sz w:val="22"/>
          <w:szCs w:val="22"/>
        </w:rPr>
        <w:t>expresso em reais (R$)</w:t>
      </w:r>
      <w:r>
        <w:rPr>
          <w:rFonts w:hint="default" w:ascii="Arial" w:hAnsi="Arial" w:cs="Arial"/>
          <w:sz w:val="22"/>
          <w:szCs w:val="22"/>
          <w:lang w:val="pt-BR"/>
        </w:rPr>
        <w:t xml:space="preserve"> ou em porcentagem (%), quando aplicável</w:t>
      </w:r>
      <w:r>
        <w:rPr>
          <w:rFonts w:ascii="Arial" w:hAnsi="Arial" w:cs="Arial"/>
          <w:sz w:val="22"/>
          <w:szCs w:val="22"/>
        </w:rPr>
        <w:t>, com 02 (dois)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5E0FEB28">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41FA639E">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0B63DF94">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6421510F">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prestação dos serviços deverá ser de acordo com o cronograma estipulado pela Secretaria solicitante;</w:t>
      </w:r>
    </w:p>
    <w:p w14:paraId="1CC0B869">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23ABDF15">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36CF5520">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73E13E50">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14:paraId="11AFB5AA">
      <w:pPr>
        <w:pStyle w:val="133"/>
        <w:numPr>
          <w:ilvl w:val="1"/>
          <w:numId w:val="9"/>
        </w:numPr>
        <w:tabs>
          <w:tab w:val="left" w:pos="480"/>
        </w:tabs>
        <w:spacing w:line="360" w:lineRule="auto"/>
        <w:ind w:left="5" w:leftChars="0" w:hanging="5" w:firstLineChars="0"/>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25F502A2">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12433DEE">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715ABE01">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2D8E5ED2">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2E6FB0DC">
      <w:pPr>
        <w:widowControl w:val="0"/>
        <w:numPr>
          <w:ilvl w:val="1"/>
          <w:numId w:val="9"/>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6E387077">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6B7B125C">
      <w:pPr>
        <w:pStyle w:val="118"/>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1DF7F42C">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18FDE88">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art. 71, inciso IX, da Constituição</w:t>
      </w:r>
      <w:r>
        <w:rPr>
          <w:rStyle w:val="14"/>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i w:val="0"/>
          <w:iCs w:val="0"/>
          <w:color w:val="auto"/>
          <w:sz w:val="22"/>
          <w:szCs w:val="22"/>
          <w:highlight w:val="none"/>
        </w:rPr>
        <w:t>.</w:t>
      </w:r>
    </w:p>
    <w:p w14:paraId="6B28C90B">
      <w:pPr>
        <w:pStyle w:val="127"/>
        <w:numPr>
          <w:ilvl w:val="0"/>
          <w:numId w:val="0"/>
        </w:numPr>
        <w:autoSpaceDN w:val="0"/>
        <w:spacing w:before="240" w:after="240" w:line="360" w:lineRule="auto"/>
        <w:ind w:left="-2" w:leftChars="0" w:firstLine="0" w:firstLineChars="0"/>
        <w:contextualSpacing w:val="0"/>
        <w:jc w:val="both"/>
        <w:rPr>
          <w:rFonts w:ascii="Arial" w:hAnsi="Arial" w:cs="Arial"/>
          <w:lang w:eastAsia="pt-BR"/>
        </w:rPr>
      </w:pPr>
      <w:r>
        <w:rPr>
          <w:rFonts w:hint="default" w:ascii="Arial" w:hAnsi="Arial" w:cs="Arial"/>
          <w:b/>
          <w:bCs/>
          <w:i w:val="0"/>
          <w:iCs w:val="0"/>
          <w:color w:val="auto"/>
          <w:sz w:val="22"/>
          <w:szCs w:val="22"/>
          <w:highlight w:val="none"/>
          <w:lang w:val="pt-BR"/>
        </w:rPr>
        <w:t>8.13.</w:t>
      </w:r>
      <w:r>
        <w:rPr>
          <w:rFonts w:hint="default"/>
          <w:i w:val="0"/>
          <w:iCs w:val="0"/>
          <w:color w:val="auto"/>
          <w:sz w:val="22"/>
          <w:szCs w:val="22"/>
          <w:highlight w:val="none"/>
          <w:lang w:val="pt-BR"/>
        </w:rPr>
        <w:t xml:space="preserve"> </w:t>
      </w:r>
      <w:r>
        <w:rPr>
          <w:rFonts w:ascii="Arial" w:hAnsi="Arial" w:cs="Arial"/>
          <w:lang w:eastAsia="pt-BR"/>
        </w:rPr>
        <w:t>Juntamente com as propostas de preço, as empresas vencedoras devem apresentar folder</w:t>
      </w:r>
      <w:r>
        <w:rPr>
          <w:rFonts w:hint="default" w:ascii="Arial" w:hAnsi="Arial" w:cs="Arial"/>
          <w:lang w:val="en-US" w:eastAsia="pt-BR"/>
        </w:rPr>
        <w:t>s</w:t>
      </w:r>
      <w:r>
        <w:rPr>
          <w:rFonts w:ascii="Arial" w:hAnsi="Arial" w:cs="Arial"/>
          <w:lang w:eastAsia="pt-BR"/>
        </w:rPr>
        <w:t xml:space="preserve"> ou catálogo</w:t>
      </w:r>
      <w:r>
        <w:rPr>
          <w:rFonts w:hint="default" w:ascii="Arial" w:hAnsi="Arial" w:cs="Arial"/>
          <w:lang w:val="en-US" w:eastAsia="pt-BR"/>
        </w:rPr>
        <w:t>s</w:t>
      </w:r>
      <w:r>
        <w:rPr>
          <w:rFonts w:ascii="Arial" w:hAnsi="Arial" w:cs="Arial"/>
          <w:lang w:eastAsia="pt-BR"/>
        </w:rPr>
        <w:t xml:space="preserve"> </w:t>
      </w:r>
      <w:r>
        <w:rPr>
          <w:rFonts w:hint="default" w:ascii="Arial" w:hAnsi="Arial" w:cs="Arial"/>
          <w:lang w:val="en-US" w:eastAsia="pt-BR"/>
        </w:rPr>
        <w:t xml:space="preserve">com o </w:t>
      </w:r>
      <w:r>
        <w:rPr>
          <w:rFonts w:ascii="Arial" w:hAnsi="Arial" w:cs="Arial"/>
          <w:lang w:eastAsia="pt-BR"/>
        </w:rPr>
        <w:t>descritivo do</w:t>
      </w:r>
      <w:r>
        <w:rPr>
          <w:rFonts w:hint="default" w:ascii="Arial" w:hAnsi="Arial" w:cs="Arial"/>
          <w:lang w:val="en-US" w:eastAsia="pt-BR"/>
        </w:rPr>
        <w:t>s</w:t>
      </w:r>
      <w:r>
        <w:rPr>
          <w:rFonts w:ascii="Arial" w:hAnsi="Arial" w:cs="Arial"/>
          <w:lang w:eastAsia="pt-BR"/>
        </w:rPr>
        <w:t xml:space="preserve"> materia</w:t>
      </w:r>
      <w:r>
        <w:rPr>
          <w:rFonts w:hint="default" w:ascii="Arial" w:hAnsi="Arial" w:cs="Arial"/>
          <w:lang w:val="en-US" w:eastAsia="pt-BR"/>
        </w:rPr>
        <w:t>is</w:t>
      </w:r>
      <w:r>
        <w:rPr>
          <w:rFonts w:ascii="Arial" w:hAnsi="Arial" w:cs="Arial"/>
          <w:lang w:eastAsia="pt-BR"/>
        </w:rPr>
        <w:t>, para melhor análise de informações técnicas.</w:t>
      </w:r>
    </w:p>
    <w:p w14:paraId="11CB02B1">
      <w:pPr>
        <w:spacing w:line="360" w:lineRule="auto"/>
        <w:jc w:val="both"/>
        <w:rPr>
          <w:rFonts w:hint="default" w:ascii="Arial" w:hAnsi="Arial" w:cs="Arial"/>
          <w:i w:val="0"/>
          <w:iCs w:val="0"/>
          <w:color w:val="auto"/>
          <w:sz w:val="22"/>
          <w:szCs w:val="22"/>
          <w:highlight w:val="none"/>
          <w:lang w:val="pt-BR"/>
        </w:rPr>
      </w:pPr>
      <w:r>
        <w:rPr>
          <w:rFonts w:hint="default" w:ascii="Arial" w:hAnsi="Arial" w:cs="Arial"/>
          <w:b/>
          <w:bCs/>
          <w:i w:val="0"/>
          <w:iCs w:val="0"/>
          <w:color w:val="auto"/>
          <w:sz w:val="22"/>
          <w:szCs w:val="22"/>
          <w:highlight w:val="none"/>
          <w:lang w:val="pt-BR"/>
        </w:rPr>
        <w:t>8.14.</w:t>
      </w:r>
      <w:r>
        <w:rPr>
          <w:rFonts w:hint="default"/>
          <w:i w:val="0"/>
          <w:iCs w:val="0"/>
          <w:color w:val="auto"/>
          <w:sz w:val="22"/>
          <w:szCs w:val="22"/>
          <w:highlight w:val="none"/>
          <w:lang w:val="pt-BR"/>
        </w:rPr>
        <w:t xml:space="preserve"> </w:t>
      </w:r>
      <w:r>
        <w:rPr>
          <w:rFonts w:hint="default" w:ascii="Arial" w:hAnsi="Arial" w:cs="Arial"/>
          <w:i w:val="0"/>
          <w:iCs w:val="0"/>
          <w:color w:val="auto"/>
          <w:sz w:val="22"/>
          <w:szCs w:val="22"/>
          <w:highlight w:val="none"/>
          <w:lang w:val="pt-BR"/>
        </w:rPr>
        <w:t xml:space="preserve">Referente aos itens 1, 2 e 7, serão aceitas as marcas abaixo, conforme disposto no Termo de Referência. </w:t>
      </w:r>
    </w:p>
    <w:p w14:paraId="00F55C34">
      <w:pPr>
        <w:spacing w:line="360" w:lineRule="auto"/>
        <w:jc w:val="both"/>
        <w:rPr>
          <w:rFonts w:hint="default" w:ascii="Arial" w:hAnsi="Arial" w:cs="Arial"/>
          <w:i w:val="0"/>
          <w:iCs w:val="0"/>
          <w:color w:val="auto"/>
          <w:sz w:val="22"/>
          <w:szCs w:val="22"/>
          <w:highlight w:val="none"/>
          <w:lang w:val="pt-BR"/>
        </w:rPr>
      </w:pPr>
    </w:p>
    <w:p w14:paraId="4EDE59F0">
      <w:pPr>
        <w:spacing w:line="360" w:lineRule="auto"/>
        <w:ind w:left="0" w:leftChars="0" w:firstLine="481" w:firstLineChars="218"/>
        <w:jc w:val="both"/>
        <w:rPr>
          <w:rFonts w:ascii="Arial" w:hAnsi="Arial" w:cs="Arial"/>
          <w:sz w:val="22"/>
          <w:szCs w:val="22"/>
        </w:rPr>
      </w:pPr>
      <w:r>
        <w:rPr>
          <w:rFonts w:hint="default" w:ascii="Arial" w:hAnsi="Arial" w:cs="Arial"/>
          <w:b/>
          <w:bCs/>
          <w:i w:val="0"/>
          <w:iCs w:val="0"/>
          <w:color w:val="auto"/>
          <w:sz w:val="22"/>
          <w:szCs w:val="22"/>
          <w:highlight w:val="none"/>
          <w:lang w:val="pt-BR"/>
        </w:rPr>
        <w:t xml:space="preserve">8.14.1. </w:t>
      </w:r>
      <w:r>
        <w:rPr>
          <w:rFonts w:hint="default" w:ascii="Arial" w:hAnsi="Arial" w:cs="Arial"/>
          <w:b w:val="0"/>
          <w:bCs w:val="0"/>
          <w:i w:val="0"/>
          <w:iCs w:val="0"/>
          <w:color w:val="auto"/>
          <w:sz w:val="22"/>
          <w:szCs w:val="22"/>
          <w:highlight w:val="none"/>
          <w:lang w:val="pt-BR"/>
        </w:rPr>
        <w:t>Quanto aos</w:t>
      </w:r>
      <w:r>
        <w:rPr>
          <w:rFonts w:hint="default" w:ascii="Arial" w:hAnsi="Arial" w:cs="Arial"/>
          <w:i w:val="0"/>
          <w:iCs w:val="0"/>
          <w:color w:val="auto"/>
          <w:sz w:val="22"/>
          <w:szCs w:val="22"/>
          <w:highlight w:val="none"/>
          <w:lang w:val="pt-BR"/>
        </w:rPr>
        <w:t xml:space="preserve"> itens:  </w:t>
      </w:r>
      <w:r>
        <w:rPr>
          <w:rFonts w:ascii="Arial" w:hAnsi="Arial" w:cs="Arial"/>
          <w:b/>
          <w:sz w:val="22"/>
          <w:szCs w:val="22"/>
        </w:rPr>
        <w:t>1,</w:t>
      </w:r>
      <w:r>
        <w:rPr>
          <w:rFonts w:hint="default" w:ascii="Arial" w:hAnsi="Arial" w:cs="Arial"/>
          <w:b/>
          <w:sz w:val="22"/>
          <w:szCs w:val="22"/>
          <w:lang w:val="pt-BR"/>
        </w:rPr>
        <w:t xml:space="preserve"> </w:t>
      </w:r>
      <w:r>
        <w:rPr>
          <w:rFonts w:ascii="Arial" w:hAnsi="Arial" w:cs="Arial"/>
          <w:b/>
          <w:sz w:val="22"/>
          <w:szCs w:val="22"/>
        </w:rPr>
        <w:t>2 e 7</w:t>
      </w:r>
      <w:r>
        <w:rPr>
          <w:rFonts w:hint="default" w:ascii="Arial" w:hAnsi="Arial" w:cs="Arial"/>
          <w:b/>
          <w:sz w:val="22"/>
          <w:szCs w:val="22"/>
          <w:lang w:val="pt-BR"/>
        </w:rPr>
        <w:t xml:space="preserve"> - </w:t>
      </w:r>
      <w:r>
        <w:rPr>
          <w:rFonts w:ascii="Arial" w:hAnsi="Arial" w:cs="Arial"/>
          <w:b/>
          <w:sz w:val="22"/>
          <w:szCs w:val="22"/>
        </w:rPr>
        <w:t>referente ao meios de culturas solicitamos que seja</w:t>
      </w:r>
      <w:r>
        <w:rPr>
          <w:rFonts w:hint="default" w:ascii="Arial" w:hAnsi="Arial" w:cs="Arial"/>
          <w:b/>
          <w:sz w:val="22"/>
          <w:szCs w:val="22"/>
          <w:lang w:val="pt-BR"/>
        </w:rPr>
        <w:t>m</w:t>
      </w:r>
      <w:r>
        <w:rPr>
          <w:rFonts w:ascii="Arial" w:hAnsi="Arial" w:cs="Arial"/>
          <w:b/>
          <w:sz w:val="22"/>
          <w:szCs w:val="22"/>
        </w:rPr>
        <w:t xml:space="preserve"> das marcas</w:t>
      </w:r>
      <w:r>
        <w:rPr>
          <w:rFonts w:hint="default" w:ascii="Arial" w:hAnsi="Arial" w:cs="Arial"/>
          <w:b/>
          <w:sz w:val="22"/>
          <w:szCs w:val="22"/>
          <w:lang w:val="pt-BR"/>
        </w:rPr>
        <w:t xml:space="preserve">: </w:t>
      </w:r>
      <w:r>
        <w:rPr>
          <w:rFonts w:ascii="Arial" w:hAnsi="Arial" w:cs="Arial"/>
          <w:b/>
          <w:color w:val="000000"/>
          <w:sz w:val="22"/>
          <w:szCs w:val="22"/>
        </w:rPr>
        <w:t xml:space="preserve"> </w:t>
      </w:r>
      <w:r>
        <w:rPr>
          <w:rFonts w:ascii="Arial" w:hAnsi="Arial" w:cs="Arial"/>
          <w:b/>
          <w:color w:val="000000"/>
          <w:sz w:val="22"/>
          <w:szCs w:val="22"/>
          <w:lang w:val="en-US"/>
        </w:rPr>
        <w:t>KASVI</w:t>
      </w:r>
      <w:r>
        <w:rPr>
          <w:rFonts w:ascii="Arial" w:hAnsi="Arial" w:cs="Arial"/>
          <w:b/>
          <w:color w:val="000000"/>
          <w:sz w:val="22"/>
          <w:szCs w:val="22"/>
        </w:rPr>
        <w:t xml:space="preserve">, </w:t>
      </w:r>
      <w:r>
        <w:rPr>
          <w:rFonts w:ascii="Arial" w:hAnsi="Arial" w:cs="Arial"/>
          <w:b/>
          <w:color w:val="000000"/>
          <w:sz w:val="22"/>
          <w:szCs w:val="22"/>
          <w:lang w:val="en-US"/>
        </w:rPr>
        <w:t>SIGMA-ALDRICH</w:t>
      </w:r>
      <w:r>
        <w:rPr>
          <w:rFonts w:ascii="Arial" w:hAnsi="Arial" w:cs="Arial"/>
          <w:b/>
          <w:color w:val="000000"/>
          <w:sz w:val="22"/>
          <w:szCs w:val="22"/>
        </w:rPr>
        <w:t xml:space="preserve"> ou </w:t>
      </w:r>
      <w:r>
        <w:rPr>
          <w:rFonts w:ascii="Arial" w:hAnsi="Arial" w:cs="Arial"/>
          <w:b/>
          <w:color w:val="000000"/>
          <w:sz w:val="22"/>
          <w:szCs w:val="22"/>
          <w:lang w:val="en-US"/>
        </w:rPr>
        <w:t>MERCK</w:t>
      </w:r>
      <w:r>
        <w:rPr>
          <w:rFonts w:hint="default" w:ascii="Arial" w:hAnsi="Arial" w:cs="Arial"/>
          <w:b/>
          <w:color w:val="000000"/>
          <w:sz w:val="22"/>
          <w:szCs w:val="22"/>
          <w:lang w:val="pt-BR"/>
        </w:rPr>
        <w:t xml:space="preserve">. </w:t>
      </w:r>
      <w:r>
        <w:rPr>
          <w:rFonts w:ascii="Arial" w:hAnsi="Arial" w:cs="Arial"/>
          <w:sz w:val="22"/>
          <w:szCs w:val="22"/>
        </w:rPr>
        <w:t>Existem diversas marca</w:t>
      </w:r>
      <w:r>
        <w:rPr>
          <w:rFonts w:hint="default" w:ascii="Arial" w:hAnsi="Arial" w:cs="Arial"/>
          <w:sz w:val="22"/>
          <w:szCs w:val="22"/>
          <w:lang w:val="pt-BR"/>
        </w:rPr>
        <w:t>s</w:t>
      </w:r>
      <w:r>
        <w:rPr>
          <w:rFonts w:ascii="Arial" w:hAnsi="Arial" w:cs="Arial"/>
          <w:sz w:val="22"/>
          <w:szCs w:val="22"/>
        </w:rPr>
        <w:t xml:space="preserve"> disponíveis no mercado, porém as marcas citadas, são marcas conhecidas que já são usadas no laboratório, pois permite isolamento rápido de microrganismo, apresenta morfologia e cores características das colônias de cada microrganismo, ajudando na identificação dos mesmos, garantindo bom desempenho e confiabilidade nos resultados apresentados, além de serem meios recomendados pela CLSI Clinical and Laboratory Standar e Brcast, onde cada meio tem características e padrão de halos de inibição dentro dos intervalos de CQ do BrCAST/EUCAST.</w:t>
      </w:r>
    </w:p>
    <w:p w14:paraId="0B6B3FCC">
      <w:pPr>
        <w:spacing w:line="360" w:lineRule="auto"/>
        <w:jc w:val="both"/>
        <w:rPr>
          <w:rFonts w:ascii="Arial" w:hAnsi="Arial" w:cs="Arial"/>
          <w:sz w:val="22"/>
          <w:szCs w:val="22"/>
        </w:rPr>
      </w:pPr>
    </w:p>
    <w:p w14:paraId="27B25643">
      <w:pPr>
        <w:spacing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8.14.2.</w:t>
      </w:r>
      <w:r>
        <w:rPr>
          <w:rFonts w:hint="default" w:ascii="Arial" w:hAnsi="Arial" w:cs="Arial"/>
          <w:sz w:val="22"/>
          <w:szCs w:val="22"/>
          <w:lang w:val="pt-BR"/>
        </w:rPr>
        <w:t xml:space="preserve"> </w:t>
      </w:r>
      <w:r>
        <w:rPr>
          <w:rFonts w:ascii="Arial" w:hAnsi="Arial" w:cs="Arial"/>
          <w:sz w:val="22"/>
          <w:szCs w:val="22"/>
        </w:rPr>
        <w:t xml:space="preserve">A utilização desses meios contribui para a melhoria dos processos laboratoriais e a atualização dos métodos de análise. A reputação consolidada das marcas é um indicativo de sua confiabilidade e desempenho superiores no mercado de insumos para microbiologia.   </w:t>
      </w:r>
    </w:p>
    <w:p w14:paraId="432D18FD">
      <w:pPr>
        <w:spacing w:line="360" w:lineRule="auto"/>
        <w:ind w:left="0" w:leftChars="0" w:firstLine="479" w:firstLineChars="218"/>
        <w:jc w:val="both"/>
        <w:rPr>
          <w:rFonts w:ascii="Arial" w:hAnsi="Arial" w:cs="Arial"/>
          <w:sz w:val="22"/>
          <w:szCs w:val="22"/>
        </w:rPr>
      </w:pPr>
      <w:r>
        <w:rPr>
          <w:rFonts w:ascii="Arial" w:hAnsi="Arial" w:cs="Arial"/>
          <w:sz w:val="22"/>
          <w:szCs w:val="22"/>
        </w:rPr>
        <w:t xml:space="preserve">                                                   </w:t>
      </w:r>
    </w:p>
    <w:p w14:paraId="0AED6D3A">
      <w:pPr>
        <w:spacing w:line="360" w:lineRule="auto"/>
        <w:jc w:val="both"/>
        <w:textAlignment w:val="center"/>
        <w:rPr>
          <w:rFonts w:ascii="Arial" w:hAnsi="Arial" w:cs="Arial"/>
          <w:sz w:val="22"/>
          <w:szCs w:val="22"/>
        </w:rPr>
      </w:pPr>
      <w:r>
        <w:rPr>
          <w:rFonts w:hint="default" w:ascii="Arial" w:hAnsi="Arial" w:cs="Arial"/>
          <w:b/>
          <w:bCs/>
          <w:sz w:val="22"/>
          <w:szCs w:val="22"/>
          <w:lang w:val="pt-BR"/>
        </w:rPr>
        <w:t xml:space="preserve">8.15. </w:t>
      </w:r>
      <w:r>
        <w:rPr>
          <w:rFonts w:hint="default" w:ascii="Arial" w:hAnsi="Arial" w:cs="Arial"/>
          <w:b w:val="0"/>
          <w:bCs w:val="0"/>
          <w:sz w:val="22"/>
          <w:szCs w:val="22"/>
          <w:lang w:val="pt-BR"/>
        </w:rPr>
        <w:t>Quanto aos itens</w:t>
      </w:r>
      <w:r>
        <w:rPr>
          <w:rFonts w:ascii="Arial" w:hAnsi="Arial" w:cs="Arial"/>
          <w:b/>
          <w:bCs/>
          <w:sz w:val="22"/>
          <w:szCs w:val="22"/>
        </w:rPr>
        <w:t xml:space="preserve">  8 e 9 </w:t>
      </w:r>
      <w:r>
        <w:rPr>
          <w:rFonts w:hint="default" w:ascii="Arial" w:hAnsi="Arial" w:cs="Arial"/>
          <w:b/>
          <w:bCs/>
          <w:sz w:val="22"/>
          <w:szCs w:val="22"/>
          <w:lang w:val="pt-BR"/>
        </w:rPr>
        <w:t xml:space="preserve">- </w:t>
      </w:r>
      <w:r>
        <w:rPr>
          <w:rFonts w:ascii="Arial" w:hAnsi="Arial" w:cs="Arial"/>
          <w:b/>
          <w:bCs/>
          <w:sz w:val="22"/>
          <w:szCs w:val="22"/>
        </w:rPr>
        <w:t>referente as micropipetas solicitamos que seja das marcas</w:t>
      </w:r>
      <w:r>
        <w:rPr>
          <w:rFonts w:hint="default" w:ascii="Arial" w:hAnsi="Arial" w:cs="Arial"/>
          <w:b/>
          <w:bCs/>
          <w:sz w:val="22"/>
          <w:szCs w:val="22"/>
          <w:lang w:val="pt-BR"/>
        </w:rPr>
        <w:t>:</w:t>
      </w:r>
      <w:r>
        <w:rPr>
          <w:rFonts w:ascii="Arial" w:hAnsi="Arial" w:cs="Arial"/>
          <w:b/>
          <w:bCs/>
          <w:color w:val="000000"/>
          <w:sz w:val="22"/>
          <w:szCs w:val="22"/>
        </w:rPr>
        <w:t xml:space="preserve"> </w:t>
      </w:r>
      <w:r>
        <w:rPr>
          <w:rFonts w:ascii="Arial" w:hAnsi="Arial" w:cs="Arial"/>
          <w:b/>
          <w:bCs/>
          <w:color w:val="000000"/>
          <w:sz w:val="22"/>
          <w:szCs w:val="22"/>
          <w:lang w:val="en-US"/>
        </w:rPr>
        <w:t xml:space="preserve"> KASVI </w:t>
      </w:r>
      <w:r>
        <w:rPr>
          <w:rFonts w:ascii="Arial" w:hAnsi="Arial" w:cs="Arial"/>
          <w:b/>
          <w:bCs/>
          <w:color w:val="000000"/>
          <w:sz w:val="22"/>
          <w:szCs w:val="22"/>
        </w:rPr>
        <w:t xml:space="preserve">ou </w:t>
      </w:r>
      <w:r>
        <w:rPr>
          <w:rFonts w:ascii="Arial" w:hAnsi="Arial" w:cs="Arial"/>
          <w:b/>
          <w:bCs/>
          <w:color w:val="000000"/>
          <w:sz w:val="22"/>
          <w:szCs w:val="22"/>
          <w:lang w:val="en-US"/>
        </w:rPr>
        <w:t>KACIL-</w:t>
      </w:r>
      <w:r>
        <w:rPr>
          <w:rFonts w:ascii="Arial" w:hAnsi="Arial" w:cs="Arial"/>
          <w:b/>
          <w:bCs/>
          <w:color w:val="000000"/>
          <w:sz w:val="22"/>
          <w:szCs w:val="22"/>
        </w:rPr>
        <w:t xml:space="preserve"> </w:t>
      </w:r>
      <w:r>
        <w:rPr>
          <w:rFonts w:ascii="Arial" w:hAnsi="Arial" w:cs="Arial"/>
          <w:b/>
          <w:bCs/>
          <w:color w:val="000000"/>
          <w:sz w:val="22"/>
          <w:szCs w:val="22"/>
          <w:lang w:val="en-US"/>
        </w:rPr>
        <w:t>MICROPIPET</w:t>
      </w:r>
      <w:r>
        <w:rPr>
          <w:rFonts w:hint="default" w:ascii="Arial" w:hAnsi="Arial" w:cs="Arial"/>
          <w:b/>
          <w:bCs/>
          <w:color w:val="000000"/>
          <w:sz w:val="22"/>
          <w:szCs w:val="22"/>
          <w:lang w:val="pt-BR"/>
        </w:rPr>
        <w:t xml:space="preserve"> . </w:t>
      </w:r>
      <w:r>
        <w:rPr>
          <w:rFonts w:ascii="Arial" w:hAnsi="Arial" w:cs="Arial"/>
          <w:sz w:val="22"/>
          <w:szCs w:val="22"/>
        </w:rPr>
        <w:t>As marcas dos pipetadores citadas são modelos que possuem a extremidade do bico em aço inoxidável, permitindo maior precisão e exatidão nos mais diversos volumes ajustado para uso laboratorial. Outras marcas não apresentam os bicos de aço inoxidáveis, diminuído a vida útil dos pipetadores, ocasionando mais custos com as aquisições, desses itens.</w:t>
      </w:r>
    </w:p>
    <w:p w14:paraId="1684BC90">
      <w:pPr>
        <w:pStyle w:val="133"/>
        <w:numPr>
          <w:ilvl w:val="0"/>
          <w:numId w:val="0"/>
        </w:numPr>
        <w:spacing w:line="360" w:lineRule="auto"/>
        <w:ind w:leftChars="0"/>
        <w:rPr>
          <w:rFonts w:hint="default"/>
          <w:i w:val="0"/>
          <w:iCs w:val="0"/>
          <w:color w:val="auto"/>
          <w:sz w:val="22"/>
          <w:szCs w:val="22"/>
          <w:highlight w:val="none"/>
          <w:lang w:val="pt-BR"/>
        </w:rPr>
      </w:pPr>
    </w:p>
    <w:p w14:paraId="3540C518">
      <w:pPr>
        <w:pStyle w:val="2"/>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14:paraId="14DD1C2B">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arts. 62 a 70 da 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Style w:val="14"/>
          <w:rFonts w:hint="default" w:ascii="Arial" w:hAnsi="Arial" w:cs="Arial"/>
          <w:color w:val="auto"/>
          <w:sz w:val="22"/>
          <w:szCs w:val="22"/>
          <w:u w:val="none"/>
          <w:lang w:val="pt-BR"/>
        </w:rPr>
        <w:t>, conforme documentos listados a partir do item 9.2.</w:t>
      </w:r>
    </w:p>
    <w:p w14:paraId="1A51A2B5">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766F1174">
      <w:pPr>
        <w:pStyle w:val="16"/>
        <w:widowControl w:val="0"/>
        <w:spacing w:before="240" w:after="240" w:line="360" w:lineRule="auto"/>
        <w:ind w:firstLine="425"/>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56DFDFB1">
      <w:pPr>
        <w:pStyle w:val="118"/>
        <w:widowControl w:val="0"/>
        <w:suppressLineNumbers w:val="0"/>
        <w:spacing w:before="240" w:after="240" w:line="360" w:lineRule="auto"/>
        <w:ind w:firstLine="709"/>
      </w:pPr>
      <w:r>
        <w:rPr>
          <w:b/>
        </w:rPr>
        <w:t>9.1.2.1.</w:t>
      </w:r>
      <w:r>
        <w:t xml:space="preserve"> O descumprimento do item 9.1.2 não será motivo de inabilitação do proponente. </w:t>
      </w:r>
    </w:p>
    <w:p w14:paraId="23EE4799">
      <w:pPr>
        <w:pStyle w:val="21"/>
        <w:spacing w:before="240" w:after="240" w:line="360" w:lineRule="auto"/>
        <w:ind w:left="0" w:leftChars="0" w:firstLine="481" w:firstLineChars="218"/>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2F863397">
      <w:pPr>
        <w:pStyle w:val="133"/>
        <w:numPr>
          <w:ilvl w:val="0"/>
          <w:numId w:val="0"/>
        </w:numPr>
        <w:spacing w:line="360" w:lineRule="auto"/>
        <w:ind w:left="0" w:leftChars="0" w:firstLine="481" w:firstLineChars="218"/>
        <w:rPr>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nº </w:t>
      </w:r>
      <w:r>
        <w:rPr>
          <w:rStyle w:val="14"/>
          <w:color w:val="auto"/>
          <w:sz w:val="22"/>
          <w:szCs w:val="22"/>
          <w:u w:val="none"/>
        </w:rPr>
        <w:t>14.133/2</w:t>
      </w:r>
      <w:r>
        <w:rPr>
          <w:rStyle w:val="14"/>
          <w:rFonts w:hint="default"/>
          <w:color w:val="auto"/>
          <w:sz w:val="22"/>
          <w:szCs w:val="22"/>
          <w:u w:val="none"/>
          <w:lang w:val="pt-BR"/>
        </w:rPr>
        <w:t>02</w:t>
      </w:r>
      <w:r>
        <w:rPr>
          <w:rStyle w:val="14"/>
          <w:color w:val="auto"/>
          <w:sz w:val="22"/>
          <w:szCs w:val="22"/>
          <w:u w:val="none"/>
        </w:rPr>
        <w:t>1, art. 64</w:t>
      </w:r>
      <w:r>
        <w:rPr>
          <w:rStyle w:val="14"/>
          <w:color w:val="auto"/>
          <w:sz w:val="22"/>
          <w:szCs w:val="22"/>
          <w:u w:val="none"/>
        </w:rPr>
        <w:fldChar w:fldCharType="end"/>
      </w:r>
      <w:r>
        <w:rPr>
          <w:color w:val="auto"/>
          <w:sz w:val="22"/>
          <w:szCs w:val="22"/>
          <w:u w:val="none"/>
        </w:rPr>
        <w:t>):</w:t>
      </w:r>
    </w:p>
    <w:p w14:paraId="60643141">
      <w:pPr>
        <w:pStyle w:val="136"/>
        <w:numPr>
          <w:ilvl w:val="0"/>
          <w:numId w:val="0"/>
        </w:numPr>
        <w:spacing w:line="360" w:lineRule="auto"/>
        <w:ind w:left="0" w:leftChars="0" w:firstLine="722" w:firstLineChars="327"/>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1B257BF5">
      <w:pPr>
        <w:pStyle w:val="136"/>
        <w:numPr>
          <w:ilvl w:val="0"/>
          <w:numId w:val="0"/>
        </w:numPr>
        <w:spacing w:line="360" w:lineRule="auto"/>
        <w:ind w:left="0" w:leftChars="0" w:firstLine="722" w:firstLineChars="327"/>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55E8DBAC">
      <w:pPr>
        <w:pStyle w:val="133"/>
        <w:numPr>
          <w:ilvl w:val="0"/>
          <w:numId w:val="0"/>
        </w:numPr>
        <w:spacing w:line="360" w:lineRule="auto"/>
        <w:ind w:left="0" w:leftChars="0" w:firstLine="481" w:firstLineChars="218"/>
        <w:rPr>
          <w:sz w:val="22"/>
          <w:szCs w:val="22"/>
        </w:rPr>
      </w:pPr>
      <w:bookmarkStart w:id="30"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0"/>
    </w:p>
    <w:p w14:paraId="1D4EA5EE">
      <w:pPr>
        <w:pStyle w:val="133"/>
        <w:numPr>
          <w:ilvl w:val="0"/>
          <w:numId w:val="0"/>
        </w:numPr>
        <w:spacing w:line="360" w:lineRule="auto"/>
        <w:ind w:left="0" w:leftChars="0" w:firstLine="481" w:firstLineChars="218"/>
        <w:rPr>
          <w:rFonts w:hint="default"/>
          <w:sz w:val="22"/>
          <w:szCs w:val="22"/>
          <w:lang w:val="pt-BR"/>
        </w:rPr>
      </w:pPr>
      <w:bookmarkStart w:id="31"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1"/>
      <w:r>
        <w:rPr>
          <w:rFonts w:hint="default"/>
          <w:sz w:val="22"/>
          <w:szCs w:val="22"/>
          <w:lang w:val="pt-BR"/>
        </w:rPr>
        <w:t>.</w:t>
      </w:r>
    </w:p>
    <w:p w14:paraId="0F22895D">
      <w:pPr>
        <w:pStyle w:val="133"/>
        <w:numPr>
          <w:ilvl w:val="0"/>
          <w:numId w:val="0"/>
        </w:numPr>
        <w:spacing w:line="360" w:lineRule="auto"/>
        <w:ind w:left="0" w:leftChars="0" w:firstLine="481" w:firstLineChars="218"/>
        <w:rPr>
          <w:sz w:val="22"/>
          <w:szCs w:val="22"/>
        </w:rPr>
      </w:pPr>
      <w:bookmarkStart w:id="32"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2"/>
      <w:r>
        <w:rPr>
          <w:sz w:val="22"/>
          <w:szCs w:val="22"/>
        </w:rPr>
        <w:t>.</w:t>
      </w:r>
    </w:p>
    <w:p w14:paraId="3B3F9239">
      <w:pPr>
        <w:pStyle w:val="127"/>
        <w:widowControl w:val="0"/>
        <w:spacing w:line="360" w:lineRule="auto"/>
        <w:ind w:left="0" w:leftChars="0" w:firstLine="481" w:firstLineChars="218"/>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7861AE0D">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7B89032F">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69606584">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0538DAC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955045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9BE313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3CB0BDF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29C7DBE5">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27D7114E">
      <w:pPr>
        <w:tabs>
          <w:tab w:val="left" w:pos="1134"/>
        </w:tabs>
        <w:autoSpaceDE w:val="0"/>
        <w:autoSpaceDN w:val="0"/>
        <w:spacing w:before="100" w:beforeAutospacing="1" w:after="100" w:afterAutospacing="1" w:line="360" w:lineRule="auto"/>
        <w:ind w:left="0" w:leftChars="0" w:firstLine="480" w:firstLineChars="0"/>
        <w:jc w:val="both"/>
        <w:rPr>
          <w:rFonts w:ascii="Arial" w:hAnsi="Arial" w:cs="Arial"/>
          <w:b w:val="0"/>
          <w:bCs/>
          <w:i w:val="0"/>
          <w:iCs w:val="0"/>
          <w:sz w:val="22"/>
          <w:szCs w:val="22"/>
          <w:u w:val="none"/>
        </w:rPr>
      </w:pPr>
      <w:r>
        <w:rPr>
          <w:rFonts w:ascii="Arial" w:hAnsi="Arial" w:cs="Arial"/>
          <w:b/>
          <w:sz w:val="22"/>
          <w:szCs w:val="22"/>
        </w:rPr>
        <w:t>9.2.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49C2BBA1">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518E443D">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541836C4">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bCs w:val="0"/>
          <w:sz w:val="22"/>
          <w:szCs w:val="22"/>
          <w:u w:val="none"/>
        </w:rPr>
        <w:t>(CNPJ)</w:t>
      </w:r>
      <w:r>
        <w:rPr>
          <w:rFonts w:ascii="Arial" w:hAnsi="Arial" w:cs="Arial"/>
          <w:b w:val="0"/>
          <w:bCs/>
          <w:sz w:val="22"/>
          <w:szCs w:val="22"/>
          <w:u w:val="none"/>
        </w:rPr>
        <w:t>;</w:t>
      </w:r>
    </w:p>
    <w:p w14:paraId="14C50ED2">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1F042F00">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bCs/>
          <w:sz w:val="22"/>
          <w:szCs w:val="22"/>
          <w:u w:val="none"/>
        </w:rPr>
        <w:t>Fazenda Federal</w:t>
      </w:r>
      <w:r>
        <w:rPr>
          <w:rFonts w:ascii="Arial" w:hAnsi="Arial" w:cs="Arial"/>
          <w:b w:val="0"/>
          <w:bCs w:val="0"/>
          <w:sz w:val="22"/>
          <w:szCs w:val="22"/>
          <w:u w:val="none"/>
        </w:rPr>
        <w:t xml:space="preserve">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xml:space="preserve">), </w:t>
      </w:r>
      <w:r>
        <w:rPr>
          <w:rFonts w:ascii="Arial" w:hAnsi="Arial" w:cs="Arial"/>
          <w:b/>
          <w:bCs/>
          <w:sz w:val="22"/>
          <w:szCs w:val="22"/>
          <w:u w:val="none"/>
        </w:rPr>
        <w:t>Estadual e Municipal</w:t>
      </w:r>
      <w:r>
        <w:rPr>
          <w:rFonts w:ascii="Arial" w:hAnsi="Arial" w:cs="Arial"/>
          <w:b/>
          <w:bCs/>
          <w:sz w:val="22"/>
          <w:szCs w:val="22"/>
        </w:rPr>
        <w:t xml:space="preserve"> do domicílio ou sede do </w:t>
      </w:r>
      <w:r>
        <w:rPr>
          <w:rFonts w:hint="default" w:ascii="Arial" w:hAnsi="Arial" w:cs="Arial"/>
          <w:b/>
          <w:bCs/>
          <w:sz w:val="22"/>
          <w:szCs w:val="22"/>
          <w:lang w:val="pt-BR"/>
        </w:rPr>
        <w:t>licitante</w:t>
      </w:r>
      <w:r>
        <w:rPr>
          <w:rFonts w:hint="default" w:ascii="Arial" w:hAnsi="Arial" w:cs="Arial"/>
          <w:sz w:val="22"/>
          <w:szCs w:val="22"/>
          <w:lang w:val="pt-BR"/>
        </w:rPr>
        <w:t>, ou outra equivalente, na forma da lei</w:t>
      </w:r>
      <w:r>
        <w:rPr>
          <w:rFonts w:ascii="Arial" w:hAnsi="Arial" w:cs="Arial"/>
          <w:sz w:val="22"/>
          <w:szCs w:val="22"/>
        </w:rPr>
        <w:t>;</w:t>
      </w:r>
    </w:p>
    <w:p w14:paraId="61062674">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bCs w:val="0"/>
          <w:sz w:val="22"/>
          <w:szCs w:val="22"/>
          <w:u w:val="none"/>
        </w:rPr>
        <w:t>(FGTS),</w:t>
      </w:r>
      <w:r>
        <w:rPr>
          <w:rFonts w:ascii="Arial" w:hAnsi="Arial" w:cs="Arial"/>
          <w:b w:val="0"/>
          <w:bCs/>
          <w:sz w:val="22"/>
          <w:szCs w:val="22"/>
          <w:u w:val="none"/>
        </w:rPr>
        <w:t xml:space="preserve">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44C8278B">
      <w:pPr>
        <w:spacing w:before="100" w:beforeAutospacing="1" w:after="100" w:afterAutospacing="1" w:line="360" w:lineRule="auto"/>
        <w:ind w:left="0" w:leftChars="0" w:firstLine="480" w:firstLineChars="0"/>
        <w:jc w:val="both"/>
        <w:rPr>
          <w:rFonts w:ascii="Arial" w:hAnsi="Arial" w:cs="Arial"/>
          <w:b/>
          <w:bCs/>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w:t>
      </w:r>
      <w:r>
        <w:rPr>
          <w:rFonts w:ascii="Arial" w:hAnsi="Arial" w:cs="Arial"/>
          <w:b/>
          <w:bCs/>
          <w:sz w:val="22"/>
          <w:szCs w:val="22"/>
          <w:u w:val="none"/>
        </w:rPr>
        <w:t>(CNDT</w:t>
      </w:r>
      <w:r>
        <w:rPr>
          <w:rFonts w:hint="default" w:ascii="Arial" w:hAnsi="Arial" w:cs="Arial"/>
          <w:b/>
          <w:bCs/>
          <w:sz w:val="22"/>
          <w:szCs w:val="22"/>
          <w:u w:val="none"/>
          <w:lang w:val="pt-BR"/>
        </w:rPr>
        <w:t>);</w:t>
      </w:r>
      <w:r>
        <w:rPr>
          <w:rFonts w:ascii="Arial" w:hAnsi="Arial" w:cs="Arial"/>
          <w:b/>
          <w:bCs/>
          <w:sz w:val="22"/>
          <w:szCs w:val="22"/>
          <w:u w:val="none"/>
        </w:rPr>
        <w:t xml:space="preserve"> </w:t>
      </w:r>
    </w:p>
    <w:p w14:paraId="57CDD64C">
      <w:pPr>
        <w:numPr>
          <w:ilvl w:val="0"/>
          <w:numId w:val="0"/>
        </w:numPr>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b/>
          <w:bCs/>
          <w:sz w:val="22"/>
          <w:szCs w:val="22"/>
          <w:lang w:val="pt-BR"/>
        </w:rPr>
        <w:t xml:space="preserve">declarando </w:t>
      </w:r>
      <w:r>
        <w:rPr>
          <w:rFonts w:ascii="Arial" w:hAnsi="Arial" w:cs="Arial"/>
          <w:b/>
          <w:bCs/>
          <w:sz w:val="22"/>
          <w:szCs w:val="22"/>
        </w:rPr>
        <w:t xml:space="preserve">que não emprega menor de 18 (dezoito) anos </w:t>
      </w:r>
      <w:r>
        <w:rPr>
          <w:rFonts w:ascii="Arial" w:hAnsi="Arial" w:cs="Arial"/>
          <w:b w:val="0"/>
          <w:bCs w:val="0"/>
          <w:sz w:val="22"/>
          <w:szCs w:val="22"/>
        </w:rPr>
        <w:t>em trabalho noturno</w:t>
      </w:r>
      <w:r>
        <w:rPr>
          <w:rFonts w:ascii="Arial" w:hAnsi="Arial" w:cs="Arial"/>
          <w:b/>
          <w:bCs/>
          <w:sz w:val="22"/>
          <w:szCs w:val="22"/>
        </w:rPr>
        <w:t>,</w:t>
      </w:r>
      <w:r>
        <w:rPr>
          <w:rFonts w:ascii="Arial" w:hAnsi="Arial" w:cs="Arial"/>
          <w:sz w:val="22"/>
          <w:szCs w:val="22"/>
        </w:rPr>
        <w:t xml:space="preserve">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77C2D8E8">
      <w:pPr>
        <w:widowControl w:val="0"/>
        <w:tabs>
          <w:tab w:val="left" w:pos="480"/>
          <w:tab w:val="left" w:pos="1985"/>
        </w:tabs>
        <w:spacing w:before="100" w:beforeAutospacing="1" w:after="100" w:afterAutospacing="1" w:line="360" w:lineRule="auto"/>
        <w:jc w:val="both"/>
        <w:rPr>
          <w:rFonts w:hint="default" w:ascii="Arial" w:hAnsi="Arial" w:cs="Arial"/>
          <w:b/>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2B166ABC">
      <w:pPr>
        <w:numPr>
          <w:ilvl w:val="0"/>
          <w:numId w:val="0"/>
        </w:numPr>
        <w:spacing w:line="360" w:lineRule="auto"/>
        <w:ind w:left="0" w:leftChars="0" w:firstLine="481" w:firstLineChars="218"/>
        <w:contextualSpacing/>
        <w:jc w:val="both"/>
        <w:rPr>
          <w:rFonts w:ascii="Arial" w:hAnsi="Arial" w:cs="Arial"/>
          <w:sz w:val="22"/>
          <w:szCs w:val="22"/>
        </w:rPr>
      </w:pPr>
      <w:r>
        <w:rPr>
          <w:rFonts w:hint="default" w:ascii="Arial" w:hAnsi="Arial"/>
          <w:b/>
          <w:bCs/>
          <w:color w:val="000000"/>
          <w:sz w:val="22"/>
          <w:szCs w:val="22"/>
          <w:lang w:val="pt-BR"/>
        </w:rPr>
        <w:t>9.4.1.</w:t>
      </w:r>
      <w:r>
        <w:rPr>
          <w:rFonts w:hint="default" w:ascii="Arial" w:hAnsi="Arial"/>
          <w:color w:val="000000"/>
          <w:sz w:val="22"/>
          <w:szCs w:val="22"/>
          <w:lang w:val="pt-BR"/>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bCs w:val="0"/>
          <w:color w:val="000000"/>
          <w:sz w:val="22"/>
          <w:szCs w:val="22"/>
          <w:u w:val="none"/>
        </w:rPr>
        <w:t xml:space="preserve">falência </w:t>
      </w:r>
      <w:r>
        <w:rPr>
          <w:rFonts w:hint="default" w:ascii="Arial" w:hAnsi="Arial" w:cs="Arial"/>
          <w:b/>
          <w:bCs w:val="0"/>
          <w:color w:val="000000"/>
          <w:sz w:val="22"/>
          <w:szCs w:val="22"/>
          <w:u w:val="none"/>
          <w:lang w:val="pt-BR"/>
        </w:rPr>
        <w:t>e recuperação judicial</w:t>
      </w:r>
      <w:r>
        <w:rPr>
          <w:rFonts w:hint="default" w:ascii="Arial" w:hAnsi="Arial" w:cs="Arial"/>
          <w:b w:val="0"/>
          <w:bCs/>
          <w:color w:val="000000"/>
          <w:sz w:val="22"/>
          <w:szCs w:val="22"/>
          <w:u w:val="none"/>
          <w:lang w:val="pt-BR"/>
        </w:rPr>
        <w:t xml:space="preserve">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 no prazo de até 30 dias antecedentes à realização do certame</w:t>
      </w:r>
      <w:r>
        <w:rPr>
          <w:rFonts w:ascii="Arial" w:hAnsi="Arial" w:cs="Arial"/>
          <w:color w:val="000000"/>
          <w:sz w:val="22"/>
          <w:szCs w:val="22"/>
        </w:rPr>
        <w:t>.</w:t>
      </w:r>
    </w:p>
    <w:p w14:paraId="100B9DD1">
      <w:pPr>
        <w:widowControl w:val="0"/>
        <w:tabs>
          <w:tab w:val="left" w:pos="1985"/>
        </w:tabs>
        <w:spacing w:before="100" w:beforeAutospacing="1" w:after="100" w:afterAutospacing="1" w:line="360" w:lineRule="auto"/>
        <w:ind w:firstLine="851"/>
        <w:jc w:val="both"/>
        <w:rPr>
          <w:rFonts w:ascii="Arial" w:hAnsi="Arial" w:cs="Arial"/>
          <w:sz w:val="22"/>
          <w:szCs w:val="22"/>
        </w:rPr>
      </w:pPr>
      <w:r>
        <w:rPr>
          <w:rFonts w:ascii="Arial" w:hAnsi="Arial" w:cs="Arial"/>
          <w:b/>
          <w:sz w:val="22"/>
          <w:szCs w:val="22"/>
        </w:rPr>
        <w:t>9.</w:t>
      </w:r>
      <w:r>
        <w:rPr>
          <w:rFonts w:hint="default" w:ascii="Arial" w:hAnsi="Arial" w:cs="Arial"/>
          <w:b/>
          <w:sz w:val="22"/>
          <w:szCs w:val="22"/>
          <w:lang w:val="pt-BR"/>
        </w:rPr>
        <w:t>4</w:t>
      </w:r>
      <w:r>
        <w:rPr>
          <w:rFonts w:ascii="Arial" w:hAnsi="Arial" w:cs="Arial"/>
          <w:b/>
          <w:sz w:val="22"/>
          <w:szCs w:val="22"/>
        </w:rPr>
        <w:t>.</w:t>
      </w:r>
      <w:r>
        <w:rPr>
          <w:rFonts w:hint="default" w:ascii="Arial" w:hAnsi="Arial" w:cs="Arial"/>
          <w:b/>
          <w:sz w:val="22"/>
          <w:szCs w:val="22"/>
          <w:lang w:val="pt-BR"/>
        </w:rPr>
        <w:t>7</w:t>
      </w:r>
      <w:r>
        <w:rPr>
          <w:rFonts w:ascii="Arial" w:hAnsi="Arial" w:cs="Arial"/>
          <w:b/>
          <w:sz w:val="22"/>
          <w:szCs w:val="22"/>
        </w:rPr>
        <w:t>.1.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0EE3168C">
      <w:pPr>
        <w:widowControl w:val="0"/>
        <w:spacing w:line="360" w:lineRule="auto"/>
        <w:ind w:left="0" w:leftChars="0" w:firstLine="722" w:firstLineChars="327"/>
        <w:jc w:val="both"/>
        <w:rPr>
          <w:rFonts w:hint="default" w:ascii="Arial" w:hAnsi="Arial" w:cs="Arial"/>
          <w:sz w:val="22"/>
          <w:szCs w:val="22"/>
        </w:rPr>
      </w:pPr>
      <w:r>
        <w:rPr>
          <w:rFonts w:hint="default" w:ascii="Arial" w:hAnsi="Arial" w:cs="Arial"/>
          <w:b/>
          <w:sz w:val="22"/>
          <w:szCs w:val="22"/>
        </w:rPr>
        <w:t>9.</w:t>
      </w:r>
      <w:r>
        <w:rPr>
          <w:rFonts w:hint="default" w:ascii="Arial" w:hAnsi="Arial" w:cs="Arial"/>
          <w:b/>
          <w:sz w:val="22"/>
          <w:szCs w:val="22"/>
          <w:lang w:val="pt-BR"/>
        </w:rPr>
        <w:t>4.7</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606D4687">
      <w:pPr>
        <w:widowControl w:val="0"/>
        <w:tabs>
          <w:tab w:val="left" w:pos="426"/>
          <w:tab w:val="left" w:pos="567"/>
        </w:tabs>
        <w:adjustRightInd w:val="0"/>
        <w:spacing w:before="240" w:after="240" w:line="360" w:lineRule="auto"/>
        <w:jc w:val="both"/>
        <w:textAlignment w:val="baseline"/>
        <w:rPr>
          <w:rFonts w:hint="default" w:ascii="Arial" w:hAnsi="Arial" w:cs="Arial"/>
          <w:b/>
          <w:sz w:val="22"/>
          <w:szCs w:val="22"/>
          <w:highlight w:val="none"/>
          <w:lang w:val="pt-BR"/>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Qualificação Técnica </w:t>
      </w:r>
    </w:p>
    <w:p w14:paraId="01CCE83C">
      <w:pPr>
        <w:pStyle w:val="127"/>
        <w:numPr>
          <w:ilvl w:val="0"/>
          <w:numId w:val="0"/>
        </w:numPr>
        <w:autoSpaceDN w:val="0"/>
        <w:spacing w:before="240" w:after="240" w:line="240" w:lineRule="auto"/>
        <w:ind w:left="142" w:leftChars="0"/>
        <w:contextualSpacing w:val="0"/>
        <w:jc w:val="both"/>
        <w:rPr>
          <w:rFonts w:hint="default" w:ascii="Arial" w:hAnsi="Arial" w:cs="Arial"/>
          <w:sz w:val="22"/>
          <w:szCs w:val="22"/>
          <w:lang w:eastAsia="pt-BR"/>
        </w:rPr>
      </w:pPr>
      <w:r>
        <w:rPr>
          <w:rFonts w:hint="default" w:ascii="Arial" w:hAnsi="Arial" w:cs="Arial"/>
          <w:b/>
          <w:bCs/>
          <w:sz w:val="22"/>
          <w:szCs w:val="22"/>
          <w:lang w:val="en-US" w:eastAsia="pt-BR"/>
        </w:rPr>
        <w:t>9.5.1</w:t>
      </w:r>
      <w:r>
        <w:rPr>
          <w:rFonts w:hint="default" w:ascii="Arial" w:hAnsi="Arial" w:cs="Arial"/>
          <w:sz w:val="22"/>
          <w:szCs w:val="22"/>
          <w:lang w:val="en-US" w:eastAsia="pt-BR"/>
        </w:rPr>
        <w:t xml:space="preserve"> </w:t>
      </w:r>
      <w:r>
        <w:rPr>
          <w:rFonts w:hint="default" w:ascii="Arial" w:hAnsi="Arial" w:cs="Arial"/>
          <w:sz w:val="22"/>
          <w:szCs w:val="22"/>
          <w:lang w:eastAsia="pt-BR"/>
        </w:rPr>
        <w:t>Apresentar Autorização de Funcionamento (AFE) expedido pela ANVISA;</w:t>
      </w:r>
    </w:p>
    <w:p w14:paraId="2ACCA8FD">
      <w:pPr>
        <w:pStyle w:val="127"/>
        <w:numPr>
          <w:ilvl w:val="0"/>
          <w:numId w:val="0"/>
        </w:numPr>
        <w:autoSpaceDN w:val="0"/>
        <w:spacing w:before="240" w:after="240" w:line="240" w:lineRule="auto"/>
        <w:ind w:left="142" w:leftChars="0"/>
        <w:contextualSpacing w:val="0"/>
        <w:jc w:val="both"/>
        <w:rPr>
          <w:rFonts w:hint="default" w:ascii="Arial" w:hAnsi="Arial" w:cs="Arial"/>
          <w:sz w:val="22"/>
          <w:szCs w:val="22"/>
          <w:lang w:eastAsia="pt-BR"/>
        </w:rPr>
      </w:pPr>
      <w:r>
        <w:rPr>
          <w:rFonts w:hint="default" w:ascii="Arial" w:hAnsi="Arial" w:cs="Arial"/>
          <w:b/>
          <w:bCs/>
          <w:sz w:val="22"/>
          <w:szCs w:val="22"/>
          <w:lang w:val="en-US" w:eastAsia="pt-BR"/>
        </w:rPr>
        <w:t xml:space="preserve">9.5.2 </w:t>
      </w:r>
      <w:r>
        <w:rPr>
          <w:rFonts w:hint="default" w:ascii="Arial" w:hAnsi="Arial" w:cs="Arial"/>
          <w:sz w:val="22"/>
          <w:szCs w:val="22"/>
          <w:lang w:eastAsia="pt-BR"/>
        </w:rPr>
        <w:t>Apresentar Alvará de Licença Sanitária Estadual ou Municipal;</w:t>
      </w:r>
    </w:p>
    <w:p w14:paraId="1DD7D752">
      <w:pPr>
        <w:pStyle w:val="127"/>
        <w:numPr>
          <w:ilvl w:val="0"/>
          <w:numId w:val="0"/>
        </w:numPr>
        <w:autoSpaceDN w:val="0"/>
        <w:spacing w:before="240" w:after="240" w:line="360" w:lineRule="auto"/>
        <w:ind w:left="142" w:leftChars="0"/>
        <w:contextualSpacing w:val="0"/>
        <w:jc w:val="both"/>
        <w:rPr>
          <w:rFonts w:hint="default" w:ascii="Arial" w:hAnsi="Arial" w:cs="Arial"/>
          <w:sz w:val="22"/>
          <w:szCs w:val="22"/>
          <w:lang w:val="en-US" w:eastAsia="pt-BR"/>
        </w:rPr>
      </w:pPr>
      <w:r>
        <w:rPr>
          <w:rFonts w:hint="default" w:ascii="Arial" w:hAnsi="Arial" w:cs="Arial"/>
          <w:b/>
          <w:bCs/>
          <w:sz w:val="22"/>
          <w:szCs w:val="22"/>
          <w:lang w:val="en-US" w:eastAsia="pt-BR"/>
        </w:rPr>
        <w:t>9.5.3</w:t>
      </w:r>
      <w:r>
        <w:rPr>
          <w:rFonts w:hint="default" w:ascii="Arial" w:hAnsi="Arial" w:cs="Arial"/>
          <w:sz w:val="22"/>
          <w:szCs w:val="22"/>
          <w:lang w:val="en-US" w:eastAsia="pt-BR"/>
        </w:rPr>
        <w:t xml:space="preserve"> </w:t>
      </w:r>
      <w:r>
        <w:rPr>
          <w:rFonts w:hint="default" w:ascii="Arial" w:hAnsi="Arial" w:cs="Arial"/>
          <w:sz w:val="22"/>
          <w:szCs w:val="22"/>
          <w:lang w:eastAsia="pt-BR"/>
        </w:rPr>
        <w:t>Apresentar Certificado de regularidade junto ao Conselho Federal de Farmácia – CRF</w:t>
      </w:r>
      <w:r>
        <w:rPr>
          <w:rFonts w:hint="default" w:ascii="Arial" w:hAnsi="Arial" w:cs="Arial"/>
          <w:sz w:val="22"/>
          <w:szCs w:val="22"/>
          <w:lang w:val="en-US" w:eastAsia="pt-BR"/>
        </w:rPr>
        <w:t>.</w:t>
      </w:r>
    </w:p>
    <w:p w14:paraId="0D220F68">
      <w:pPr>
        <w:widowControl w:val="0"/>
        <w:tabs>
          <w:tab w:val="left" w:pos="426"/>
          <w:tab w:val="left" w:pos="567"/>
        </w:tabs>
        <w:adjustRightInd w:val="0"/>
        <w:spacing w:before="240" w:after="240" w:line="360" w:lineRule="auto"/>
        <w:jc w:val="both"/>
        <w:textAlignment w:val="baseline"/>
        <w:rPr>
          <w:rFonts w:ascii="Arial" w:hAnsi="Arial" w:cs="Arial"/>
          <w:b/>
          <w:sz w:val="22"/>
          <w:szCs w:val="22"/>
          <w:highlight w:val="none"/>
        </w:rPr>
      </w:pPr>
      <w:r>
        <w:rPr>
          <w:rFonts w:hint="default" w:ascii="Arial" w:hAnsi="Arial" w:cs="Arial"/>
          <w:b/>
          <w:sz w:val="22"/>
          <w:szCs w:val="22"/>
          <w:highlight w:val="none"/>
          <w:lang w:val="pt-BR"/>
        </w:rPr>
        <w:t xml:space="preserve">9.6 </w:t>
      </w:r>
      <w:r>
        <w:rPr>
          <w:rFonts w:ascii="Arial" w:hAnsi="Arial" w:cs="Arial"/>
          <w:b/>
          <w:sz w:val="22"/>
          <w:szCs w:val="22"/>
          <w:highlight w:val="none"/>
        </w:rPr>
        <w:t>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1D6773DB">
      <w:pPr>
        <w:tabs>
          <w:tab w:val="left" w:pos="960"/>
        </w:tabs>
        <w:autoSpaceDE w:val="0"/>
        <w:autoSpaceDN w:val="0"/>
        <w:spacing w:before="240" w:after="240" w:line="360" w:lineRule="auto"/>
        <w:ind w:left="0" w:leftChars="0" w:firstLine="481" w:firstLineChars="218"/>
        <w:jc w:val="both"/>
        <w:rPr>
          <w:rFonts w:hint="default" w:ascii="Arial" w:hAnsi="Arial" w:cs="Arial"/>
          <w:b/>
          <w:sz w:val="22"/>
          <w:szCs w:val="22"/>
          <w:highlight w:val="none"/>
          <w:lang w:val="pt-BR"/>
        </w:rPr>
      </w:pPr>
      <w:r>
        <w:rPr>
          <w:rFonts w:ascii="Arial" w:hAnsi="Arial" w:cs="Arial"/>
          <w:b/>
          <w:bCs/>
          <w:sz w:val="22"/>
          <w:szCs w:val="22"/>
          <w:highlight w:val="none"/>
        </w:rPr>
        <w:t>9.</w:t>
      </w:r>
      <w:r>
        <w:rPr>
          <w:rFonts w:hint="default" w:ascii="Arial" w:hAnsi="Arial" w:cs="Arial"/>
          <w:b/>
          <w:bCs/>
          <w:sz w:val="22"/>
          <w:szCs w:val="22"/>
          <w:highlight w:val="none"/>
          <w:lang w:val="pt-BR"/>
        </w:rPr>
        <w:t>6</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18739463">
      <w:pPr>
        <w:tabs>
          <w:tab w:val="left" w:pos="960"/>
        </w:tabs>
        <w:autoSpaceDE w:val="0"/>
        <w:autoSpaceDN w:val="0"/>
        <w:spacing w:before="240" w:after="240" w:line="360" w:lineRule="auto"/>
        <w:ind w:left="0" w:leftChars="0" w:firstLine="722" w:firstLineChars="327"/>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9.6.1.1.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14:paraId="08776990">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9.6.1.2.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06FCFA7E">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9.6.1.3.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082F3D17">
      <w:pPr>
        <w:widowControl w:val="0"/>
        <w:tabs>
          <w:tab w:val="left" w:pos="96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1.</w:t>
      </w:r>
      <w:r>
        <w:rPr>
          <w:rFonts w:ascii="Arial" w:hAnsi="Arial" w:cs="Arial"/>
          <w:b/>
          <w:sz w:val="22"/>
          <w:szCs w:val="22"/>
          <w:highlight w:val="none"/>
        </w:rPr>
        <w:t>4.</w:t>
      </w:r>
      <w:r>
        <w:rPr>
          <w:rFonts w:ascii="Arial" w:hAnsi="Arial" w:cs="Arial"/>
          <w:sz w:val="22"/>
          <w:szCs w:val="22"/>
          <w:highlight w:val="none"/>
        </w:rPr>
        <w:t xml:space="preserve"> Em se tratando de </w:t>
      </w:r>
      <w:r>
        <w:rPr>
          <w:rFonts w:hint="default" w:ascii="Arial" w:hAnsi="Arial" w:cs="Arial"/>
          <w:sz w:val="22"/>
          <w:szCs w:val="22"/>
          <w:highlight w:val="none"/>
          <w:lang w:val="pt-BR"/>
        </w:rPr>
        <w:t>M</w:t>
      </w:r>
      <w:r>
        <w:rPr>
          <w:rFonts w:ascii="Arial" w:hAnsi="Arial" w:cs="Arial"/>
          <w:sz w:val="22"/>
          <w:szCs w:val="22"/>
          <w:highlight w:val="none"/>
        </w:rPr>
        <w:t xml:space="preserve">icroempresas e </w:t>
      </w:r>
      <w:r>
        <w:rPr>
          <w:rFonts w:hint="default" w:ascii="Arial" w:hAnsi="Arial" w:cs="Arial"/>
          <w:sz w:val="22"/>
          <w:szCs w:val="22"/>
          <w:highlight w:val="none"/>
          <w:lang w:val="pt-BR"/>
        </w:rPr>
        <w:t>E</w:t>
      </w:r>
      <w:r>
        <w:rPr>
          <w:rFonts w:ascii="Arial" w:hAnsi="Arial" w:cs="Arial"/>
          <w:sz w:val="22"/>
          <w:szCs w:val="22"/>
          <w:highlight w:val="none"/>
        </w:rPr>
        <w:t xml:space="preserve">mpresas de </w:t>
      </w:r>
      <w:r>
        <w:rPr>
          <w:rFonts w:hint="default" w:ascii="Arial" w:hAnsi="Arial" w:cs="Arial"/>
          <w:sz w:val="22"/>
          <w:szCs w:val="22"/>
          <w:highlight w:val="none"/>
          <w:lang w:val="pt-BR"/>
        </w:rPr>
        <w:t>P</w:t>
      </w:r>
      <w:r>
        <w:rPr>
          <w:rFonts w:ascii="Arial" w:hAnsi="Arial" w:cs="Arial"/>
          <w:sz w:val="22"/>
          <w:szCs w:val="22"/>
          <w:highlight w:val="none"/>
        </w:rPr>
        <w:t xml:space="preserve">equeno </w:t>
      </w:r>
      <w:r>
        <w:rPr>
          <w:rFonts w:hint="default" w:ascii="Arial" w:hAnsi="Arial" w:cs="Arial"/>
          <w:sz w:val="22"/>
          <w:szCs w:val="22"/>
          <w:highlight w:val="none"/>
          <w:lang w:val="pt-BR"/>
        </w:rPr>
        <w:t>P</w:t>
      </w:r>
      <w:r>
        <w:rPr>
          <w:rFonts w:ascii="Arial" w:hAnsi="Arial" w:cs="Arial"/>
          <w:sz w:val="22"/>
          <w:szCs w:val="22"/>
          <w:highlight w:val="none"/>
        </w:rPr>
        <w:t>orte, estas deverão apresentar toda a documentação exigida para efeito de comprovação da regularidade fiscal, mesmo que esta apresente alguma restrição.</w:t>
      </w:r>
    </w:p>
    <w:p w14:paraId="11823FEF">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9.6.1.5.</w:t>
      </w:r>
      <w:r>
        <w:rPr>
          <w:rFonts w:hint="default" w:ascii="Arial" w:hAnsi="Arial" w:cs="Arial"/>
          <w:sz w:val="22"/>
          <w:szCs w:val="22"/>
          <w:highlight w:val="none"/>
          <w:lang w:val="pt-BR"/>
        </w:rPr>
        <w:t xml:space="preserve"> </w:t>
      </w:r>
      <w:r>
        <w:rPr>
          <w:rFonts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3A14DED8">
      <w:pPr>
        <w:widowControl w:val="0"/>
        <w:numPr>
          <w:ilvl w:val="0"/>
          <w:numId w:val="0"/>
        </w:numPr>
        <w:tabs>
          <w:tab w:val="left" w:pos="567"/>
          <w:tab w:val="left" w:pos="960"/>
          <w:tab w:val="left" w:pos="120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 xml:space="preserve">9.6.1.6.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a</w:t>
      </w:r>
      <w:r>
        <w:rPr>
          <w:rFonts w:ascii="Arial" w:hAnsi="Arial" w:cs="Arial"/>
          <w:sz w:val="22"/>
          <w:szCs w:val="22"/>
          <w:highlight w:val="none"/>
        </w:rPr>
        <w:t>ta, ou revogar a licitação;</w:t>
      </w:r>
    </w:p>
    <w:p w14:paraId="5FAFF827">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color w:val="000000"/>
          <w:sz w:val="22"/>
          <w:szCs w:val="22"/>
          <w:highlight w:val="none"/>
          <w:lang w:val="pt-BR"/>
        </w:rPr>
        <w:t>9.6.1.7.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licitaç</w:t>
      </w:r>
      <w:r>
        <w:rPr>
          <w:rFonts w:ascii="Arial" w:hAnsi="Arial" w:cs="Arial"/>
          <w:color w:val="000000"/>
          <w:spacing w:val="2"/>
          <w:sz w:val="22"/>
          <w:szCs w:val="22"/>
          <w:highlight w:val="none"/>
        </w:rPr>
        <w:t>õ</w:t>
      </w:r>
      <w:r>
        <w:rPr>
          <w:rFonts w:ascii="Arial" w:hAnsi="Arial" w:cs="Arial"/>
          <w:color w:val="000000"/>
          <w:sz w:val="22"/>
          <w:szCs w:val="22"/>
          <w:highlight w:val="none"/>
        </w:rPr>
        <w:t>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c</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z w:val="22"/>
          <w:szCs w:val="22"/>
          <w:highlight w:val="none"/>
        </w:rPr>
        <w:t>pr</w:t>
      </w:r>
      <w:r>
        <w:rPr>
          <w:rFonts w:ascii="Arial" w:hAnsi="Arial" w:cs="Arial"/>
          <w:color w:val="000000"/>
          <w:spacing w:val="2"/>
          <w:sz w:val="22"/>
          <w:szCs w:val="22"/>
          <w:highlight w:val="none"/>
        </w:rPr>
        <w:t>o</w:t>
      </w:r>
      <w:r>
        <w:rPr>
          <w:rFonts w:ascii="Arial" w:hAnsi="Arial" w:cs="Arial"/>
          <w:color w:val="000000"/>
          <w:sz w:val="22"/>
          <w:szCs w:val="22"/>
          <w:highlight w:val="none"/>
        </w:rPr>
        <w:t>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f</w:t>
      </w:r>
      <w:r>
        <w:rPr>
          <w:rFonts w:ascii="Arial" w:hAnsi="Arial" w:cs="Arial"/>
          <w:color w:val="000000"/>
          <w:sz w:val="22"/>
          <w:szCs w:val="22"/>
          <w:highlight w:val="none"/>
        </w:rPr>
        <w:t>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trabalh</w:t>
      </w:r>
      <w:r>
        <w:rPr>
          <w:rFonts w:ascii="Arial" w:hAnsi="Arial" w:cs="Arial"/>
          <w:color w:val="000000"/>
          <w:spacing w:val="2"/>
          <w:sz w:val="22"/>
          <w:szCs w:val="22"/>
          <w:highlight w:val="none"/>
        </w:rPr>
        <w:t>i</w:t>
      </w:r>
      <w:r>
        <w:rPr>
          <w:rFonts w:ascii="Arial" w:hAnsi="Arial" w:cs="Arial"/>
          <w:color w:val="000000"/>
          <w:sz w:val="22"/>
          <w:szCs w:val="22"/>
          <w:highlight w:val="none"/>
        </w:rPr>
        <w:t>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da</w:t>
      </w:r>
      <w:r>
        <w:rPr>
          <w:rFonts w:ascii="Arial" w:hAnsi="Arial" w:cs="Arial"/>
          <w:color w:val="000000"/>
          <w:sz w:val="22"/>
          <w:szCs w:val="22"/>
          <w:highlight w:val="none"/>
        </w:rPr>
        <w:t>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m</w:t>
      </w:r>
      <w:r>
        <w:rPr>
          <w:rFonts w:ascii="Arial" w:hAnsi="Arial" w:cs="Arial"/>
          <w:color w:val="000000"/>
          <w:sz w:val="22"/>
          <w:szCs w:val="22"/>
          <w:highlight w:val="none"/>
        </w:rPr>
        <w:t>icro</w:t>
      </w:r>
      <w:r>
        <w:rPr>
          <w:rFonts w:ascii="Arial" w:hAnsi="Arial" w:cs="Arial"/>
          <w:color w:val="000000"/>
          <w:spacing w:val="2"/>
          <w:sz w:val="22"/>
          <w:szCs w:val="22"/>
          <w:highlight w:val="none"/>
        </w:rPr>
        <w:t>e</w:t>
      </w:r>
      <w:r>
        <w:rPr>
          <w:rFonts w:ascii="Arial" w:hAnsi="Arial" w:cs="Arial"/>
          <w:color w:val="000000"/>
          <w:sz w:val="22"/>
          <w:szCs w:val="22"/>
          <w:highlight w:val="none"/>
        </w:rPr>
        <w:t>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d</w:t>
      </w:r>
      <w:r>
        <w:rPr>
          <w:rFonts w:ascii="Arial" w:hAnsi="Arial" w:cs="Arial"/>
          <w:color w:val="000000"/>
          <w:spacing w:val="2"/>
          <w:sz w:val="22"/>
          <w:szCs w:val="22"/>
          <w:highlight w:val="none"/>
        </w:rPr>
        <w:t>a</w:t>
      </w:r>
      <w:r>
        <w:rPr>
          <w:rFonts w:ascii="Arial" w:hAnsi="Arial" w:cs="Arial"/>
          <w:color w:val="000000"/>
          <w:sz w:val="22"/>
          <w:szCs w:val="22"/>
          <w:highlight w:val="none"/>
        </w:rPr>
        <w:t>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e</w:t>
      </w:r>
      <w:r>
        <w:rPr>
          <w:rFonts w:ascii="Arial" w:hAnsi="Arial" w:cs="Arial"/>
          <w:color w:val="000000"/>
          <w:spacing w:val="-2"/>
          <w:sz w:val="22"/>
          <w:szCs w:val="22"/>
          <w:highlight w:val="none"/>
        </w:rPr>
        <w:t>m</w:t>
      </w:r>
      <w:r>
        <w:rPr>
          <w:rFonts w:ascii="Arial" w:hAnsi="Arial" w:cs="Arial"/>
          <w:color w:val="000000"/>
          <w:sz w:val="22"/>
          <w:szCs w:val="22"/>
          <w:highlight w:val="none"/>
        </w:rPr>
        <w:t>pre</w:t>
      </w:r>
      <w:r>
        <w:rPr>
          <w:rFonts w:ascii="Arial" w:hAnsi="Arial" w:cs="Arial"/>
          <w:color w:val="000000"/>
          <w:spacing w:val="2"/>
          <w:sz w:val="22"/>
          <w:szCs w:val="22"/>
          <w:highlight w:val="none"/>
        </w:rPr>
        <w:t>s</w:t>
      </w:r>
      <w:r>
        <w:rPr>
          <w:rFonts w:ascii="Arial" w:hAnsi="Arial" w:cs="Arial"/>
          <w:color w:val="000000"/>
          <w:sz w:val="22"/>
          <w:szCs w:val="22"/>
          <w:highlight w:val="none"/>
        </w:rPr>
        <w:t>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peq</w:t>
      </w:r>
      <w:r>
        <w:rPr>
          <w:rFonts w:ascii="Arial" w:hAnsi="Arial" w:cs="Arial"/>
          <w:color w:val="000000"/>
          <w:spacing w:val="2"/>
          <w:sz w:val="22"/>
          <w:szCs w:val="22"/>
          <w:highlight w:val="none"/>
        </w:rPr>
        <w:t>u</w:t>
      </w:r>
      <w:r>
        <w:rPr>
          <w:rFonts w:ascii="Arial" w:hAnsi="Arial" w:cs="Arial"/>
          <w:color w:val="000000"/>
          <w:sz w:val="22"/>
          <w:szCs w:val="22"/>
          <w:highlight w:val="none"/>
        </w:rPr>
        <w:t>e</w:t>
      </w:r>
      <w:r>
        <w:rPr>
          <w:rFonts w:ascii="Arial" w:hAnsi="Arial" w:cs="Arial"/>
          <w:color w:val="000000"/>
          <w:spacing w:val="2"/>
          <w:sz w:val="22"/>
          <w:szCs w:val="22"/>
          <w:highlight w:val="none"/>
        </w:rPr>
        <w:t>n</w:t>
      </w:r>
      <w:r>
        <w:rPr>
          <w:rFonts w:ascii="Arial" w:hAnsi="Arial" w:cs="Arial"/>
          <w:color w:val="000000"/>
          <w:sz w:val="22"/>
          <w:szCs w:val="22"/>
          <w:highlight w:val="none"/>
        </w:rPr>
        <w:t>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s</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pacing w:val="2"/>
          <w:sz w:val="22"/>
          <w:szCs w:val="22"/>
          <w:highlight w:val="none"/>
        </w:rPr>
        <w:t>e</w:t>
      </w:r>
      <w:r>
        <w:rPr>
          <w:rFonts w:ascii="Arial" w:hAnsi="Arial" w:cs="Arial"/>
          <w:color w:val="000000"/>
          <w:sz w:val="22"/>
          <w:szCs w:val="22"/>
          <w:highlight w:val="none"/>
        </w:rPr>
        <w:t>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x</w:t>
      </w:r>
      <w:r>
        <w:rPr>
          <w:rFonts w:ascii="Arial" w:hAnsi="Arial" w:cs="Arial"/>
          <w:color w:val="000000"/>
          <w:sz w:val="22"/>
          <w:szCs w:val="22"/>
          <w:highlight w:val="none"/>
        </w:rPr>
        <w:t>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f</w:t>
      </w:r>
      <w:r>
        <w:rPr>
          <w:rFonts w:ascii="Arial" w:hAnsi="Arial" w:cs="Arial"/>
          <w:color w:val="000000"/>
          <w:sz w:val="22"/>
          <w:szCs w:val="22"/>
          <w:highlight w:val="none"/>
        </w:rPr>
        <w:t>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a</w:t>
      </w:r>
      <w:r>
        <w:rPr>
          <w:rFonts w:ascii="Arial" w:hAnsi="Arial" w:cs="Arial"/>
          <w:color w:val="000000"/>
          <w:sz w:val="22"/>
          <w:szCs w:val="22"/>
          <w:highlight w:val="none"/>
        </w:rPr>
        <w:t>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d</w:t>
      </w:r>
      <w:r>
        <w:rPr>
          <w:rFonts w:ascii="Arial" w:hAnsi="Arial" w:cs="Arial"/>
          <w:color w:val="000000"/>
          <w:sz w:val="22"/>
          <w:szCs w:val="22"/>
          <w:highlight w:val="none"/>
        </w:rPr>
        <w:t>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Con</w:t>
      </w:r>
      <w:r>
        <w:rPr>
          <w:rFonts w:ascii="Arial" w:hAnsi="Arial" w:cs="Arial"/>
          <w:color w:val="000000"/>
          <w:spacing w:val="5"/>
          <w:sz w:val="22"/>
          <w:szCs w:val="22"/>
          <w:highlight w:val="none"/>
        </w:rPr>
        <w:t>t</w:t>
      </w:r>
      <w:r>
        <w:rPr>
          <w:rFonts w:ascii="Arial" w:hAnsi="Arial" w:cs="Arial"/>
          <w:color w:val="000000"/>
          <w:sz w:val="22"/>
          <w:szCs w:val="22"/>
          <w:highlight w:val="none"/>
        </w:rPr>
        <w:t>r</w:t>
      </w:r>
      <w:r>
        <w:rPr>
          <w:rFonts w:ascii="Arial" w:hAnsi="Arial" w:cs="Arial"/>
          <w:color w:val="000000"/>
          <w:spacing w:val="2"/>
          <w:sz w:val="22"/>
          <w:szCs w:val="22"/>
          <w:highlight w:val="none"/>
        </w:rPr>
        <w:t>a</w:t>
      </w:r>
      <w:r>
        <w:rPr>
          <w:rFonts w:ascii="Arial" w:hAnsi="Arial" w:cs="Arial"/>
          <w:color w:val="000000"/>
          <w:sz w:val="22"/>
          <w:szCs w:val="22"/>
          <w:highlight w:val="none"/>
        </w:rPr>
        <w:t>to</w:t>
      </w:r>
      <w:r>
        <w:rPr>
          <w:rFonts w:ascii="Arial" w:hAnsi="Arial" w:cs="Arial"/>
          <w:color w:val="000000"/>
          <w:spacing w:val="2"/>
          <w:sz w:val="22"/>
          <w:szCs w:val="22"/>
          <w:highlight w:val="none"/>
        </w:rPr>
        <w:t>.</w:t>
      </w:r>
    </w:p>
    <w:p w14:paraId="113386F6">
      <w:pPr>
        <w:widowControl w:val="0"/>
        <w:adjustRightInd w:val="0"/>
        <w:spacing w:before="240" w:after="240" w:line="360" w:lineRule="auto"/>
        <w:ind w:left="0" w:leftChars="0" w:right="-11" w:firstLine="481" w:firstLineChars="218"/>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de habilitação:</w:t>
      </w:r>
    </w:p>
    <w:p w14:paraId="3D14259B">
      <w:pPr>
        <w:widowControl w:val="0"/>
        <w:adjustRightInd w:val="0"/>
        <w:spacing w:before="240" w:after="240" w:line="360" w:lineRule="auto"/>
        <w:ind w:left="0" w:leftChars="0" w:right="-11" w:firstLine="722" w:firstLineChars="327"/>
        <w:jc w:val="both"/>
        <w:textAlignment w:val="baseline"/>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atende</w:t>
      </w:r>
      <w:r>
        <w:rPr>
          <w:rFonts w:ascii="Arial" w:hAnsi="Arial" w:cs="Arial"/>
          <w:sz w:val="22"/>
          <w:szCs w:val="22"/>
          <w:highlight w:val="none"/>
        </w:rPr>
        <w:t xml:space="preserve"> </w:t>
      </w:r>
      <w:r>
        <w:rPr>
          <w:rFonts w:hint="default" w:ascii="Arial" w:hAnsi="Arial" w:cs="Arial"/>
          <w:sz w:val="22"/>
          <w:szCs w:val="22"/>
          <w:highlight w:val="none"/>
          <w:lang w:val="pt-BR"/>
        </w:rPr>
        <w:t>a</w:t>
      </w:r>
      <w:r>
        <w:rPr>
          <w:rFonts w:ascii="Arial" w:hAnsi="Arial" w:cs="Arial"/>
          <w:sz w:val="22"/>
          <w:szCs w:val="22"/>
          <w:highlight w:val="none"/>
        </w:rPr>
        <w:t>os requisitos de habilitação e que todas as declarações informadas são verídicas, bem como todas as certidões apresentadas são autênticas,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75FDF3F6">
      <w:pPr>
        <w:tabs>
          <w:tab w:val="left" w:pos="426"/>
        </w:tabs>
        <w:spacing w:before="240" w:after="240" w:line="360" w:lineRule="auto"/>
        <w:ind w:left="0" w:leftChars="0" w:firstLine="481" w:firstLineChars="218"/>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5996BC0B">
      <w:pPr>
        <w:spacing w:before="240" w:after="240"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0C2A0FF6">
      <w:pPr>
        <w:autoSpaceDE w:val="0"/>
        <w:autoSpaceDN w:val="0"/>
        <w:spacing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4"/>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77E39CD5">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w:t>
      </w:r>
      <w:r>
        <w:rPr>
          <w:rFonts w:ascii="Arial" w:hAnsi="Arial" w:cs="Arial"/>
          <w:b/>
          <w:sz w:val="22"/>
          <w:szCs w:val="22"/>
          <w:highlight w:val="none"/>
        </w:rPr>
        <w:t>:</w:t>
      </w:r>
    </w:p>
    <w:p w14:paraId="0E510D80">
      <w:pPr>
        <w:numPr>
          <w:ilvl w:val="0"/>
          <w:numId w:val="0"/>
        </w:numPr>
        <w:tabs>
          <w:tab w:val="left" w:pos="1200"/>
        </w:tabs>
        <w:autoSpaceDE w:val="0"/>
        <w:autoSpaceDN w:val="0"/>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sz w:val="22"/>
          <w:szCs w:val="22"/>
          <w:highlight w:val="none"/>
          <w:lang w:val="pt-BR"/>
        </w:rPr>
        <w:t>9.6.4.1.</w:t>
      </w:r>
      <w:r>
        <w:rPr>
          <w:rFonts w:hint="default" w:ascii="Arial" w:hAnsi="Arial" w:cs="Arial"/>
          <w:sz w:val="22"/>
          <w:szCs w:val="22"/>
          <w:highlight w:val="none"/>
          <w:lang w:val="pt-BR"/>
        </w:rPr>
        <w:t xml:space="preserve"> </w:t>
      </w: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highlight w:val="none"/>
          <w:lang w:val="pt-BR"/>
        </w:rPr>
        <w:t xml:space="preserve">cumpre as exigências de reserva de cargos para pessoa com deficiência e para reabilitado da Previdência Social, previstas em lei e em outras normas especificas, conforme art. 63, IV, da Lei Federal 14.133/2021, e que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24D75861">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9.6.5. </w:t>
      </w:r>
      <w:r>
        <w:rPr>
          <w:rFonts w:ascii="Arial" w:hAnsi="Arial" w:cs="Arial"/>
          <w:b/>
          <w:sz w:val="22"/>
          <w:szCs w:val="22"/>
          <w:highlight w:val="none"/>
        </w:rPr>
        <w:t>Declaração de não parentesco:</w:t>
      </w:r>
    </w:p>
    <w:p w14:paraId="04F63DDF">
      <w:pPr>
        <w:numPr>
          <w:ilvl w:val="0"/>
          <w:numId w:val="0"/>
        </w:numPr>
        <w:tabs>
          <w:tab w:val="left" w:pos="1200"/>
          <w:tab w:val="left" w:pos="8576"/>
          <w:tab w:val="left" w:pos="10419"/>
        </w:tabs>
        <w:spacing w:before="240" w:after="240" w:line="360" w:lineRule="auto"/>
        <w:ind w:left="3" w:leftChars="0" w:firstLine="718" w:firstLineChars="325"/>
        <w:jc w:val="both"/>
        <w:rPr>
          <w:rFonts w:ascii="Arial" w:hAnsi="Arial" w:cs="Arial"/>
          <w:sz w:val="22"/>
          <w:szCs w:val="22"/>
          <w:highlight w:val="none"/>
        </w:rPr>
      </w:pPr>
      <w:r>
        <w:rPr>
          <w:rFonts w:hint="default" w:ascii="Arial" w:hAnsi="Arial" w:cs="Arial"/>
          <w:b/>
          <w:bCs/>
          <w:sz w:val="22"/>
          <w:szCs w:val="22"/>
          <w:highlight w:val="none"/>
          <w:lang w:val="pt-BR"/>
        </w:rPr>
        <w:t>9.6.5.1.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 ou Contrato, quando for o caso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6A41BE5D">
      <w:pPr>
        <w:numPr>
          <w:ilvl w:val="0"/>
          <w:numId w:val="0"/>
        </w:numPr>
        <w:tabs>
          <w:tab w:val="left" w:pos="426"/>
          <w:tab w:val="left" w:pos="567"/>
        </w:tabs>
        <w:spacing w:before="240" w:after="240" w:line="360" w:lineRule="auto"/>
        <w:ind w:left="0" w:leftChars="0" w:firstLine="481" w:firstLineChars="218"/>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9.6.6. </w:t>
      </w:r>
      <w:r>
        <w:rPr>
          <w:rFonts w:ascii="Arial" w:hAnsi="Arial" w:cs="Arial"/>
          <w:b/>
          <w:bCs w:val="0"/>
          <w:sz w:val="22"/>
          <w:szCs w:val="22"/>
          <w:highlight w:val="none"/>
        </w:rPr>
        <w:t>Declaração de que não emprega menor de idade:</w:t>
      </w:r>
    </w:p>
    <w:p w14:paraId="10BEFB79">
      <w:pPr>
        <w:numPr>
          <w:ilvl w:val="0"/>
          <w:numId w:val="0"/>
        </w:numPr>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val="0"/>
          <w:sz w:val="22"/>
          <w:szCs w:val="22"/>
          <w:highlight w:val="none"/>
          <w:lang w:val="pt-BR"/>
        </w:rPr>
        <w:t>9.6.6.1.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ascii="Arial" w:hAnsi="Arial" w:cs="Arial"/>
          <w:sz w:val="22"/>
          <w:szCs w:val="22"/>
          <w:highlight w:val="none"/>
        </w:rPr>
        <w:t>conforme Modelo de Declaração do Anexo III.</w:t>
      </w:r>
    </w:p>
    <w:p w14:paraId="53A547C2">
      <w:pPr>
        <w:numPr>
          <w:ilvl w:val="0"/>
          <w:numId w:val="0"/>
        </w:numPr>
        <w:spacing w:before="240" w:after="240" w:line="360" w:lineRule="auto"/>
        <w:ind w:left="0" w:leftChars="0" w:firstLine="0" w:firstLineChars="0"/>
        <w:jc w:val="both"/>
        <w:rPr>
          <w:rFonts w:hint="default" w:ascii="Arial" w:hAnsi="Arial" w:cs="Arial"/>
          <w:b/>
          <w:bCs/>
          <w:sz w:val="22"/>
          <w:szCs w:val="22"/>
          <w:lang w:val="pt-BR"/>
        </w:rPr>
      </w:pPr>
      <w:r>
        <w:rPr>
          <w:rFonts w:hint="default" w:ascii="Arial" w:hAnsi="Arial" w:cs="Arial"/>
          <w:b/>
          <w:bCs/>
          <w:sz w:val="22"/>
          <w:szCs w:val="22"/>
          <w:lang w:val="pt-BR"/>
        </w:rPr>
        <w:t>9.7. Observações:</w:t>
      </w:r>
    </w:p>
    <w:p w14:paraId="69C6EF07">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9.7.1. </w:t>
      </w:r>
      <w:r>
        <w:rPr>
          <w:rFonts w:ascii="Arial" w:hAnsi="Arial" w:cs="Arial"/>
          <w:sz w:val="22"/>
          <w:szCs w:val="22"/>
        </w:rPr>
        <w:t>O objeto constante do ato constitutivo da empresa deve ser compatível com o objeto licitado.</w:t>
      </w:r>
    </w:p>
    <w:p w14:paraId="17BAE0F7">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42D8A02A">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108DC63B">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530DB0B8">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5B775F80">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b/>
          <w:sz w:val="22"/>
          <w:szCs w:val="22"/>
        </w:rPr>
      </w:pPr>
      <w:r>
        <w:rPr>
          <w:rFonts w:hint="default" w:ascii="Arial" w:hAnsi="Arial" w:cs="Arial"/>
          <w:b/>
          <w:bCs/>
          <w:sz w:val="22"/>
          <w:szCs w:val="22"/>
          <w:lang w:val="pt-BR"/>
        </w:rPr>
        <w:t>9.7.6.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0C14FD50">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250AE62B">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9.7.8. </w:t>
      </w:r>
      <w:r>
        <w:rPr>
          <w:rFonts w:ascii="Arial" w:hAnsi="Arial" w:cs="Arial"/>
          <w:sz w:val="22"/>
          <w:szCs w:val="22"/>
        </w:rPr>
        <w:t>Na hipótese da apresentação de documentos originais, estes serão anexados ao processo licitatório.</w:t>
      </w:r>
    </w:p>
    <w:p w14:paraId="5F8E5D34">
      <w:pPr>
        <w:widowControl w:val="0"/>
        <w:numPr>
          <w:ilvl w:val="0"/>
          <w:numId w:val="0"/>
        </w:numPr>
        <w:tabs>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1D79A4A5">
      <w:pPr>
        <w:pStyle w:val="16"/>
        <w:widowControl w:val="0"/>
        <w:numPr>
          <w:ilvl w:val="0"/>
          <w:numId w:val="0"/>
        </w:numPr>
        <w:tabs>
          <w:tab w:val="left" w:pos="-2127"/>
          <w:tab w:val="left" w:pos="993"/>
          <w:tab w:val="left" w:pos="1200"/>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9.7.10.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1EF4D4BA">
      <w:pPr>
        <w:pStyle w:val="27"/>
        <w:widowControl w:val="0"/>
        <w:numPr>
          <w:ilvl w:val="0"/>
          <w:numId w:val="0"/>
        </w:numPr>
        <w:tabs>
          <w:tab w:val="left" w:pos="1200"/>
        </w:tabs>
        <w:adjustRightInd w:val="0"/>
        <w:spacing w:before="240" w:after="240" w:line="360" w:lineRule="auto"/>
        <w:ind w:left="0" w:leftChars="0" w:firstLine="481" w:firstLineChars="218"/>
        <w:textAlignment w:val="baseline"/>
        <w:rPr>
          <w:rFonts w:ascii="Arial" w:hAnsi="Arial" w:cs="Arial"/>
          <w:szCs w:val="22"/>
        </w:rPr>
      </w:pPr>
      <w:r>
        <w:rPr>
          <w:rFonts w:hint="default" w:ascii="Arial" w:hAnsi="Arial" w:cs="Arial"/>
          <w:b/>
          <w:bCs/>
          <w:szCs w:val="22"/>
          <w:lang w:val="pt-BR"/>
        </w:rPr>
        <w:t xml:space="preserve">9.7.11. </w:t>
      </w:r>
      <w:r>
        <w:rPr>
          <w:rFonts w:ascii="Arial" w:hAnsi="Arial" w:cs="Arial"/>
          <w:szCs w:val="22"/>
        </w:rPr>
        <w:t>Uma vez incluído no processo licitatório, nenhum documento será devolvido, salvo se original a ser substituído por cópia reprográfica autenticada.</w:t>
      </w:r>
    </w:p>
    <w:p w14:paraId="699445B4">
      <w:pPr>
        <w:widowControl w:val="0"/>
        <w:numPr>
          <w:ilvl w:val="0"/>
          <w:numId w:val="0"/>
        </w:numPr>
        <w:tabs>
          <w:tab w:val="left" w:pos="0"/>
          <w:tab w:val="left" w:pos="426"/>
          <w:tab w:val="left" w:pos="1200"/>
        </w:tabs>
        <w:autoSpaceDE w:val="0"/>
        <w:autoSpaceDN w:val="0"/>
        <w:adjustRightInd w:val="0"/>
        <w:spacing w:before="240" w:after="240" w:line="360" w:lineRule="auto"/>
        <w:ind w:left="0" w:leftChars="0" w:firstLine="481" w:firstLineChars="218"/>
        <w:jc w:val="both"/>
        <w:rPr>
          <w:rFonts w:ascii="Arial" w:hAnsi="Arial" w:cs="Arial"/>
        </w:rPr>
      </w:pPr>
      <w:r>
        <w:rPr>
          <w:rFonts w:hint="default" w:ascii="Arial" w:hAnsi="Arial" w:cs="Arial"/>
          <w:b/>
          <w:bCs/>
          <w:sz w:val="22"/>
          <w:szCs w:val="22"/>
          <w:lang w:val="pt-BR"/>
        </w:rPr>
        <w:t>9.7.12.</w:t>
      </w:r>
      <w:r>
        <w:rPr>
          <w:rFonts w:hint="default" w:ascii="Arial" w:hAnsi="Arial" w:cs="Arial"/>
          <w:sz w:val="22"/>
          <w:szCs w:val="22"/>
          <w:lang w:val="pt-BR"/>
        </w:rPr>
        <w:t xml:space="preserve"> </w:t>
      </w:r>
      <w:r>
        <w:rPr>
          <w:rFonts w:ascii="Arial" w:hAnsi="Arial" w:cs="Arial"/>
          <w:sz w:val="22"/>
          <w:szCs w:val="22"/>
        </w:rPr>
        <w:t>A licitante que declarar que cumpre os requisitos de habilitação e não os cumprir será inabilitada e sujeita às penalidades legais.</w:t>
      </w:r>
    </w:p>
    <w:p w14:paraId="3B068A83">
      <w:pPr>
        <w:pStyle w:val="118"/>
        <w:widowControl w:val="0"/>
        <w:numPr>
          <w:ilvl w:val="0"/>
          <w:numId w:val="0"/>
        </w:numPr>
        <w:suppressLineNumbers w:val="0"/>
        <w:tabs>
          <w:tab w:val="left" w:pos="0"/>
          <w:tab w:val="left" w:pos="426"/>
          <w:tab w:val="left" w:pos="1200"/>
        </w:tabs>
        <w:spacing w:before="240" w:after="240" w:line="360" w:lineRule="auto"/>
        <w:ind w:left="0" w:leftChars="0" w:firstLine="481" w:firstLineChars="218"/>
      </w:pPr>
      <w:r>
        <w:rPr>
          <w:rFonts w:hint="default"/>
          <w:b/>
          <w:bCs/>
          <w:lang w:val="pt-BR"/>
        </w:rPr>
        <w:t xml:space="preserve">9.7.13.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47002674">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10. DOS </w:t>
      </w:r>
      <w:r>
        <w:rPr>
          <w:rFonts w:ascii="Arial" w:hAnsi="Arial" w:cs="Arial"/>
          <w:b/>
          <w:bCs/>
          <w:i w:val="0"/>
          <w:snapToGrid w:val="0"/>
          <w:color w:val="auto"/>
          <w:sz w:val="22"/>
          <w:szCs w:val="22"/>
          <w:u w:val="none"/>
        </w:rPr>
        <w:t>RECURSOS ADMINISTRATIVOS</w:t>
      </w:r>
    </w:p>
    <w:p w14:paraId="453AE895">
      <w:pPr>
        <w:pStyle w:val="133"/>
        <w:numPr>
          <w:ilvl w:val="0"/>
          <w:numId w:val="0"/>
        </w:numPr>
        <w:spacing w:line="360" w:lineRule="auto"/>
        <w:rPr>
          <w:sz w:val="22"/>
          <w:szCs w:val="22"/>
        </w:rPr>
      </w:pPr>
      <w:r>
        <w:rPr>
          <w:rFonts w:hint="default"/>
          <w:b/>
          <w:bCs/>
          <w:sz w:val="22"/>
          <w:szCs w:val="22"/>
          <w:lang w:val="pt-BR"/>
        </w:rPr>
        <w:t>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4"/>
          <w:color w:val="000000"/>
          <w:sz w:val="22"/>
          <w:szCs w:val="22"/>
          <w:u w:val="none"/>
        </w:rPr>
        <w:t>art. 165 da Lei 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w:t>
      </w:r>
    </w:p>
    <w:p w14:paraId="30842D77">
      <w:pPr>
        <w:pStyle w:val="133"/>
        <w:numPr>
          <w:ilvl w:val="0"/>
          <w:numId w:val="0"/>
        </w:numPr>
        <w:spacing w:line="360" w:lineRule="auto"/>
        <w:ind w:leftChars="0"/>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14:paraId="33F7C3BF">
      <w:pPr>
        <w:pStyle w:val="133"/>
        <w:numPr>
          <w:ilvl w:val="0"/>
          <w:numId w:val="0"/>
        </w:numPr>
        <w:spacing w:line="360" w:lineRule="auto"/>
        <w:ind w:leftChars="0"/>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14:paraId="39A2D6C6">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345B2AD5">
      <w:pPr>
        <w:pStyle w:val="136"/>
        <w:numPr>
          <w:ilvl w:val="0"/>
          <w:numId w:val="0"/>
        </w:numPr>
        <w:spacing w:line="360" w:lineRule="auto"/>
        <w:ind w:left="0" w:leftChars="0" w:firstLine="481" w:firstLineChars="218"/>
        <w:rPr>
          <w:sz w:val="22"/>
          <w:szCs w:val="22"/>
          <w:highlight w:val="none"/>
        </w:rPr>
      </w:pPr>
      <w:bookmarkStart w:id="33" w:name="_Hlk135318381"/>
      <w:bookmarkStart w:id="34" w:name="_Hlk135315794"/>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3"/>
    </w:p>
    <w:bookmarkEnd w:id="34"/>
    <w:p w14:paraId="5CAADDA5">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32A8CE27">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4"/>
          <w:color w:val="000000"/>
          <w:sz w:val="22"/>
          <w:szCs w:val="22"/>
          <w:highlight w:val="none"/>
          <w:u w:val="none"/>
        </w:rPr>
        <w:t xml:space="preserve">§ 1º do art. 17 da Lei </w:t>
      </w:r>
      <w:r>
        <w:rPr>
          <w:rStyle w:val="14"/>
          <w:rFonts w:hint="default"/>
          <w:color w:val="000000"/>
          <w:sz w:val="22"/>
          <w:szCs w:val="22"/>
          <w:highlight w:val="none"/>
          <w:u w:val="none"/>
          <w:lang w:val="pt-BR"/>
        </w:rPr>
        <w:t xml:space="preserve">Federal </w:t>
      </w:r>
      <w:r>
        <w:rPr>
          <w:rStyle w:val="14"/>
          <w:color w:val="000000"/>
          <w:sz w:val="22"/>
          <w:szCs w:val="22"/>
          <w:highlight w:val="none"/>
          <w:u w:val="none"/>
        </w:rPr>
        <w:t>nº 14.133</w:t>
      </w:r>
      <w:r>
        <w:rPr>
          <w:rStyle w:val="14"/>
          <w:rFonts w:hint="default"/>
          <w:color w:val="000000"/>
          <w:sz w:val="22"/>
          <w:szCs w:val="22"/>
          <w:highlight w:val="none"/>
          <w:u w:val="none"/>
          <w:lang w:val="pt-BR"/>
        </w:rPr>
        <w:t>/</w:t>
      </w:r>
      <w:r>
        <w:rPr>
          <w:rStyle w:val="14"/>
          <w:color w:val="000000"/>
          <w:sz w:val="22"/>
          <w:szCs w:val="22"/>
          <w:highlight w:val="none"/>
          <w:u w:val="none"/>
        </w:rPr>
        <w:t>2021</w:t>
      </w:r>
      <w:r>
        <w:rPr>
          <w:rStyle w:val="14"/>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53A61C67">
      <w:pPr>
        <w:pStyle w:val="133"/>
        <w:numPr>
          <w:ilvl w:val="0"/>
          <w:numId w:val="0"/>
        </w:numPr>
        <w:spacing w:line="360" w:lineRule="auto"/>
        <w:ind w:leftChars="0"/>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14:paraId="74E845D5">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52E6676">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54665C7">
      <w:pPr>
        <w:pStyle w:val="133"/>
        <w:numPr>
          <w:ilvl w:val="0"/>
          <w:numId w:val="0"/>
        </w:numPr>
        <w:spacing w:line="360" w:lineRule="auto"/>
        <w:ind w:leftChars="0"/>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14:paraId="557D342C">
      <w:pPr>
        <w:pStyle w:val="20"/>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0B03FCDF">
      <w:pPr>
        <w:pStyle w:val="133"/>
        <w:numPr>
          <w:ilvl w:val="1"/>
          <w:numId w:val="0"/>
        </w:numPr>
        <w:spacing w:line="360" w:lineRule="auto"/>
        <w:ind w:leftChars="0"/>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14:paraId="17A75D1C">
      <w:pPr>
        <w:pStyle w:val="133"/>
        <w:numPr>
          <w:ilvl w:val="0"/>
          <w:numId w:val="0"/>
        </w:numPr>
        <w:spacing w:line="360" w:lineRule="auto"/>
        <w:ind w:leftChars="0"/>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14:paraId="31C55A80">
      <w:pPr>
        <w:pStyle w:val="133"/>
        <w:numPr>
          <w:ilvl w:val="0"/>
          <w:numId w:val="0"/>
        </w:numPr>
        <w:spacing w:line="360" w:lineRule="auto"/>
        <w:ind w:leftChars="0"/>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14:paraId="73E9655F">
      <w:pPr>
        <w:pStyle w:val="133"/>
        <w:numPr>
          <w:ilvl w:val="0"/>
          <w:numId w:val="0"/>
        </w:numPr>
        <w:spacing w:line="360" w:lineRule="auto"/>
        <w:ind w:leftChars="0"/>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4"/>
          <w:sz w:val="22"/>
          <w:szCs w:val="22"/>
        </w:rPr>
        <w:t>www.portaldecompraspublicas.com.br</w:t>
      </w:r>
      <w:r>
        <w:rPr>
          <w:sz w:val="22"/>
          <w:szCs w:val="22"/>
        </w:rPr>
        <w:fldChar w:fldCharType="end"/>
      </w:r>
      <w:r>
        <w:rPr>
          <w:sz w:val="22"/>
          <w:szCs w:val="22"/>
        </w:rPr>
        <w:t xml:space="preserve">. </w:t>
      </w:r>
    </w:p>
    <w:p w14:paraId="0389B195">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2D5E3124">
      <w:pPr>
        <w:pStyle w:val="20"/>
        <w:keepNext w:val="0"/>
        <w:keepLines w:val="0"/>
        <w:widowControl/>
        <w:suppressLineNumbers w:val="0"/>
        <w:spacing w:before="225" w:beforeAutospacing="0" w:after="225" w:afterAutospacing="0" w:line="360" w:lineRule="auto"/>
        <w:ind w:left="0" w:leftChars="0" w:right="-48"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2EDC0143">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5" w:name="art71i"/>
      <w:bookmarkEnd w:id="35"/>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3172D2A7">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i"/>
      <w:bookmarkEnd w:id="36"/>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5F7EF9B4">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i"/>
      <w:bookmarkEnd w:id="37"/>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173A8D3F">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v"/>
      <w:bookmarkEnd w:id="38"/>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4AB2CB84">
      <w:pPr>
        <w:pStyle w:val="20"/>
        <w:keepNext w:val="0"/>
        <w:keepLines w:val="0"/>
        <w:widowControl/>
        <w:suppressLineNumbers w:val="0"/>
        <w:spacing w:before="225" w:beforeAutospacing="0" w:after="225" w:afterAutospacing="0" w:line="360" w:lineRule="auto"/>
        <w:ind w:right="0"/>
        <w:jc w:val="both"/>
        <w:rPr>
          <w:sz w:val="22"/>
          <w:szCs w:val="22"/>
        </w:rPr>
      </w:pPr>
      <w:bookmarkStart w:id="39" w:name="art71§1"/>
      <w:bookmarkEnd w:id="39"/>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4B61C896">
      <w:pPr>
        <w:pStyle w:val="20"/>
        <w:keepNext w:val="0"/>
        <w:keepLines w:val="0"/>
        <w:widowControl/>
        <w:suppressLineNumbers w:val="0"/>
        <w:spacing w:before="225" w:beforeAutospacing="0" w:after="225" w:afterAutospacing="0" w:line="360" w:lineRule="auto"/>
        <w:ind w:right="0"/>
        <w:jc w:val="both"/>
        <w:rPr>
          <w:sz w:val="22"/>
          <w:szCs w:val="22"/>
        </w:rPr>
      </w:pPr>
      <w:bookmarkStart w:id="40" w:name="art71§2"/>
      <w:bookmarkEnd w:id="40"/>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53D721A3">
      <w:pPr>
        <w:pStyle w:val="20"/>
        <w:keepNext w:val="0"/>
        <w:keepLines w:val="0"/>
        <w:widowControl/>
        <w:suppressLineNumbers w:val="0"/>
        <w:spacing w:before="225" w:beforeAutospacing="0" w:after="225" w:afterAutospacing="0" w:line="360" w:lineRule="auto"/>
        <w:ind w:right="0"/>
        <w:jc w:val="both"/>
        <w:rPr>
          <w:sz w:val="22"/>
          <w:szCs w:val="22"/>
        </w:rPr>
      </w:pPr>
      <w:bookmarkStart w:id="41" w:name="art71§3"/>
      <w:bookmarkEnd w:id="41"/>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5539F94D">
      <w:pPr>
        <w:spacing w:before="240" w:after="240" w:line="360" w:lineRule="auto"/>
        <w:jc w:val="both"/>
        <w:rPr>
          <w:rFonts w:ascii="Arial" w:hAnsi="Arial" w:cs="Arial"/>
          <w:sz w:val="22"/>
          <w:szCs w:val="22"/>
        </w:rPr>
      </w:pPr>
      <w:bookmarkStart w:id="42" w:name="art71§4"/>
      <w:bookmarkEnd w:id="42"/>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6C885EDD">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12. </w:t>
      </w:r>
      <w:r>
        <w:rPr>
          <w:rFonts w:cs="Arial"/>
          <w:b/>
          <w:bCs/>
          <w:iCs/>
          <w:color w:val="auto"/>
          <w:sz w:val="22"/>
          <w:szCs w:val="22"/>
        </w:rPr>
        <w:t xml:space="preserve">DA </w:t>
      </w:r>
      <w:r>
        <w:rPr>
          <w:rFonts w:hint="default" w:cs="Arial"/>
          <w:b/>
          <w:bCs/>
          <w:iCs/>
          <w:color w:val="auto"/>
          <w:sz w:val="22"/>
          <w:szCs w:val="22"/>
          <w:lang w:val="pt-BR"/>
        </w:rPr>
        <w:t>ATA DE REGISTRO DE PREÇOS</w:t>
      </w:r>
      <w:r>
        <w:rPr>
          <w:rFonts w:cs="Arial"/>
          <w:b/>
          <w:bCs/>
          <w:iCs/>
          <w:color w:val="auto"/>
          <w:sz w:val="22"/>
          <w:szCs w:val="22"/>
        </w:rPr>
        <w:t xml:space="preserve"> </w:t>
      </w:r>
    </w:p>
    <w:p w14:paraId="3E1373CC">
      <w:pPr>
        <w:spacing w:line="240" w:lineRule="auto"/>
        <w:jc w:val="both"/>
        <w:rPr>
          <w:rFonts w:hint="default" w:ascii="Arial" w:hAnsi="Arial" w:cs="Arial"/>
          <w:b/>
          <w:snapToGrid w:val="0"/>
          <w:sz w:val="22"/>
          <w:szCs w:val="22"/>
        </w:rPr>
      </w:pPr>
    </w:p>
    <w:p w14:paraId="52217FFF">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Cs/>
          <w:snapToGrid w:val="0"/>
          <w:sz w:val="22"/>
          <w:szCs w:val="22"/>
        </w:rPr>
        <w:t>O Contrato, no presente pregão, será substituído pela Nota de Empenho ou pela ordem de fornecimento.</w:t>
      </w:r>
    </w:p>
    <w:p w14:paraId="4EF56FAA">
      <w:pPr>
        <w:spacing w:line="240" w:lineRule="auto"/>
        <w:jc w:val="both"/>
        <w:rPr>
          <w:rFonts w:hint="default" w:ascii="Arial" w:hAnsi="Arial" w:cs="Arial"/>
          <w:bCs/>
          <w:snapToGrid w:val="0"/>
          <w:sz w:val="22"/>
          <w:szCs w:val="22"/>
        </w:rPr>
      </w:pPr>
    </w:p>
    <w:p w14:paraId="2850E6C9">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w:t>
      </w:r>
      <w:r>
        <w:rPr>
          <w:rFonts w:hint="default" w:ascii="Arial" w:hAnsi="Arial" w:cs="Arial"/>
          <w:b/>
          <w:snapToGrid w:val="0"/>
          <w:sz w:val="22"/>
          <w:szCs w:val="22"/>
          <w:lang w:val="pt-BR"/>
        </w:rPr>
        <w:t>2.</w:t>
      </w:r>
      <w:r>
        <w:rPr>
          <w:rFonts w:hint="default"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5943053A">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a Ata de Registro de Preços,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7D62DA9E">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14:paraId="2CC8AF20">
      <w:pPr>
        <w:pStyle w:val="133"/>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0321F7CD">
      <w:pPr>
        <w:pStyle w:val="133"/>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477224FA">
      <w:pPr>
        <w:pStyle w:val="130"/>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w:t>
      </w:r>
      <w:r>
        <w:rPr>
          <w:rFonts w:hint="default" w:ascii="Arial" w:hAnsi="Arial" w:cs="Arial"/>
          <w:sz w:val="22"/>
          <w:szCs w:val="22"/>
          <w:highlight w:val="none"/>
          <w:lang w:val="pt-BR"/>
        </w:rPr>
        <w:t>A</w:t>
      </w:r>
      <w:r>
        <w:rPr>
          <w:rFonts w:hint="default" w:ascii="Arial" w:hAnsi="Arial" w:cs="Arial"/>
          <w:sz w:val="22"/>
          <w:szCs w:val="22"/>
          <w:highlight w:val="none"/>
        </w:rPr>
        <w:t xml:space="preserve">ta de </w:t>
      </w:r>
      <w:r>
        <w:rPr>
          <w:rFonts w:hint="default" w:ascii="Arial" w:hAnsi="Arial" w:cs="Arial"/>
          <w:sz w:val="22"/>
          <w:szCs w:val="22"/>
          <w:highlight w:val="none"/>
          <w:lang w:val="pt-BR"/>
        </w:rPr>
        <w:t>R</w:t>
      </w:r>
      <w:r>
        <w:rPr>
          <w:rFonts w:hint="default" w:ascii="Arial" w:hAnsi="Arial" w:cs="Arial"/>
          <w:sz w:val="22"/>
          <w:szCs w:val="22"/>
          <w:highlight w:val="none"/>
        </w:rPr>
        <w:t xml:space="preserve">egistro de </w:t>
      </w:r>
      <w:r>
        <w:rPr>
          <w:rFonts w:hint="default" w:ascii="Arial" w:hAnsi="Arial" w:cs="Arial"/>
          <w:sz w:val="22"/>
          <w:szCs w:val="22"/>
          <w:highlight w:val="none"/>
          <w:lang w:val="pt-BR"/>
        </w:rPr>
        <w:t>P</w:t>
      </w:r>
      <w:r>
        <w:rPr>
          <w:rFonts w:hint="default" w:ascii="Arial" w:hAnsi="Arial" w:cs="Arial"/>
          <w:sz w:val="22"/>
          <w:szCs w:val="22"/>
          <w:highlight w:val="none"/>
        </w:rPr>
        <w:t xml:space="preserve">reços será </w:t>
      </w:r>
      <w:r>
        <w:rPr>
          <w:rFonts w:hint="default" w:ascii="Arial" w:hAnsi="Arial" w:cs="Arial"/>
          <w:sz w:val="22"/>
          <w:szCs w:val="22"/>
          <w:highlight w:val="none"/>
          <w:lang w:val="pt-BR"/>
        </w:rPr>
        <w:t>d</w:t>
      </w:r>
      <w:r>
        <w:rPr>
          <w:rFonts w:ascii="Arial" w:hAnsi="Arial" w:cs="Arial"/>
          <w:lang w:eastAsia="pt-BR"/>
        </w:rPr>
        <w:t xml:space="preserve">isponibilizada para assinatura </w:t>
      </w:r>
      <w:r>
        <w:rPr>
          <w:rFonts w:hint="default" w:ascii="Arial" w:hAnsi="Arial" w:cs="Arial"/>
          <w:lang w:val="en-US" w:eastAsia="pt-BR"/>
        </w:rPr>
        <w:t xml:space="preserve">digital </w:t>
      </w:r>
      <w:r>
        <w:rPr>
          <w:rFonts w:ascii="Arial" w:hAnsi="Arial" w:cs="Arial"/>
          <w:lang w:eastAsia="pt-BR"/>
        </w:rPr>
        <w:t>no Portal de Assinatura</w:t>
      </w:r>
      <w:r>
        <w:rPr>
          <w:rFonts w:hint="default" w:ascii="Arial" w:hAnsi="Arial" w:cs="Arial"/>
          <w:lang w:val="en-US" w:eastAsia="pt-BR"/>
        </w:rPr>
        <w:t>s</w:t>
      </w:r>
      <w:r>
        <w:rPr>
          <w:rFonts w:ascii="Arial" w:hAnsi="Arial" w:cs="Arial"/>
          <w:lang w:eastAsia="pt-BR"/>
        </w:rPr>
        <w:t>,</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4"/>
          <w:rFonts w:hint="default" w:ascii="Arial" w:hAnsi="Arial"/>
          <w:lang w:val="en-US" w:eastAsia="pt-BR"/>
        </w:rPr>
        <w:t>https://www.portaldeassinaturas.com.br/</w:t>
      </w:r>
      <w:r>
        <w:rPr>
          <w:rStyle w:val="14"/>
          <w:rFonts w:ascii="Arial" w:hAnsi="Arial" w:cs="Arial"/>
          <w:lang w:eastAsia="pt-BR"/>
        </w:rPr>
        <w:t>.</w:t>
      </w:r>
      <w:r>
        <w:rPr>
          <w:rFonts w:hint="default" w:ascii="Arial" w:hAnsi="Arial"/>
          <w:color w:val="auto"/>
          <w:u w:val="single"/>
          <w:lang w:val="en-US" w:eastAsia="pt-BR"/>
        </w:rPr>
        <w:fldChar w:fldCharType="end"/>
      </w:r>
      <w:r>
        <w:rPr>
          <w:rFonts w:hint="default" w:ascii="Arial" w:hAnsi="Arial"/>
          <w:color w:val="auto"/>
          <w:u w:val="single"/>
          <w:lang w:val="en-US" w:eastAsia="pt-BR"/>
        </w:rPr>
        <w:t>,</w:t>
      </w:r>
      <w:r>
        <w:rPr>
          <w:rFonts w:ascii="Arial" w:hAnsi="Arial" w:cs="Arial"/>
          <w:lang w:eastAsia="pt-BR"/>
        </w:rPr>
        <w:t xml:space="preserve"> com o uso de certificação digital</w:t>
      </w:r>
      <w:r>
        <w:rPr>
          <w:rFonts w:hint="default" w:ascii="Arial" w:hAnsi="Arial" w:cs="Arial"/>
          <w:lang w:val="en-US" w:eastAsia="pt-BR"/>
        </w:rPr>
        <w:t>.</w:t>
      </w:r>
    </w:p>
    <w:p w14:paraId="31DEF4C6">
      <w:pPr>
        <w:pStyle w:val="131"/>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Para a assinatura da Ata de Registro de Preços</w:t>
      </w:r>
      <w:r>
        <w:rPr>
          <w:rFonts w:hint="default" w:ascii="Arial" w:hAnsi="Arial" w:cs="Arial"/>
          <w:lang w:val="en-US" w:eastAsia="pt-BR"/>
        </w:rPr>
        <w:t>,</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602340D0">
      <w:pPr>
        <w:pStyle w:val="131"/>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w:t>
      </w:r>
      <w:r>
        <w:rPr>
          <w:rFonts w:ascii="Arial" w:hAnsi="Arial" w:cs="Arial"/>
          <w:bCs/>
          <w:iCs/>
          <w:snapToGrid w:val="0"/>
          <w:color w:val="auto"/>
          <w:u w:val="none"/>
        </w:rPr>
        <w:fldChar w:fldCharType="begin"/>
      </w:r>
      <w:r>
        <w:rPr>
          <w:rFonts w:ascii="Arial" w:hAnsi="Arial" w:cs="Arial"/>
          <w:bCs/>
          <w:iCs/>
          <w:snapToGrid w:val="0"/>
          <w:color w:val="auto"/>
          <w:u w:val="none"/>
        </w:rPr>
        <w:instrText xml:space="preserve"> HYPERLINK "http://www.portaldecompraspublicas.com.br" </w:instrText>
      </w:r>
      <w:r>
        <w:rPr>
          <w:rFonts w:ascii="Arial" w:hAnsi="Arial" w:cs="Arial"/>
          <w:bCs/>
          <w:iCs/>
          <w:snapToGrid w:val="0"/>
          <w:color w:val="auto"/>
          <w:u w:val="none"/>
        </w:rPr>
        <w:fldChar w:fldCharType="separate"/>
      </w:r>
      <w:r>
        <w:rPr>
          <w:rStyle w:val="14"/>
          <w:rFonts w:ascii="Arial" w:hAnsi="Arial" w:cs="Arial"/>
          <w:bCs/>
          <w:iCs/>
          <w:snapToGrid w:val="0"/>
        </w:rPr>
        <w:t>www.portaldecompraspublicas.com.br</w:t>
      </w:r>
      <w:r>
        <w:rPr>
          <w:rFonts w:ascii="Arial" w:hAnsi="Arial" w:cs="Arial"/>
          <w:bCs/>
          <w:iCs/>
          <w:snapToGrid w:val="0"/>
          <w:color w:val="auto"/>
          <w:u w:val="none"/>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378A719F">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12.8. </w:t>
      </w:r>
      <w:r>
        <w:rPr>
          <w:sz w:val="22"/>
          <w:szCs w:val="22"/>
          <w:highlight w:val="none"/>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97ED8A1">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12.9. </w:t>
      </w:r>
      <w:r>
        <w:rPr>
          <w:sz w:val="22"/>
          <w:szCs w:val="22"/>
          <w:highlight w:val="none"/>
        </w:rPr>
        <w:t xml:space="preserve">O preço registrado, com a indicação dos fornecedores, será divulgado no PNCP e disponibilizado durante a vigência da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w:t>
      </w:r>
    </w:p>
    <w:p w14:paraId="57534AFE">
      <w:pPr>
        <w:pStyle w:val="133"/>
        <w:numPr>
          <w:ilvl w:val="0"/>
          <w:numId w:val="0"/>
        </w:numPr>
        <w:spacing w:line="360" w:lineRule="auto"/>
        <w:ind w:leftChars="0"/>
        <w:rPr>
          <w:sz w:val="22"/>
          <w:szCs w:val="22"/>
          <w:highlight w:val="none"/>
        </w:rPr>
      </w:pPr>
      <w:r>
        <w:rPr>
          <w:rFonts w:hint="default"/>
          <w:b/>
          <w:bCs/>
          <w:sz w:val="22"/>
          <w:szCs w:val="22"/>
          <w:highlight w:val="none"/>
          <w:lang w:val="pt-BR"/>
        </w:rPr>
        <w:t>12.10.</w:t>
      </w:r>
      <w:r>
        <w:rPr>
          <w:rFonts w:hint="default"/>
          <w:sz w:val="22"/>
          <w:szCs w:val="22"/>
          <w:highlight w:val="none"/>
          <w:lang w:val="pt-BR"/>
        </w:rPr>
        <w:t xml:space="preserve"> </w:t>
      </w:r>
      <w:r>
        <w:rPr>
          <w:sz w:val="22"/>
          <w:szCs w:val="22"/>
          <w:highlight w:val="non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1B9E5B">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12.11. </w:t>
      </w:r>
      <w:r>
        <w:rPr>
          <w:sz w:val="22"/>
          <w:szCs w:val="22"/>
          <w:highlight w:val="none"/>
        </w:rPr>
        <w:t xml:space="preserve">Na hipótese de o convocado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 no prazo e nas condições estabelecidas, fica facultado à Administração convocar os licitantes remanescentes do cadastro de reserva, na ordem de classificação, para fazê-lo em igual prazo e nas condições propostas pelo primeiro classificado.</w:t>
      </w:r>
    </w:p>
    <w:p w14:paraId="6FA610E0">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Após convocação para a assinatura da Ata de Registro de Preços</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622E12DD">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4D5B5922">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445EAE0C">
      <w:pPr>
        <w:pStyle w:val="133"/>
        <w:numPr>
          <w:ilvl w:val="0"/>
          <w:numId w:val="0"/>
        </w:numPr>
        <w:spacing w:line="360" w:lineRule="auto"/>
        <w:rPr>
          <w:sz w:val="22"/>
          <w:szCs w:val="22"/>
          <w:highlight w:val="none"/>
        </w:rPr>
      </w:pPr>
      <w:r>
        <w:rPr>
          <w:rFonts w:hint="default"/>
          <w:b/>
          <w:bCs/>
          <w:sz w:val="22"/>
          <w:szCs w:val="22"/>
          <w:highlight w:val="none"/>
          <w:lang w:val="pt-BR"/>
        </w:rPr>
        <w:t xml:space="preserve">12.13. </w:t>
      </w:r>
      <w:r>
        <w:rPr>
          <w:sz w:val="22"/>
          <w:szCs w:val="22"/>
          <w:highlight w:val="none"/>
        </w:rPr>
        <w:t xml:space="preserve">Após a homologação da licitação, será incluído na </w:t>
      </w:r>
      <w:r>
        <w:rPr>
          <w:rFonts w:hint="default"/>
          <w:sz w:val="22"/>
          <w:szCs w:val="22"/>
          <w:highlight w:val="none"/>
          <w:lang w:val="pt-BR"/>
        </w:rPr>
        <w:t>Ata de Registro de Preços</w:t>
      </w:r>
      <w:r>
        <w:rPr>
          <w:sz w:val="22"/>
          <w:szCs w:val="22"/>
          <w:highlight w:val="none"/>
        </w:rPr>
        <w:t>, na forma de anexo, a formação do cadastro de reserva</w:t>
      </w:r>
      <w:r>
        <w:rPr>
          <w:rFonts w:hint="default"/>
          <w:sz w:val="22"/>
          <w:szCs w:val="22"/>
          <w:highlight w:val="none"/>
          <w:lang w:val="pt-BR"/>
        </w:rPr>
        <w:t xml:space="preserve"> com</w:t>
      </w:r>
      <w:r>
        <w:rPr>
          <w:sz w:val="22"/>
          <w:szCs w:val="22"/>
          <w:highlight w:val="none"/>
        </w:rPr>
        <w:t xml:space="preserve"> o registro:</w:t>
      </w:r>
    </w:p>
    <w:p w14:paraId="4AC78EBF">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12.13.1.</w:t>
      </w:r>
      <w:r>
        <w:rPr>
          <w:rFonts w:hint="default"/>
          <w:sz w:val="22"/>
          <w:szCs w:val="22"/>
          <w:highlight w:val="none"/>
          <w:lang w:val="pt-BR"/>
        </w:rPr>
        <w:t xml:space="preserve"> D</w:t>
      </w:r>
      <w:r>
        <w:rPr>
          <w:sz w:val="22"/>
          <w:szCs w:val="22"/>
          <w:highlight w:val="none"/>
        </w:rPr>
        <w:t xml:space="preserve">os licitantes </w:t>
      </w:r>
      <w:bookmarkStart w:id="43" w:name="_Hlk132991372"/>
      <w:r>
        <w:rPr>
          <w:sz w:val="22"/>
          <w:szCs w:val="22"/>
          <w:highlight w:val="none"/>
        </w:rPr>
        <w:t xml:space="preserve">que </w:t>
      </w:r>
      <w:bookmarkStart w:id="44" w:name="_Hlk132989696"/>
      <w:r>
        <w:rPr>
          <w:sz w:val="22"/>
          <w:szCs w:val="22"/>
          <w:highlight w:val="none"/>
        </w:rPr>
        <w:t>aceitarem cotar o objeto com preço igual ao do adjudicatári</w:t>
      </w:r>
      <w:bookmarkEnd w:id="43"/>
      <w:r>
        <w:rPr>
          <w:sz w:val="22"/>
          <w:szCs w:val="22"/>
          <w:highlight w:val="none"/>
        </w:rPr>
        <w:t>o</w:t>
      </w:r>
      <w:bookmarkEnd w:id="44"/>
      <w:r>
        <w:rPr>
          <w:sz w:val="22"/>
          <w:szCs w:val="22"/>
          <w:highlight w:val="none"/>
        </w:rPr>
        <w:t xml:space="preserve">, observada a classificação na licitação; e </w:t>
      </w:r>
    </w:p>
    <w:p w14:paraId="413913D8">
      <w:pPr>
        <w:pStyle w:val="136"/>
        <w:numPr>
          <w:ilvl w:val="0"/>
          <w:numId w:val="0"/>
        </w:numPr>
        <w:spacing w:line="360" w:lineRule="auto"/>
        <w:ind w:left="0" w:leftChars="0" w:firstLine="481" w:firstLineChars="218"/>
        <w:rPr>
          <w:rFonts w:hint="default" w:eastAsia="MS Mincho"/>
          <w:iCs/>
          <w:sz w:val="22"/>
          <w:szCs w:val="22"/>
          <w:highlight w:val="none"/>
          <w:lang w:val="pt-BR"/>
        </w:rPr>
      </w:pPr>
      <w:r>
        <w:rPr>
          <w:rFonts w:hint="default"/>
          <w:b/>
          <w:bCs/>
          <w:sz w:val="22"/>
          <w:szCs w:val="22"/>
          <w:highlight w:val="none"/>
          <w:lang w:val="pt-BR"/>
        </w:rPr>
        <w:t xml:space="preserve">12.13.2. </w:t>
      </w:r>
      <w:r>
        <w:rPr>
          <w:rFonts w:hint="default"/>
          <w:sz w:val="22"/>
          <w:szCs w:val="22"/>
          <w:highlight w:val="none"/>
          <w:lang w:val="pt-BR"/>
        </w:rPr>
        <w:t>D</w:t>
      </w:r>
      <w:r>
        <w:rPr>
          <w:sz w:val="22"/>
          <w:szCs w:val="22"/>
          <w:highlight w:val="none"/>
        </w:rPr>
        <w:t>os licitantes que mantiverem sua proposta original</w:t>
      </w:r>
      <w:r>
        <w:rPr>
          <w:rFonts w:hint="default"/>
          <w:sz w:val="22"/>
          <w:szCs w:val="22"/>
          <w:highlight w:val="none"/>
          <w:lang w:val="pt-BR"/>
        </w:rPr>
        <w:t>.</w:t>
      </w:r>
    </w:p>
    <w:p w14:paraId="2F58D4B4">
      <w:pPr>
        <w:pStyle w:val="133"/>
        <w:numPr>
          <w:ilvl w:val="0"/>
          <w:numId w:val="0"/>
        </w:numPr>
        <w:spacing w:line="360" w:lineRule="auto"/>
        <w:rPr>
          <w:rFonts w:eastAsia="MS Mincho"/>
          <w:i/>
          <w:iCs/>
          <w:sz w:val="22"/>
          <w:szCs w:val="22"/>
          <w:highlight w:val="none"/>
        </w:rPr>
      </w:pPr>
      <w:r>
        <w:rPr>
          <w:rFonts w:hint="default"/>
          <w:b/>
          <w:bCs/>
          <w:sz w:val="22"/>
          <w:szCs w:val="22"/>
          <w:highlight w:val="none"/>
          <w:lang w:val="pt-BR"/>
        </w:rPr>
        <w:t xml:space="preserve">12.14. </w:t>
      </w:r>
      <w:r>
        <w:rPr>
          <w:sz w:val="22"/>
          <w:szCs w:val="22"/>
          <w:highlight w:val="none"/>
        </w:rPr>
        <w:t xml:space="preserve">Será respeitada, nas contratações, a ordem de classificação dos licitantes ou fornecedores registrados na </w:t>
      </w:r>
      <w:r>
        <w:rPr>
          <w:rFonts w:hint="default"/>
          <w:sz w:val="22"/>
          <w:szCs w:val="22"/>
          <w:highlight w:val="none"/>
          <w:lang w:val="pt-BR"/>
        </w:rPr>
        <w:t>Ata de Registro de Preços</w:t>
      </w:r>
      <w:r>
        <w:rPr>
          <w:sz w:val="22"/>
          <w:szCs w:val="22"/>
          <w:highlight w:val="none"/>
        </w:rPr>
        <w:t>.</w:t>
      </w:r>
    </w:p>
    <w:p w14:paraId="02A4F379">
      <w:pPr>
        <w:pStyle w:val="136"/>
        <w:numPr>
          <w:ilvl w:val="0"/>
          <w:numId w:val="0"/>
        </w:numPr>
        <w:spacing w:line="360" w:lineRule="auto"/>
        <w:ind w:left="0" w:leftChars="0" w:firstLine="481" w:firstLineChars="218"/>
        <w:rPr>
          <w:rFonts w:eastAsia="Times New Roman"/>
          <w:sz w:val="22"/>
          <w:szCs w:val="22"/>
          <w:highlight w:val="none"/>
        </w:rPr>
      </w:pPr>
      <w:r>
        <w:rPr>
          <w:rFonts w:hint="default"/>
          <w:b/>
          <w:bCs/>
          <w:sz w:val="22"/>
          <w:szCs w:val="22"/>
          <w:highlight w:val="none"/>
          <w:lang w:val="pt-BR"/>
        </w:rPr>
        <w:t>12.14.1.</w:t>
      </w:r>
      <w:r>
        <w:rPr>
          <w:rFonts w:hint="default"/>
          <w:sz w:val="22"/>
          <w:szCs w:val="22"/>
          <w:highlight w:val="none"/>
          <w:lang w:val="pt-BR"/>
        </w:rPr>
        <w:t xml:space="preserve"> </w:t>
      </w:r>
      <w:r>
        <w:rPr>
          <w:sz w:val="22"/>
          <w:szCs w:val="22"/>
          <w:highlight w:val="none"/>
        </w:rPr>
        <w:t>A apresentação de novas propostas na forma deste item não prejudicará o resultado do certame em relação ao licitante mais bem classificado.</w:t>
      </w:r>
    </w:p>
    <w:p w14:paraId="172AEBAF">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12.14.2.</w:t>
      </w:r>
      <w:r>
        <w:rPr>
          <w:rFonts w:hint="default"/>
          <w:sz w:val="22"/>
          <w:szCs w:val="22"/>
          <w:highlight w:val="none"/>
          <w:lang w:val="pt-BR"/>
        </w:rPr>
        <w:t xml:space="preserve"> </w:t>
      </w:r>
      <w:r>
        <w:rPr>
          <w:sz w:val="22"/>
          <w:szCs w:val="22"/>
          <w:highlight w:val="none"/>
        </w:rPr>
        <w:t>Para fins da ordem de classificação, os licitantes ou fornecedores que aceitarem cotar o objeto com preço igual ao do adjudicatário antecederão aqueles que mantiverem sua proposta original.</w:t>
      </w:r>
    </w:p>
    <w:p w14:paraId="7208A892">
      <w:pPr>
        <w:pStyle w:val="133"/>
        <w:numPr>
          <w:ilvl w:val="0"/>
          <w:numId w:val="0"/>
        </w:numPr>
        <w:spacing w:line="360" w:lineRule="auto"/>
        <w:ind w:leftChars="0"/>
        <w:rPr>
          <w:color w:val="FF0000"/>
          <w:sz w:val="22"/>
          <w:szCs w:val="22"/>
          <w:highlight w:val="none"/>
        </w:rPr>
      </w:pPr>
      <w:r>
        <w:rPr>
          <w:rFonts w:hint="default"/>
          <w:b/>
          <w:bCs/>
          <w:color w:val="auto"/>
          <w:sz w:val="22"/>
          <w:szCs w:val="22"/>
          <w:highlight w:val="none"/>
          <w:lang w:val="pt-BR"/>
        </w:rPr>
        <w:t xml:space="preserve">12.15. </w:t>
      </w:r>
      <w:r>
        <w:rPr>
          <w:color w:val="FF0000"/>
          <w:sz w:val="22"/>
          <w:szCs w:val="22"/>
          <w:highlight w:val="none"/>
        </w:rPr>
        <w:t xml:space="preserve"> </w:t>
      </w:r>
      <w:r>
        <w:rPr>
          <w:sz w:val="22"/>
          <w:szCs w:val="22"/>
          <w:highlight w:val="none"/>
        </w:rPr>
        <w:t>A habilitação dos licitantes que comporão o cadastro de reserva será efetuada quando houver necessidade de contratação dos licitantes remanescentes, nas seguintes hipóteses:</w:t>
      </w:r>
    </w:p>
    <w:p w14:paraId="233030E3">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12.15.1.</w:t>
      </w:r>
      <w:r>
        <w:rPr>
          <w:b/>
          <w:bCs/>
          <w:sz w:val="22"/>
          <w:szCs w:val="22"/>
          <w:highlight w:val="none"/>
        </w:rPr>
        <w:t xml:space="preserve"> </w:t>
      </w:r>
      <w:r>
        <w:rPr>
          <w:rFonts w:hint="default"/>
          <w:sz w:val="22"/>
          <w:szCs w:val="22"/>
          <w:highlight w:val="none"/>
          <w:lang w:val="pt-BR"/>
        </w:rPr>
        <w:t>Q</w:t>
      </w:r>
      <w:r>
        <w:rPr>
          <w:sz w:val="22"/>
          <w:szCs w:val="22"/>
          <w:highlight w:val="none"/>
        </w:rPr>
        <w:t xml:space="preserve">uando o licitante vencedor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 xml:space="preserve">reços no prazo e nas condições estabelecidos no </w:t>
      </w:r>
      <w:r>
        <w:rPr>
          <w:rFonts w:hint="default"/>
          <w:sz w:val="22"/>
          <w:szCs w:val="22"/>
          <w:highlight w:val="none"/>
          <w:lang w:val="pt-BR"/>
        </w:rPr>
        <w:t>E</w:t>
      </w:r>
      <w:r>
        <w:rPr>
          <w:sz w:val="22"/>
          <w:szCs w:val="22"/>
          <w:highlight w:val="none"/>
        </w:rPr>
        <w:t>dital; ou</w:t>
      </w:r>
    </w:p>
    <w:p w14:paraId="174587DD">
      <w:pPr>
        <w:pStyle w:val="136"/>
        <w:numPr>
          <w:ilvl w:val="0"/>
          <w:numId w:val="0"/>
        </w:numPr>
        <w:spacing w:line="360" w:lineRule="auto"/>
        <w:ind w:left="0" w:leftChars="0" w:firstLine="481" w:firstLineChars="218"/>
        <w:rPr>
          <w:rFonts w:hint="default" w:eastAsia="Times New Roman"/>
          <w:sz w:val="22"/>
          <w:szCs w:val="22"/>
          <w:highlight w:val="none"/>
          <w:lang w:val="pt-BR"/>
        </w:rPr>
      </w:pPr>
      <w:r>
        <w:rPr>
          <w:rFonts w:hint="default"/>
          <w:b/>
          <w:bCs/>
          <w:sz w:val="22"/>
          <w:szCs w:val="22"/>
          <w:highlight w:val="none"/>
          <w:lang w:val="pt-BR"/>
        </w:rPr>
        <w:t xml:space="preserve">12.15.2. </w:t>
      </w:r>
      <w:r>
        <w:rPr>
          <w:rFonts w:hint="default"/>
          <w:sz w:val="22"/>
          <w:szCs w:val="22"/>
          <w:highlight w:val="none"/>
          <w:lang w:val="pt-BR"/>
        </w:rPr>
        <w:t>Q</w:t>
      </w:r>
      <w:r>
        <w:rPr>
          <w:sz w:val="22"/>
          <w:szCs w:val="22"/>
          <w:highlight w:val="none"/>
        </w:rPr>
        <w:t>uando houver o cancelamento do registro do fornecedor ou do registro de preços</w:t>
      </w:r>
      <w:r>
        <w:rPr>
          <w:rFonts w:hint="default"/>
          <w:sz w:val="22"/>
          <w:szCs w:val="22"/>
          <w:highlight w:val="none"/>
          <w:lang w:val="pt-BR"/>
        </w:rPr>
        <w:t>.</w:t>
      </w:r>
    </w:p>
    <w:p w14:paraId="04A44560">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12.16. </w:t>
      </w:r>
      <w:r>
        <w:rPr>
          <w:sz w:val="22"/>
          <w:szCs w:val="22"/>
          <w:highlight w:val="none"/>
        </w:rPr>
        <w:t xml:space="preserve">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w:t>
      </w:r>
      <w:r>
        <w:rPr>
          <w:rFonts w:hint="default"/>
          <w:sz w:val="22"/>
          <w:szCs w:val="22"/>
          <w:highlight w:val="none"/>
          <w:lang w:val="pt-BR"/>
        </w:rPr>
        <w:t>E</w:t>
      </w:r>
      <w:r>
        <w:rPr>
          <w:sz w:val="22"/>
          <w:szCs w:val="22"/>
          <w:highlight w:val="none"/>
        </w:rPr>
        <w:t>dital, poderá:</w:t>
      </w:r>
    </w:p>
    <w:p w14:paraId="20FC821F">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12.16.1.</w:t>
      </w:r>
      <w:r>
        <w:rPr>
          <w:rFonts w:hint="default"/>
          <w:sz w:val="22"/>
          <w:szCs w:val="22"/>
          <w:highlight w:val="none"/>
          <w:lang w:val="pt-BR"/>
        </w:rPr>
        <w:t xml:space="preserve"> </w:t>
      </w:r>
      <w:r>
        <w:rPr>
          <w:sz w:val="22"/>
          <w:szCs w:val="22"/>
          <w:highlight w:val="none"/>
        </w:rPr>
        <w:t xml:space="preserve"> </w:t>
      </w:r>
      <w:r>
        <w:rPr>
          <w:rFonts w:hint="default"/>
          <w:sz w:val="22"/>
          <w:szCs w:val="22"/>
          <w:highlight w:val="none"/>
          <w:lang w:val="pt-BR"/>
        </w:rPr>
        <w:t>C</w:t>
      </w:r>
      <w:r>
        <w:rPr>
          <w:sz w:val="22"/>
          <w:szCs w:val="22"/>
          <w:highlight w:val="none"/>
        </w:rPr>
        <w:t>onvocar os licitantes que mantiveram sua proposta original para negociação, na ordem de classificação, com vistas à obtenção de preço melhor, mesmo que acima do preço do adjudicatário; ou</w:t>
      </w:r>
    </w:p>
    <w:p w14:paraId="04D7AF34">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12.16.2.</w:t>
      </w:r>
      <w:r>
        <w:rPr>
          <w:sz w:val="22"/>
          <w:szCs w:val="22"/>
          <w:highlight w:val="none"/>
        </w:rPr>
        <w:t xml:space="preserve"> </w:t>
      </w:r>
      <w:r>
        <w:rPr>
          <w:rFonts w:hint="default"/>
          <w:sz w:val="22"/>
          <w:szCs w:val="22"/>
          <w:highlight w:val="none"/>
          <w:lang w:val="pt-BR"/>
        </w:rPr>
        <w:t>A</w:t>
      </w:r>
      <w:r>
        <w:rPr>
          <w:sz w:val="22"/>
          <w:szCs w:val="22"/>
          <w:highlight w:val="none"/>
        </w:rPr>
        <w:t xml:space="preserve">djudicar e firmar </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highlight w:val="none"/>
        </w:rPr>
        <w:t xml:space="preserve"> nas condições ofertadas pelos licitantes remanescentes, observada a ordem de classificação, quando frustrada a negociação de melhor condição.</w:t>
      </w:r>
    </w:p>
    <w:p w14:paraId="7C70FFF1">
      <w:pPr>
        <w:tabs>
          <w:tab w:val="left" w:pos="426"/>
          <w:tab w:val="left" w:pos="567"/>
        </w:tabs>
        <w:autoSpaceDE w:val="0"/>
        <w:autoSpaceDN w:val="0"/>
        <w:adjustRightInd w:val="0"/>
        <w:spacing w:before="240" w:after="240" w:line="360" w:lineRule="auto"/>
        <w:jc w:val="both"/>
        <w:rPr>
          <w:rFonts w:hint="default" w:ascii="Arial" w:hAnsi="Arial" w:cs="Arial"/>
          <w:sz w:val="22"/>
          <w:szCs w:val="22"/>
          <w:lang w:val="pt-BR"/>
        </w:rPr>
      </w:pPr>
      <w:r>
        <w:rPr>
          <w:rFonts w:ascii="Arial" w:hAnsi="Arial" w:cs="Arial"/>
          <w:b/>
          <w:bCs/>
          <w:sz w:val="22"/>
          <w:szCs w:val="22"/>
        </w:rPr>
        <w:t>1</w:t>
      </w:r>
      <w:r>
        <w:rPr>
          <w:rFonts w:hint="default" w:ascii="Arial" w:hAnsi="Arial" w:cs="Arial"/>
          <w:b/>
          <w:bCs/>
          <w:sz w:val="22"/>
          <w:szCs w:val="22"/>
          <w:lang w:val="pt-BR"/>
        </w:rPr>
        <w:t>2</w:t>
      </w:r>
      <w:r>
        <w:rPr>
          <w:rFonts w:ascii="Arial" w:hAnsi="Arial" w:cs="Arial"/>
          <w:b/>
          <w:bCs/>
          <w:sz w:val="22"/>
          <w:szCs w:val="22"/>
        </w:rPr>
        <w:t>.</w:t>
      </w:r>
      <w:r>
        <w:rPr>
          <w:rFonts w:hint="default" w:ascii="Arial" w:hAnsi="Arial" w:cs="Arial"/>
          <w:b/>
          <w:bCs/>
          <w:sz w:val="22"/>
          <w:szCs w:val="22"/>
          <w:lang w:val="pt-BR"/>
        </w:rPr>
        <w:t>17</w:t>
      </w:r>
      <w:r>
        <w:rPr>
          <w:rFonts w:ascii="Arial" w:hAnsi="Arial" w:cs="Arial"/>
          <w:b/>
          <w:bCs/>
          <w:sz w:val="22"/>
          <w:szCs w:val="22"/>
        </w:rPr>
        <w:t xml:space="preserve">. </w:t>
      </w:r>
      <w:r>
        <w:rPr>
          <w:rFonts w:ascii="Arial" w:hAnsi="Arial" w:cs="Arial"/>
          <w:sz w:val="22"/>
          <w:szCs w:val="22"/>
        </w:rPr>
        <w:t>Os órgãos ou entidades não participantes poderão utilizar até</w:t>
      </w:r>
      <w:r>
        <w:rPr>
          <w:rFonts w:ascii="Arial" w:hAnsi="Arial" w:cs="Arial"/>
          <w:sz w:val="22"/>
          <w:szCs w:val="22"/>
          <w:highlight w:val="none"/>
        </w:rPr>
        <w:t xml:space="preserve"> </w:t>
      </w:r>
      <w:r>
        <w:rPr>
          <w:rFonts w:hint="default" w:ascii="Arial" w:hAnsi="Arial" w:cs="Arial"/>
          <w:sz w:val="22"/>
          <w:szCs w:val="22"/>
          <w:highlight w:val="none"/>
          <w:lang w:val="pt-BR"/>
        </w:rPr>
        <w:t>5</w:t>
      </w:r>
      <w:r>
        <w:rPr>
          <w:rFonts w:ascii="Arial" w:hAnsi="Arial" w:cs="Arial"/>
          <w:sz w:val="22"/>
          <w:szCs w:val="22"/>
          <w:highlight w:val="none"/>
        </w:rPr>
        <w:t xml:space="preserve">0% </w:t>
      </w:r>
      <w:r>
        <w:rPr>
          <w:rFonts w:ascii="Arial" w:hAnsi="Arial" w:cs="Arial"/>
          <w:sz w:val="22"/>
          <w:szCs w:val="22"/>
        </w:rPr>
        <w:t>dos quantitativos registrados na Ata de Registro de Preços decorrente deste certame, nos termos do</w:t>
      </w:r>
      <w:r>
        <w:rPr>
          <w:rFonts w:hint="default" w:ascii="Arial" w:hAnsi="Arial" w:cs="Arial"/>
          <w:sz w:val="22"/>
          <w:szCs w:val="22"/>
          <w:lang w:val="pt-BR"/>
        </w:rPr>
        <w:t xml:space="preserve"> art. 86, § 4º, da Lei Federal nº 14.133/2021.</w:t>
      </w:r>
    </w:p>
    <w:p w14:paraId="0F2A4D03">
      <w:pPr>
        <w:numPr>
          <w:ilvl w:val="0"/>
          <w:numId w:val="0"/>
        </w:numPr>
        <w:tabs>
          <w:tab w:val="left" w:pos="142"/>
          <w:tab w:val="left" w:pos="426"/>
          <w:tab w:val="left" w:pos="567"/>
        </w:tabs>
        <w:autoSpaceDE w:val="0"/>
        <w:autoSpaceDN w:val="0"/>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12.18.</w:t>
      </w:r>
      <w:r>
        <w:rPr>
          <w:rFonts w:hint="default" w:ascii="Arial" w:hAnsi="Arial" w:cs="Arial"/>
          <w:sz w:val="22"/>
          <w:szCs w:val="22"/>
          <w:lang w:val="pt-BR"/>
        </w:rPr>
        <w:t xml:space="preserve"> </w:t>
      </w:r>
      <w:r>
        <w:rPr>
          <w:rFonts w:ascii="Arial" w:hAnsi="Arial" w:cs="Arial"/>
          <w:sz w:val="22"/>
          <w:szCs w:val="22"/>
        </w:rPr>
        <w:t xml:space="preserve">Os quantitativos decorrentes das adesões à Ata de Registro de Preços efetuadas por órgãos não participantes, não poderão exceder, na totalidade, ao </w:t>
      </w:r>
      <w:r>
        <w:rPr>
          <w:rFonts w:hint="default" w:ascii="Arial" w:hAnsi="Arial" w:cs="Arial"/>
          <w:sz w:val="22"/>
          <w:szCs w:val="22"/>
          <w:highlight w:val="none"/>
          <w:lang w:val="pt-BR"/>
        </w:rPr>
        <w:t>dobro</w:t>
      </w:r>
      <w:r>
        <w:rPr>
          <w:rFonts w:ascii="Arial" w:hAnsi="Arial" w:cs="Arial"/>
          <w:sz w:val="22"/>
          <w:szCs w:val="22"/>
        </w:rPr>
        <w:t xml:space="preserve"> do quantitativo de cada item registrado na Ata de Registro de Preços para o órgão gerenciador e para os órgãos participantes, independentemente do número de órgãos não participantes que aderirem, nos termos do</w:t>
      </w:r>
      <w:r>
        <w:rPr>
          <w:rFonts w:hint="default" w:ascii="Arial" w:hAnsi="Arial" w:cs="Arial"/>
          <w:sz w:val="22"/>
          <w:szCs w:val="22"/>
          <w:lang w:val="pt-BR"/>
        </w:rPr>
        <w:t xml:space="preserve"> art. 86, § 5º, da Lei Federal nº 14.133/2021</w:t>
      </w:r>
      <w:r>
        <w:rPr>
          <w:rFonts w:ascii="Arial" w:hAnsi="Arial" w:cs="Arial"/>
          <w:sz w:val="22"/>
          <w:szCs w:val="22"/>
          <w:highlight w:val="none"/>
        </w:rPr>
        <w:t>.</w:t>
      </w:r>
    </w:p>
    <w:p w14:paraId="5D8D3933">
      <w:pPr>
        <w:pStyle w:val="128"/>
        <w:numPr>
          <w:ilvl w:val="0"/>
          <w:numId w:val="0"/>
        </w:numPr>
        <w:tabs>
          <w:tab w:val="left" w:pos="142"/>
          <w:tab w:val="left" w:pos="426"/>
          <w:tab w:val="left" w:pos="567"/>
        </w:tabs>
        <w:spacing w:before="240" w:after="240" w:line="360" w:lineRule="auto"/>
        <w:ind w:leftChars="0"/>
        <w:rPr>
          <w:rFonts w:ascii="Arial" w:hAnsi="Arial" w:cs="Arial"/>
          <w:szCs w:val="22"/>
        </w:rPr>
      </w:pPr>
      <w:r>
        <w:rPr>
          <w:rFonts w:hint="default" w:ascii="Arial" w:hAnsi="Arial" w:cs="Arial"/>
          <w:b/>
          <w:bCs/>
          <w:szCs w:val="22"/>
          <w:lang w:val="pt-BR"/>
        </w:rPr>
        <w:t xml:space="preserve">12.19. </w:t>
      </w:r>
      <w:r>
        <w:rPr>
          <w:rFonts w:ascii="Arial" w:hAnsi="Arial" w:cs="Arial"/>
          <w:szCs w:val="22"/>
        </w:rPr>
        <w:t xml:space="preserve">A execução da Ata de Registro de Preços será acompanhada e fiscalizada pelo representante da Contratante, designado(a) por meio de portaria, doravante denominado Gestor </w:t>
      </w:r>
      <w:r>
        <w:rPr>
          <w:rFonts w:hint="default" w:ascii="Arial" w:hAnsi="Arial" w:cs="Arial"/>
          <w:color w:val="auto"/>
          <w:sz w:val="22"/>
          <w:szCs w:val="22"/>
          <w:lang w:val="pt-BR"/>
        </w:rPr>
        <w:t xml:space="preserve">ou Fiscal 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szCs w:val="22"/>
        </w:rPr>
        <w:t>.</w:t>
      </w:r>
    </w:p>
    <w:p w14:paraId="21A6FC7A">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rPr>
      </w:pPr>
      <w:r>
        <w:rPr>
          <w:rFonts w:hint="default" w:ascii="Arial" w:hAnsi="Arial" w:cs="Arial"/>
          <w:b/>
          <w:sz w:val="22"/>
          <w:szCs w:val="22"/>
          <w:lang w:val="pt-BR"/>
        </w:rPr>
        <w:t>12.20</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O prazo de vigência da</w:t>
      </w:r>
      <w:r>
        <w:rPr>
          <w:rFonts w:ascii="Arial" w:hAnsi="Arial" w:cs="Arial"/>
          <w:sz w:val="22"/>
          <w:szCs w:val="22"/>
        </w:rPr>
        <w:t xml:space="preserve"> Ata de Registro de Preços </w:t>
      </w:r>
      <w:r>
        <w:rPr>
          <w:rFonts w:hint="default" w:ascii="Arial" w:hAnsi="Arial" w:cs="Arial"/>
          <w:sz w:val="22"/>
          <w:szCs w:val="22"/>
          <w:lang w:val="pt-BR"/>
        </w:rPr>
        <w:t>será</w:t>
      </w:r>
      <w:r>
        <w:rPr>
          <w:rFonts w:ascii="Arial" w:hAnsi="Arial" w:cs="Arial"/>
          <w:b w:val="0"/>
          <w:bCs/>
          <w:sz w:val="22"/>
          <w:szCs w:val="22"/>
        </w:rPr>
        <w:t xml:space="preserve"> de </w:t>
      </w:r>
      <w:r>
        <w:rPr>
          <w:rFonts w:hint="default" w:ascii="Arial" w:hAnsi="Arial" w:cs="Arial"/>
          <w:b w:val="0"/>
          <w:bCs/>
          <w:sz w:val="22"/>
          <w:szCs w:val="22"/>
          <w:lang w:val="pt-BR"/>
        </w:rPr>
        <w:t>1 (um) ano</w:t>
      </w:r>
      <w:r>
        <w:rPr>
          <w:rFonts w:ascii="Arial" w:hAnsi="Arial" w:cs="Arial"/>
          <w:sz w:val="22"/>
          <w:szCs w:val="22"/>
        </w:rPr>
        <w:t>, contado a partir da data de assinatura</w:t>
      </w:r>
      <w:r>
        <w:rPr>
          <w:rFonts w:hint="default" w:ascii="Arial" w:hAnsi="Arial" w:cs="Arial"/>
          <w:sz w:val="22"/>
          <w:szCs w:val="22"/>
          <w:lang w:val="pt-BR"/>
        </w:rPr>
        <w:t xml:space="preserve">, </w:t>
      </w:r>
      <w:r>
        <w:rPr>
          <w:rFonts w:hint="default" w:ascii="Arial" w:hAnsi="Arial" w:cs="Arial"/>
          <w:sz w:val="22"/>
          <w:szCs w:val="22"/>
        </w:rPr>
        <w:t>e poderá ser prorrogado, por igual período, desde que comprovado o preço vantajoso.</w:t>
      </w:r>
    </w:p>
    <w:p w14:paraId="5D0D0C49">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12.21.</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3CD31928">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12.21.1.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29444E70">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12.21.2.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2B862655">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1FCA1EC2">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3C71AB5B">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4F6E3AD3">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12.22. </w:t>
      </w:r>
      <w:r>
        <w:rPr>
          <w:rFonts w:hint="default" w:ascii="Arial" w:hAnsi="Arial" w:cs="Arial"/>
          <w:sz w:val="22"/>
          <w:szCs w:val="22"/>
          <w:lang w:val="pt-BR"/>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2DBD0DF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12.23. </w:t>
      </w:r>
      <w:r>
        <w:rPr>
          <w:rFonts w:hint="default" w:ascii="Arial" w:hAnsi="Arial" w:cs="Arial"/>
          <w:color w:val="auto"/>
          <w:sz w:val="22"/>
          <w:szCs w:val="22"/>
        </w:rPr>
        <w:t xml:space="preserve">Após a homologação da licitação, deverão ser observadas as seguintes condições para formalização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4B52D4B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12.23.1.</w:t>
      </w:r>
      <w:r>
        <w:rPr>
          <w:rFonts w:hint="default" w:cs="Arial"/>
          <w:color w:val="auto"/>
          <w:sz w:val="22"/>
          <w:szCs w:val="22"/>
          <w:lang w:val="pt-BR"/>
        </w:rPr>
        <w:t xml:space="preserve"> </w:t>
      </w:r>
      <w:r>
        <w:rPr>
          <w:rFonts w:hint="default" w:ascii="Arial" w:hAnsi="Arial" w:cs="Arial"/>
          <w:color w:val="auto"/>
          <w:sz w:val="22"/>
          <w:szCs w:val="22"/>
        </w:rPr>
        <w:t xml:space="preserve">Será incluído na </w:t>
      </w:r>
      <w:r>
        <w:rPr>
          <w:rFonts w:hint="default" w:cs="Arial"/>
          <w:color w:val="auto"/>
          <w:sz w:val="22"/>
          <w:szCs w:val="22"/>
          <w:lang w:val="pt-BR"/>
        </w:rPr>
        <w:t>A</w:t>
      </w:r>
      <w:r>
        <w:rPr>
          <w:rFonts w:hint="default" w:ascii="Arial" w:hAnsi="Arial" w:cs="Arial"/>
          <w:color w:val="auto"/>
          <w:sz w:val="22"/>
          <w:szCs w:val="22"/>
        </w:rPr>
        <w:t>ta, na forma d</w:t>
      </w:r>
      <w:r>
        <w:rPr>
          <w:rFonts w:hint="default" w:cs="Arial"/>
          <w:color w:val="auto"/>
          <w:sz w:val="22"/>
          <w:szCs w:val="22"/>
          <w:lang w:val="pt-BR"/>
        </w:rPr>
        <w:t>o</w:t>
      </w:r>
      <w:r>
        <w:rPr>
          <w:rFonts w:hint="default" w:ascii="Arial" w:hAnsi="Arial" w:cs="Arial"/>
          <w:color w:val="auto"/>
          <w:sz w:val="22"/>
          <w:szCs w:val="22"/>
        </w:rPr>
        <w:t xml:space="preserve"> </w:t>
      </w:r>
      <w:r>
        <w:rPr>
          <w:rFonts w:hint="default" w:cs="Arial"/>
          <w:color w:val="auto"/>
          <w:sz w:val="22"/>
          <w:szCs w:val="22"/>
          <w:lang w:val="pt-BR"/>
        </w:rPr>
        <w:t>A</w:t>
      </w:r>
      <w:r>
        <w:rPr>
          <w:rFonts w:hint="default" w:ascii="Arial" w:hAnsi="Arial" w:cs="Arial"/>
          <w:color w:val="auto"/>
          <w:sz w:val="22"/>
          <w:szCs w:val="22"/>
        </w:rPr>
        <w:t>nexo</w:t>
      </w:r>
      <w:r>
        <w:rPr>
          <w:rFonts w:hint="default" w:cs="Arial"/>
          <w:color w:val="auto"/>
          <w:sz w:val="22"/>
          <w:szCs w:val="22"/>
          <w:lang w:val="pt-BR"/>
        </w:rPr>
        <w:t xml:space="preserve"> V</w:t>
      </w:r>
      <w:r>
        <w:rPr>
          <w:rFonts w:hint="default" w:ascii="Arial" w:hAnsi="Arial" w:cs="Arial"/>
          <w:color w:val="auto"/>
          <w:sz w:val="22"/>
          <w:szCs w:val="22"/>
        </w:rPr>
        <w:t>, o registro dos licitantes ou dos fornecedores que:</w:t>
      </w:r>
    </w:p>
    <w:p w14:paraId="012A74E3">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12.23.1.1.</w:t>
      </w:r>
      <w:r>
        <w:rPr>
          <w:rFonts w:hint="default" w:cs="Arial"/>
          <w:color w:val="auto"/>
          <w:sz w:val="22"/>
          <w:szCs w:val="22"/>
          <w:lang w:val="pt-BR"/>
        </w:rPr>
        <w:t xml:space="preserve"> </w:t>
      </w:r>
      <w:r>
        <w:rPr>
          <w:rFonts w:hint="default" w:ascii="Arial" w:hAnsi="Arial" w:cs="Arial"/>
          <w:color w:val="auto"/>
          <w:sz w:val="22"/>
          <w:szCs w:val="22"/>
        </w:rPr>
        <w:t xml:space="preserve">Aceitarem cotar os bens, as obras ou os serviços com preços iguais aos do adjudicatário, observada a classificação da licitação; e </w:t>
      </w:r>
    </w:p>
    <w:p w14:paraId="04C6D827">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12.23.1.2. </w:t>
      </w:r>
      <w:r>
        <w:rPr>
          <w:rFonts w:hint="default" w:ascii="Arial" w:hAnsi="Arial" w:cs="Arial"/>
          <w:color w:val="auto"/>
          <w:sz w:val="22"/>
          <w:szCs w:val="22"/>
        </w:rPr>
        <w:t xml:space="preserve">Mantiverem sua proposta original. </w:t>
      </w:r>
      <w:bookmarkStart w:id="45" w:name="cadastro_reserva"/>
      <w:bookmarkEnd w:id="45"/>
    </w:p>
    <w:p w14:paraId="669E2F4F">
      <w:pPr>
        <w:pStyle w:val="145"/>
        <w:numPr>
          <w:ilvl w:val="0"/>
          <w:numId w:val="0"/>
        </w:numPr>
        <w:spacing w:line="360" w:lineRule="auto"/>
        <w:ind w:left="284" w:leftChars="0"/>
        <w:rPr>
          <w:rFonts w:hint="default" w:ascii="Arial" w:hAnsi="Arial" w:cs="Arial"/>
          <w:color w:val="auto"/>
          <w:sz w:val="22"/>
          <w:szCs w:val="22"/>
        </w:rPr>
      </w:pPr>
      <w:r>
        <w:rPr>
          <w:rFonts w:hint="default" w:cs="Arial"/>
          <w:b/>
          <w:bCs/>
          <w:color w:val="auto"/>
          <w:sz w:val="22"/>
          <w:szCs w:val="22"/>
          <w:lang w:val="pt-BR"/>
        </w:rPr>
        <w:t>12.23..2.</w:t>
      </w:r>
      <w:r>
        <w:rPr>
          <w:rFonts w:hint="default" w:cs="Arial"/>
          <w:color w:val="auto"/>
          <w:sz w:val="22"/>
          <w:szCs w:val="22"/>
          <w:lang w:val="pt-BR"/>
        </w:rPr>
        <w:t xml:space="preserve"> </w:t>
      </w:r>
      <w:r>
        <w:rPr>
          <w:rFonts w:hint="default" w:ascii="Arial" w:hAnsi="Arial" w:cs="Arial"/>
          <w:color w:val="auto"/>
          <w:sz w:val="22"/>
          <w:szCs w:val="22"/>
        </w:rPr>
        <w:t xml:space="preserve">Será respeitada, nas contratações, a ordem de classificação dos licitantes ou dos fornecedores registrados na </w:t>
      </w:r>
      <w:r>
        <w:rPr>
          <w:rFonts w:hint="default" w:cs="Arial"/>
          <w:color w:val="auto"/>
          <w:sz w:val="22"/>
          <w:szCs w:val="22"/>
          <w:lang w:val="pt-BR"/>
        </w:rPr>
        <w:t>A</w:t>
      </w:r>
      <w:r>
        <w:rPr>
          <w:rFonts w:hint="default" w:ascii="Arial" w:hAnsi="Arial" w:cs="Arial"/>
          <w:color w:val="auto"/>
          <w:sz w:val="22"/>
          <w:szCs w:val="22"/>
        </w:rPr>
        <w:t>ta.</w:t>
      </w:r>
    </w:p>
    <w:p w14:paraId="08E57BF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12.23.5. </w:t>
      </w:r>
      <w:r>
        <w:rPr>
          <w:rFonts w:hint="default" w:ascii="Arial" w:hAnsi="Arial" w:cs="Arial"/>
          <w:color w:val="auto"/>
          <w:sz w:val="22"/>
          <w:szCs w:val="22"/>
        </w:rPr>
        <w:t xml:space="preserve">O registro a que se refere o item </w:t>
      </w:r>
      <w:r>
        <w:rPr>
          <w:rFonts w:hint="default" w:cs="Arial"/>
          <w:b w:val="0"/>
          <w:bCs w:val="0"/>
          <w:color w:val="auto"/>
          <w:sz w:val="22"/>
          <w:szCs w:val="22"/>
          <w:lang w:val="pt-BR"/>
        </w:rPr>
        <w:t>12.23.</w:t>
      </w:r>
      <w:r>
        <w:rPr>
          <w:rFonts w:hint="default" w:cs="Arial"/>
          <w:color w:val="auto"/>
          <w:sz w:val="22"/>
          <w:szCs w:val="22"/>
          <w:lang w:val="pt-BR"/>
        </w:rPr>
        <w:t>1.</w:t>
      </w:r>
      <w:r>
        <w:rPr>
          <w:rFonts w:hint="default" w:ascii="Arial" w:hAnsi="Arial" w:cs="Arial"/>
          <w:b/>
          <w:bCs/>
          <w:color w:val="auto"/>
          <w:sz w:val="22"/>
          <w:szCs w:val="22"/>
        </w:rPr>
        <w:t xml:space="preserve"> </w:t>
      </w:r>
      <w:r>
        <w:rPr>
          <w:rFonts w:hint="default" w:ascii="Arial" w:hAnsi="Arial" w:cs="Arial"/>
          <w:color w:val="auto"/>
          <w:sz w:val="22"/>
          <w:szCs w:val="22"/>
        </w:rPr>
        <w:t>tem por obje</w:t>
      </w:r>
      <w:r>
        <w:rPr>
          <w:rFonts w:hint="default" w:ascii="Arial" w:hAnsi="Arial" w:eastAsia="Arial" w:cs="Arial"/>
          <w:color w:val="auto"/>
          <w:sz w:val="22"/>
          <w:szCs w:val="22"/>
        </w:rPr>
        <w:t>ti</w:t>
      </w:r>
      <w:r>
        <w:rPr>
          <w:rFonts w:hint="default" w:ascii="Arial" w:hAnsi="Arial" w:cs="Arial"/>
          <w:color w:val="auto"/>
          <w:sz w:val="22"/>
          <w:szCs w:val="22"/>
        </w:rPr>
        <w:t>vo a formação de cadastro de reserva para o caso de impossibilidade de atendimento pelo signatário da ata.</w:t>
      </w:r>
    </w:p>
    <w:p w14:paraId="074436D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12.23.6.</w:t>
      </w:r>
      <w:r>
        <w:rPr>
          <w:rFonts w:hint="default" w:cs="Arial"/>
          <w:color w:val="auto"/>
          <w:sz w:val="22"/>
          <w:szCs w:val="22"/>
          <w:lang w:val="pt-BR"/>
        </w:rPr>
        <w:t xml:space="preserve"> </w:t>
      </w:r>
      <w:r>
        <w:rPr>
          <w:rFonts w:hint="default" w:ascii="Arial" w:hAnsi="Arial" w:cs="Arial"/>
          <w:color w:val="auto"/>
          <w:sz w:val="22"/>
          <w:szCs w:val="22"/>
        </w:rPr>
        <w:t>Para fins da ordem de classificação, os licitantes ou fornecedores que aceitarem reduzir suas propostas para o preço do adjudicatário antecederão aqueles que mantiverem sua proposta original.</w:t>
      </w:r>
    </w:p>
    <w:p w14:paraId="0296313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12.23.7.</w:t>
      </w:r>
      <w:r>
        <w:rPr>
          <w:rFonts w:hint="default" w:cs="Arial"/>
          <w:color w:val="auto"/>
          <w:sz w:val="22"/>
          <w:szCs w:val="22"/>
          <w:lang w:val="pt-BR"/>
        </w:rPr>
        <w:t xml:space="preserve"> </w:t>
      </w:r>
      <w:r>
        <w:rPr>
          <w:rFonts w:hint="default" w:ascii="Arial" w:hAnsi="Arial" w:cs="Arial"/>
          <w:color w:val="auto"/>
          <w:sz w:val="22"/>
          <w:szCs w:val="22"/>
        </w:rPr>
        <w:t xml:space="preserve">A habilitação dos licitantes que comporão o cadastro de reserva a que se refere o item </w:t>
      </w:r>
      <w:r>
        <w:rPr>
          <w:rFonts w:hint="default" w:ascii="Arial" w:hAnsi="Arial" w:cs="Arial"/>
          <w:b w:val="0"/>
          <w:bCs w:val="0"/>
          <w:color w:val="auto"/>
          <w:sz w:val="22"/>
          <w:szCs w:val="22"/>
        </w:rPr>
        <w:fldChar w:fldCharType="begin"/>
      </w:r>
      <w:r>
        <w:rPr>
          <w:rFonts w:hint="default" w:ascii="Arial" w:hAnsi="Arial" w:cs="Arial"/>
          <w:b w:val="0"/>
          <w:bCs w:val="0"/>
          <w:color w:val="auto"/>
          <w:sz w:val="22"/>
          <w:szCs w:val="22"/>
        </w:rPr>
        <w:instrText xml:space="preserve"> REF cadastro_reserva \r \h  \* MERGEFORMAT </w:instrText>
      </w:r>
      <w:r>
        <w:rPr>
          <w:rFonts w:hint="default" w:ascii="Arial" w:hAnsi="Arial" w:cs="Arial"/>
          <w:b w:val="0"/>
          <w:bCs w:val="0"/>
          <w:color w:val="auto"/>
          <w:sz w:val="22"/>
          <w:szCs w:val="22"/>
        </w:rPr>
        <w:fldChar w:fldCharType="separate"/>
      </w:r>
      <w:r>
        <w:rPr>
          <w:rFonts w:hint="default" w:cs="Arial"/>
          <w:b w:val="0"/>
          <w:bCs w:val="0"/>
          <w:color w:val="auto"/>
          <w:sz w:val="22"/>
          <w:szCs w:val="22"/>
          <w:lang w:val="pt-BR"/>
        </w:rPr>
        <w:t>12.23.1</w:t>
      </w:r>
      <w:r>
        <w:rPr>
          <w:rFonts w:hint="default" w:ascii="Arial" w:hAnsi="Arial" w:cs="Arial"/>
          <w:b w:val="0"/>
          <w:bCs w:val="0"/>
          <w:color w:val="auto"/>
          <w:sz w:val="22"/>
          <w:szCs w:val="22"/>
        </w:rPr>
        <w:t>.2</w:t>
      </w:r>
      <w:r>
        <w:rPr>
          <w:rFonts w:hint="default" w:ascii="Arial" w:hAnsi="Arial" w:cs="Arial"/>
          <w:b w:val="0"/>
          <w:bCs w:val="0"/>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somente será efetuada quando houver necessidade de contratação dos licitantes remanescentes, nas seguintes hipóteses:</w:t>
      </w:r>
      <w:bookmarkStart w:id="46" w:name="habilitacao_reserva"/>
      <w:bookmarkEnd w:id="46"/>
    </w:p>
    <w:p w14:paraId="0FBDCA0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12.23.7.1.</w:t>
      </w:r>
      <w:r>
        <w:rPr>
          <w:rFonts w:hint="default" w:cs="Arial"/>
          <w:color w:val="auto"/>
          <w:sz w:val="22"/>
          <w:szCs w:val="22"/>
          <w:lang w:val="pt-BR"/>
        </w:rPr>
        <w:t xml:space="preserve"> </w:t>
      </w:r>
      <w:r>
        <w:rPr>
          <w:rFonts w:hint="default" w:ascii="Arial" w:hAnsi="Arial" w:cs="Arial"/>
          <w:color w:val="auto"/>
          <w:sz w:val="22"/>
          <w:szCs w:val="22"/>
        </w:rPr>
        <w:t xml:space="preserve">Quando o licitante vencedor não assinar 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no prazo e nas condições estabelecidos </w:t>
      </w:r>
      <w:r>
        <w:rPr>
          <w:rFonts w:hint="default" w:ascii="Arial" w:hAnsi="Arial" w:cs="Arial"/>
          <w:i w:val="0"/>
          <w:iCs w:val="0"/>
          <w:color w:val="auto"/>
          <w:sz w:val="22"/>
          <w:szCs w:val="22"/>
        </w:rPr>
        <w:t xml:space="preserve">no </w:t>
      </w:r>
      <w:r>
        <w:rPr>
          <w:rFonts w:hint="default" w:cs="Arial"/>
          <w:i w:val="0"/>
          <w:iCs w:val="0"/>
          <w:color w:val="auto"/>
          <w:sz w:val="22"/>
          <w:szCs w:val="22"/>
          <w:lang w:val="pt-BR"/>
        </w:rPr>
        <w:t>e</w:t>
      </w:r>
      <w:r>
        <w:rPr>
          <w:rFonts w:hint="default" w:ascii="Arial" w:hAnsi="Arial" w:cs="Arial"/>
          <w:i w:val="0"/>
          <w:iCs w:val="0"/>
          <w:color w:val="auto"/>
          <w:sz w:val="22"/>
          <w:szCs w:val="22"/>
        </w:rPr>
        <w:t>dital</w:t>
      </w:r>
      <w:r>
        <w:rPr>
          <w:rFonts w:hint="default" w:ascii="Arial" w:hAnsi="Arial" w:cs="Arial"/>
          <w:i/>
          <w:iCs/>
          <w:color w:val="auto"/>
          <w:sz w:val="22"/>
          <w:szCs w:val="22"/>
        </w:rPr>
        <w:t>;</w:t>
      </w:r>
      <w:r>
        <w:rPr>
          <w:rFonts w:hint="default" w:ascii="Arial" w:hAnsi="Arial" w:cs="Arial"/>
          <w:color w:val="auto"/>
          <w:sz w:val="22"/>
          <w:szCs w:val="22"/>
        </w:rPr>
        <w:t xml:space="preserve"> e</w:t>
      </w:r>
    </w:p>
    <w:p w14:paraId="139711BA">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12.23.7.2. </w:t>
      </w:r>
      <w:r>
        <w:rPr>
          <w:rFonts w:hint="default" w:ascii="Arial" w:hAnsi="Arial" w:cs="Arial"/>
          <w:color w:val="auto"/>
          <w:sz w:val="22"/>
          <w:szCs w:val="22"/>
        </w:rPr>
        <w:t xml:space="preserve">Quando houver o cancelamento do registro do licitante ou do registro de preços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w:t>
      </w:r>
      <w:r>
        <w:rPr>
          <w:rFonts w:hint="default" w:ascii="Arial" w:hAnsi="Arial" w:cs="Arial"/>
          <w:color w:val="auto"/>
          <w:sz w:val="22"/>
          <w:szCs w:val="22"/>
        </w:rPr>
        <w:fldChar w:fldCharType="end"/>
      </w:r>
      <w:r>
        <w:rPr>
          <w:rFonts w:hint="default" w:cs="Arial"/>
          <w:color w:val="auto"/>
          <w:sz w:val="22"/>
          <w:szCs w:val="22"/>
          <w:lang w:val="pt-BR"/>
        </w:rPr>
        <w:t xml:space="preserve"> da Ata de Registro de Preços</w:t>
      </w:r>
      <w:r>
        <w:rPr>
          <w:rFonts w:hint="default" w:ascii="Arial" w:hAnsi="Arial" w:cs="Arial"/>
          <w:color w:val="auto"/>
          <w:sz w:val="22"/>
          <w:szCs w:val="22"/>
        </w:rPr>
        <w:t>.</w:t>
      </w:r>
    </w:p>
    <w:p w14:paraId="6BDDA93A">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12.23.8.</w:t>
      </w:r>
      <w:r>
        <w:rPr>
          <w:rFonts w:hint="default" w:cs="Arial"/>
          <w:color w:val="auto"/>
          <w:sz w:val="22"/>
          <w:szCs w:val="22"/>
          <w:lang w:val="pt-BR"/>
        </w:rPr>
        <w:t xml:space="preserve"> </w:t>
      </w:r>
      <w:r>
        <w:rPr>
          <w:rFonts w:hint="default" w:ascii="Arial" w:hAnsi="Arial" w:cs="Arial"/>
          <w:color w:val="auto"/>
          <w:sz w:val="22"/>
          <w:szCs w:val="22"/>
        </w:rPr>
        <w:t xml:space="preserve">O preço registrado com indicação dos licitantes e fornecedores será divulgado no PNCP e ficará disponibilizado durante a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7D78BBDC">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rPr>
      </w:pPr>
      <w:r>
        <w:rPr>
          <w:rFonts w:hint="default" w:cs="Arial"/>
          <w:sz w:val="22"/>
          <w:szCs w:val="22"/>
          <w:lang w:val="pt-BR"/>
        </w:rPr>
        <w:t xml:space="preserve">13. </w:t>
      </w:r>
      <w:r>
        <w:rPr>
          <w:rFonts w:cs="Arial"/>
          <w:sz w:val="22"/>
          <w:szCs w:val="22"/>
        </w:rPr>
        <w:t>DA</w:t>
      </w:r>
      <w:r>
        <w:rPr>
          <w:rFonts w:hint="default" w:cs="Arial"/>
          <w:sz w:val="22"/>
          <w:szCs w:val="22"/>
          <w:lang w:val="pt-BR"/>
        </w:rPr>
        <w:t>S CONDIÇÕES DE PAGAMENTO</w:t>
      </w:r>
    </w:p>
    <w:p w14:paraId="1C8697E3">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w:t>
      </w:r>
      <w:r>
        <w:rPr>
          <w:rFonts w:hint="default" w:ascii="Arial" w:hAnsi="Arial" w:cs="Arial"/>
          <w:sz w:val="22"/>
          <w:szCs w:val="22"/>
          <w:highlight w:val="none"/>
          <w:lang w:val="pt-BR"/>
        </w:rPr>
        <w:t>1,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w:t>
      </w:r>
      <w:r>
        <w:rPr>
          <w:rFonts w:hint="default" w:ascii="Arial" w:hAnsi="Arial" w:cs="Arial"/>
          <w:sz w:val="22"/>
          <w:szCs w:val="22"/>
          <w:highlight w:val="none"/>
          <w:lang w:val="pt-BR"/>
        </w:rPr>
        <w:t>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129/2024.</w:t>
      </w:r>
    </w:p>
    <w:p w14:paraId="5CCFAC3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Será considerada data do pagamento o dia em que constar como emitida a ordem bancária para pagamento.</w:t>
      </w:r>
    </w:p>
    <w:p w14:paraId="4A39DA9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A contagem do prazo para pagamento terá início e encerramento em dias de expediente na Administração Pública Municipal.</w:t>
      </w:r>
    </w:p>
    <w:p w14:paraId="7395DD4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71BDA63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Não aplicar-se-á o previsto no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554762D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2337943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2B3C2C3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0ED8DE8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0F4D1E7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bookmarkStart w:id="47"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7"/>
    <w:p w14:paraId="25ADA43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04654820">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49F6904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6FAF4097">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2CC92A7F">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7E80CF65">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30D5B075">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20AE052A">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3AF88B89">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075C05B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B61256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0440F57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4DBA54E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484C9E7E">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6C7BADF7">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66F7D27C">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1CC8F2C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06B7D60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5F63129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3D5C029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0B8CFD4A">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10F2543F">
      <w:pPr>
        <w:pStyle w:val="118"/>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14:paraId="7547D612">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17AEB8CD">
      <w:pPr>
        <w:spacing w:before="240" w:after="240" w:line="360" w:lineRule="auto"/>
        <w:jc w:val="both"/>
        <w:rPr>
          <w:rFonts w:ascii="Arial" w:hAnsi="Arial" w:cs="Arial"/>
          <w:sz w:val="22"/>
          <w:szCs w:val="22"/>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3E9F871D">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161"/>
        <w:tblW w:w="8529"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381"/>
        <w:gridCol w:w="2003"/>
        <w:gridCol w:w="1145"/>
      </w:tblGrid>
      <w:tr w14:paraId="3542B91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5098" w:type="dxa"/>
            <w:shd w:val="clear" w:color="auto" w:fill="D8D8D8" w:themeFill="background1" w:themeFillShade="D9"/>
            <w:noWrap/>
            <w:vAlign w:val="center"/>
          </w:tcPr>
          <w:p w14:paraId="5E218584">
            <w:pPr>
              <w:spacing w:after="0" w:line="240" w:lineRule="auto"/>
              <w:jc w:val="center"/>
              <w:rPr>
                <w:rFonts w:hint="default" w:ascii="Arial" w:hAnsi="Arial" w:eastAsia="Calibri" w:cs="Arial"/>
                <w:b/>
                <w:bCs/>
                <w:sz w:val="20"/>
                <w:szCs w:val="20"/>
                <w:lang w:eastAsia="pt-BR"/>
              </w:rPr>
            </w:pPr>
            <w:r>
              <w:rPr>
                <w:rFonts w:hint="default" w:ascii="Arial" w:hAnsi="Arial" w:eastAsia="Calibri" w:cs="Arial"/>
                <w:b/>
                <w:bCs/>
                <w:sz w:val="20"/>
                <w:szCs w:val="20"/>
                <w:lang w:eastAsia="pt-BR"/>
              </w:rPr>
              <w:t>FONTE DE RECURSO</w:t>
            </w:r>
          </w:p>
        </w:tc>
        <w:tc>
          <w:tcPr>
            <w:tcW w:w="1985" w:type="dxa"/>
            <w:shd w:val="clear" w:color="auto" w:fill="D8D8D8" w:themeFill="background1" w:themeFillShade="D9"/>
            <w:noWrap/>
            <w:vAlign w:val="center"/>
          </w:tcPr>
          <w:p w14:paraId="79493100">
            <w:pPr>
              <w:spacing w:after="0" w:line="240" w:lineRule="auto"/>
              <w:jc w:val="center"/>
              <w:rPr>
                <w:rFonts w:hint="default" w:ascii="Arial" w:hAnsi="Arial" w:eastAsia="Calibri" w:cs="Arial"/>
                <w:b/>
                <w:bCs/>
                <w:sz w:val="20"/>
                <w:szCs w:val="20"/>
                <w:lang w:eastAsia="pt-BR"/>
              </w:rPr>
            </w:pPr>
            <w:r>
              <w:rPr>
                <w:rFonts w:hint="default" w:ascii="Arial" w:hAnsi="Arial" w:eastAsia="Calibri" w:cs="Arial"/>
                <w:b/>
                <w:bCs/>
                <w:sz w:val="20"/>
                <w:szCs w:val="20"/>
                <w:lang w:eastAsia="pt-BR"/>
              </w:rPr>
              <w:t>RECURSO</w:t>
            </w:r>
          </w:p>
        </w:tc>
        <w:tc>
          <w:tcPr>
            <w:tcW w:w="1134" w:type="dxa"/>
            <w:shd w:val="clear" w:color="auto" w:fill="D8D8D8" w:themeFill="background1" w:themeFillShade="D9"/>
            <w:vAlign w:val="center"/>
          </w:tcPr>
          <w:p w14:paraId="39234664">
            <w:pPr>
              <w:spacing w:after="0" w:line="240" w:lineRule="auto"/>
              <w:jc w:val="center"/>
              <w:rPr>
                <w:rFonts w:hint="default" w:ascii="Arial" w:hAnsi="Arial" w:eastAsia="Calibri" w:cs="Arial"/>
                <w:b/>
                <w:bCs/>
                <w:sz w:val="20"/>
                <w:szCs w:val="20"/>
                <w:lang w:eastAsia="pt-BR"/>
              </w:rPr>
            </w:pPr>
            <w:r>
              <w:rPr>
                <w:rFonts w:hint="default" w:ascii="Arial" w:hAnsi="Arial" w:eastAsia="Calibri" w:cs="Arial"/>
                <w:b/>
                <w:bCs/>
                <w:sz w:val="20"/>
                <w:szCs w:val="20"/>
                <w:lang w:eastAsia="pt-BR"/>
              </w:rPr>
              <w:t>C/C</w:t>
            </w:r>
          </w:p>
        </w:tc>
      </w:tr>
      <w:tr w14:paraId="7AE8AEF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5098" w:type="dxa"/>
            <w:vAlign w:val="center"/>
          </w:tcPr>
          <w:p w14:paraId="6DC178BE">
            <w:pPr>
              <w:spacing w:after="0" w:line="240" w:lineRule="auto"/>
              <w:jc w:val="center"/>
              <w:rPr>
                <w:rFonts w:hint="default" w:ascii="Arial" w:hAnsi="Arial" w:eastAsia="Calibri" w:cs="Arial"/>
                <w:color w:val="000000"/>
                <w:sz w:val="20"/>
                <w:szCs w:val="20"/>
                <w:lang w:eastAsia="pt-BR"/>
              </w:rPr>
            </w:pPr>
            <w:r>
              <w:rPr>
                <w:rFonts w:hint="default" w:ascii="Arial" w:hAnsi="Arial" w:eastAsia="Calibri" w:cs="Arial"/>
                <w:color w:val="000000"/>
                <w:sz w:val="20"/>
                <w:szCs w:val="20"/>
                <w:lang w:eastAsia="pt-BR"/>
              </w:rPr>
              <w:t>14.001.10.305.0025.2088.3.3.90.30.0000.1.600.0000.605</w:t>
            </w:r>
          </w:p>
        </w:tc>
        <w:tc>
          <w:tcPr>
            <w:tcW w:w="1985" w:type="dxa"/>
            <w:vAlign w:val="center"/>
          </w:tcPr>
          <w:p w14:paraId="2C75302E">
            <w:pPr>
              <w:spacing w:before="120" w:beforeLines="50" w:after="0" w:line="240" w:lineRule="auto"/>
              <w:jc w:val="center"/>
              <w:rPr>
                <w:rFonts w:hint="default" w:ascii="Arial" w:hAnsi="Arial" w:eastAsia="Calibri" w:cs="Arial"/>
                <w:sz w:val="20"/>
                <w:szCs w:val="20"/>
                <w:lang w:eastAsia="pt-BR"/>
              </w:rPr>
            </w:pPr>
            <w:r>
              <w:rPr>
                <w:rFonts w:hint="default" w:ascii="Arial" w:hAnsi="Arial" w:eastAsia="Calibri" w:cs="Arial"/>
                <w:sz w:val="20"/>
                <w:szCs w:val="20"/>
                <w:lang w:eastAsia="pt-BR"/>
              </w:rPr>
              <w:t>CUSTEIO SUS</w:t>
            </w:r>
          </w:p>
        </w:tc>
        <w:tc>
          <w:tcPr>
            <w:tcW w:w="1134" w:type="dxa"/>
            <w:vAlign w:val="center"/>
          </w:tcPr>
          <w:p w14:paraId="22892968">
            <w:pPr>
              <w:spacing w:after="0" w:line="240" w:lineRule="auto"/>
              <w:jc w:val="center"/>
              <w:rPr>
                <w:rFonts w:hint="default" w:ascii="Arial" w:hAnsi="Arial" w:eastAsia="Calibri" w:cs="Arial"/>
                <w:sz w:val="20"/>
                <w:szCs w:val="20"/>
                <w:lang w:eastAsia="pt-BR"/>
              </w:rPr>
            </w:pPr>
            <w:r>
              <w:rPr>
                <w:rFonts w:hint="default" w:ascii="Arial" w:hAnsi="Arial" w:eastAsia="Calibri" w:cs="Arial"/>
                <w:sz w:val="20"/>
                <w:szCs w:val="20"/>
                <w:lang w:eastAsia="pt-BR"/>
              </w:rPr>
              <w:t>23.646-2</w:t>
            </w:r>
          </w:p>
        </w:tc>
      </w:tr>
      <w:tr w14:paraId="7363012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5098" w:type="dxa"/>
            <w:vAlign w:val="center"/>
          </w:tcPr>
          <w:p w14:paraId="13561E23">
            <w:pPr>
              <w:spacing w:after="0" w:line="240" w:lineRule="auto"/>
              <w:jc w:val="center"/>
              <w:rPr>
                <w:rFonts w:hint="default" w:ascii="Arial" w:hAnsi="Arial" w:eastAsia="Calibri" w:cs="Arial"/>
                <w:color w:val="000000"/>
                <w:sz w:val="20"/>
                <w:szCs w:val="20"/>
                <w:lang w:eastAsia="pt-BR"/>
              </w:rPr>
            </w:pPr>
            <w:r>
              <w:rPr>
                <w:rFonts w:hint="default" w:ascii="Arial" w:hAnsi="Arial" w:eastAsia="Calibri" w:cs="Arial"/>
                <w:color w:val="000000"/>
                <w:sz w:val="20"/>
                <w:szCs w:val="20"/>
                <w:lang w:eastAsia="pt-BR"/>
              </w:rPr>
              <w:t>14.001.10.305.0025.2089.3.3.90.30.0000.1.600.0000.605</w:t>
            </w:r>
          </w:p>
        </w:tc>
        <w:tc>
          <w:tcPr>
            <w:tcW w:w="1985" w:type="dxa"/>
            <w:vAlign w:val="center"/>
          </w:tcPr>
          <w:p w14:paraId="1C335EC5">
            <w:pPr>
              <w:spacing w:before="120" w:beforeLines="50" w:after="0" w:line="240" w:lineRule="auto"/>
              <w:jc w:val="center"/>
              <w:rPr>
                <w:rFonts w:hint="default" w:ascii="Arial" w:hAnsi="Arial" w:eastAsia="Calibri" w:cs="Arial"/>
                <w:sz w:val="20"/>
                <w:szCs w:val="20"/>
                <w:lang w:eastAsia="pt-BR"/>
              </w:rPr>
            </w:pPr>
            <w:r>
              <w:rPr>
                <w:rFonts w:hint="default" w:ascii="Arial" w:hAnsi="Arial" w:eastAsia="Calibri" w:cs="Arial"/>
                <w:sz w:val="20"/>
                <w:szCs w:val="20"/>
                <w:lang w:eastAsia="pt-BR"/>
              </w:rPr>
              <w:t>CUSTEIO SUS</w:t>
            </w:r>
          </w:p>
        </w:tc>
        <w:tc>
          <w:tcPr>
            <w:tcW w:w="1134" w:type="dxa"/>
            <w:vAlign w:val="center"/>
          </w:tcPr>
          <w:p w14:paraId="291827F5">
            <w:pPr>
              <w:spacing w:after="0" w:line="240" w:lineRule="auto"/>
              <w:jc w:val="center"/>
              <w:rPr>
                <w:rFonts w:hint="default" w:ascii="Arial" w:hAnsi="Arial" w:eastAsia="Calibri" w:cs="Arial"/>
                <w:sz w:val="20"/>
                <w:szCs w:val="20"/>
                <w:lang w:eastAsia="pt-BR"/>
              </w:rPr>
            </w:pPr>
            <w:r>
              <w:rPr>
                <w:rFonts w:hint="default" w:ascii="Arial" w:hAnsi="Arial" w:eastAsia="Calibri" w:cs="Arial"/>
                <w:sz w:val="20"/>
                <w:szCs w:val="20"/>
                <w:lang w:eastAsia="pt-BR"/>
              </w:rPr>
              <w:t>23.646-2</w:t>
            </w:r>
          </w:p>
        </w:tc>
      </w:tr>
      <w:tr w14:paraId="4875567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5098" w:type="dxa"/>
            <w:vAlign w:val="center"/>
          </w:tcPr>
          <w:p w14:paraId="633C2281">
            <w:pPr>
              <w:spacing w:after="0" w:line="240" w:lineRule="auto"/>
              <w:jc w:val="center"/>
              <w:rPr>
                <w:rFonts w:hint="default" w:ascii="Arial" w:hAnsi="Arial" w:eastAsia="Calibri" w:cs="Arial"/>
                <w:color w:val="000000"/>
                <w:sz w:val="20"/>
                <w:szCs w:val="20"/>
                <w:lang w:eastAsia="pt-BR"/>
              </w:rPr>
            </w:pPr>
            <w:r>
              <w:rPr>
                <w:rFonts w:hint="default" w:ascii="Arial" w:hAnsi="Arial" w:eastAsia="Calibri" w:cs="Arial"/>
                <w:color w:val="000000"/>
                <w:sz w:val="20"/>
                <w:szCs w:val="20"/>
                <w:lang w:eastAsia="pt-BR"/>
              </w:rPr>
              <w:t>14.001.10.302.0027.2099.3.3.90.30.0000.1.500.1002.000</w:t>
            </w:r>
          </w:p>
        </w:tc>
        <w:tc>
          <w:tcPr>
            <w:tcW w:w="1985" w:type="dxa"/>
            <w:vAlign w:val="center"/>
          </w:tcPr>
          <w:p w14:paraId="5CD21E2F">
            <w:pPr>
              <w:spacing w:before="120" w:beforeLines="50" w:after="0" w:line="240" w:lineRule="auto"/>
              <w:jc w:val="center"/>
              <w:rPr>
                <w:rFonts w:hint="default" w:ascii="Arial" w:hAnsi="Arial" w:eastAsia="Calibri" w:cs="Arial"/>
                <w:sz w:val="20"/>
                <w:szCs w:val="20"/>
                <w:lang w:eastAsia="pt-BR"/>
              </w:rPr>
            </w:pPr>
            <w:r>
              <w:rPr>
                <w:rFonts w:hint="default" w:ascii="Arial" w:hAnsi="Arial" w:eastAsia="Calibri" w:cs="Arial"/>
                <w:sz w:val="20"/>
                <w:szCs w:val="20"/>
                <w:lang w:eastAsia="pt-BR"/>
              </w:rPr>
              <w:t>PROPRIO</w:t>
            </w:r>
          </w:p>
        </w:tc>
        <w:tc>
          <w:tcPr>
            <w:tcW w:w="1134" w:type="dxa"/>
            <w:vAlign w:val="center"/>
          </w:tcPr>
          <w:p w14:paraId="25FC1D20">
            <w:pPr>
              <w:spacing w:after="0" w:line="240" w:lineRule="auto"/>
              <w:jc w:val="center"/>
              <w:rPr>
                <w:rFonts w:hint="default" w:ascii="Arial" w:hAnsi="Arial" w:eastAsia="Calibri" w:cs="Arial"/>
                <w:sz w:val="20"/>
                <w:szCs w:val="20"/>
                <w:lang w:eastAsia="pt-BR"/>
              </w:rPr>
            </w:pPr>
            <w:r>
              <w:rPr>
                <w:rFonts w:hint="default" w:ascii="Arial" w:hAnsi="Arial" w:eastAsia="Calibri" w:cs="Arial"/>
                <w:sz w:val="20"/>
                <w:szCs w:val="20"/>
                <w:lang w:eastAsia="pt-BR"/>
              </w:rPr>
              <w:t>111.984-2</w:t>
            </w:r>
          </w:p>
        </w:tc>
      </w:tr>
      <w:tr w14:paraId="75CADCD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5098" w:type="dxa"/>
            <w:vAlign w:val="center"/>
          </w:tcPr>
          <w:p w14:paraId="1740772A">
            <w:pPr>
              <w:spacing w:after="0" w:line="240" w:lineRule="auto"/>
              <w:jc w:val="center"/>
              <w:rPr>
                <w:rFonts w:hint="default" w:ascii="Arial" w:hAnsi="Arial" w:eastAsia="Calibri" w:cs="Arial"/>
                <w:color w:val="000000"/>
                <w:sz w:val="20"/>
                <w:szCs w:val="20"/>
                <w:lang w:eastAsia="pt-BR"/>
              </w:rPr>
            </w:pPr>
            <w:r>
              <w:rPr>
                <w:rFonts w:hint="default" w:ascii="Arial" w:hAnsi="Arial" w:eastAsia="Calibri" w:cs="Arial"/>
                <w:color w:val="000000"/>
                <w:sz w:val="20"/>
                <w:szCs w:val="20"/>
                <w:lang w:eastAsia="pt-BR"/>
              </w:rPr>
              <w:t>14.001.10.302.0027.2099.3.3.90.30.0000.1.600.0000.603</w:t>
            </w:r>
          </w:p>
        </w:tc>
        <w:tc>
          <w:tcPr>
            <w:tcW w:w="1985" w:type="dxa"/>
            <w:vAlign w:val="center"/>
          </w:tcPr>
          <w:p w14:paraId="784E9EA8">
            <w:pPr>
              <w:spacing w:before="120" w:beforeLines="50" w:after="0" w:line="240" w:lineRule="auto"/>
              <w:jc w:val="center"/>
              <w:rPr>
                <w:rFonts w:hint="default" w:ascii="Arial" w:hAnsi="Arial" w:eastAsia="Calibri" w:cs="Arial"/>
                <w:sz w:val="20"/>
                <w:szCs w:val="20"/>
                <w:lang w:eastAsia="pt-BR"/>
              </w:rPr>
            </w:pPr>
            <w:r>
              <w:rPr>
                <w:rFonts w:hint="default" w:ascii="Arial" w:hAnsi="Arial" w:eastAsia="Calibri" w:cs="Arial"/>
                <w:sz w:val="20"/>
                <w:szCs w:val="20"/>
                <w:lang w:eastAsia="pt-BR"/>
              </w:rPr>
              <w:t>CUSTEIO SUS</w:t>
            </w:r>
          </w:p>
        </w:tc>
        <w:tc>
          <w:tcPr>
            <w:tcW w:w="1134" w:type="dxa"/>
            <w:vAlign w:val="center"/>
          </w:tcPr>
          <w:p w14:paraId="526CDE2E">
            <w:pPr>
              <w:spacing w:after="0" w:line="240" w:lineRule="auto"/>
              <w:jc w:val="center"/>
              <w:rPr>
                <w:rFonts w:hint="default" w:ascii="Arial" w:hAnsi="Arial" w:eastAsia="Calibri" w:cs="Arial"/>
                <w:sz w:val="20"/>
                <w:szCs w:val="20"/>
                <w:lang w:eastAsia="pt-BR"/>
              </w:rPr>
            </w:pPr>
            <w:r>
              <w:rPr>
                <w:rFonts w:hint="default" w:ascii="Arial" w:hAnsi="Arial" w:eastAsia="Calibri" w:cs="Arial"/>
                <w:sz w:val="20"/>
                <w:szCs w:val="20"/>
                <w:lang w:eastAsia="pt-BR"/>
              </w:rPr>
              <w:t>23.646-2</w:t>
            </w:r>
          </w:p>
        </w:tc>
      </w:tr>
      <w:tr w14:paraId="289098D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5098" w:type="dxa"/>
            <w:vAlign w:val="center"/>
          </w:tcPr>
          <w:p w14:paraId="7AB5716A">
            <w:pPr>
              <w:spacing w:after="0" w:line="240" w:lineRule="auto"/>
              <w:jc w:val="center"/>
              <w:rPr>
                <w:rFonts w:hint="default" w:ascii="Arial" w:hAnsi="Arial" w:eastAsia="Calibri" w:cs="Arial"/>
                <w:color w:val="000000"/>
                <w:sz w:val="20"/>
                <w:szCs w:val="20"/>
                <w:lang w:eastAsia="pt-BR"/>
              </w:rPr>
            </w:pPr>
            <w:r>
              <w:rPr>
                <w:rFonts w:hint="default" w:ascii="Arial" w:hAnsi="Arial" w:eastAsia="Calibri" w:cs="Arial"/>
                <w:color w:val="000000"/>
                <w:sz w:val="20"/>
                <w:szCs w:val="20"/>
                <w:lang w:eastAsia="pt-BR"/>
              </w:rPr>
              <w:t>14.001.10.302.0027.2103.3.3.90.30.0000.1.500.1002.000</w:t>
            </w:r>
          </w:p>
        </w:tc>
        <w:tc>
          <w:tcPr>
            <w:tcW w:w="1985" w:type="dxa"/>
            <w:vAlign w:val="center"/>
          </w:tcPr>
          <w:p w14:paraId="3B68CB3A">
            <w:pPr>
              <w:spacing w:before="120" w:beforeLines="50" w:after="0" w:line="240" w:lineRule="auto"/>
              <w:jc w:val="center"/>
              <w:rPr>
                <w:rFonts w:hint="default" w:ascii="Arial" w:hAnsi="Arial" w:eastAsia="Calibri" w:cs="Arial"/>
                <w:sz w:val="20"/>
                <w:szCs w:val="20"/>
                <w:lang w:eastAsia="pt-BR"/>
              </w:rPr>
            </w:pPr>
            <w:r>
              <w:rPr>
                <w:rFonts w:hint="default" w:ascii="Arial" w:hAnsi="Arial" w:eastAsia="Calibri" w:cs="Arial"/>
                <w:sz w:val="20"/>
                <w:szCs w:val="20"/>
                <w:lang w:eastAsia="pt-BR"/>
              </w:rPr>
              <w:t>PROPRIO</w:t>
            </w:r>
          </w:p>
        </w:tc>
        <w:tc>
          <w:tcPr>
            <w:tcW w:w="1134" w:type="dxa"/>
            <w:vAlign w:val="center"/>
          </w:tcPr>
          <w:p w14:paraId="36F30504">
            <w:pPr>
              <w:spacing w:after="0" w:line="240" w:lineRule="auto"/>
              <w:jc w:val="center"/>
              <w:rPr>
                <w:rFonts w:hint="default" w:ascii="Arial" w:hAnsi="Arial" w:eastAsia="Calibri" w:cs="Arial"/>
                <w:sz w:val="20"/>
                <w:szCs w:val="20"/>
                <w:lang w:eastAsia="pt-BR"/>
              </w:rPr>
            </w:pPr>
            <w:r>
              <w:rPr>
                <w:rFonts w:hint="default" w:ascii="Arial" w:hAnsi="Arial" w:eastAsia="Calibri" w:cs="Arial"/>
                <w:sz w:val="20"/>
                <w:szCs w:val="20"/>
                <w:lang w:eastAsia="pt-BR"/>
              </w:rPr>
              <w:t>111.984-2</w:t>
            </w:r>
          </w:p>
        </w:tc>
      </w:tr>
      <w:tr w14:paraId="57B5F0A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5098" w:type="dxa"/>
            <w:vAlign w:val="center"/>
          </w:tcPr>
          <w:p w14:paraId="1CD95588">
            <w:pPr>
              <w:keepNext w:val="0"/>
              <w:keepLines w:val="0"/>
              <w:pageBreakBefore w:val="0"/>
              <w:kinsoku/>
              <w:wordWrap/>
              <w:overflowPunct/>
              <w:topLinePunct w:val="0"/>
              <w:autoSpaceDE/>
              <w:autoSpaceDN/>
              <w:bidi w:val="0"/>
              <w:snapToGrid/>
              <w:spacing w:line="360" w:lineRule="auto"/>
              <w:jc w:val="center"/>
              <w:rPr>
                <w:rFonts w:hint="default" w:ascii="Arial" w:hAnsi="Arial" w:eastAsia="Calibri" w:cs="Arial"/>
                <w:color w:val="000000"/>
                <w:sz w:val="20"/>
                <w:szCs w:val="20"/>
                <w:lang w:eastAsia="pt-BR"/>
              </w:rPr>
            </w:pPr>
            <w:r>
              <w:rPr>
                <w:rFonts w:hint="default" w:ascii="Arial" w:hAnsi="Arial" w:eastAsia="Calibri" w:cs="Arial"/>
                <w:color w:val="000000"/>
                <w:sz w:val="20"/>
                <w:szCs w:val="20"/>
                <w:lang w:eastAsia="pt-BR"/>
              </w:rPr>
              <w:t>14.001.10.301.0028.2104.3.3.90.30.0000.1.600.0000.600</w:t>
            </w:r>
          </w:p>
        </w:tc>
        <w:tc>
          <w:tcPr>
            <w:tcW w:w="1985" w:type="dxa"/>
            <w:vAlign w:val="center"/>
          </w:tcPr>
          <w:p w14:paraId="2872B849">
            <w:pPr>
              <w:keepNext w:val="0"/>
              <w:keepLines w:val="0"/>
              <w:pageBreakBefore w:val="0"/>
              <w:kinsoku/>
              <w:wordWrap/>
              <w:overflowPunct/>
              <w:topLinePunct w:val="0"/>
              <w:autoSpaceDE/>
              <w:autoSpaceDN/>
              <w:bidi w:val="0"/>
              <w:snapToGrid/>
              <w:spacing w:line="360" w:lineRule="auto"/>
              <w:jc w:val="center"/>
              <w:rPr>
                <w:rFonts w:hint="default" w:ascii="Arial" w:hAnsi="Arial" w:eastAsia="Calibri" w:cs="Arial"/>
                <w:sz w:val="20"/>
                <w:szCs w:val="20"/>
                <w:lang w:eastAsia="pt-BR"/>
              </w:rPr>
            </w:pPr>
            <w:r>
              <w:rPr>
                <w:rFonts w:hint="default" w:ascii="Arial" w:hAnsi="Arial" w:eastAsia="Calibri" w:cs="Arial"/>
                <w:sz w:val="20"/>
                <w:szCs w:val="20"/>
                <w:lang w:eastAsia="pt-BR"/>
              </w:rPr>
              <w:t>CUSTEIO SUS</w:t>
            </w:r>
          </w:p>
        </w:tc>
        <w:tc>
          <w:tcPr>
            <w:tcW w:w="1134" w:type="dxa"/>
            <w:vAlign w:val="center"/>
          </w:tcPr>
          <w:p w14:paraId="6A09F228">
            <w:pPr>
              <w:keepNext w:val="0"/>
              <w:keepLines w:val="0"/>
              <w:pageBreakBefore w:val="0"/>
              <w:kinsoku/>
              <w:wordWrap/>
              <w:overflowPunct/>
              <w:topLinePunct w:val="0"/>
              <w:autoSpaceDE/>
              <w:autoSpaceDN/>
              <w:bidi w:val="0"/>
              <w:snapToGrid/>
              <w:spacing w:line="360" w:lineRule="auto"/>
              <w:jc w:val="center"/>
              <w:rPr>
                <w:rFonts w:hint="default" w:ascii="Arial" w:hAnsi="Arial" w:eastAsia="Calibri" w:cs="Arial"/>
                <w:sz w:val="20"/>
                <w:szCs w:val="20"/>
                <w:lang w:eastAsia="pt-BR"/>
              </w:rPr>
            </w:pPr>
            <w:r>
              <w:rPr>
                <w:rFonts w:hint="default" w:ascii="Arial" w:hAnsi="Arial" w:eastAsia="Calibri" w:cs="Arial"/>
                <w:sz w:val="20"/>
                <w:szCs w:val="20"/>
                <w:lang w:eastAsia="pt-BR"/>
              </w:rPr>
              <w:t>23.646-2</w:t>
            </w:r>
          </w:p>
        </w:tc>
      </w:tr>
    </w:tbl>
    <w:p w14:paraId="5E0B9719">
      <w:pPr>
        <w:pStyle w:val="16"/>
        <w:keepNext w:val="0"/>
        <w:keepLines w:val="0"/>
        <w:pageBreakBefore w:val="0"/>
        <w:widowControl w:val="0"/>
        <w:kinsoku/>
        <w:wordWrap/>
        <w:overflowPunct/>
        <w:topLinePunct w:val="0"/>
        <w:autoSpaceDE/>
        <w:autoSpaceDN/>
        <w:bidi w:val="0"/>
        <w:adjustRightInd w:val="0"/>
        <w:snapToGrid/>
        <w:spacing w:line="360" w:lineRule="auto"/>
        <w:textAlignment w:val="baseline"/>
        <w:rPr>
          <w:rFonts w:ascii="Arial" w:hAnsi="Arial" w:cs="Arial"/>
          <w:sz w:val="22"/>
          <w:szCs w:val="22"/>
        </w:rPr>
      </w:pPr>
    </w:p>
    <w:p w14:paraId="395B2C65">
      <w:pPr>
        <w:pStyle w:val="16"/>
        <w:keepNext w:val="0"/>
        <w:keepLines w:val="0"/>
        <w:pageBreakBefore w:val="0"/>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kinsoku/>
        <w:wordWrap/>
        <w:overflowPunct/>
        <w:topLinePunct w:val="0"/>
        <w:autoSpaceDE/>
        <w:autoSpaceDN/>
        <w:bidi w:val="0"/>
        <w:adjustRightInd w:val="0"/>
        <w:snapToGrid/>
        <w:spacing w:line="360" w:lineRule="auto"/>
        <w:ind w:leftChars="0"/>
        <w:jc w:val="center"/>
        <w:textAlignment w:val="baseline"/>
        <w:rPr>
          <w:rFonts w:ascii="Arial" w:hAnsi="Arial" w:cs="Arial"/>
          <w:b/>
          <w:sz w:val="22"/>
          <w:szCs w:val="22"/>
        </w:rPr>
      </w:pPr>
      <w:r>
        <w:rPr>
          <w:rFonts w:hint="default" w:ascii="Arial" w:hAnsi="Arial" w:cs="Arial"/>
          <w:b/>
          <w:sz w:val="22"/>
          <w:szCs w:val="22"/>
          <w:lang w:val="pt-BR"/>
        </w:rPr>
        <w:t xml:space="preserve">14. </w:t>
      </w:r>
      <w:r>
        <w:rPr>
          <w:rFonts w:ascii="Arial" w:hAnsi="Arial" w:cs="Arial"/>
          <w:b/>
          <w:sz w:val="22"/>
          <w:szCs w:val="22"/>
        </w:rPr>
        <w:t>D</w:t>
      </w:r>
      <w:r>
        <w:rPr>
          <w:rFonts w:hint="default" w:ascii="Arial" w:hAnsi="Arial" w:cs="Arial"/>
          <w:b/>
          <w:sz w:val="22"/>
          <w:szCs w:val="22"/>
          <w:lang w:val="pt-BR"/>
        </w:rPr>
        <w:t>A ALTERAÇÃO E DA</w:t>
      </w:r>
      <w:r>
        <w:rPr>
          <w:rFonts w:ascii="Arial" w:hAnsi="Arial" w:cs="Arial"/>
          <w:b/>
          <w:sz w:val="22"/>
          <w:szCs w:val="22"/>
        </w:rPr>
        <w:t xml:space="preserve"> </w:t>
      </w:r>
      <w:r>
        <w:rPr>
          <w:rFonts w:hint="default" w:ascii="Arial" w:hAnsi="Arial" w:cs="Arial"/>
          <w:b/>
          <w:sz w:val="22"/>
          <w:szCs w:val="22"/>
          <w:lang w:val="pt-BR"/>
        </w:rPr>
        <w:t>ATUALIZAÇÃO DOS PREÇOS REGISTRADOS</w:t>
      </w:r>
    </w:p>
    <w:p w14:paraId="4C99BC29">
      <w:pPr>
        <w:pStyle w:val="133"/>
        <w:keepNext w:val="0"/>
        <w:keepLines w:val="0"/>
        <w:pageBreakBefore w:val="0"/>
        <w:numPr>
          <w:ilvl w:val="0"/>
          <w:numId w:val="0"/>
        </w:numPr>
        <w:kinsoku/>
        <w:wordWrap/>
        <w:overflowPunct/>
        <w:topLinePunct w:val="0"/>
        <w:autoSpaceDE/>
        <w:autoSpaceDN/>
        <w:bidi w:val="0"/>
        <w:snapToGrid/>
        <w:spacing w:before="0" w:after="0" w:line="360" w:lineRule="auto"/>
        <w:rPr>
          <w:rFonts w:hint="default" w:ascii="Arial" w:hAnsi="Arial" w:cs="Arial"/>
          <w:sz w:val="22"/>
          <w:szCs w:val="22"/>
        </w:rPr>
      </w:pPr>
      <w:r>
        <w:rPr>
          <w:rFonts w:hint="default" w:cs="Arial"/>
          <w:b/>
          <w:bCs/>
          <w:sz w:val="22"/>
          <w:szCs w:val="22"/>
          <w:lang w:val="pt-BR"/>
        </w:rPr>
        <w:t>14.1.</w:t>
      </w:r>
      <w:r>
        <w:rPr>
          <w:rFonts w:hint="default" w:cs="Arial"/>
          <w:sz w:val="22"/>
          <w:szCs w:val="22"/>
          <w:lang w:val="pt-BR"/>
        </w:rPr>
        <w:t xml:space="preserve">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18DEA344">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14.1.1. </w:t>
      </w:r>
      <w:r>
        <w:rPr>
          <w:rFonts w:hint="default" w:ascii="Arial" w:hAnsi="Arial" w:cs="Arial"/>
          <w:sz w:val="22"/>
          <w:szCs w:val="22"/>
        </w:rPr>
        <w:t xml:space="preserve">Em caso de força maior, caso fortuito ou fato do príncipe ou em decorrência de fatos imprevisíveis ou previsíveis de consequências incalculáveis, que inviabilizem a execução da </w:t>
      </w:r>
      <w:r>
        <w:rPr>
          <w:rFonts w:hint="default" w:cs="Arial"/>
          <w:sz w:val="22"/>
          <w:szCs w:val="22"/>
          <w:lang w:val="pt-BR"/>
        </w:rPr>
        <w:t>A</w:t>
      </w:r>
      <w:r>
        <w:rPr>
          <w:rFonts w:hint="default" w:ascii="Arial" w:hAnsi="Arial" w:cs="Arial"/>
          <w:sz w:val="22"/>
          <w:szCs w:val="22"/>
        </w:rPr>
        <w:t xml:space="preserve">ta tal como pactuada, nos termos da </w:t>
      </w:r>
      <w:r>
        <w:rPr>
          <w:rFonts w:hint="default" w:ascii="Arial" w:hAnsi="Arial" w:cs="Arial"/>
          <w:color w:val="auto"/>
          <w:sz w:val="22"/>
          <w:szCs w:val="22"/>
        </w:rPr>
        <w:t xml:space="preserve">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w:t>
      </w:r>
      <w:r>
        <w:rPr>
          <w:rFonts w:hint="default" w:cs="Arial"/>
          <w:color w:val="auto"/>
          <w:sz w:val="22"/>
          <w:szCs w:val="22"/>
          <w:lang w:val="pt-BR"/>
        </w:rPr>
        <w:t>.</w:t>
      </w:r>
      <w:r>
        <w:rPr>
          <w:rFonts w:hint="default" w:ascii="Arial" w:hAnsi="Arial" w:cs="Arial"/>
          <w:color w:val="auto"/>
          <w:sz w:val="22"/>
          <w:szCs w:val="22"/>
        </w:rPr>
        <w:t>º 14.133</w:t>
      </w:r>
      <w:r>
        <w:rPr>
          <w:rFonts w:hint="default" w:cs="Arial"/>
          <w:color w:val="auto"/>
          <w:sz w:val="22"/>
          <w:szCs w:val="22"/>
          <w:lang w:val="pt-BR"/>
        </w:rPr>
        <w:t>/</w:t>
      </w:r>
      <w:r>
        <w:rPr>
          <w:rFonts w:hint="default" w:ascii="Arial" w:hAnsi="Arial" w:cs="Arial"/>
          <w:color w:val="auto"/>
          <w:sz w:val="22"/>
          <w:szCs w:val="22"/>
        </w:rPr>
        <w:t>2021;</w:t>
      </w:r>
    </w:p>
    <w:p w14:paraId="687BC835">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14.1.2.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3381FDE8">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14.1.3. </w:t>
      </w:r>
      <w:r>
        <w:rPr>
          <w:rFonts w:hint="default" w:ascii="Arial" w:hAnsi="Arial" w:cs="Arial"/>
          <w:sz w:val="22"/>
          <w:szCs w:val="22"/>
        </w:rPr>
        <w:t xml:space="preserve">Na hipótese de previsão no </w:t>
      </w:r>
      <w:r>
        <w:rPr>
          <w:rFonts w:hint="default" w:cs="Arial"/>
          <w:sz w:val="22"/>
          <w:szCs w:val="22"/>
          <w:lang w:val="pt-BR"/>
        </w:rPr>
        <w:t>E</w:t>
      </w:r>
      <w:r>
        <w:rPr>
          <w:rFonts w:hint="default" w:ascii="Arial" w:hAnsi="Arial" w:cs="Arial"/>
          <w:sz w:val="22"/>
          <w:szCs w:val="22"/>
        </w:rPr>
        <w:t xml:space="preserve">dital de cláusula de reajustamento ou repactuação sobre os preços registrados, nos termos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7222E84E">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14.1.3.1. </w:t>
      </w:r>
      <w:r>
        <w:rPr>
          <w:rFonts w:hint="default" w:ascii="Arial" w:hAnsi="Arial" w:cs="Arial"/>
          <w:sz w:val="22"/>
          <w:szCs w:val="22"/>
        </w:rPr>
        <w:t xml:space="preserve">No caso do reajustamento, deverá ser respeitada a contagem da anualidade e o índice previstos para a contratação;  </w:t>
      </w:r>
    </w:p>
    <w:p w14:paraId="50E003BF">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14.1.3.2. </w:t>
      </w:r>
      <w:r>
        <w:rPr>
          <w:rFonts w:hint="default" w:ascii="Arial" w:hAnsi="Arial" w:cs="Arial"/>
          <w:sz w:val="22"/>
          <w:szCs w:val="22"/>
        </w:rPr>
        <w:t>No caso da repactuação, poderá ser a pedido do interessado, conforme critérios definidos para a contratação.</w:t>
      </w:r>
    </w:p>
    <w:p w14:paraId="269FF889">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 xml:space="preserve">14.2.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vo superveniente, o órgão ou en</w:t>
      </w:r>
      <w:r>
        <w:rPr>
          <w:rFonts w:hint="default" w:ascii="Arial" w:hAnsi="Arial" w:eastAsia="Calibri" w:cs="Arial"/>
          <w:sz w:val="22"/>
          <w:szCs w:val="22"/>
        </w:rPr>
        <w:t>ti</w:t>
      </w:r>
      <w:r>
        <w:rPr>
          <w:rFonts w:hint="default" w:ascii="Arial" w:hAnsi="Arial" w:cs="Arial"/>
          <w:sz w:val="22"/>
          <w:szCs w:val="22"/>
        </w:rPr>
        <w:t>dade gerenciadora convocará o fornecedor para negociar a redução do preço registrado.</w:t>
      </w:r>
    </w:p>
    <w:p w14:paraId="604DCF1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14.2.1.</w:t>
      </w:r>
      <w:r>
        <w:rPr>
          <w:rFonts w:hint="default" w:cs="Arial"/>
          <w:sz w:val="22"/>
          <w:szCs w:val="22"/>
          <w:lang w:val="pt-BR"/>
        </w:rPr>
        <w:t xml:space="preserve">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1152957E">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14.2.2. </w:t>
      </w:r>
      <w:r>
        <w:rPr>
          <w:rFonts w:hint="default" w:ascii="Arial" w:hAnsi="Arial" w:cs="Arial"/>
          <w:sz w:val="22"/>
          <w:szCs w:val="22"/>
        </w:rPr>
        <w:t xml:space="preserve">Na hipótese prevista no item anterior, o </w:t>
      </w:r>
      <w:r>
        <w:rPr>
          <w:rFonts w:hint="default" w:cs="Arial"/>
          <w:sz w:val="22"/>
          <w:szCs w:val="22"/>
          <w:lang w:val="pt-BR"/>
        </w:rPr>
        <w:t xml:space="preserve">órgão </w:t>
      </w:r>
      <w:r>
        <w:rPr>
          <w:rFonts w:hint="default" w:ascii="Arial" w:hAnsi="Arial" w:cs="Arial"/>
          <w:sz w:val="22"/>
          <w:szCs w:val="22"/>
        </w:rPr>
        <w:t xml:space="preserve">gerenciador convocará os fornecedores do cadastro de reserva, na ordem de classificação, para verificar se aceitam reduzir seus preços aos valores de mercado e não convocará os licitantes ou fornecedores que tiveram seu registro cancelado. </w:t>
      </w:r>
    </w:p>
    <w:p w14:paraId="7BA3F01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14.2.3. </w:t>
      </w:r>
      <w:r>
        <w:rPr>
          <w:rFonts w:hint="default" w:ascii="Arial" w:hAnsi="Arial" w:cs="Arial"/>
          <w:sz w:val="22"/>
          <w:szCs w:val="22"/>
        </w:rPr>
        <w:t>Se não obtiver êxito nas negociações, o órgão ou en</w:t>
      </w:r>
      <w:r>
        <w:rPr>
          <w:rFonts w:hint="default" w:ascii="Arial" w:hAnsi="Arial" w:eastAsia="Calibri" w:cs="Arial"/>
          <w:sz w:val="22"/>
          <w:szCs w:val="22"/>
        </w:rPr>
        <w:t>tid</w:t>
      </w:r>
      <w:r>
        <w:rPr>
          <w:rFonts w:hint="default" w:ascii="Arial" w:hAnsi="Arial" w:cs="Arial"/>
          <w:sz w:val="22"/>
          <w:szCs w:val="22"/>
        </w:rPr>
        <w:t xml:space="preserve">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bookmarkStart w:id="48" w:name="reducao_preco_mercado_negociacao_frustra"/>
      <w:bookmarkEnd w:id="48"/>
    </w:p>
    <w:p w14:paraId="33129E0C">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14.2.4.</w:t>
      </w:r>
      <w:r>
        <w:rPr>
          <w:rFonts w:hint="default" w:cs="Arial"/>
          <w:sz w:val="22"/>
          <w:szCs w:val="22"/>
          <w:lang w:val="pt-BR"/>
        </w:rPr>
        <w:t xml:space="preserve"> </w:t>
      </w:r>
      <w:r>
        <w:rPr>
          <w:rFonts w:hint="default" w:ascii="Arial" w:hAnsi="Arial" w:cs="Arial"/>
          <w:sz w:val="22"/>
          <w:szCs w:val="22"/>
        </w:rPr>
        <w:t>Na hipótese de redução do preço registrado, o gerenciador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para que avaliem a conveniência e a oportunidade de diligenciarem negociação com vistas à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43B6C6AA">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14.3.</w:t>
      </w:r>
      <w:r>
        <w:rPr>
          <w:rFonts w:hint="default" w:cs="Arial"/>
          <w:sz w:val="22"/>
          <w:szCs w:val="22"/>
          <w:lang w:val="pt-BR"/>
        </w:rPr>
        <w:t xml:space="preserve"> </w:t>
      </w:r>
      <w:r>
        <w:rPr>
          <w:rFonts w:hint="default" w:ascii="Arial" w:hAnsi="Arial" w:cs="Arial"/>
          <w:sz w:val="22"/>
          <w:szCs w:val="22"/>
        </w:rPr>
        <w:t>Na hipótese de o preço de mercado tornar-se superior ao preço registrado e o fornecedor não p</w:t>
      </w:r>
      <w:r>
        <w:rPr>
          <w:rFonts w:hint="default" w:cs="Arial"/>
          <w:sz w:val="22"/>
          <w:szCs w:val="22"/>
          <w:lang w:val="pt-BR"/>
        </w:rPr>
        <w:t>u</w:t>
      </w:r>
      <w:r>
        <w:rPr>
          <w:rFonts w:hint="default" w:ascii="Arial" w:hAnsi="Arial" w:cs="Arial"/>
          <w:sz w:val="22"/>
          <w:szCs w:val="22"/>
        </w:rPr>
        <w:t xml:space="preserve">der cumprir as obrigações estabelecidas na </w:t>
      </w:r>
      <w:r>
        <w:rPr>
          <w:rFonts w:hint="default" w:cs="Arial"/>
          <w:sz w:val="22"/>
          <w:szCs w:val="22"/>
          <w:lang w:val="pt-BR"/>
        </w:rPr>
        <w:t>A</w:t>
      </w:r>
      <w:r>
        <w:rPr>
          <w:rFonts w:hint="default" w:ascii="Arial" w:hAnsi="Arial" w:cs="Arial"/>
          <w:sz w:val="22"/>
          <w:szCs w:val="22"/>
        </w:rPr>
        <w:t>ta, será facultado ao fornecedor requerer ao gerenciador a alteração do preço registrado, mediante comprovação de fato superveniente que supostamente o impossibilite de cumprir o compromisso.</w:t>
      </w:r>
      <w:bookmarkStart w:id="49" w:name="hipotese_preco_mercado_maior"/>
      <w:bookmarkEnd w:id="49"/>
    </w:p>
    <w:p w14:paraId="4191457D">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14.3.1.</w:t>
      </w:r>
      <w:r>
        <w:rPr>
          <w:rFonts w:hint="default"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50" w:name="prova_preco_mercado_maior"/>
      <w:bookmarkEnd w:id="50"/>
    </w:p>
    <w:p w14:paraId="0B99B96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14.3.2.</w:t>
      </w:r>
      <w:r>
        <w:rPr>
          <w:rFonts w:hint="default" w:cs="Arial"/>
          <w:sz w:val="22"/>
          <w:szCs w:val="22"/>
          <w:lang w:val="pt-BR"/>
        </w:rPr>
        <w:t xml:space="preserve"> </w:t>
      </w:r>
      <w:r>
        <w:rPr>
          <w:rFonts w:hint="default" w:ascii="Arial" w:hAnsi="Arial" w:cs="Arial"/>
          <w:sz w:val="22"/>
          <w:szCs w:val="22"/>
        </w:rPr>
        <w:t>Não hipótese de não comprovação da existência de fato superveniente que inviabilize o preço registrado, o pedido será indeferido pelo órgão ou en</w:t>
      </w:r>
      <w:r>
        <w:rPr>
          <w:rFonts w:hint="default" w:ascii="Arial" w:hAnsi="Arial" w:eastAsia="Calibri" w:cs="Arial"/>
          <w:sz w:val="22"/>
          <w:szCs w:val="22"/>
        </w:rPr>
        <w:t>ti</w:t>
      </w:r>
      <w:r>
        <w:rPr>
          <w:rFonts w:hint="default" w:ascii="Arial" w:hAnsi="Arial" w:cs="Arial"/>
          <w:sz w:val="22"/>
          <w:szCs w:val="22"/>
        </w:rPr>
        <w:t xml:space="preserve">dade gerenciadora 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sem prejuízo das sanções previstas na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 e na legislação aplicável.</w:t>
      </w:r>
      <w:bookmarkStart w:id="51" w:name="nao_comprovacao_majoracao_mercado"/>
      <w:bookmarkEnd w:id="51"/>
    </w:p>
    <w:p w14:paraId="33C4BD81">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14.3.3.</w:t>
      </w:r>
      <w:r>
        <w:rPr>
          <w:rFonts w:hint="default" w:cs="Arial"/>
          <w:sz w:val="22"/>
          <w:szCs w:val="22"/>
          <w:lang w:val="pt-BR"/>
        </w:rPr>
        <w:t xml:space="preserve"> </w:t>
      </w:r>
      <w:r>
        <w:rPr>
          <w:rFonts w:hint="default" w:ascii="Arial" w:hAnsi="Arial" w:cs="Arial"/>
          <w:sz w:val="22"/>
          <w:szCs w:val="22"/>
        </w:rPr>
        <w:t>Na hipótese de cancelamento do registro do fornecedor, nos termos do item anterior, o gerenciador convocará os fornecedores do cadastro de reserva, na ordem de classificação, para verificar se aceitam manter seus preços registrados.</w:t>
      </w:r>
    </w:p>
    <w:p w14:paraId="600E965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14.3.4.</w:t>
      </w:r>
      <w:r>
        <w:rPr>
          <w:rFonts w:hint="default" w:cs="Arial"/>
          <w:sz w:val="22"/>
          <w:szCs w:val="22"/>
          <w:lang w:val="pt-BR"/>
        </w:rPr>
        <w:t xml:space="preserve"> </w:t>
      </w:r>
      <w:r>
        <w:rPr>
          <w:rFonts w:hint="default" w:ascii="Arial" w:hAnsi="Arial" w:cs="Arial"/>
          <w:sz w:val="22"/>
          <w:szCs w:val="22"/>
        </w:rPr>
        <w:t xml:space="preserve">Se não obtiver êxito nas negociações, o órgão ou entidade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e adotará as medidas cabíveis para a obtenção da contratação mais vantajosa.</w:t>
      </w:r>
      <w:bookmarkStart w:id="52" w:name="majora_preco_mercado_negociacao_frustra"/>
      <w:bookmarkEnd w:id="52"/>
    </w:p>
    <w:p w14:paraId="5145A4C8">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14.3.5. </w:t>
      </w:r>
      <w:r>
        <w:rPr>
          <w:rFonts w:hint="default" w:ascii="Arial" w:hAnsi="Arial" w:cs="Arial"/>
          <w:sz w:val="22"/>
          <w:szCs w:val="22"/>
        </w:rPr>
        <w:t>Na hipótese de comprovação da majoração do preço de mercado que inviabilize o preço registrado, o órgão ou en</w:t>
      </w:r>
      <w:r>
        <w:rPr>
          <w:rFonts w:hint="default" w:ascii="Arial" w:hAnsi="Arial" w:eastAsia="Calibri" w:cs="Arial"/>
          <w:sz w:val="22"/>
          <w:szCs w:val="22"/>
        </w:rPr>
        <w:t>ti</w:t>
      </w:r>
      <w:r>
        <w:rPr>
          <w:rFonts w:hint="default" w:ascii="Arial" w:hAnsi="Arial" w:cs="Arial"/>
          <w:sz w:val="22"/>
          <w:szCs w:val="22"/>
        </w:rPr>
        <w:t>dade gerenciadora atualizará o preço registrado, de acordo com a realidade dos valores praticados pelo mercado.</w:t>
      </w:r>
    </w:p>
    <w:p w14:paraId="02D9A376">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14.3.6. </w:t>
      </w:r>
      <w:r>
        <w:rPr>
          <w:rFonts w:hint="default" w:ascii="Arial" w:hAnsi="Arial" w:cs="Arial"/>
          <w:sz w:val="22"/>
          <w:szCs w:val="22"/>
        </w:rPr>
        <w:t xml:space="preserve"> O órgão ou en</w:t>
      </w:r>
      <w:r>
        <w:rPr>
          <w:rFonts w:hint="default" w:ascii="Arial" w:hAnsi="Arial" w:eastAsia="Calibri" w:cs="Arial"/>
          <w:sz w:val="22"/>
          <w:szCs w:val="22"/>
        </w:rPr>
        <w:t>ti</w:t>
      </w:r>
      <w:r>
        <w:rPr>
          <w:rFonts w:hint="default" w:ascii="Arial" w:hAnsi="Arial" w:cs="Arial"/>
          <w:sz w:val="22"/>
          <w:szCs w:val="22"/>
        </w:rPr>
        <w:t>dade gerenciadora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5C01805B">
      <w:pPr>
        <w:pStyle w:val="128"/>
        <w:numPr>
          <w:ilvl w:val="0"/>
          <w:numId w:val="0"/>
        </w:numPr>
        <w:tabs>
          <w:tab w:val="left" w:pos="567"/>
          <w:tab w:val="left" w:pos="851"/>
        </w:tabs>
        <w:spacing w:before="240" w:after="240" w:line="360" w:lineRule="auto"/>
        <w:ind w:leftChars="0"/>
        <w:rPr>
          <w:rFonts w:ascii="Arial" w:hAnsi="Arial" w:cs="Arial"/>
          <w:szCs w:val="22"/>
        </w:rPr>
      </w:pPr>
      <w:r>
        <w:rPr>
          <w:rFonts w:hint="default" w:ascii="Arial" w:hAnsi="Arial" w:cs="Arial"/>
          <w:b/>
          <w:bCs w:val="0"/>
          <w:szCs w:val="22"/>
          <w:lang w:val="pt-BR"/>
        </w:rPr>
        <w:t xml:space="preserve">14.4. </w:t>
      </w:r>
      <w:r>
        <w:rPr>
          <w:rFonts w:ascii="Arial" w:hAnsi="Arial" w:cs="Arial"/>
          <w:bCs/>
          <w:szCs w:val="22"/>
        </w:rPr>
        <w:t xml:space="preserve">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deverá decidir sobre a revisão dos preços ou cancelamento do preço registrado no prazo máximo de 30 (trinta) dias, salvo motivo de força maior devidamente justificado no processo.</w:t>
      </w:r>
    </w:p>
    <w:p w14:paraId="2ED62548">
      <w:pPr>
        <w:pStyle w:val="128"/>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val="0"/>
          <w:szCs w:val="22"/>
          <w:lang w:val="pt-BR"/>
        </w:rPr>
        <w:t xml:space="preserve">14.5. </w:t>
      </w:r>
      <w:r>
        <w:rPr>
          <w:rFonts w:ascii="Arial" w:hAnsi="Arial" w:cs="Arial"/>
          <w:bCs/>
          <w:szCs w:val="22"/>
        </w:rPr>
        <w:t xml:space="preserve">No caso de reconhecimento do desequilíbrio econômico-financeiro do preço inicialmente estabelecido, 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se julgar conveniente, poderá optar pelo cancelamento do preço, liberando os fornecedores do compromisso assumido, sem aplicação de penalidades ou determinar a negociação.</w:t>
      </w:r>
    </w:p>
    <w:p w14:paraId="4597214D">
      <w:pPr>
        <w:pStyle w:val="128"/>
        <w:numPr>
          <w:ilvl w:val="0"/>
          <w:numId w:val="0"/>
        </w:numPr>
        <w:tabs>
          <w:tab w:val="left" w:pos="426"/>
        </w:tabs>
        <w:spacing w:before="240" w:after="240" w:line="360" w:lineRule="auto"/>
        <w:rPr>
          <w:rFonts w:ascii="Arial" w:hAnsi="Arial" w:cs="Arial"/>
          <w:szCs w:val="22"/>
        </w:rPr>
      </w:pPr>
      <w:r>
        <w:rPr>
          <w:rFonts w:hint="default" w:ascii="Arial" w:hAnsi="Arial" w:cs="Arial"/>
          <w:b/>
          <w:bCs w:val="0"/>
          <w:szCs w:val="22"/>
          <w:lang w:val="pt-BR"/>
        </w:rPr>
        <w:t>14.6.</w:t>
      </w:r>
      <w:r>
        <w:rPr>
          <w:rFonts w:hint="default" w:ascii="Arial" w:hAnsi="Arial" w:cs="Arial"/>
          <w:bCs/>
          <w:szCs w:val="22"/>
          <w:lang w:val="pt-BR"/>
        </w:rPr>
        <w:t xml:space="preserve"> </w:t>
      </w:r>
      <w:r>
        <w:rPr>
          <w:rFonts w:ascii="Arial" w:hAnsi="Arial" w:cs="Arial"/>
          <w:bCs/>
          <w:szCs w:val="22"/>
        </w:rPr>
        <w:t>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w:t>
      </w:r>
    </w:p>
    <w:p w14:paraId="10E751E7">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 xml:space="preserve">14.7. </w:t>
      </w:r>
      <w:r>
        <w:rPr>
          <w:rFonts w:ascii="Arial" w:hAnsi="Arial" w:cs="Arial"/>
          <w:bCs/>
          <w:szCs w:val="22"/>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06C9E0EB">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14.8.</w:t>
      </w:r>
      <w:r>
        <w:rPr>
          <w:rFonts w:hint="default" w:ascii="Arial" w:hAnsi="Arial" w:cs="Arial"/>
          <w:bCs/>
          <w:szCs w:val="22"/>
          <w:lang w:val="pt-BR"/>
        </w:rPr>
        <w:t xml:space="preserve"> </w:t>
      </w:r>
      <w:r>
        <w:rPr>
          <w:rFonts w:ascii="Arial" w:hAnsi="Arial" w:cs="Arial"/>
          <w:bCs/>
          <w:szCs w:val="22"/>
        </w:rPr>
        <w:t>Definido o preço máximo a ser pago pela Administração, o novo preço deverá ser consignado através de apostilamento na Ata de Registro de Preços, ao qual estarão as empresas vinculadas.</w:t>
      </w:r>
    </w:p>
    <w:p w14:paraId="5897DF83">
      <w:pPr>
        <w:pStyle w:val="128"/>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leftChars="0"/>
        <w:textAlignment w:val="auto"/>
        <w:rPr>
          <w:rFonts w:ascii="Arial" w:hAnsi="Arial" w:cs="Arial"/>
          <w:szCs w:val="22"/>
        </w:rPr>
      </w:pPr>
      <w:r>
        <w:rPr>
          <w:rFonts w:hint="default" w:ascii="Arial" w:hAnsi="Arial" w:cs="Arial"/>
          <w:b/>
          <w:bCs w:val="0"/>
          <w:szCs w:val="22"/>
          <w:lang w:val="pt-BR"/>
        </w:rPr>
        <w:t>14.9.</w:t>
      </w:r>
      <w:r>
        <w:rPr>
          <w:rFonts w:hint="default" w:ascii="Arial" w:hAnsi="Arial" w:cs="Arial"/>
          <w:bCs/>
          <w:szCs w:val="22"/>
          <w:lang w:val="pt-BR"/>
        </w:rPr>
        <w:t xml:space="preserve"> </w:t>
      </w:r>
      <w:r>
        <w:rPr>
          <w:rFonts w:ascii="Arial" w:hAnsi="Arial" w:cs="Arial"/>
          <w:bCs/>
          <w:szCs w:val="22"/>
        </w:rPr>
        <w:t xml:space="preserve"> Na ocorrência de cancelamento de registro de preço para o item, poderá o </w:t>
      </w:r>
      <w:r>
        <w:rPr>
          <w:rFonts w:hint="default" w:ascii="Arial" w:hAnsi="Arial" w:cs="Arial"/>
          <w:bCs/>
          <w:szCs w:val="22"/>
          <w:lang w:val="pt-BR"/>
        </w:rPr>
        <w:t>g</w:t>
      </w:r>
      <w:r>
        <w:rPr>
          <w:rFonts w:ascii="Arial" w:hAnsi="Arial" w:cs="Arial"/>
          <w:bCs/>
          <w:szCs w:val="22"/>
        </w:rPr>
        <w:t>estor da Ata proceder à nova licitação para a aquisição do produto</w:t>
      </w:r>
      <w:r>
        <w:rPr>
          <w:rFonts w:hint="default" w:ascii="Arial" w:hAnsi="Arial" w:cs="Arial"/>
          <w:bCs/>
          <w:szCs w:val="22"/>
          <w:lang w:val="pt-BR"/>
        </w:rPr>
        <w:t xml:space="preserve"> ou prestação do serviço</w:t>
      </w:r>
      <w:r>
        <w:rPr>
          <w:rFonts w:ascii="Arial" w:hAnsi="Arial" w:cs="Arial"/>
          <w:bCs/>
          <w:szCs w:val="22"/>
        </w:rPr>
        <w:t>, sem que caiba direito de recurso.</w:t>
      </w:r>
    </w:p>
    <w:p w14:paraId="3493BDF3">
      <w:pPr>
        <w:pStyle w:val="128"/>
        <w:numPr>
          <w:ilvl w:val="0"/>
          <w:numId w:val="0"/>
        </w:numPr>
        <w:spacing w:before="240" w:after="240" w:line="360" w:lineRule="auto"/>
        <w:ind w:leftChars="0"/>
        <w:rPr>
          <w:rFonts w:ascii="Arial" w:hAnsi="Arial" w:cs="Arial"/>
          <w:szCs w:val="22"/>
        </w:rPr>
      </w:pPr>
      <w:r>
        <w:rPr>
          <w:rFonts w:hint="default" w:ascii="Arial" w:hAnsi="Arial" w:cs="Arial"/>
          <w:b/>
          <w:bCs/>
          <w:szCs w:val="22"/>
          <w:lang w:val="pt-BR"/>
        </w:rPr>
        <w:t>14.10.</w:t>
      </w:r>
      <w:r>
        <w:rPr>
          <w:rFonts w:hint="default" w:ascii="Arial" w:hAnsi="Arial" w:cs="Arial"/>
          <w:szCs w:val="22"/>
          <w:lang w:val="pt-BR"/>
        </w:rPr>
        <w:t xml:space="preserve"> </w:t>
      </w:r>
      <w:r>
        <w:rPr>
          <w:rFonts w:ascii="Arial" w:hAnsi="Arial" w:cs="Arial"/>
          <w:szCs w:val="22"/>
        </w:rPr>
        <w:t xml:space="preserve">O pedido de reequilíbrio econômico-financeiro por parte da licitante não produzirá efeito suspensivo durante o período de análise do pedido, devendo a detentora da Ata de Registro de Preços manter os prazos para entrega dos produtos ou prestação de serviços, sob pena de aplicação das penalidades dispostas no </w:t>
      </w:r>
      <w:r>
        <w:rPr>
          <w:rFonts w:hint="default" w:ascii="Arial" w:hAnsi="Arial" w:cs="Arial"/>
          <w:szCs w:val="22"/>
          <w:lang w:val="pt-BR"/>
        </w:rPr>
        <w:t>Edital</w:t>
      </w:r>
      <w:r>
        <w:rPr>
          <w:rFonts w:ascii="Arial" w:hAnsi="Arial" w:cs="Arial"/>
          <w:szCs w:val="22"/>
        </w:rPr>
        <w:t>.</w:t>
      </w:r>
    </w:p>
    <w:p w14:paraId="5EAEEB68">
      <w:pPr>
        <w:numPr>
          <w:ilvl w:val="0"/>
          <w:numId w:val="1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0" w:firstLine="0"/>
        <w:jc w:val="center"/>
        <w:rPr>
          <w:rFonts w:ascii="Arial" w:hAnsi="Arial" w:cs="Arial"/>
          <w:color w:val="000000"/>
          <w:sz w:val="22"/>
          <w:szCs w:val="22"/>
          <w:highlight w:val="none"/>
        </w:rPr>
      </w:pPr>
      <w:r>
        <w:rPr>
          <w:rFonts w:ascii="Arial" w:hAnsi="Arial" w:cs="Arial"/>
          <w:b/>
          <w:sz w:val="22"/>
          <w:szCs w:val="22"/>
          <w:highlight w:val="none"/>
        </w:rPr>
        <w:t>DO PRAZO</w:t>
      </w:r>
      <w:r>
        <w:rPr>
          <w:rFonts w:hint="default" w:ascii="Arial" w:hAnsi="Arial" w:cs="Arial"/>
          <w:b/>
          <w:sz w:val="22"/>
          <w:szCs w:val="22"/>
          <w:highlight w:val="none"/>
          <w:lang w:val="pt-BR"/>
        </w:rPr>
        <w:t xml:space="preserve"> </w:t>
      </w:r>
      <w:r>
        <w:rPr>
          <w:rFonts w:ascii="Arial" w:hAnsi="Arial" w:cs="Arial"/>
          <w:b/>
          <w:sz w:val="22"/>
          <w:szCs w:val="22"/>
          <w:highlight w:val="none"/>
        </w:rPr>
        <w:t>DA ENTREGA</w:t>
      </w:r>
      <w:r>
        <w:rPr>
          <w:rFonts w:hint="default" w:ascii="Arial" w:hAnsi="Arial" w:cs="Arial"/>
          <w:b/>
          <w:sz w:val="22"/>
          <w:szCs w:val="22"/>
          <w:highlight w:val="none"/>
          <w:lang w:val="pt-BR"/>
        </w:rPr>
        <w:t xml:space="preserve"> DOS BENS OU DA PRESTAÇÃO DOS SERVIÇOS</w:t>
      </w:r>
      <w:r>
        <w:rPr>
          <w:rFonts w:ascii="Arial" w:hAnsi="Arial" w:cs="Arial"/>
          <w:b/>
          <w:sz w:val="22"/>
          <w:szCs w:val="22"/>
          <w:highlight w:val="none"/>
        </w:rPr>
        <w:t xml:space="preserve"> </w:t>
      </w:r>
    </w:p>
    <w:p w14:paraId="024AE0CD">
      <w:pPr>
        <w:pStyle w:val="16"/>
        <w:widowControl w:val="0"/>
        <w:numPr>
          <w:ilvl w:val="0"/>
          <w:numId w:val="0"/>
        </w:numPr>
        <w:autoSpaceDE w:val="0"/>
        <w:autoSpaceDN w:val="0"/>
        <w:adjustRightInd w:val="0"/>
        <w:spacing w:before="240" w:after="240" w:line="360" w:lineRule="auto"/>
        <w:ind w:left="-1" w:leftChars="0" w:firstLine="0" w:firstLineChars="0"/>
        <w:jc w:val="both"/>
        <w:textAlignment w:val="baseline"/>
        <w:rPr>
          <w:rFonts w:hint="default" w:ascii="Arial" w:hAnsi="Arial" w:eastAsia="Calibri" w:cs="Arial"/>
          <w:sz w:val="22"/>
          <w:szCs w:val="22"/>
        </w:rPr>
      </w:pPr>
      <w:r>
        <w:rPr>
          <w:rFonts w:hint="default" w:ascii="Arial" w:hAnsi="Arial" w:cs="Arial"/>
          <w:b/>
          <w:bCs/>
          <w:color w:val="000000" w:themeColor="text1"/>
          <w:sz w:val="22"/>
          <w:szCs w:val="22"/>
          <w:highlight w:val="none"/>
          <w:lang w:val="pt-BR"/>
          <w14:textFill>
            <w14:solidFill>
              <w14:schemeClr w14:val="tx1"/>
            </w14:solidFill>
          </w14:textFill>
        </w:rPr>
        <w:t>15.1</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eastAsia="Times New Roman" w:cs="Arial"/>
          <w:sz w:val="22"/>
          <w:szCs w:val="22"/>
        </w:rPr>
        <w:t>A licitante vencedora se obriga a entregar os materiais objetos desta licitação de forma parcelada mediante a emissão de ordem de fornecimento pela Secretaria Municipal de Saúde, a partir da data da assinatura da Ata de Registro de Preços.</w:t>
      </w:r>
    </w:p>
    <w:p w14:paraId="0D9EBEFD">
      <w:pPr>
        <w:pStyle w:val="16"/>
        <w:widowControl w:val="0"/>
        <w:numPr>
          <w:ilvl w:val="0"/>
          <w:numId w:val="0"/>
        </w:numPr>
        <w:tabs>
          <w:tab w:val="left" w:pos="709"/>
          <w:tab w:val="left" w:pos="993"/>
        </w:tabs>
        <w:autoSpaceDE w:val="0"/>
        <w:autoSpaceDN w:val="0"/>
        <w:adjustRightInd w:val="0"/>
        <w:spacing w:before="240" w:after="240" w:line="360" w:lineRule="auto"/>
        <w:ind w:left="-1" w:leftChars="0" w:firstLine="0" w:firstLineChars="0"/>
        <w:jc w:val="both"/>
        <w:textAlignment w:val="baseline"/>
        <w:rPr>
          <w:rFonts w:hint="default" w:ascii="Arial" w:hAnsi="Arial" w:cs="Arial"/>
          <w:b/>
          <w:bCs/>
          <w:sz w:val="22"/>
          <w:szCs w:val="22"/>
        </w:rPr>
      </w:pPr>
      <w:r>
        <w:rPr>
          <w:rFonts w:hint="default" w:ascii="Arial" w:hAnsi="Arial" w:eastAsia="Times New Roman" w:cs="Arial"/>
          <w:b/>
          <w:bCs/>
          <w:sz w:val="22"/>
          <w:szCs w:val="22"/>
          <w:lang w:val="pt-BR"/>
        </w:rPr>
        <w:t>15.2</w:t>
      </w:r>
      <w:r>
        <w:rPr>
          <w:rFonts w:hint="default" w:ascii="Arial" w:hAnsi="Arial" w:eastAsia="Times New Roman" w:cs="Arial"/>
          <w:sz w:val="22"/>
          <w:szCs w:val="22"/>
          <w:lang w:val="pt-BR"/>
        </w:rPr>
        <w:t xml:space="preserve"> </w:t>
      </w:r>
      <w:r>
        <w:rPr>
          <w:rFonts w:hint="default" w:ascii="Arial" w:hAnsi="Arial" w:eastAsia="Times New Roman" w:cs="Arial"/>
          <w:sz w:val="22"/>
          <w:szCs w:val="22"/>
        </w:rPr>
        <w:t xml:space="preserve">A entrega dos materiais deverá ocorrer em até </w:t>
      </w:r>
      <w:r>
        <w:rPr>
          <w:rFonts w:hint="default" w:ascii="Arial" w:hAnsi="Arial" w:eastAsia="Times New Roman" w:cs="Arial"/>
          <w:b/>
          <w:sz w:val="22"/>
          <w:szCs w:val="22"/>
        </w:rPr>
        <w:t>10 (dez) dias</w:t>
      </w:r>
      <w:r>
        <w:rPr>
          <w:rFonts w:hint="default" w:ascii="Arial" w:hAnsi="Arial" w:eastAsia="Times New Roman" w:cs="Arial"/>
          <w:sz w:val="22"/>
          <w:szCs w:val="22"/>
        </w:rPr>
        <w:t xml:space="preserve"> contados a partir da data de envio da nota de empenho ou da requisição. </w:t>
      </w:r>
    </w:p>
    <w:p w14:paraId="1E11B154">
      <w:pPr>
        <w:pStyle w:val="127"/>
        <w:widowControl w:val="0"/>
        <w:numPr>
          <w:ilvl w:val="0"/>
          <w:numId w:val="0"/>
        </w:numPr>
        <w:tabs>
          <w:tab w:val="left" w:pos="709"/>
        </w:tabs>
        <w:autoSpaceDE w:val="0"/>
        <w:autoSpaceDN w:val="0"/>
        <w:spacing w:before="240" w:after="240" w:line="360" w:lineRule="auto"/>
        <w:ind w:left="-1" w:leftChars="0" w:firstLine="0" w:firstLineChars="0"/>
        <w:contextualSpacing w:val="0"/>
        <w:jc w:val="both"/>
        <w:rPr>
          <w:rFonts w:hint="default" w:ascii="Arial" w:hAnsi="Arial" w:cs="Arial"/>
          <w:sz w:val="22"/>
          <w:szCs w:val="22"/>
        </w:rPr>
      </w:pPr>
      <w:r>
        <w:rPr>
          <w:rFonts w:hint="default" w:ascii="Arial" w:hAnsi="Arial" w:eastAsia="Calibri" w:cs="Arial"/>
          <w:b/>
          <w:bCs/>
          <w:sz w:val="22"/>
          <w:szCs w:val="22"/>
          <w:lang w:val="pt-BR"/>
        </w:rPr>
        <w:t>15.3</w:t>
      </w:r>
      <w:r>
        <w:rPr>
          <w:rFonts w:hint="default" w:ascii="Arial" w:hAnsi="Arial" w:eastAsia="Calibri" w:cs="Arial"/>
          <w:sz w:val="22"/>
          <w:szCs w:val="22"/>
          <w:lang w:val="pt-BR"/>
        </w:rPr>
        <w:t xml:space="preserve"> </w:t>
      </w:r>
      <w:r>
        <w:rPr>
          <w:rFonts w:hint="default" w:ascii="Arial" w:hAnsi="Arial" w:eastAsia="Calibri" w:cs="Arial"/>
          <w:sz w:val="22"/>
          <w:szCs w:val="22"/>
        </w:rPr>
        <w:t xml:space="preserve">Os materiais deveram ser entregues </w:t>
      </w:r>
      <w:r>
        <w:rPr>
          <w:rFonts w:hint="default" w:ascii="Arial" w:hAnsi="Arial" w:cs="Arial"/>
          <w:sz w:val="22"/>
          <w:szCs w:val="22"/>
        </w:rPr>
        <w:t xml:space="preserve">de segunda a sexta-feira, das 08h00min às 20h00min (horário de Brasília/DF), no </w:t>
      </w:r>
      <w:r>
        <w:rPr>
          <w:rFonts w:hint="default" w:ascii="Arial" w:hAnsi="Arial" w:cs="Arial"/>
          <w:b/>
          <w:sz w:val="22"/>
          <w:szCs w:val="22"/>
        </w:rPr>
        <w:t>Laboratório Municipal da Análises Clínicas</w:t>
      </w:r>
      <w:r>
        <w:rPr>
          <w:rFonts w:hint="default" w:ascii="Arial" w:hAnsi="Arial" w:cs="Arial"/>
          <w:sz w:val="22"/>
          <w:szCs w:val="22"/>
        </w:rPr>
        <w:t>, localizado na Rua das Primaveras, Nº 1270 esquina com Pitombeiras, Jardim Jacarandás, na cidade de Sinop/MT</w:t>
      </w:r>
      <w:r>
        <w:rPr>
          <w:rFonts w:hint="default" w:ascii="Arial" w:hAnsi="Arial" w:eastAsia="Calibri" w:cs="Arial"/>
          <w:sz w:val="22"/>
          <w:szCs w:val="22"/>
        </w:rPr>
        <w:t>.</w:t>
      </w:r>
    </w:p>
    <w:p w14:paraId="27CC9D96">
      <w:pPr>
        <w:pStyle w:val="127"/>
        <w:widowControl w:val="0"/>
        <w:numPr>
          <w:ilvl w:val="0"/>
          <w:numId w:val="0"/>
        </w:numPr>
        <w:tabs>
          <w:tab w:val="left" w:pos="709"/>
        </w:tabs>
        <w:autoSpaceDE w:val="0"/>
        <w:autoSpaceDN w:val="0"/>
        <w:spacing w:before="240" w:after="240" w:line="360" w:lineRule="auto"/>
        <w:ind w:left="-1" w:leftChars="0" w:firstLine="0" w:firstLineChars="0"/>
        <w:contextualSpacing w:val="0"/>
        <w:jc w:val="both"/>
        <w:rPr>
          <w:rFonts w:hint="default" w:ascii="Arial" w:hAnsi="Arial" w:cs="Arial"/>
          <w:sz w:val="22"/>
          <w:szCs w:val="22"/>
        </w:rPr>
      </w:pPr>
      <w:r>
        <w:rPr>
          <w:rFonts w:hint="default" w:ascii="Arial" w:hAnsi="Arial" w:eastAsia="Times New Roman" w:cs="Arial"/>
          <w:b/>
          <w:bCs/>
          <w:sz w:val="22"/>
          <w:szCs w:val="22"/>
          <w:lang w:val="pt-BR"/>
        </w:rPr>
        <w:t>15.4</w:t>
      </w:r>
      <w:r>
        <w:rPr>
          <w:rFonts w:hint="default" w:ascii="Arial" w:hAnsi="Arial" w:eastAsia="Times New Roman" w:cs="Arial"/>
          <w:sz w:val="22"/>
          <w:szCs w:val="22"/>
          <w:lang w:val="pt-BR"/>
        </w:rPr>
        <w:t xml:space="preserve"> </w:t>
      </w:r>
      <w:r>
        <w:rPr>
          <w:rFonts w:hint="default" w:ascii="Arial" w:hAnsi="Arial" w:eastAsia="Times New Roman" w:cs="Arial"/>
          <w:sz w:val="22"/>
          <w:szCs w:val="22"/>
        </w:rPr>
        <w:t xml:space="preserve">Os itens devem ser entregues em embalagens originais, contendo informações quando as suas características, tais como: marca, número de referência, número de lote da fabricação, registro na ANVISA (quando for o caso), prazo de </w:t>
      </w:r>
      <w:r>
        <w:rPr>
          <w:rFonts w:hint="default" w:ascii="Arial" w:hAnsi="Arial" w:eastAsia="Times New Roman" w:cs="Arial"/>
          <w:b/>
          <w:bCs/>
          <w:sz w:val="22"/>
          <w:szCs w:val="22"/>
          <w:u w:val="single"/>
        </w:rPr>
        <w:t>validade mínimo 18 meses</w:t>
      </w:r>
      <w:r>
        <w:rPr>
          <w:rFonts w:hint="default" w:ascii="Arial" w:hAnsi="Arial" w:eastAsia="Times New Roman" w:cs="Arial"/>
          <w:sz w:val="22"/>
          <w:szCs w:val="22"/>
        </w:rPr>
        <w:t xml:space="preserve"> e outras informações de acordo com a legislação pertinente.  </w:t>
      </w:r>
    </w:p>
    <w:p w14:paraId="6FC65490">
      <w:pPr>
        <w:pStyle w:val="16"/>
        <w:widowControl w:val="0"/>
        <w:numPr>
          <w:ilvl w:val="0"/>
          <w:numId w:val="0"/>
        </w:numPr>
        <w:tabs>
          <w:tab w:val="left" w:pos="709"/>
        </w:tabs>
        <w:autoSpaceDE w:val="0"/>
        <w:autoSpaceDN w:val="0"/>
        <w:adjustRightInd w:val="0"/>
        <w:spacing w:before="240" w:after="240" w:line="360" w:lineRule="auto"/>
        <w:ind w:left="-1" w:leftChars="0" w:firstLine="0" w:firstLineChars="0"/>
        <w:jc w:val="both"/>
        <w:textAlignment w:val="baseline"/>
        <w:rPr>
          <w:rFonts w:hint="default" w:ascii="Arial" w:hAnsi="Arial" w:eastAsia="Times New Roman" w:cs="Arial"/>
          <w:sz w:val="22"/>
          <w:szCs w:val="22"/>
        </w:rPr>
      </w:pPr>
      <w:r>
        <w:rPr>
          <w:rFonts w:hint="default" w:ascii="Arial" w:hAnsi="Arial" w:eastAsia="Times New Roman" w:cs="Arial"/>
          <w:b/>
          <w:bCs/>
          <w:sz w:val="22"/>
          <w:szCs w:val="22"/>
          <w:lang w:val="pt-BR"/>
        </w:rPr>
        <w:t>15.5</w:t>
      </w:r>
      <w:r>
        <w:rPr>
          <w:rFonts w:hint="default" w:ascii="Arial" w:hAnsi="Arial" w:eastAsia="Times New Roman" w:cs="Arial"/>
          <w:sz w:val="22"/>
          <w:szCs w:val="22"/>
          <w:lang w:val="pt-BR"/>
        </w:rPr>
        <w:t xml:space="preserve"> </w:t>
      </w:r>
      <w:r>
        <w:rPr>
          <w:rFonts w:hint="default" w:ascii="Arial" w:hAnsi="Arial" w:eastAsia="Times New Roman" w:cs="Arial"/>
          <w:sz w:val="22"/>
          <w:szCs w:val="22"/>
        </w:rPr>
        <w:t>Imediatamente após a entrega dos materiais, objetos desta Licitação, os mesmos serão devidamente inspecionados pelo setor responsável. No caso de se constatar qualquer irregularidade ou incompatibilidade nos itens fornecidos em relação à proposta comercial da contratada ou em relação às condições expressa neste Edital, os mesmos serão sumariamente rejeitados, sujeitando-se a contratada às penalidades.</w:t>
      </w:r>
    </w:p>
    <w:p w14:paraId="26A706AF">
      <w:pPr>
        <w:pStyle w:val="127"/>
        <w:widowControl w:val="0"/>
        <w:numPr>
          <w:ilvl w:val="0"/>
          <w:numId w:val="0"/>
        </w:numPr>
        <w:tabs>
          <w:tab w:val="left" w:pos="0"/>
        </w:tabs>
        <w:suppressAutoHyphens/>
        <w:autoSpaceDE w:val="0"/>
        <w:autoSpaceDN w:val="0"/>
        <w:spacing w:before="240" w:after="240" w:line="336" w:lineRule="auto"/>
        <w:ind w:left="-1" w:leftChars="0" w:firstLine="0" w:firstLineChars="0"/>
        <w:contextualSpacing w:val="0"/>
        <w:jc w:val="both"/>
        <w:rPr>
          <w:rFonts w:hint="default" w:ascii="Arial" w:hAnsi="Arial" w:cs="Arial"/>
          <w:sz w:val="22"/>
          <w:szCs w:val="22"/>
          <w:shd w:val="clear" w:color="auto" w:fill="FFFFFF"/>
        </w:rPr>
      </w:pPr>
      <w:r>
        <w:rPr>
          <w:rFonts w:hint="default" w:ascii="Arial" w:hAnsi="Arial" w:cs="Arial"/>
          <w:b/>
          <w:bCs/>
          <w:sz w:val="22"/>
          <w:szCs w:val="22"/>
          <w:shd w:val="clear" w:color="auto" w:fill="FFFFFF"/>
          <w:lang w:val="pt-BR"/>
        </w:rPr>
        <w:t>15.6</w:t>
      </w:r>
      <w:r>
        <w:rPr>
          <w:rFonts w:hint="default" w:ascii="Arial" w:hAnsi="Arial" w:cs="Arial"/>
          <w:sz w:val="22"/>
          <w:szCs w:val="22"/>
          <w:shd w:val="clear" w:color="auto" w:fill="FFFFFF"/>
          <w:lang w:val="pt-BR"/>
        </w:rPr>
        <w:t xml:space="preserve"> </w:t>
      </w:r>
      <w:r>
        <w:rPr>
          <w:rFonts w:hint="default" w:ascii="Arial" w:hAnsi="Arial" w:cs="Arial"/>
          <w:sz w:val="22"/>
          <w:szCs w:val="22"/>
          <w:shd w:val="clear" w:color="auto" w:fill="FFFFFF"/>
        </w:rPr>
        <w:t>Os reagentes deverão ser entregues em embalagens originais para comercialização contendo a data e o nº do lote de fabricação, o prazo de validade, nº de registro na ANVISA e nº de série (quando se aplicar), sempre acompanhados da nota fiscal, identificados quanto ao número da licitação, nome da empresa, número do item a que se refere e outras informações de acordo com a legislação pertinente.</w:t>
      </w:r>
    </w:p>
    <w:p w14:paraId="70B8307A">
      <w:pPr>
        <w:pStyle w:val="127"/>
        <w:suppressAutoHyphens/>
        <w:spacing w:before="240" w:after="240" w:line="336" w:lineRule="auto"/>
        <w:ind w:left="0" w:leftChars="0" w:firstLine="0" w:firstLineChars="0"/>
        <w:jc w:val="both"/>
        <w:rPr>
          <w:rFonts w:hint="default" w:ascii="Arial" w:hAnsi="Arial" w:cs="Arial"/>
          <w:sz w:val="22"/>
          <w:szCs w:val="22"/>
        </w:rPr>
      </w:pPr>
      <w:r>
        <w:rPr>
          <w:rFonts w:hint="default" w:ascii="Arial" w:hAnsi="Arial" w:cs="Arial"/>
          <w:b/>
          <w:bCs/>
          <w:sz w:val="22"/>
          <w:szCs w:val="22"/>
          <w:shd w:val="clear" w:color="auto" w:fill="FFFFFF"/>
          <w:lang w:val="pt-BR"/>
        </w:rPr>
        <w:t>15.7</w:t>
      </w:r>
      <w:r>
        <w:rPr>
          <w:rFonts w:hint="default" w:ascii="Arial" w:hAnsi="Arial" w:cs="Arial"/>
          <w:sz w:val="22"/>
          <w:szCs w:val="22"/>
          <w:shd w:val="clear" w:color="auto" w:fill="FFFFFF"/>
          <w:lang w:val="pt-BR"/>
        </w:rPr>
        <w:t xml:space="preserve"> </w:t>
      </w:r>
      <w:r>
        <w:rPr>
          <w:rFonts w:hint="default" w:ascii="Arial" w:hAnsi="Arial" w:cs="Arial"/>
          <w:sz w:val="22"/>
          <w:szCs w:val="22"/>
          <w:shd w:val="clear" w:color="auto" w:fill="FFFFFF"/>
        </w:rPr>
        <w:t xml:space="preserve">O recebimento dos produtos da presente licitação será feito de forma provisória no prazo de 05 (cinco) dias úteis a partir das datas de entrega para avaliação da comissão de recebimento ou fiscal da ata. Caso o produto seja </w:t>
      </w:r>
      <w:r>
        <w:rPr>
          <w:rFonts w:hint="default" w:ascii="Arial" w:hAnsi="Arial" w:cs="Arial"/>
          <w:b/>
          <w:sz w:val="22"/>
          <w:szCs w:val="22"/>
          <w:shd w:val="clear" w:color="auto" w:fill="FFFFFF"/>
        </w:rPr>
        <w:t>rejeitado</w:t>
      </w:r>
      <w:r>
        <w:rPr>
          <w:rFonts w:hint="default" w:ascii="Arial" w:hAnsi="Arial" w:cs="Arial"/>
          <w:sz w:val="22"/>
          <w:szCs w:val="22"/>
          <w:shd w:val="clear" w:color="auto" w:fill="FFFFFF"/>
        </w:rPr>
        <w:t>, no todo ou em parte quando em desacordo com as especificações constantes no Termo de Referência e na proposta, fica a CONTRATADA obrigada a efetuar a troca dos mesmos nas quantidades e qualidades relativas, no prazo de 05 (cinco) dias úteis a partir da notificação da contratada, às suas custas, sem prejuízo da aplicação das penalidades.</w:t>
      </w:r>
    </w:p>
    <w:p w14:paraId="6528AE68">
      <w:pPr>
        <w:pStyle w:val="127"/>
        <w:suppressAutoHyphens/>
        <w:spacing w:before="240" w:after="240" w:line="336" w:lineRule="auto"/>
        <w:ind w:left="0" w:leftChars="0" w:firstLine="0" w:firstLineChars="0"/>
        <w:jc w:val="both"/>
        <w:rPr>
          <w:rFonts w:hint="default" w:ascii="Arial" w:hAnsi="Arial" w:cs="Arial"/>
          <w:sz w:val="22"/>
          <w:szCs w:val="22"/>
        </w:rPr>
      </w:pPr>
      <w:r>
        <w:rPr>
          <w:rFonts w:hint="default" w:ascii="Arial" w:hAnsi="Arial" w:cs="Arial"/>
          <w:b/>
          <w:bCs/>
          <w:sz w:val="22"/>
          <w:szCs w:val="22"/>
          <w:shd w:val="clear" w:color="auto" w:fill="FFFFFF"/>
          <w:lang w:val="pt-BR"/>
        </w:rPr>
        <w:t>15.8</w:t>
      </w:r>
      <w:r>
        <w:rPr>
          <w:rFonts w:hint="default" w:ascii="Arial" w:hAnsi="Arial" w:cs="Arial"/>
          <w:sz w:val="22"/>
          <w:szCs w:val="22"/>
          <w:shd w:val="clear" w:color="auto" w:fill="FFFFFF"/>
          <w:lang w:val="pt-BR"/>
        </w:rPr>
        <w:t xml:space="preserve"> </w:t>
      </w:r>
      <w:r>
        <w:rPr>
          <w:rFonts w:hint="default" w:ascii="Arial" w:hAnsi="Arial" w:cs="Arial"/>
          <w:sz w:val="22"/>
          <w:szCs w:val="22"/>
          <w:shd w:val="clear" w:color="auto" w:fill="FFFFFF"/>
        </w:rPr>
        <w:t>Caso os produtos/equipamentos venham a sofrer alterações que impliquem em perda de qualidade no prazo de sua validade, fica a CONTRATADA obrigada a efetuar a troca dos mesmos nas qualidades e quantidades relativas, sem ônus para a Administração Pública, no prazo de 05 (cinco) dias úteis do prazo da notificação.</w:t>
      </w:r>
    </w:p>
    <w:p w14:paraId="64B7AFCF">
      <w:pPr>
        <w:pStyle w:val="127"/>
        <w:suppressAutoHyphens/>
        <w:spacing w:before="240" w:after="240" w:line="336" w:lineRule="auto"/>
        <w:ind w:left="0" w:leftChars="0" w:firstLine="0" w:firstLineChars="0"/>
        <w:jc w:val="both"/>
        <w:rPr>
          <w:rFonts w:hint="default" w:ascii="Arial" w:hAnsi="Arial" w:cs="Arial"/>
          <w:sz w:val="22"/>
          <w:szCs w:val="22"/>
        </w:rPr>
      </w:pPr>
      <w:r>
        <w:rPr>
          <w:rFonts w:hint="default" w:ascii="Arial" w:hAnsi="Arial" w:cs="Arial"/>
          <w:b/>
          <w:bCs/>
          <w:sz w:val="22"/>
          <w:szCs w:val="22"/>
          <w:shd w:val="clear" w:color="auto" w:fill="FFFFFF"/>
          <w:lang w:val="pt-BR"/>
        </w:rPr>
        <w:t>15.9</w:t>
      </w:r>
      <w:r>
        <w:rPr>
          <w:rFonts w:hint="default" w:ascii="Arial" w:hAnsi="Arial" w:cs="Arial"/>
          <w:sz w:val="22"/>
          <w:szCs w:val="22"/>
          <w:shd w:val="clear" w:color="auto" w:fill="FFFFFF"/>
        </w:rPr>
        <w:t xml:space="preserve"> Caso os reagentes percam suas características ou deteriorem-se, e, estando estes dentro do prazo de validade ou tempo de vida útil, assim como em condições normais de estocagem, uso e manuseio, deverão ser trocados no prazo máximo a ser determinado pelo Fiscal do Contrato, contados a partir da comunicação formal, ficando por conta e ônus da CONTRATADA todas as despesas decorrentes para a efetivação da troca.</w:t>
      </w:r>
    </w:p>
    <w:p w14:paraId="75E084D8">
      <w:pPr>
        <w:pStyle w:val="127"/>
        <w:suppressAutoHyphens/>
        <w:spacing w:before="240" w:after="240" w:line="336" w:lineRule="auto"/>
        <w:ind w:left="0" w:leftChars="0" w:firstLine="0" w:firstLineChars="0"/>
        <w:jc w:val="both"/>
        <w:rPr>
          <w:rFonts w:hint="default" w:ascii="Arial" w:hAnsi="Arial" w:cs="Arial"/>
          <w:sz w:val="22"/>
          <w:szCs w:val="22"/>
          <w:shd w:val="clear" w:color="auto" w:fill="FFFFFF"/>
        </w:rPr>
      </w:pPr>
      <w:r>
        <w:rPr>
          <w:rFonts w:hint="default" w:ascii="Arial" w:hAnsi="Arial" w:cs="Arial"/>
          <w:b/>
          <w:bCs/>
          <w:sz w:val="22"/>
          <w:szCs w:val="22"/>
          <w:shd w:val="clear" w:color="auto" w:fill="FFFFFF"/>
          <w:lang w:val="pt-BR"/>
        </w:rPr>
        <w:t>15.10</w:t>
      </w:r>
      <w:r>
        <w:rPr>
          <w:rFonts w:hint="default" w:ascii="Arial" w:hAnsi="Arial" w:cs="Arial"/>
          <w:sz w:val="22"/>
          <w:szCs w:val="22"/>
          <w:shd w:val="clear" w:color="auto" w:fill="FFFFFF"/>
          <w:lang w:val="pt-BR"/>
        </w:rPr>
        <w:t xml:space="preserve"> </w:t>
      </w:r>
      <w:r>
        <w:rPr>
          <w:rFonts w:hint="default" w:ascii="Arial" w:hAnsi="Arial" w:cs="Arial"/>
          <w:sz w:val="22"/>
          <w:szCs w:val="22"/>
          <w:shd w:val="clear" w:color="auto" w:fill="FFFFFF"/>
        </w:rPr>
        <w:t xml:space="preserve">O período de validade será oferecido pela CONTRATADA em sua proposta comercial, observado o prazo mínimo exigido neste Termo de Referência. </w:t>
      </w:r>
    </w:p>
    <w:p w14:paraId="41553AD8">
      <w:pPr>
        <w:pStyle w:val="127"/>
        <w:suppressAutoHyphens/>
        <w:spacing w:before="240" w:after="240" w:line="336" w:lineRule="auto"/>
        <w:ind w:left="0" w:leftChars="0" w:firstLine="0" w:firstLineChars="0"/>
        <w:jc w:val="both"/>
        <w:rPr>
          <w:rFonts w:hint="default" w:ascii="Arial" w:hAnsi="Arial" w:cs="Arial"/>
          <w:sz w:val="22"/>
          <w:szCs w:val="22"/>
        </w:rPr>
      </w:pPr>
      <w:r>
        <w:rPr>
          <w:rFonts w:hint="default" w:ascii="Arial" w:hAnsi="Arial" w:cs="Arial"/>
          <w:b/>
          <w:bCs/>
          <w:sz w:val="22"/>
          <w:szCs w:val="22"/>
          <w:shd w:val="clear" w:color="auto" w:fill="FFFFFF"/>
          <w:lang w:val="pt-BR"/>
        </w:rPr>
        <w:t>15.11</w:t>
      </w:r>
      <w:r>
        <w:rPr>
          <w:rFonts w:hint="default" w:ascii="Arial" w:hAnsi="Arial" w:cs="Arial"/>
          <w:sz w:val="22"/>
          <w:szCs w:val="22"/>
          <w:shd w:val="clear" w:color="auto" w:fill="FFFFFF"/>
          <w:lang w:val="pt-BR"/>
        </w:rPr>
        <w:t xml:space="preserve"> </w:t>
      </w:r>
      <w:r>
        <w:rPr>
          <w:rFonts w:hint="default" w:ascii="Arial" w:hAnsi="Arial" w:cs="Arial"/>
          <w:sz w:val="22"/>
          <w:szCs w:val="22"/>
          <w:shd w:val="clear" w:color="auto" w:fill="FFFFFF"/>
        </w:rPr>
        <w:t>A CONTRATADA fica obrigada, durante o período de validade e em caso de necessidade de substituição de reagentes que não mais existam no mercado, ou que estejam fora de linha de fabricação, em razão de evolução tecnológica ou que, por qualquer outro motivo o fabricante não mais o produza, a proceder à substituição por produto equivalente ou superior.</w:t>
      </w:r>
    </w:p>
    <w:p w14:paraId="7DBF4B5A">
      <w:pPr>
        <w:spacing w:before="120" w:beforeLines="50" w:after="120" w:afterLines="50"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15.12</w:t>
      </w:r>
      <w:r>
        <w:rPr>
          <w:rFonts w:hint="default" w:ascii="Arial" w:hAnsi="Arial" w:cs="Arial"/>
          <w:sz w:val="22"/>
          <w:szCs w:val="22"/>
          <w:lang w:val="pt-BR"/>
        </w:rPr>
        <w:t xml:space="preserve"> </w:t>
      </w:r>
      <w:r>
        <w:rPr>
          <w:rFonts w:hint="default" w:ascii="Arial" w:hAnsi="Arial" w:cs="Arial"/>
          <w:sz w:val="22"/>
          <w:szCs w:val="22"/>
        </w:rPr>
        <w:t>Fornecer o objeto nas especificações e com a qualidade exigida dentro das normas da OMS.</w:t>
      </w:r>
    </w:p>
    <w:p w14:paraId="2EBAC890">
      <w:pPr>
        <w:spacing w:before="120" w:beforeLines="50" w:after="120" w:afterLines="50" w:line="360" w:lineRule="auto"/>
        <w:jc w:val="both"/>
        <w:rPr>
          <w:rFonts w:hint="default" w:ascii="Arial" w:hAnsi="Arial" w:cs="Arial"/>
          <w:sz w:val="22"/>
          <w:szCs w:val="22"/>
        </w:rPr>
      </w:pPr>
      <w:r>
        <w:rPr>
          <w:rFonts w:hint="default" w:ascii="Arial" w:hAnsi="Arial" w:cs="Arial"/>
          <w:b/>
          <w:bCs/>
          <w:sz w:val="22"/>
          <w:szCs w:val="22"/>
          <w:lang w:val="pt-BR"/>
        </w:rPr>
        <w:t>15.13</w:t>
      </w:r>
      <w:r>
        <w:rPr>
          <w:rFonts w:hint="default" w:ascii="Arial" w:hAnsi="Arial" w:cs="Arial"/>
          <w:sz w:val="22"/>
          <w:szCs w:val="22"/>
          <w:lang w:val="pt-BR"/>
        </w:rPr>
        <w:t xml:space="preserve"> </w:t>
      </w:r>
      <w:r>
        <w:rPr>
          <w:rFonts w:hint="default" w:ascii="Arial" w:hAnsi="Arial" w:cs="Arial"/>
          <w:sz w:val="22"/>
          <w:szCs w:val="22"/>
        </w:rPr>
        <w:t>A solicitação de amostras das empresas ganhadoras, catálogos, folders, prospectos ou laudos analíticos e laboratoriais, os mesmos deverão ser apresentados na quantidade solicitada no prazo máximo de 72 horas contadas do recebimento da solicitação.</w:t>
      </w:r>
    </w:p>
    <w:p w14:paraId="4EAD025F">
      <w:pPr>
        <w:spacing w:before="120" w:beforeLines="50" w:after="120" w:afterLines="50" w:line="360" w:lineRule="auto"/>
        <w:jc w:val="both"/>
        <w:rPr>
          <w:rFonts w:hint="default" w:ascii="Arial" w:hAnsi="Arial" w:cs="Arial"/>
          <w:sz w:val="22"/>
          <w:szCs w:val="22"/>
        </w:rPr>
      </w:pPr>
      <w:r>
        <w:rPr>
          <w:rFonts w:hint="default" w:ascii="Arial" w:hAnsi="Arial" w:cs="Arial"/>
          <w:b/>
          <w:bCs/>
          <w:sz w:val="22"/>
          <w:szCs w:val="22"/>
          <w:lang w:val="pt-BR"/>
        </w:rPr>
        <w:t>15.14</w:t>
      </w:r>
      <w:r>
        <w:rPr>
          <w:rFonts w:hint="default" w:ascii="Arial" w:hAnsi="Arial" w:cs="Arial"/>
          <w:b/>
          <w:bCs/>
          <w:sz w:val="22"/>
          <w:szCs w:val="22"/>
        </w:rPr>
        <w:t xml:space="preserve"> </w:t>
      </w:r>
      <w:r>
        <w:rPr>
          <w:rFonts w:hint="default" w:ascii="Arial" w:hAnsi="Arial" w:cs="Arial"/>
          <w:sz w:val="22"/>
          <w:szCs w:val="22"/>
        </w:rPr>
        <w:t xml:space="preserve">Todo produto que apresente má qualidade, prazo de validade inferior a 18 meses, ou 80% de sua validade, contados da data de recebimento, deverá ser substituído imediatamente pelo fornecedor. </w:t>
      </w:r>
    </w:p>
    <w:p w14:paraId="5E40C9FB">
      <w:pPr>
        <w:spacing w:before="120" w:beforeLines="50" w:after="120" w:afterLines="50" w:line="360" w:lineRule="auto"/>
        <w:jc w:val="both"/>
        <w:rPr>
          <w:rFonts w:hint="default" w:ascii="Arial" w:hAnsi="Arial" w:cs="Arial"/>
          <w:sz w:val="22"/>
          <w:szCs w:val="22"/>
        </w:rPr>
      </w:pPr>
      <w:r>
        <w:rPr>
          <w:rFonts w:hint="default" w:ascii="Arial" w:hAnsi="Arial" w:cs="Arial"/>
          <w:b/>
          <w:bCs/>
          <w:sz w:val="22"/>
          <w:szCs w:val="22"/>
          <w:lang w:val="pt-BR"/>
        </w:rPr>
        <w:t>15.15</w:t>
      </w:r>
      <w:r>
        <w:rPr>
          <w:rFonts w:hint="default" w:ascii="Arial" w:hAnsi="Arial" w:cs="Arial"/>
          <w:sz w:val="22"/>
          <w:szCs w:val="22"/>
          <w:lang w:val="pt-BR"/>
        </w:rPr>
        <w:t xml:space="preserve"> </w:t>
      </w:r>
      <w:r>
        <w:rPr>
          <w:rFonts w:hint="default" w:ascii="Arial" w:hAnsi="Arial" w:cs="Arial"/>
          <w:sz w:val="22"/>
          <w:szCs w:val="22"/>
        </w:rPr>
        <w:t>Se no ato do recebimento dos produtos for constatado que a quantidade entregue é menor que a constante na nota fiscal, deverá ser imediatamente complementada.</w:t>
      </w:r>
    </w:p>
    <w:p w14:paraId="0D0DDB7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highlight w:val="none"/>
          <w:lang w:val="pt-BR"/>
        </w:rPr>
      </w:pPr>
      <w:r>
        <w:rPr>
          <w:rFonts w:ascii="Arial" w:hAnsi="Arial" w:cs="Arial"/>
          <w:b/>
          <w:bCs/>
          <w:iCs/>
          <w:sz w:val="22"/>
          <w:szCs w:val="22"/>
          <w:highlight w:val="none"/>
        </w:rPr>
        <w:t>1</w:t>
      </w:r>
      <w:r>
        <w:rPr>
          <w:rFonts w:hint="default" w:ascii="Arial" w:hAnsi="Arial" w:cs="Arial"/>
          <w:b/>
          <w:bCs/>
          <w:iCs/>
          <w:sz w:val="22"/>
          <w:szCs w:val="22"/>
          <w:highlight w:val="none"/>
          <w:lang w:val="pt-BR"/>
        </w:rPr>
        <w:t>6</w:t>
      </w:r>
      <w:r>
        <w:rPr>
          <w:rFonts w:ascii="Arial" w:hAnsi="Arial" w:cs="Arial"/>
          <w:b/>
          <w:bCs/>
          <w:iCs/>
          <w:sz w:val="22"/>
          <w:szCs w:val="22"/>
          <w:highlight w:val="none"/>
        </w:rPr>
        <w:t>. DAS OBRIGAÇÕES</w:t>
      </w:r>
      <w:r>
        <w:rPr>
          <w:rFonts w:hint="default" w:ascii="Arial" w:hAnsi="Arial" w:cs="Arial"/>
          <w:b/>
          <w:bCs/>
          <w:iCs/>
          <w:sz w:val="22"/>
          <w:szCs w:val="22"/>
          <w:highlight w:val="none"/>
          <w:lang w:val="pt-BR"/>
        </w:rPr>
        <w:t xml:space="preserve"> DA CONTRATANTE E DA CONTRATADA</w:t>
      </w:r>
    </w:p>
    <w:p w14:paraId="588A265D">
      <w:pPr>
        <w:pStyle w:val="21"/>
        <w:keepNext w:val="0"/>
        <w:keepLines w:val="0"/>
        <w:pageBreakBefore w:val="0"/>
        <w:kinsoku/>
        <w:wordWrap/>
        <w:overflowPunct/>
        <w:topLinePunct w:val="0"/>
        <w:autoSpaceDE/>
        <w:autoSpaceDN/>
        <w:bidi w:val="0"/>
        <w:snapToGrid/>
        <w:spacing w:before="181" w:beforeLines="50" w:after="181" w:afterLines="50" w:line="360" w:lineRule="auto"/>
        <w:rPr>
          <w:b/>
          <w:bCs w:val="0"/>
          <w:sz w:val="22"/>
          <w:szCs w:val="22"/>
        </w:rPr>
      </w:pPr>
      <w:r>
        <w:rPr>
          <w:b/>
          <w:bCs w:val="0"/>
          <w:sz w:val="22"/>
          <w:szCs w:val="22"/>
        </w:rPr>
        <w:t>1</w:t>
      </w:r>
      <w:r>
        <w:rPr>
          <w:rFonts w:hint="default"/>
          <w:b/>
          <w:bCs w:val="0"/>
          <w:sz w:val="22"/>
          <w:szCs w:val="22"/>
          <w:lang w:val="pt-BR"/>
        </w:rPr>
        <w:t>6</w:t>
      </w:r>
      <w:r>
        <w:rPr>
          <w:b/>
          <w:bCs w:val="0"/>
          <w:sz w:val="22"/>
          <w:szCs w:val="22"/>
        </w:rPr>
        <w:t>.1.</w:t>
      </w:r>
      <w:r>
        <w:rPr>
          <w:rFonts w:hint="default"/>
          <w:b/>
          <w:bCs w:val="0"/>
          <w:sz w:val="22"/>
          <w:szCs w:val="22"/>
          <w:lang w:val="pt-BR"/>
        </w:rPr>
        <w:t xml:space="preserve"> São obrigações da Contratante</w:t>
      </w:r>
      <w:r>
        <w:rPr>
          <w:b/>
          <w:bCs w:val="0"/>
          <w:sz w:val="22"/>
          <w:szCs w:val="22"/>
        </w:rPr>
        <w:t>:</w:t>
      </w:r>
    </w:p>
    <w:p w14:paraId="7AAB5985">
      <w:pPr>
        <w:pStyle w:val="133"/>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0" w:leftChars="0" w:firstLine="481" w:firstLineChars="218"/>
        <w:rPr>
          <w:sz w:val="22"/>
          <w:szCs w:val="22"/>
        </w:rPr>
      </w:pPr>
      <w:r>
        <w:rPr>
          <w:rFonts w:hint="default"/>
          <w:b/>
          <w:bCs/>
          <w:sz w:val="22"/>
          <w:szCs w:val="22"/>
          <w:lang w:val="pt-BR"/>
        </w:rPr>
        <w:t xml:space="preserve">16.1.1. </w:t>
      </w:r>
      <w:r>
        <w:rPr>
          <w:sz w:val="22"/>
          <w:szCs w:val="22"/>
        </w:rPr>
        <w:t>Receber o objeto no prazo e condições estabelecidas no Termo de Referência;</w:t>
      </w:r>
    </w:p>
    <w:p w14:paraId="49CCE55F">
      <w:pPr>
        <w:pStyle w:val="133"/>
        <w:keepNext w:val="0"/>
        <w:keepLines w:val="0"/>
        <w:pageBreakBefore w:val="0"/>
        <w:numPr>
          <w:ilvl w:val="0"/>
          <w:numId w:val="0"/>
        </w:numPr>
        <w:kinsoku/>
        <w:wordWrap/>
        <w:overflowPunct/>
        <w:topLinePunct w:val="0"/>
        <w:autoSpaceDE/>
        <w:autoSpaceDN/>
        <w:bidi w:val="0"/>
        <w:snapToGrid/>
        <w:spacing w:before="181" w:beforeLines="50" w:after="181" w:afterLines="50" w:line="360" w:lineRule="auto"/>
        <w:ind w:left="0" w:leftChars="0" w:firstLine="481" w:firstLineChars="218"/>
        <w:rPr>
          <w:sz w:val="22"/>
          <w:szCs w:val="22"/>
        </w:rPr>
      </w:pPr>
      <w:r>
        <w:rPr>
          <w:rFonts w:hint="default"/>
          <w:b/>
          <w:bCs/>
          <w:sz w:val="22"/>
          <w:szCs w:val="22"/>
          <w:lang w:val="pt-BR"/>
        </w:rPr>
        <w:t xml:space="preserve">16.1.2.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73C4F16C">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before="181" w:beforeLines="50" w:after="181" w:afterLines="50" w:line="360" w:lineRule="auto"/>
        <w:ind w:left="0" w:leftChars="0" w:right="0" w:rightChars="0" w:firstLine="481" w:firstLineChars="218"/>
        <w:jc w:val="both"/>
        <w:textAlignment w:val="baseline"/>
        <w:rPr>
          <w:rFonts w:hint="default" w:ascii="Arial" w:hAnsi="Arial" w:cs="Arial"/>
          <w:sz w:val="22"/>
          <w:szCs w:val="22"/>
          <w:highlight w:val="none"/>
        </w:rPr>
      </w:pPr>
      <w:r>
        <w:rPr>
          <w:rFonts w:hint="default" w:ascii="Arial" w:hAnsi="Arial" w:cs="Arial"/>
          <w:b/>
          <w:bCs w:val="0"/>
          <w:sz w:val="22"/>
          <w:szCs w:val="22"/>
          <w:highlight w:val="none"/>
          <w:lang w:val="pt-BR"/>
        </w:rPr>
        <w:t>16.1.3.</w:t>
      </w:r>
      <w:r>
        <w:rPr>
          <w:rFonts w:hint="default" w:ascii="Arial" w:hAnsi="Arial" w:cs="Arial"/>
          <w:bCs/>
          <w:sz w:val="22"/>
          <w:szCs w:val="22"/>
          <w:highlight w:val="none"/>
          <w:lang w:val="pt-BR"/>
        </w:rPr>
        <w:t xml:space="preserve"> </w:t>
      </w:r>
      <w:r>
        <w:rPr>
          <w:rFonts w:hint="default" w:ascii="Arial" w:hAnsi="Arial" w:cs="Arial"/>
          <w:sz w:val="22"/>
          <w:szCs w:val="22"/>
          <w:highlight w:val="none"/>
        </w:rPr>
        <w:t>Promover o acompanhamento e a fiscalização da execução do objeto do presente Termo de Referência, sob o aspecto quantitativo e qualitativo, anotando em registro próprio as falhas e ocorrências detectadas.</w:t>
      </w:r>
    </w:p>
    <w:p w14:paraId="520029B1">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before="181" w:beforeLines="50" w:after="181" w:afterLines="50" w:line="360" w:lineRule="auto"/>
        <w:ind w:left="0" w:leftChars="0" w:right="0" w:rightChars="0" w:firstLine="481" w:firstLineChars="218"/>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 xml:space="preserve">16.1.4. </w:t>
      </w:r>
      <w:r>
        <w:rPr>
          <w:rFonts w:hint="default" w:ascii="Arial" w:hAnsi="Arial" w:cs="Arial"/>
          <w:sz w:val="22"/>
          <w:szCs w:val="22"/>
          <w:highlight w:val="none"/>
        </w:rPr>
        <w:t>Comunicar prontamente qualquer anormalidade na execução do objeto, podendo recusar o recebimento, caso não esteja de acordo com as especificações e condições estabelecidas no presente Termo de Referência.</w:t>
      </w:r>
    </w:p>
    <w:p w14:paraId="424C36FE">
      <w:pPr>
        <w:pStyle w:val="127"/>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before="181" w:beforeLines="50" w:after="181" w:afterLines="50" w:line="360" w:lineRule="auto"/>
        <w:ind w:left="0" w:leftChars="0" w:right="0" w:rightChars="0" w:firstLine="481" w:firstLineChars="218"/>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16.1.5.</w:t>
      </w:r>
      <w:r>
        <w:rPr>
          <w:rFonts w:hint="default" w:ascii="Arial" w:hAnsi="Arial" w:cs="Arial"/>
          <w:sz w:val="22"/>
          <w:szCs w:val="22"/>
          <w:highlight w:val="none"/>
          <w:lang w:val="pt-BR"/>
        </w:rPr>
        <w:t xml:space="preserve"> </w:t>
      </w:r>
      <w:r>
        <w:rPr>
          <w:rFonts w:hint="default" w:ascii="Arial" w:hAnsi="Arial" w:cs="Arial"/>
          <w:sz w:val="22"/>
          <w:szCs w:val="22"/>
          <w:highlight w:val="none"/>
        </w:rPr>
        <w:t>A Contratante não responderá por quaisquer compromissos assumidos pela Contratada com terceiros, bem como por qualquer dano causado a terceiros em decorrência de ato da Contratada, de seus empregados, prepostos ou subordinados.</w:t>
      </w:r>
    </w:p>
    <w:p w14:paraId="3932B8AC">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before="181" w:beforeLines="50" w:after="181" w:afterLines="50" w:line="360" w:lineRule="auto"/>
        <w:ind w:left="0" w:leftChars="0" w:right="0" w:rightChars="0" w:firstLine="481" w:firstLineChars="218"/>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 xml:space="preserve">16.1.6. </w:t>
      </w:r>
      <w:r>
        <w:rPr>
          <w:rFonts w:hint="default" w:ascii="Arial" w:hAnsi="Arial" w:cs="Arial"/>
          <w:sz w:val="22"/>
          <w:szCs w:val="22"/>
          <w:highlight w:val="none"/>
        </w:rPr>
        <w:t>Fornecer todo tipo de informação interna essencial à realização dos fornecimentos.</w:t>
      </w:r>
    </w:p>
    <w:p w14:paraId="08DFFB5F">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before="181" w:beforeLines="50" w:after="181" w:afterLines="50" w:line="360" w:lineRule="auto"/>
        <w:ind w:left="0" w:leftChars="0" w:right="0" w:rightChars="0" w:firstLine="481" w:firstLineChars="218"/>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16.1.7.</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Conferir toda a documentação, especificação do </w:t>
      </w:r>
      <w:r>
        <w:rPr>
          <w:rFonts w:hint="default" w:ascii="Arial" w:hAnsi="Arial" w:cs="Arial"/>
          <w:sz w:val="22"/>
          <w:szCs w:val="22"/>
          <w:highlight w:val="none"/>
          <w:lang w:val="pt-BR"/>
        </w:rPr>
        <w:t>serviço</w:t>
      </w:r>
      <w:r>
        <w:rPr>
          <w:rFonts w:hint="default" w:ascii="Arial" w:hAnsi="Arial" w:cs="Arial"/>
          <w:sz w:val="22"/>
          <w:szCs w:val="22"/>
          <w:highlight w:val="none"/>
        </w:rPr>
        <w:t xml:space="preserve">, quantidade e qualidade </w:t>
      </w:r>
      <w:r>
        <w:rPr>
          <w:rFonts w:hint="default" w:ascii="Arial" w:hAnsi="Arial" w:cs="Arial"/>
          <w:sz w:val="22"/>
          <w:szCs w:val="22"/>
          <w:highlight w:val="none"/>
          <w:lang w:val="pt-BR"/>
        </w:rPr>
        <w:t>t</w:t>
      </w:r>
      <w:r>
        <w:rPr>
          <w:rFonts w:hint="default" w:ascii="Arial" w:hAnsi="Arial" w:cs="Arial"/>
          <w:sz w:val="22"/>
          <w:szCs w:val="22"/>
          <w:highlight w:val="none"/>
        </w:rPr>
        <w:t>écnica gerada e apresentada durante a execução do objeto, efetuando o seu atesto quando a mesma estiver em conformidade com os padrões de informação e qualidade exigidos.</w:t>
      </w:r>
    </w:p>
    <w:p w14:paraId="31FED8C6">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before="181" w:beforeLines="50" w:after="181" w:afterLines="50" w:line="360" w:lineRule="auto"/>
        <w:ind w:left="0" w:leftChars="0" w:right="0" w:rightChars="0" w:firstLine="481" w:firstLineChars="218"/>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16.1.8.</w:t>
      </w:r>
      <w:r>
        <w:rPr>
          <w:rFonts w:hint="default" w:ascii="Arial" w:hAnsi="Arial" w:cs="Arial"/>
          <w:sz w:val="22"/>
          <w:szCs w:val="22"/>
          <w:highlight w:val="none"/>
          <w:lang w:val="pt-BR"/>
        </w:rPr>
        <w:t xml:space="preserve"> </w:t>
      </w:r>
      <w:r>
        <w:rPr>
          <w:rFonts w:hint="default" w:ascii="Arial" w:hAnsi="Arial" w:cs="Arial"/>
          <w:sz w:val="22"/>
          <w:szCs w:val="22"/>
          <w:highlight w:val="none"/>
        </w:rPr>
        <w:t>Efetuar o pagamento de acordo com o estabelecido neste Termo de Referência e demais cominações legais, desde que atendidas todas as exigências e cumpridas as especificações e desde que devidamente atestadas as notas fiscais e relatórios feitos pelos fiscais e gestores da Ata de Registro de Preços.</w:t>
      </w:r>
    </w:p>
    <w:p w14:paraId="25822373">
      <w:pPr>
        <w:pStyle w:val="127"/>
        <w:keepNext w:val="0"/>
        <w:keepLines w:val="0"/>
        <w:pageBreakBefore w:val="0"/>
        <w:numPr>
          <w:ilvl w:val="0"/>
          <w:numId w:val="0"/>
        </w:numPr>
        <w:tabs>
          <w:tab w:val="left" w:pos="567"/>
        </w:tabs>
        <w:kinsoku/>
        <w:wordWrap/>
        <w:overflowPunct/>
        <w:topLinePunct w:val="0"/>
        <w:autoSpaceDE/>
        <w:autoSpaceDN/>
        <w:bidi w:val="0"/>
        <w:snapToGrid/>
        <w:spacing w:before="181" w:beforeLines="50" w:after="181" w:afterLines="50" w:line="360" w:lineRule="auto"/>
        <w:ind w:left="0" w:leftChars="0" w:firstLine="481" w:firstLineChars="218"/>
        <w:contextualSpacing/>
        <w:jc w:val="both"/>
        <w:rPr>
          <w:rFonts w:ascii="Arial" w:hAnsi="Arial" w:cs="Arial"/>
          <w:sz w:val="22"/>
          <w:szCs w:val="22"/>
          <w:highlight w:val="none"/>
        </w:rPr>
      </w:pPr>
      <w:r>
        <w:rPr>
          <w:rFonts w:hint="default" w:ascii="Arial" w:hAnsi="Arial" w:cs="Arial"/>
          <w:b/>
          <w:bCs/>
          <w:sz w:val="22"/>
          <w:szCs w:val="22"/>
          <w:highlight w:val="none"/>
          <w:lang w:val="pt-BR"/>
        </w:rPr>
        <w:t xml:space="preserve">16.1.9. </w:t>
      </w:r>
      <w:r>
        <w:rPr>
          <w:rFonts w:ascii="Arial" w:hAnsi="Arial" w:cs="Arial"/>
          <w:sz w:val="22"/>
          <w:szCs w:val="22"/>
          <w:highlight w:val="none"/>
        </w:rPr>
        <w:t>Proporcionar todas as facilidades para a execução do objeto do presente Termo de Referência, permitindo o acesso dos profissionais da contratada às suas dependências. Esses profissionais ficarão sujeitos a todas as normas internas da contratante, principalmente as de segurança, inclusive aqueles referentes à identificação, trajes, trânsito e permanência em suas dependências;</w:t>
      </w:r>
    </w:p>
    <w:p w14:paraId="7CB8EDF0">
      <w:pPr>
        <w:pStyle w:val="127"/>
        <w:keepNext w:val="0"/>
        <w:keepLines w:val="0"/>
        <w:pageBreakBefore w:val="0"/>
        <w:numPr>
          <w:ilvl w:val="0"/>
          <w:numId w:val="0"/>
        </w:numPr>
        <w:tabs>
          <w:tab w:val="left" w:pos="567"/>
        </w:tabs>
        <w:kinsoku/>
        <w:wordWrap/>
        <w:overflowPunct/>
        <w:topLinePunct w:val="0"/>
        <w:autoSpaceDE/>
        <w:autoSpaceDN/>
        <w:bidi w:val="0"/>
        <w:snapToGrid/>
        <w:spacing w:before="181" w:beforeLines="50" w:after="181" w:afterLines="50" w:line="360" w:lineRule="auto"/>
        <w:ind w:left="0" w:leftChars="0" w:firstLine="481" w:firstLineChars="218"/>
        <w:contextualSpacing/>
        <w:jc w:val="both"/>
        <w:rPr>
          <w:rFonts w:hint="default" w:ascii="Arial" w:hAnsi="Arial" w:cs="Arial"/>
          <w:sz w:val="22"/>
          <w:szCs w:val="22"/>
          <w:highlight w:val="none"/>
          <w:lang w:val="pt-BR"/>
        </w:rPr>
      </w:pPr>
      <w:r>
        <w:rPr>
          <w:rFonts w:hint="default" w:ascii="Arial" w:hAnsi="Arial" w:cs="Arial"/>
          <w:b/>
          <w:bCs/>
          <w:sz w:val="22"/>
          <w:szCs w:val="22"/>
          <w:highlight w:val="none"/>
          <w:lang w:val="pt-BR"/>
        </w:rPr>
        <w:t xml:space="preserve">16.1.10. </w:t>
      </w:r>
      <w:r>
        <w:rPr>
          <w:rFonts w:ascii="Arial" w:hAnsi="Arial" w:cs="Arial"/>
          <w:sz w:val="22"/>
          <w:szCs w:val="22"/>
          <w:highlight w:val="none"/>
        </w:rPr>
        <w:t>Interromper os serviços que apresentarem irregularidades em sua prestação, comunicando o fato imediatamente à CONTRATADA, bem como qualquer eventual ocorrência relevante relacionada com o mesmo</w:t>
      </w:r>
      <w:r>
        <w:rPr>
          <w:rFonts w:hint="default" w:ascii="Arial" w:hAnsi="Arial" w:cs="Arial"/>
          <w:sz w:val="22"/>
          <w:szCs w:val="22"/>
          <w:highlight w:val="none"/>
          <w:lang w:val="pt-BR"/>
        </w:rPr>
        <w:t>.</w:t>
      </w:r>
    </w:p>
    <w:p w14:paraId="536BBD2C">
      <w:pPr>
        <w:pStyle w:val="133"/>
        <w:numPr>
          <w:ilvl w:val="0"/>
          <w:numId w:val="0"/>
        </w:numPr>
        <w:spacing w:line="360" w:lineRule="auto"/>
        <w:ind w:left="0" w:leftChars="0" w:firstLine="481" w:firstLineChars="218"/>
        <w:rPr>
          <w:sz w:val="22"/>
          <w:szCs w:val="22"/>
        </w:rPr>
      </w:pPr>
      <w:r>
        <w:rPr>
          <w:rFonts w:hint="default"/>
          <w:b/>
          <w:bCs/>
          <w:sz w:val="22"/>
          <w:szCs w:val="22"/>
          <w:lang w:val="pt-BR"/>
        </w:rPr>
        <w:t>16.1.11.</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5FE40E12">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16.1.12.</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065717D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16.1.13.</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2DD5404A">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16.1.14.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566D72A0">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16.1.15.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590FFE96">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16.1.16.</w:t>
      </w:r>
      <w:r>
        <w:rPr>
          <w:rFonts w:ascii="Arial" w:hAnsi="Arial" w:cs="Arial"/>
          <w:sz w:val="22"/>
          <w:szCs w:val="22"/>
        </w:rPr>
        <w:t xml:space="preserve"> Prestar à detentora da Ata toda e qualquer informação, por esta solicitada, necessária à perfeita execução do objeto;</w:t>
      </w:r>
    </w:p>
    <w:p w14:paraId="0379D06C">
      <w:pPr>
        <w:spacing w:before="240" w:after="240" w:line="360" w:lineRule="auto"/>
        <w:jc w:val="both"/>
        <w:rPr>
          <w:rFonts w:ascii="Arial" w:hAnsi="Arial" w:cs="Arial"/>
          <w:b/>
          <w:bCs w:val="0"/>
          <w:sz w:val="22"/>
          <w:szCs w:val="22"/>
        </w:rPr>
      </w:pPr>
      <w:r>
        <w:rPr>
          <w:rFonts w:ascii="Arial" w:hAnsi="Arial" w:cs="Arial"/>
          <w:b/>
          <w:bCs w:val="0"/>
          <w:sz w:val="22"/>
          <w:szCs w:val="22"/>
        </w:rPr>
        <w:t>1</w:t>
      </w:r>
      <w:r>
        <w:rPr>
          <w:rFonts w:hint="default" w:ascii="Arial" w:hAnsi="Arial" w:cs="Arial"/>
          <w:b/>
          <w:bCs w:val="0"/>
          <w:sz w:val="22"/>
          <w:szCs w:val="22"/>
          <w:lang w:val="pt-BR"/>
        </w:rPr>
        <w:t>6</w:t>
      </w:r>
      <w:r>
        <w:rPr>
          <w:rFonts w:ascii="Arial" w:hAnsi="Arial" w:cs="Arial"/>
          <w:b/>
          <w:bCs w:val="0"/>
          <w:sz w:val="22"/>
          <w:szCs w:val="22"/>
        </w:rPr>
        <w:t xml:space="preserve">.2. </w:t>
      </w:r>
      <w:r>
        <w:rPr>
          <w:rFonts w:hint="default" w:ascii="Arial" w:hAnsi="Arial" w:cs="Arial"/>
          <w:b/>
          <w:bCs w:val="0"/>
          <w:sz w:val="22"/>
          <w:szCs w:val="22"/>
          <w:lang w:val="pt-BR"/>
        </w:rPr>
        <w:t>São obrigações da Contratada</w:t>
      </w:r>
      <w:r>
        <w:rPr>
          <w:rFonts w:ascii="Arial" w:hAnsi="Arial" w:cs="Arial"/>
          <w:b/>
          <w:bCs w:val="0"/>
          <w:sz w:val="22"/>
          <w:szCs w:val="22"/>
        </w:rPr>
        <w:t>:</w:t>
      </w:r>
    </w:p>
    <w:p w14:paraId="19744BA4">
      <w:pPr>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right="0" w:rightChars="0" w:firstLine="481" w:firstLineChars="218"/>
        <w:contextualSpacing/>
        <w:jc w:val="both"/>
        <w:rPr>
          <w:rFonts w:hint="default" w:ascii="Arial" w:hAnsi="Arial" w:cs="Arial"/>
          <w:sz w:val="22"/>
          <w:szCs w:val="22"/>
          <w:highlight w:val="none"/>
          <w:lang w:val="pt-BR"/>
        </w:rPr>
      </w:pPr>
      <w:r>
        <w:rPr>
          <w:rFonts w:hint="default" w:ascii="Arial" w:hAnsi="Arial" w:cs="Arial"/>
          <w:b/>
          <w:bCs/>
          <w:sz w:val="22"/>
          <w:szCs w:val="22"/>
          <w:highlight w:val="none"/>
          <w:lang w:val="pt-BR"/>
        </w:rPr>
        <w:t>16.2.1.</w:t>
      </w:r>
      <w:r>
        <w:rPr>
          <w:rFonts w:hint="default" w:ascii="Arial" w:hAnsi="Arial" w:cs="Arial"/>
          <w:sz w:val="22"/>
          <w:szCs w:val="22"/>
          <w:highlight w:val="none"/>
          <w:lang w:val="pt-BR"/>
        </w:rPr>
        <w:t xml:space="preserve"> Executar nas condições e com a qualidade exigida;</w:t>
      </w:r>
    </w:p>
    <w:p w14:paraId="723398B2">
      <w:pPr>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right="0" w:rightChars="0" w:firstLine="481" w:firstLineChars="218"/>
        <w:contextualSpacing/>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16.2.2. </w:t>
      </w:r>
      <w:r>
        <w:rPr>
          <w:rFonts w:hint="default" w:ascii="Arial" w:hAnsi="Arial" w:cs="Arial"/>
          <w:color w:val="000000" w:themeColor="text1"/>
          <w:sz w:val="22"/>
          <w:szCs w:val="22"/>
          <w:highlight w:val="none"/>
          <w14:textFill>
            <w14:solidFill>
              <w14:schemeClr w14:val="tx1"/>
            </w14:solidFill>
          </w14:textFill>
        </w:rPr>
        <w:t>Antes do início da execução da avença, designar formalmente (mediante comunicação escrita, através de correio eletrônico ao fiscal do contrato ou gestor da ata) preposto responsável por representar a contratada durante esse período;</w:t>
      </w:r>
    </w:p>
    <w:p w14:paraId="424D6328">
      <w:pPr>
        <w:pStyle w:val="12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leftChars="0" w:right="0" w:rightChars="0" w:firstLine="481" w:firstLineChars="218"/>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16.2.3. </w:t>
      </w:r>
      <w:r>
        <w:rPr>
          <w:rFonts w:hint="default" w:ascii="Arial" w:hAnsi="Arial" w:cs="Arial"/>
          <w:color w:val="000000" w:themeColor="text1"/>
          <w:sz w:val="22"/>
          <w:szCs w:val="22"/>
          <w:highlight w:val="none"/>
          <w14:textFill>
            <w14:solidFill>
              <w14:schemeClr w14:val="tx1"/>
            </w14:solidFill>
          </w14:textFill>
        </w:rPr>
        <w:t>Efetuar a entrega dos</w:t>
      </w:r>
      <w:r>
        <w:rPr>
          <w:rFonts w:hint="default" w:ascii="Arial" w:hAnsi="Arial" w:cs="Arial"/>
          <w:color w:val="000000" w:themeColor="text1"/>
          <w:sz w:val="22"/>
          <w:szCs w:val="22"/>
          <w:highlight w:val="none"/>
          <w:lang w:val="pt-BR"/>
          <w14:textFill>
            <w14:solidFill>
              <w14:schemeClr w14:val="tx1"/>
            </w14:solidFill>
          </w14:textFill>
        </w:rPr>
        <w:t xml:space="preserve"> serviços </w:t>
      </w:r>
      <w:r>
        <w:rPr>
          <w:rFonts w:hint="default" w:ascii="Arial" w:hAnsi="Arial" w:cs="Arial"/>
          <w:color w:val="000000" w:themeColor="text1"/>
          <w:sz w:val="22"/>
          <w:szCs w:val="22"/>
          <w:highlight w:val="none"/>
          <w14:textFill>
            <w14:solidFill>
              <w14:schemeClr w14:val="tx1"/>
            </w14:solidFill>
          </w14:textFill>
        </w:rPr>
        <w:t xml:space="preserve">em perfeitas condições, no prazo e local indicados pela Administração Pública Municipal, </w:t>
      </w:r>
      <w:r>
        <w:rPr>
          <w:rFonts w:hint="default" w:ascii="Arial" w:hAnsi="Arial" w:cs="Arial"/>
          <w:color w:val="000000" w:themeColor="text1"/>
          <w:sz w:val="22"/>
          <w:szCs w:val="22"/>
          <w:highlight w:val="none"/>
          <w:lang w:val="pt-BR"/>
          <w14:textFill>
            <w14:solidFill>
              <w14:schemeClr w14:val="tx1"/>
            </w14:solidFill>
          </w14:textFill>
        </w:rPr>
        <w:t xml:space="preserve">cabendo a contratada o seu descarregamento e instalação do produto no local indicado pelo servidor que for receber o produto, </w:t>
      </w:r>
      <w:r>
        <w:rPr>
          <w:rFonts w:hint="default" w:ascii="Arial" w:hAnsi="Arial" w:cs="Arial"/>
          <w:color w:val="000000" w:themeColor="text1"/>
          <w:sz w:val="22"/>
          <w:szCs w:val="22"/>
          <w:highlight w:val="none"/>
          <w14:textFill>
            <w14:solidFill>
              <w14:schemeClr w14:val="tx1"/>
            </w14:solidFill>
          </w14:textFill>
        </w:rPr>
        <w:t>em estrita observância das especificações constantes n</w:t>
      </w:r>
      <w:r>
        <w:rPr>
          <w:rFonts w:hint="default" w:ascii="Arial" w:hAnsi="Arial" w:cs="Arial"/>
          <w:color w:val="000000" w:themeColor="text1"/>
          <w:sz w:val="22"/>
          <w:szCs w:val="22"/>
          <w:highlight w:val="none"/>
          <w:lang w:val="pt-BR"/>
          <w14:textFill>
            <w14:solidFill>
              <w14:schemeClr w14:val="tx1"/>
            </w14:solidFill>
          </w14:textFill>
        </w:rPr>
        <w:t>o</w:t>
      </w:r>
      <w:r>
        <w:rPr>
          <w:rFonts w:hint="default" w:ascii="Arial" w:hAnsi="Arial" w:cs="Arial"/>
          <w:color w:val="000000" w:themeColor="text1"/>
          <w:sz w:val="22"/>
          <w:szCs w:val="22"/>
          <w:highlight w:val="none"/>
          <w14:textFill>
            <w14:solidFill>
              <w14:schemeClr w14:val="tx1"/>
            </w14:solidFill>
          </w14:textFill>
        </w:rPr>
        <w:t xml:space="preserve"> termo de referência e da proposta;</w:t>
      </w:r>
    </w:p>
    <w:p w14:paraId="30E0F85A">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right="0" w:rightChars="0" w:firstLine="481" w:firstLineChars="218"/>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16.2.4.</w:t>
      </w:r>
      <w:r>
        <w:rPr>
          <w:rFonts w:hint="default" w:ascii="Arial" w:hAnsi="Arial" w:cs="Arial"/>
          <w:color w:val="FF0000"/>
          <w:sz w:val="22"/>
          <w:szCs w:val="22"/>
          <w:highlight w:val="none"/>
          <w:lang w:val="pt-BR"/>
        </w:rPr>
        <w:t xml:space="preserve"> </w:t>
      </w:r>
      <w:r>
        <w:rPr>
          <w:rFonts w:hint="default" w:ascii="Arial" w:hAnsi="Arial" w:cs="Arial"/>
          <w:color w:val="000000" w:themeColor="text1"/>
          <w:sz w:val="22"/>
          <w:szCs w:val="22"/>
          <w:highlight w:val="none"/>
          <w14:textFill>
            <w14:solidFill>
              <w14:schemeClr w14:val="tx1"/>
            </w14:solidFill>
          </w14:textFill>
        </w:rPr>
        <w:t>Responsabilizar-se pelas despesas dos tributos, encargos trabalhistas, previdenciários, fiscais, comerciais, taxas, fretes, seguros, deslocamento de pessoal, prestação de garantia e quaisquer outras que incidam ou venham a incidir na execução da ata/contrato, inclusive nos casos de troca de item ou qualquer eventualidade que possa ocorrer;</w:t>
      </w:r>
    </w:p>
    <w:p w14:paraId="0BF1A247">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right="0" w:rightChars="0" w:firstLine="481" w:firstLineChars="218"/>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16.2.5.</w:t>
      </w:r>
      <w:r>
        <w:rPr>
          <w:rFonts w:hint="default" w:ascii="Arial" w:hAnsi="Arial" w:cs="Arial"/>
          <w:color w:val="FF0000"/>
          <w:sz w:val="22"/>
          <w:szCs w:val="22"/>
          <w:highlight w:val="none"/>
          <w:lang w:val="pt-BR"/>
        </w:rPr>
        <w:t xml:space="preserve"> </w:t>
      </w:r>
      <w:r>
        <w:rPr>
          <w:rFonts w:hint="default" w:ascii="Arial" w:hAnsi="Arial" w:cs="Arial"/>
          <w:color w:val="000000" w:themeColor="text1"/>
          <w:sz w:val="22"/>
          <w:szCs w:val="22"/>
          <w:highlight w:val="none"/>
          <w14:textFill>
            <w14:solidFill>
              <w14:schemeClr w14:val="tx1"/>
            </w14:solidFill>
          </w14:textFill>
        </w:rPr>
        <w:t xml:space="preserve">Arcar com toda e qualquer despesa relativa </w:t>
      </w:r>
      <w:r>
        <w:rPr>
          <w:rFonts w:hint="default" w:ascii="Arial" w:hAnsi="Arial" w:cs="Arial"/>
          <w:color w:val="000000" w:themeColor="text1"/>
          <w:sz w:val="22"/>
          <w:szCs w:val="22"/>
          <w:highlight w:val="none"/>
          <w:lang w:val="pt-BR"/>
          <w14:textFill>
            <w14:solidFill>
              <w14:schemeClr w14:val="tx1"/>
            </w14:solidFill>
          </w14:textFill>
        </w:rPr>
        <w:t>à contratação</w:t>
      </w:r>
      <w:r>
        <w:rPr>
          <w:rFonts w:hint="default" w:ascii="Arial" w:hAnsi="Arial" w:cs="Arial"/>
          <w:color w:val="000000" w:themeColor="text1"/>
          <w:sz w:val="22"/>
          <w:szCs w:val="22"/>
          <w:highlight w:val="none"/>
          <w14:textFill>
            <w14:solidFill>
              <w14:schemeClr w14:val="tx1"/>
            </w14:solidFill>
          </w14:textFill>
        </w:rPr>
        <w:t xml:space="preserve"> ora pactuad</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 dentre elas, carga, transporte</w:t>
      </w:r>
      <w:r>
        <w:rPr>
          <w:rFonts w:hint="default" w:ascii="Arial" w:hAnsi="Arial" w:cs="Arial"/>
          <w:color w:val="000000" w:themeColor="text1"/>
          <w:sz w:val="22"/>
          <w:szCs w:val="22"/>
          <w:highlight w:val="none"/>
          <w:lang w:val="pt-BR"/>
          <w14:textFill>
            <w14:solidFill>
              <w14:schemeClr w14:val="tx1"/>
            </w14:solidFill>
          </w14:textFill>
        </w:rPr>
        <w:t>s horizontais ou verticais</w:t>
      </w:r>
      <w:r>
        <w:rPr>
          <w:rFonts w:hint="default" w:ascii="Arial" w:hAnsi="Arial" w:cs="Arial"/>
          <w:color w:val="000000" w:themeColor="text1"/>
          <w:sz w:val="22"/>
          <w:szCs w:val="22"/>
          <w:highlight w:val="none"/>
          <w14:textFill>
            <w14:solidFill>
              <w14:schemeClr w14:val="tx1"/>
            </w14:solidFill>
          </w14:textFill>
        </w:rPr>
        <w:t>, descarga, frete, impostos, mão de obra, taxas, contribuições, encargos sociais</w:t>
      </w:r>
      <w:r>
        <w:rPr>
          <w:rFonts w:hint="default" w:ascii="Arial" w:hAnsi="Arial" w:cs="Arial"/>
          <w:color w:val="000000" w:themeColor="text1"/>
          <w:sz w:val="22"/>
          <w:szCs w:val="22"/>
          <w:highlight w:val="none"/>
          <w:lang w:val="pt-BR"/>
          <w14:textFill>
            <w14:solidFill>
              <w14:schemeClr w14:val="tx1"/>
            </w14:solidFill>
          </w14:textFill>
        </w:rPr>
        <w:t xml:space="preserve"> ou trabalhistas</w:t>
      </w:r>
      <w:r>
        <w:rPr>
          <w:rFonts w:hint="default" w:ascii="Arial" w:hAnsi="Arial" w:cs="Arial"/>
          <w:color w:val="000000" w:themeColor="text1"/>
          <w:sz w:val="22"/>
          <w:szCs w:val="22"/>
          <w:highlight w:val="none"/>
          <w14:textFill>
            <w14:solidFill>
              <w14:schemeClr w14:val="tx1"/>
            </w14:solidFill>
          </w14:textFill>
        </w:rPr>
        <w:t>, inclusive nos casos de troca de item ou qualquer eventualidade que possa ocorrer;</w:t>
      </w:r>
    </w:p>
    <w:p w14:paraId="69DB3B5C">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right="0" w:rightChars="0" w:firstLine="481" w:firstLineChars="218"/>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16.2.6. </w:t>
      </w:r>
      <w:r>
        <w:rPr>
          <w:rFonts w:hint="default" w:ascii="Arial" w:hAnsi="Arial" w:cs="Arial"/>
          <w:color w:val="000000" w:themeColor="text1"/>
          <w:sz w:val="22"/>
          <w:szCs w:val="22"/>
          <w:highlight w:val="none"/>
          <w14:textFill>
            <w14:solidFill>
              <w14:schemeClr w14:val="tx1"/>
            </w14:solidFill>
          </w14:textFill>
        </w:rPr>
        <w:t>Manter, durante toda a execução da ata/contrato, em compatibilidade com as obrigações assumidas, todas as condições de habilitação e qualificação exigidas na licitação ou na contratação.</w:t>
      </w:r>
    </w:p>
    <w:p w14:paraId="7B24B5F7">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right="0" w:rightChars="0" w:firstLine="481" w:firstLineChars="218"/>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16.2.7.</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Responsabilizar-se pelos vícios e danos decorrentes do objeto, de acordo com</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 Código de Defesa do Consumidor (Lei nº 8.078, de 1990);</w:t>
      </w:r>
    </w:p>
    <w:p w14:paraId="1C750B55">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right="0" w:rightChars="0" w:firstLine="481" w:firstLineChars="218"/>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16.2.8.</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Atender prontamente a quaisquer exigências da Administração, inerentes ao objeto da presente licitação.</w:t>
      </w:r>
    </w:p>
    <w:p w14:paraId="1C315693">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0" w:leftChars="0" w:right="0" w:rightChars="0" w:firstLine="481" w:firstLineChars="218"/>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16.2.9.</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Comunicar à Administração, no prazo máximo de </w:t>
      </w:r>
      <w:r>
        <w:rPr>
          <w:rFonts w:hint="default" w:ascii="Arial" w:hAnsi="Arial" w:cs="Arial"/>
          <w:b/>
          <w:bCs/>
          <w:color w:val="000000" w:themeColor="text1"/>
          <w:sz w:val="22"/>
          <w:szCs w:val="22"/>
          <w:highlight w:val="none"/>
          <w14:textFill>
            <w14:solidFill>
              <w14:schemeClr w14:val="tx1"/>
            </w14:solidFill>
          </w14:textFill>
        </w:rPr>
        <w:t>5 (cinco) dias</w:t>
      </w:r>
      <w:r>
        <w:rPr>
          <w:rFonts w:hint="default" w:ascii="Arial" w:hAnsi="Arial" w:cs="Arial"/>
          <w:color w:val="000000" w:themeColor="text1"/>
          <w:sz w:val="22"/>
          <w:szCs w:val="22"/>
          <w:highlight w:val="none"/>
          <w14:textFill>
            <w14:solidFill>
              <w14:schemeClr w14:val="tx1"/>
            </w14:solidFill>
          </w14:textFill>
        </w:rPr>
        <w:t xml:space="preserve"> que antecede a data da entrega, os motivos que impossibilitem o cumprimento do prazo previsto, com a devida comprovação;</w:t>
      </w:r>
    </w:p>
    <w:p w14:paraId="6A0ED0C9">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0" w:leftChars="0" w:right="0" w:rightChars="0" w:firstLine="481" w:firstLineChars="218"/>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16.2.10. </w:t>
      </w:r>
      <w:r>
        <w:rPr>
          <w:rFonts w:hint="default" w:ascii="Arial" w:hAnsi="Arial" w:cs="Arial"/>
          <w:color w:val="000000" w:themeColor="text1"/>
          <w:sz w:val="22"/>
          <w:szCs w:val="22"/>
          <w:highlight w:val="none"/>
          <w14:textFill>
            <w14:solidFill>
              <w14:schemeClr w14:val="tx1"/>
            </w14:solidFill>
          </w14:textFill>
        </w:rPr>
        <w:t>Não transferir a terceiros, por qualquer forma, as obrigações assumidas, nem subcontratar qualquer das prestações a que está obrigada.</w:t>
      </w:r>
    </w:p>
    <w:p w14:paraId="183D256D">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0" w:leftChars="0" w:right="0" w:rightChars="0" w:firstLine="481" w:firstLineChars="218"/>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16.2.11. </w:t>
      </w:r>
      <w:r>
        <w:rPr>
          <w:rFonts w:hint="default" w:ascii="Arial" w:hAnsi="Arial" w:cs="Arial"/>
          <w:color w:val="000000" w:themeColor="text1"/>
          <w:sz w:val="22"/>
          <w:szCs w:val="22"/>
          <w:highlight w:val="none"/>
          <w14:textFill>
            <w14:solidFill>
              <w14:schemeClr w14:val="tx1"/>
            </w14:solidFill>
          </w14:textFill>
        </w:rPr>
        <w:t>Destacar e discriminar a retenção a que está sujeita, informando de forma clara e inequívoca todos os impostos e alíquotas incidentes, cabendo a ela toda a responsabilidade pela eventual ausência dessa informação ou pela informação incorreta.</w:t>
      </w:r>
    </w:p>
    <w:p w14:paraId="26294D8F">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0" w:leftChars="0" w:right="0" w:rightChars="0" w:firstLine="481" w:firstLineChars="218"/>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16.2.12. </w:t>
      </w:r>
      <w:r>
        <w:rPr>
          <w:rFonts w:hint="default" w:ascii="Arial" w:hAnsi="Arial" w:cs="Arial"/>
          <w:color w:val="000000" w:themeColor="text1"/>
          <w:sz w:val="22"/>
          <w:szCs w:val="22"/>
          <w:highlight w:val="none"/>
          <w14:textFill>
            <w14:solidFill>
              <w14:schemeClr w14:val="tx1"/>
            </w14:solidFill>
          </w14:textFill>
        </w:rPr>
        <w:t>As notas fiscais não poderão ter rasuras e deverão descrever corretamente o item</w:t>
      </w:r>
      <w:r>
        <w:rPr>
          <w:rFonts w:hint="default" w:ascii="Arial" w:hAnsi="Arial" w:cs="Arial"/>
          <w:color w:val="000000" w:themeColor="text1"/>
          <w:sz w:val="22"/>
          <w:szCs w:val="22"/>
          <w:highlight w:val="none"/>
          <w:lang w:val="pt-BR"/>
          <w14:textFill>
            <w14:solidFill>
              <w14:schemeClr w14:val="tx1"/>
            </w14:solidFill>
          </w14:textFill>
        </w:rPr>
        <w:t>, o</w:t>
      </w:r>
      <w:r>
        <w:rPr>
          <w:rFonts w:hint="default" w:ascii="Arial" w:hAnsi="Arial" w:cs="Arial"/>
          <w:color w:val="000000" w:themeColor="text1"/>
          <w:sz w:val="22"/>
          <w:szCs w:val="22"/>
          <w:highlight w:val="none"/>
          <w14:textFill>
            <w14:solidFill>
              <w14:schemeClr w14:val="tx1"/>
            </w14:solidFill>
          </w14:textFill>
        </w:rPr>
        <w:t xml:space="preserve"> número de empenho, o número do processo de compras</w:t>
      </w:r>
      <w:r>
        <w:rPr>
          <w:rFonts w:hint="default" w:ascii="Arial" w:hAnsi="Arial" w:cs="Arial"/>
          <w:color w:val="000000" w:themeColor="text1"/>
          <w:sz w:val="22"/>
          <w:szCs w:val="22"/>
          <w:highlight w:val="none"/>
          <w:lang w:val="pt-BR"/>
          <w14:textFill>
            <w14:solidFill>
              <w14:schemeClr w14:val="tx1"/>
            </w14:solidFill>
          </w14:textFill>
        </w:rPr>
        <w:t xml:space="preserve"> e</w:t>
      </w:r>
      <w:r>
        <w:rPr>
          <w:rFonts w:hint="default" w:ascii="Arial" w:hAnsi="Arial" w:cs="Arial"/>
          <w:color w:val="000000" w:themeColor="text1"/>
          <w:sz w:val="22"/>
          <w:szCs w:val="22"/>
          <w:highlight w:val="none"/>
          <w14:textFill>
            <w14:solidFill>
              <w14:schemeClr w14:val="tx1"/>
            </w14:solidFill>
          </w14:textFill>
        </w:rPr>
        <w:t xml:space="preserve"> dados bancários para depósito. As notas fiscais serão liberadas para pagamento somente quando estiver devidamente assinad</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 xml:space="preserve"> e carimbad</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 xml:space="preserve"> pelo </w:t>
      </w:r>
      <w:r>
        <w:rPr>
          <w:rFonts w:hint="default" w:ascii="Arial" w:hAnsi="Arial" w:cs="Arial"/>
          <w:color w:val="000000" w:themeColor="text1"/>
          <w:sz w:val="22"/>
          <w:szCs w:val="22"/>
          <w:highlight w:val="none"/>
          <w:lang w:val="pt-BR"/>
          <w14:textFill>
            <w14:solidFill>
              <w14:schemeClr w14:val="tx1"/>
            </w14:solidFill>
          </w14:textFill>
        </w:rPr>
        <w:t>servidor</w:t>
      </w:r>
      <w:r>
        <w:rPr>
          <w:rFonts w:hint="default" w:ascii="Arial" w:hAnsi="Arial" w:cs="Arial"/>
          <w:color w:val="000000" w:themeColor="text1"/>
          <w:sz w:val="22"/>
          <w:szCs w:val="22"/>
          <w:highlight w:val="none"/>
          <w14:textFill>
            <w14:solidFill>
              <w14:schemeClr w14:val="tx1"/>
            </w14:solidFill>
          </w14:textFill>
        </w:rPr>
        <w:t xml:space="preserve"> responsável;</w:t>
      </w:r>
    </w:p>
    <w:p w14:paraId="3CFF4922">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0" w:leftChars="0" w:right="0" w:rightChars="0" w:firstLine="481" w:firstLineChars="218"/>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16.2.13. </w:t>
      </w:r>
      <w:r>
        <w:rPr>
          <w:rFonts w:hint="default" w:ascii="Arial" w:hAnsi="Arial" w:cs="Arial"/>
          <w:color w:val="000000" w:themeColor="text1"/>
          <w:sz w:val="22"/>
          <w:szCs w:val="22"/>
          <w:highlight w:val="none"/>
          <w14:textFill>
            <w14:solidFill>
              <w14:schemeClr w14:val="tx1"/>
            </w14:solidFill>
          </w14:textFill>
        </w:rPr>
        <w:t>As notas fiscais deverão se</w:t>
      </w:r>
      <w:r>
        <w:rPr>
          <w:rFonts w:hint="default" w:ascii="Arial" w:hAnsi="Arial" w:cs="Arial"/>
          <w:color w:val="000000" w:themeColor="text1"/>
          <w:sz w:val="22"/>
          <w:szCs w:val="22"/>
          <w:highlight w:val="none"/>
          <w:lang w:val="pt-BR"/>
          <w14:textFill>
            <w14:solidFill>
              <w14:schemeClr w14:val="tx1"/>
            </w14:solidFill>
          </w14:textFill>
        </w:rPr>
        <w:t>r</w:t>
      </w:r>
      <w:r>
        <w:rPr>
          <w:rFonts w:hint="default" w:ascii="Arial" w:hAnsi="Arial" w:cs="Arial"/>
          <w:color w:val="000000" w:themeColor="text1"/>
          <w:sz w:val="22"/>
          <w:szCs w:val="22"/>
          <w:highlight w:val="none"/>
          <w14:textFill>
            <w14:solidFill>
              <w14:schemeClr w14:val="tx1"/>
            </w14:solidFill>
          </w14:textFill>
        </w:rPr>
        <w:t xml:space="preserve"> encaminhadas</w:t>
      </w:r>
      <w:r>
        <w:rPr>
          <w:rFonts w:hint="default" w:ascii="Arial" w:hAnsi="Arial" w:cs="Arial"/>
          <w:color w:val="000000" w:themeColor="text1"/>
          <w:sz w:val="22"/>
          <w:szCs w:val="22"/>
          <w:highlight w:val="none"/>
          <w:lang w:val="pt-BR"/>
          <w14:textFill>
            <w14:solidFill>
              <w14:schemeClr w14:val="tx1"/>
            </w14:solidFill>
          </w14:textFill>
        </w:rPr>
        <w:t xml:space="preserve"> à Prefeitura de Sinop, por meio do </w:t>
      </w:r>
      <w:r>
        <w:rPr>
          <w:rFonts w:hint="default" w:ascii="Arial" w:hAnsi="Arial" w:cs="Arial"/>
          <w:b/>
          <w:bCs/>
          <w:i/>
          <w:iCs/>
          <w:color w:val="000000" w:themeColor="text1"/>
          <w:sz w:val="22"/>
          <w:szCs w:val="22"/>
          <w:highlight w:val="none"/>
          <w:lang w:val="pt-BR"/>
          <w14:textFill>
            <w14:solidFill>
              <w14:schemeClr w14:val="tx1"/>
            </w14:solidFill>
          </w14:textFill>
        </w:rPr>
        <w:t>Portal do Fornecedor</w:t>
      </w:r>
      <w:r>
        <w:rPr>
          <w:rFonts w:hint="default" w:ascii="Arial" w:hAnsi="Arial" w:cs="Arial"/>
          <w:color w:val="000000" w:themeColor="text1"/>
          <w:sz w:val="22"/>
          <w:szCs w:val="22"/>
          <w:highlight w:val="none"/>
          <w:lang w:val="pt-BR"/>
          <w14:textFill>
            <w14:solidFill>
              <w14:schemeClr w14:val="tx1"/>
            </w14:solidFill>
          </w14:textFill>
        </w:rPr>
        <w:t xml:space="preserve">, disponível no endereço eletrônico: </w:t>
      </w:r>
      <w:r>
        <w:rPr>
          <w:rFonts w:hint="default" w:ascii="Arial" w:hAnsi="Arial" w:cs="Arial"/>
          <w:i/>
          <w:iCs/>
          <w:color w:val="000000" w:themeColor="text1"/>
          <w:sz w:val="22"/>
          <w:szCs w:val="22"/>
          <w:highlight w:val="none"/>
          <w:lang w:val="pt-BR"/>
          <w14:textFill>
            <w14:solidFill>
              <w14:schemeClr w14:val="tx1"/>
            </w14:solidFill>
          </w14:textFill>
        </w:rPr>
        <w:fldChar w:fldCharType="begin"/>
      </w:r>
      <w:r>
        <w:rPr>
          <w:rFonts w:hint="default" w:ascii="Arial" w:hAnsi="Arial" w:cs="Arial"/>
          <w:i/>
          <w:iCs/>
          <w:color w:val="000000" w:themeColor="text1"/>
          <w:sz w:val="22"/>
          <w:szCs w:val="22"/>
          <w:highlight w:val="none"/>
          <w:lang w:val="pt-BR"/>
          <w14:textFill>
            <w14:solidFill>
              <w14:schemeClr w14:val="tx1"/>
            </w14:solidFill>
          </w14:textFill>
        </w:rPr>
        <w:instrText xml:space="preserve"> HYPERLINK "https://www.gp.srv.br/portalfornecedor_sinop/servlet/home," </w:instrText>
      </w:r>
      <w:r>
        <w:rPr>
          <w:rFonts w:hint="default" w:ascii="Arial" w:hAnsi="Arial" w:cs="Arial"/>
          <w:i/>
          <w:iCs/>
          <w:color w:val="000000" w:themeColor="text1"/>
          <w:sz w:val="22"/>
          <w:szCs w:val="22"/>
          <w:highlight w:val="none"/>
          <w:lang w:val="pt-BR"/>
          <w14:textFill>
            <w14:solidFill>
              <w14:schemeClr w14:val="tx1"/>
            </w14:solidFill>
          </w14:textFill>
        </w:rPr>
        <w:fldChar w:fldCharType="separate"/>
      </w:r>
      <w:r>
        <w:rPr>
          <w:rStyle w:val="14"/>
          <w:rFonts w:hint="default" w:ascii="Arial" w:hAnsi="Arial" w:cs="Arial"/>
          <w:i/>
          <w:iCs/>
          <w:color w:val="000000" w:themeColor="text1"/>
          <w:sz w:val="22"/>
          <w:szCs w:val="22"/>
          <w:highlight w:val="none"/>
          <w:lang w:val="pt-BR"/>
          <w14:textFill>
            <w14:solidFill>
              <w14:schemeClr w14:val="tx1"/>
            </w14:solidFill>
          </w14:textFill>
        </w:rPr>
        <w:t>https://www.gp.srv.br/portalfornecedor_sinop/servlet/home</w:t>
      </w:r>
      <w:r>
        <w:rPr>
          <w:rStyle w:val="14"/>
          <w:rFonts w:hint="default" w:ascii="Arial" w:hAnsi="Arial" w:cs="Arial"/>
          <w:color w:val="000000" w:themeColor="text1"/>
          <w:sz w:val="22"/>
          <w:szCs w:val="22"/>
          <w:highlight w:val="none"/>
          <w:lang w:val="pt-BR"/>
          <w14:textFill>
            <w14:solidFill>
              <w14:schemeClr w14:val="tx1"/>
            </w14:solidFill>
          </w14:textFill>
        </w:rPr>
        <w:t>,</w:t>
      </w:r>
      <w:r>
        <w:rPr>
          <w:rFonts w:hint="default" w:ascii="Arial" w:hAnsi="Arial" w:cs="Arial"/>
          <w:i/>
          <w:iCs/>
          <w:color w:val="000000" w:themeColor="text1"/>
          <w:sz w:val="22"/>
          <w:szCs w:val="22"/>
          <w:highlight w:val="none"/>
          <w:lang w:val="pt-BR"/>
          <w14:textFill>
            <w14:solidFill>
              <w14:schemeClr w14:val="tx1"/>
            </w14:solidFill>
          </w14:textFill>
        </w:rPr>
        <w:fldChar w:fldCharType="end"/>
      </w:r>
      <w:r>
        <w:rPr>
          <w:rFonts w:hint="default" w:ascii="Arial" w:hAnsi="Arial" w:cs="Arial"/>
          <w:color w:val="000000" w:themeColor="text1"/>
          <w:sz w:val="22"/>
          <w:szCs w:val="22"/>
          <w:highlight w:val="none"/>
          <w:lang w:val="pt-BR"/>
          <w14:textFill>
            <w14:solidFill>
              <w14:schemeClr w14:val="tx1"/>
            </w14:solidFill>
          </w14:textFill>
        </w:rPr>
        <w:t xml:space="preserve"> conforme Decreto 230/2023 de 06 de setembro de 2023. </w:t>
      </w:r>
    </w:p>
    <w:p w14:paraId="7BBBB7B1">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0" w:leftChars="0" w:right="0" w:rightChars="0" w:firstLine="479" w:firstLineChars="218"/>
        <w:jc w:val="both"/>
        <w:textAlignment w:val="baseline"/>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protocolo deverá ser realizado separadamente por Secretaria e Empenho/Nad;</w:t>
      </w:r>
    </w:p>
    <w:p w14:paraId="6BD21A29">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0" w:leftChars="0" w:right="0" w:rightChars="0" w:firstLine="481" w:firstLineChars="218"/>
        <w:jc w:val="both"/>
        <w:textAlignment w:val="baseline"/>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16.2.14. </w:t>
      </w:r>
      <w:r>
        <w:rPr>
          <w:rFonts w:hint="default" w:ascii="Arial" w:hAnsi="Arial" w:cs="Arial"/>
          <w:b w:val="0"/>
          <w:bCs w:val="0"/>
          <w:color w:val="000000" w:themeColor="text1"/>
          <w:sz w:val="22"/>
          <w:szCs w:val="22"/>
          <w:highlight w:val="none"/>
          <w:lang w:val="pt-BR"/>
          <w14:textFill>
            <w14:solidFill>
              <w14:schemeClr w14:val="tx1"/>
            </w14:solidFill>
          </w14:textFill>
        </w:rPr>
        <w:t>As certidões deverão ser juntadas ao protocolo e são obrigatórias para a liquidação da despesa.</w:t>
      </w:r>
    </w:p>
    <w:p w14:paraId="35A97DFD">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0" w:leftChars="0" w:right="0" w:rightChars="0" w:firstLine="481" w:firstLineChars="218"/>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16.2.15.</w:t>
      </w:r>
      <w:r>
        <w:rPr>
          <w:rFonts w:hint="default" w:ascii="Arial" w:hAnsi="Arial" w:cs="Arial"/>
          <w:color w:val="000000" w:themeColor="text1"/>
          <w:sz w:val="22"/>
          <w:szCs w:val="22"/>
          <w:highlight w:val="none"/>
          <w:lang w:val="pt-BR"/>
          <w14:textFill>
            <w14:solidFill>
              <w14:schemeClr w14:val="tx1"/>
            </w14:solidFill>
          </w14:textFill>
        </w:rPr>
        <w:t xml:space="preserve"> Todos os documentos são obrigatórios, especialmente os citados no edital de licitação e os que constam na instrução normativa 038/2009, atualizada no decreto 118/2022.</w:t>
      </w:r>
    </w:p>
    <w:p w14:paraId="6892A00E">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0" w:leftChars="0" w:right="0" w:rightChars="0" w:firstLine="481" w:firstLineChars="218"/>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16.2.16.</w:t>
      </w:r>
      <w:r>
        <w:rPr>
          <w:rFonts w:hint="default" w:ascii="Arial" w:hAnsi="Arial" w:cs="Arial"/>
          <w:color w:val="000000" w:themeColor="text1"/>
          <w:sz w:val="22"/>
          <w:szCs w:val="22"/>
          <w:highlight w:val="none"/>
          <w:lang w:val="pt-BR"/>
          <w14:textFill>
            <w14:solidFill>
              <w14:schemeClr w14:val="tx1"/>
            </w14:solidFill>
          </w14:textFill>
        </w:rPr>
        <w:t xml:space="preserve"> Caso o protocolo não esteja de acordo com o solicitado, o mesmo será devolvido para correção, sendo válida a data de protocolo corrigida para fins de prazo de pagamento.</w:t>
      </w:r>
    </w:p>
    <w:p w14:paraId="4987C8C1">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0" w:leftChars="0" w:right="0" w:rightChars="0" w:firstLine="481" w:firstLineChars="218"/>
        <w:contextualSpacing/>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16.2.17. </w:t>
      </w:r>
      <w:r>
        <w:rPr>
          <w:rFonts w:hint="default" w:ascii="Arial" w:hAnsi="Arial" w:cs="Arial"/>
          <w:color w:val="000000" w:themeColor="text1"/>
          <w:sz w:val="22"/>
          <w:szCs w:val="22"/>
          <w:highlight w:val="none"/>
          <w14:textFill>
            <w14:solidFill>
              <w14:schemeClr w14:val="tx1"/>
            </w14:solidFill>
          </w14:textFill>
        </w:rPr>
        <w:t>A(s) licitante(s) vencedora(s) se obriga(m) a entregar os</w:t>
      </w:r>
      <w:r>
        <w:rPr>
          <w:rFonts w:hint="default" w:ascii="Arial" w:hAnsi="Arial" w:cs="Arial"/>
          <w:color w:val="000000" w:themeColor="text1"/>
          <w:sz w:val="22"/>
          <w:szCs w:val="22"/>
          <w:highlight w:val="none"/>
          <w:lang w:val="pt-BR"/>
          <w14:textFill>
            <w14:solidFill>
              <w14:schemeClr w14:val="tx1"/>
            </w14:solidFill>
          </w14:textFill>
        </w:rPr>
        <w:t xml:space="preserve"> produtos </w:t>
      </w:r>
      <w:r>
        <w:rPr>
          <w:rFonts w:hint="default" w:ascii="Arial" w:hAnsi="Arial" w:cs="Arial"/>
          <w:color w:val="000000" w:themeColor="text1"/>
          <w:sz w:val="22"/>
          <w:szCs w:val="22"/>
          <w:highlight w:val="none"/>
          <w14:textFill>
            <w14:solidFill>
              <w14:schemeClr w14:val="tx1"/>
            </w14:solidFill>
          </w14:textFill>
        </w:rPr>
        <w:t>desta licitação sem ônus, mediante a emissão de ordem de fornecimento pelas Secretarias Municipais, a partir da data da assinatura da Ata de Registro de Preços.</w:t>
      </w:r>
    </w:p>
    <w:p w14:paraId="2F9577A9">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0" w:leftChars="0" w:right="0" w:rightChars="0" w:firstLine="481" w:firstLineChars="218"/>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16.2.18. </w:t>
      </w:r>
      <w:r>
        <w:rPr>
          <w:rFonts w:hint="default" w:ascii="Arial" w:hAnsi="Arial" w:cs="Arial"/>
          <w:b w:val="0"/>
          <w:bCs w:val="0"/>
          <w:color w:val="000000" w:themeColor="text1"/>
          <w:sz w:val="22"/>
          <w:szCs w:val="22"/>
          <w:highlight w:val="none"/>
          <w:lang w:val="pt-BR"/>
          <w14:textFill>
            <w14:solidFill>
              <w14:schemeClr w14:val="tx1"/>
            </w14:solidFill>
          </w14:textFill>
        </w:rPr>
        <w:t>Executar o objeto desta licitação no preço, prazo e forma estipulada na proposta durante a vigência do Contrato, que será de 12 meses.</w:t>
      </w:r>
    </w:p>
    <w:p w14:paraId="4D5A5F51">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0" w:leftChars="0" w:right="0" w:rightChars="0" w:firstLine="481" w:firstLineChars="218"/>
        <w:contextualSpacing/>
        <w:jc w:val="both"/>
        <w:rPr>
          <w:rFonts w:hint="default" w:ascii="Arial" w:hAnsi="Arial" w:cs="Arial"/>
          <w:color w:val="000000"/>
          <w:sz w:val="22"/>
          <w:szCs w:val="22"/>
          <w:highlight w:val="none"/>
          <w:lang w:val="pt-BR"/>
        </w:rPr>
      </w:pPr>
      <w:r>
        <w:rPr>
          <w:rFonts w:hint="default" w:ascii="Arial" w:hAnsi="Arial" w:cs="Arial"/>
          <w:b/>
          <w:bCs/>
          <w:color w:val="000000" w:themeColor="text1"/>
          <w:sz w:val="22"/>
          <w:szCs w:val="22"/>
          <w:highlight w:val="none"/>
          <w:lang w:val="pt-BR"/>
          <w14:textFill>
            <w14:solidFill>
              <w14:schemeClr w14:val="tx1"/>
            </w14:solidFill>
          </w14:textFill>
        </w:rPr>
        <w:t>16.2.19.</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w:t>
      </w:r>
      <w:r>
        <w:rPr>
          <w:rFonts w:ascii="Arial" w:hAnsi="Arial" w:cs="Arial"/>
          <w:sz w:val="22"/>
          <w:szCs w:val="22"/>
          <w:highlight w:val="none"/>
        </w:rPr>
        <w:t>Trocar, r</w:t>
      </w:r>
      <w:r>
        <w:rPr>
          <w:rFonts w:ascii="Arial" w:hAnsi="Arial" w:cs="Arial"/>
          <w:color w:val="000000"/>
          <w:sz w:val="22"/>
          <w:szCs w:val="22"/>
          <w:highlight w:val="none"/>
        </w:rPr>
        <w:t>eparar, corrigir, remover, reconstituir ou substituir, às expensas próprias, no total ou em parte, o objeto deste termo de referência, qualquer situação onde se verifiquem vícios, defeitos ou incorreções resultantes da sua fabricação e fornecimento que não atendam às exigências fixadas no termo de referência, edital e seus anexos</w:t>
      </w:r>
      <w:r>
        <w:rPr>
          <w:rFonts w:hint="default" w:ascii="Arial" w:hAnsi="Arial" w:cs="Arial"/>
          <w:color w:val="000000"/>
          <w:sz w:val="22"/>
          <w:szCs w:val="22"/>
          <w:highlight w:val="none"/>
          <w:lang w:val="pt-BR"/>
        </w:rPr>
        <w:t>;</w:t>
      </w:r>
    </w:p>
    <w:p w14:paraId="0D07E34D">
      <w:pPr>
        <w:pStyle w:val="16"/>
        <w:keepLines/>
        <w:numPr>
          <w:ilvl w:val="0"/>
          <w:numId w:val="0"/>
        </w:numPr>
        <w:tabs>
          <w:tab w:val="left" w:pos="567"/>
        </w:tabs>
        <w:spacing w:line="360" w:lineRule="auto"/>
        <w:ind w:left="0" w:leftChars="0" w:firstLine="481" w:firstLineChars="218"/>
        <w:jc w:val="both"/>
        <w:rPr>
          <w:rFonts w:ascii="Arial" w:hAnsi="Arial" w:cs="Arial"/>
          <w:color w:val="000000"/>
          <w:sz w:val="22"/>
          <w:szCs w:val="22"/>
          <w:highlight w:val="none"/>
        </w:rPr>
      </w:pPr>
      <w:r>
        <w:rPr>
          <w:rFonts w:hint="default" w:ascii="Arial" w:hAnsi="Arial" w:cs="Arial"/>
          <w:b/>
          <w:bCs/>
          <w:color w:val="000000"/>
          <w:sz w:val="22"/>
          <w:szCs w:val="22"/>
          <w:highlight w:val="none"/>
          <w:lang w:val="pt-BR"/>
        </w:rPr>
        <w:t>16.2.20.</w:t>
      </w:r>
      <w:r>
        <w:rPr>
          <w:rFonts w:hint="default" w:ascii="Arial" w:hAnsi="Arial" w:cs="Arial"/>
          <w:color w:val="000000"/>
          <w:sz w:val="22"/>
          <w:szCs w:val="22"/>
          <w:highlight w:val="none"/>
          <w:lang w:val="pt-BR"/>
        </w:rPr>
        <w:t xml:space="preserve"> </w:t>
      </w:r>
      <w:r>
        <w:rPr>
          <w:rFonts w:ascii="Arial" w:hAnsi="Arial" w:cs="Arial"/>
          <w:sz w:val="22"/>
          <w:szCs w:val="22"/>
          <w:highlight w:val="none"/>
        </w:rPr>
        <w:t xml:space="preserve">A empresa deve atender todas as especificações e exigências contidas neste Termo, conforme solicitação das Secretarias </w:t>
      </w:r>
      <w:r>
        <w:rPr>
          <w:rFonts w:hint="default" w:ascii="Arial" w:hAnsi="Arial" w:cs="Arial"/>
          <w:sz w:val="22"/>
          <w:szCs w:val="22"/>
          <w:highlight w:val="none"/>
          <w:lang w:val="pt-BR"/>
        </w:rPr>
        <w:t>M</w:t>
      </w:r>
      <w:r>
        <w:rPr>
          <w:rFonts w:ascii="Arial" w:hAnsi="Arial" w:cs="Arial"/>
          <w:sz w:val="22"/>
          <w:szCs w:val="22"/>
          <w:highlight w:val="none"/>
        </w:rPr>
        <w:t>unicipais envolvidas no processo</w:t>
      </w:r>
      <w:r>
        <w:rPr>
          <w:rFonts w:ascii="Arial" w:hAnsi="Arial" w:cs="Arial"/>
          <w:color w:val="000000"/>
          <w:sz w:val="22"/>
          <w:szCs w:val="22"/>
          <w:highlight w:val="none"/>
        </w:rPr>
        <w:t>.</w:t>
      </w:r>
    </w:p>
    <w:p w14:paraId="05A6EB64">
      <w:pPr>
        <w:pStyle w:val="16"/>
        <w:keepLines/>
        <w:numPr>
          <w:ilvl w:val="0"/>
          <w:numId w:val="0"/>
        </w:numPr>
        <w:tabs>
          <w:tab w:val="left" w:pos="567"/>
        </w:tabs>
        <w:spacing w:line="360" w:lineRule="auto"/>
        <w:ind w:left="0" w:leftChars="0" w:firstLine="481" w:firstLineChars="218"/>
        <w:jc w:val="both"/>
        <w:rPr>
          <w:rFonts w:hint="default" w:ascii="Arial" w:hAnsi="Arial" w:cs="Arial"/>
          <w:b w:val="0"/>
          <w:bCs/>
          <w:color w:val="000000"/>
          <w:sz w:val="22"/>
          <w:szCs w:val="22"/>
          <w:highlight w:val="none"/>
          <w:lang w:val="pt-BR"/>
        </w:rPr>
      </w:pPr>
      <w:r>
        <w:rPr>
          <w:rFonts w:hint="default" w:ascii="Arial" w:hAnsi="Arial" w:cs="Arial"/>
          <w:b/>
          <w:bCs/>
          <w:sz w:val="22"/>
          <w:szCs w:val="22"/>
          <w:highlight w:val="none"/>
          <w:lang w:val="pt-BR"/>
        </w:rPr>
        <w:t>16.2.21.</w:t>
      </w:r>
      <w:r>
        <w:rPr>
          <w:rFonts w:hint="default" w:ascii="Arial" w:hAnsi="Arial" w:cs="Arial"/>
          <w:sz w:val="22"/>
          <w:szCs w:val="22"/>
          <w:highlight w:val="none"/>
          <w:lang w:val="pt-BR"/>
        </w:rPr>
        <w:t xml:space="preserve"> </w:t>
      </w:r>
      <w:r>
        <w:rPr>
          <w:rFonts w:ascii="Arial" w:hAnsi="Arial" w:cs="Arial"/>
          <w:sz w:val="22"/>
          <w:szCs w:val="22"/>
          <w:highlight w:val="none"/>
        </w:rPr>
        <w:t xml:space="preserve">Assumir todas as despesas relativas a pessoal e quaisquer outras oriundas, derivadas ou conexas com a contratação, ficando, ainda, para todos os efeitos legais, declaradas pela </w:t>
      </w:r>
      <w:r>
        <w:rPr>
          <w:rFonts w:ascii="Arial" w:hAnsi="Arial" w:cs="Arial"/>
          <w:b w:val="0"/>
          <w:bCs/>
          <w:sz w:val="22"/>
          <w:szCs w:val="22"/>
          <w:highlight w:val="none"/>
        </w:rPr>
        <w:t>LICITANTE VENCEDORA</w:t>
      </w:r>
      <w:r>
        <w:rPr>
          <w:rFonts w:ascii="Arial" w:hAnsi="Arial" w:cs="Arial"/>
          <w:b/>
          <w:sz w:val="22"/>
          <w:szCs w:val="22"/>
          <w:highlight w:val="none"/>
        </w:rPr>
        <w:t xml:space="preserve"> </w:t>
      </w:r>
      <w:r>
        <w:rPr>
          <w:rFonts w:ascii="Arial" w:hAnsi="Arial" w:cs="Arial"/>
          <w:sz w:val="22"/>
          <w:szCs w:val="22"/>
          <w:highlight w:val="none"/>
        </w:rPr>
        <w:t xml:space="preserve">a inexistência de qualquer vínculo empregatício entre seus empregados e/ou prepostos e a </w:t>
      </w:r>
      <w:r>
        <w:rPr>
          <w:rFonts w:ascii="Arial" w:hAnsi="Arial" w:cs="Arial"/>
          <w:b w:val="0"/>
          <w:bCs/>
          <w:sz w:val="22"/>
          <w:szCs w:val="22"/>
          <w:highlight w:val="none"/>
        </w:rPr>
        <w:t>Administração Municipal</w:t>
      </w:r>
      <w:r>
        <w:rPr>
          <w:rFonts w:hint="default" w:ascii="Arial" w:hAnsi="Arial" w:cs="Arial"/>
          <w:b w:val="0"/>
          <w:bCs/>
          <w:sz w:val="22"/>
          <w:szCs w:val="22"/>
          <w:highlight w:val="none"/>
          <w:lang w:val="pt-BR"/>
        </w:rPr>
        <w:t>.</w:t>
      </w:r>
    </w:p>
    <w:p w14:paraId="32CFFA6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ind w:leftChars="0"/>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43D5992A">
      <w:pPr>
        <w:pStyle w:val="133"/>
        <w:numPr>
          <w:ilvl w:val="0"/>
          <w:numId w:val="0"/>
        </w:numPr>
        <w:spacing w:line="360" w:lineRule="auto"/>
        <w:ind w:leftChars="0"/>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1832BFE">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7DAC34D">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53" w:name="art155ii"/>
      <w:bookmarkEnd w:id="53"/>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348DEE6F">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54" w:name="art155iii"/>
      <w:bookmarkEnd w:id="54"/>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60FC55A9">
      <w:pPr>
        <w:pStyle w:val="136"/>
        <w:numPr>
          <w:ilvl w:val="0"/>
          <w:numId w:val="0"/>
        </w:numPr>
        <w:spacing w:line="360" w:lineRule="auto"/>
        <w:ind w:left="0" w:leftChars="0" w:firstLine="481" w:firstLineChars="218"/>
        <w:rPr>
          <w:sz w:val="22"/>
          <w:szCs w:val="22"/>
          <w:highlight w:val="none"/>
        </w:rPr>
      </w:pPr>
      <w:bookmarkStart w:id="55"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55"/>
    </w:p>
    <w:p w14:paraId="085031E8">
      <w:pPr>
        <w:pStyle w:val="136"/>
        <w:numPr>
          <w:ilvl w:val="0"/>
          <w:numId w:val="0"/>
        </w:numPr>
        <w:tabs>
          <w:tab w:val="left" w:pos="0"/>
        </w:tabs>
        <w:spacing w:line="360" w:lineRule="auto"/>
        <w:ind w:left="4" w:leftChars="0" w:firstLine="477" w:firstLineChars="216"/>
        <w:rPr>
          <w:sz w:val="22"/>
          <w:szCs w:val="22"/>
          <w:highlight w:val="none"/>
        </w:rPr>
      </w:pPr>
      <w:bookmarkStart w:id="56"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56"/>
    </w:p>
    <w:p w14:paraId="513BFA9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2E6FF368">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5045EE77">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35B595CC">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14:paraId="6B3E79F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3914E9C6">
      <w:pPr>
        <w:pStyle w:val="136"/>
        <w:numPr>
          <w:ilvl w:val="0"/>
          <w:numId w:val="0"/>
        </w:numPr>
        <w:spacing w:line="360" w:lineRule="auto"/>
        <w:ind w:left="0" w:leftChars="0" w:firstLine="481" w:firstLineChars="218"/>
        <w:rPr>
          <w:sz w:val="22"/>
          <w:szCs w:val="22"/>
          <w:highlight w:val="none"/>
        </w:rPr>
      </w:pPr>
      <w:bookmarkStart w:id="57" w:name="_Ref114668139"/>
      <w:r>
        <w:rPr>
          <w:rFonts w:hint="default"/>
          <w:b/>
          <w:bCs/>
          <w:sz w:val="22"/>
          <w:szCs w:val="22"/>
          <w:highlight w:val="none"/>
          <w:lang w:val="pt-BR"/>
        </w:rPr>
        <w:t>17.1.6.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bookmarkEnd w:id="57"/>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2B283F7">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4634B904">
      <w:pPr>
        <w:pStyle w:val="136"/>
        <w:numPr>
          <w:ilvl w:val="0"/>
          <w:numId w:val="0"/>
        </w:numPr>
        <w:spacing w:line="360" w:lineRule="auto"/>
        <w:ind w:left="4" w:leftChars="0" w:firstLine="477" w:firstLineChars="216"/>
        <w:rPr>
          <w:rFonts w:hint="default"/>
          <w:sz w:val="22"/>
          <w:szCs w:val="22"/>
          <w:highlight w:val="none"/>
          <w:lang w:val="pt-BR"/>
        </w:rPr>
      </w:pPr>
      <w:bookmarkStart w:id="58" w:name="_Ref114668249"/>
      <w:bookmarkStart w:id="59" w:name="_Hlk114652595"/>
      <w:r>
        <w:rPr>
          <w:rFonts w:hint="default"/>
          <w:b/>
          <w:bCs/>
          <w:sz w:val="22"/>
          <w:szCs w:val="22"/>
          <w:highlight w:val="none"/>
          <w:lang w:val="pt-BR"/>
        </w:rPr>
        <w:t>17.1.8.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58"/>
      <w:r>
        <w:rPr>
          <w:rFonts w:hint="default"/>
          <w:sz w:val="22"/>
          <w:szCs w:val="22"/>
          <w:highlight w:val="none"/>
          <w:lang w:val="pt-BR"/>
        </w:rPr>
        <w:t xml:space="preserve"> ou durante a execução da Ata de Registro de Preços;</w:t>
      </w:r>
    </w:p>
    <w:p w14:paraId="280ADF51">
      <w:pPr>
        <w:pStyle w:val="136"/>
        <w:numPr>
          <w:ilvl w:val="0"/>
          <w:numId w:val="0"/>
        </w:numPr>
        <w:spacing w:line="360" w:lineRule="auto"/>
        <w:ind w:left="4" w:leftChars="0" w:firstLine="477" w:firstLineChars="216"/>
        <w:rPr>
          <w:rFonts w:hint="default"/>
          <w:sz w:val="22"/>
          <w:szCs w:val="22"/>
          <w:highlight w:val="none"/>
          <w:lang w:val="pt-BR"/>
        </w:rPr>
      </w:pPr>
      <w:bookmarkStart w:id="60" w:name="_Ref114668245"/>
      <w:r>
        <w:rPr>
          <w:rFonts w:hint="default"/>
          <w:b/>
          <w:bCs/>
          <w:sz w:val="22"/>
          <w:szCs w:val="22"/>
          <w:highlight w:val="none"/>
          <w:lang w:val="pt-BR"/>
        </w:rPr>
        <w:t>17.1.9.</w:t>
      </w:r>
      <w:r>
        <w:rPr>
          <w:rFonts w:hint="default"/>
          <w:sz w:val="22"/>
          <w:szCs w:val="22"/>
          <w:highlight w:val="none"/>
          <w:lang w:val="pt-BR"/>
        </w:rPr>
        <w:t xml:space="preserve"> F</w:t>
      </w:r>
      <w:r>
        <w:rPr>
          <w:sz w:val="22"/>
          <w:szCs w:val="22"/>
          <w:highlight w:val="none"/>
        </w:rPr>
        <w:t>raudar a licitação</w:t>
      </w:r>
      <w:bookmarkEnd w:id="60"/>
      <w:r>
        <w:rPr>
          <w:rFonts w:hint="default"/>
          <w:sz w:val="22"/>
          <w:szCs w:val="22"/>
          <w:highlight w:val="none"/>
          <w:lang w:val="pt-BR"/>
        </w:rPr>
        <w:t xml:space="preserve"> ou praticar ato fraudulento na execução da Ata de Registro de Preços;</w:t>
      </w:r>
    </w:p>
    <w:p w14:paraId="3AE81565">
      <w:pPr>
        <w:pStyle w:val="136"/>
        <w:numPr>
          <w:ilvl w:val="0"/>
          <w:numId w:val="0"/>
        </w:numPr>
        <w:spacing w:line="360" w:lineRule="auto"/>
        <w:ind w:left="4" w:leftChars="0" w:firstLine="477" w:firstLineChars="216"/>
        <w:rPr>
          <w:sz w:val="22"/>
          <w:szCs w:val="22"/>
          <w:highlight w:val="none"/>
        </w:rPr>
      </w:pPr>
      <w:bookmarkStart w:id="61" w:name="_Ref114668247"/>
      <w:r>
        <w:rPr>
          <w:rFonts w:hint="default"/>
          <w:b/>
          <w:bCs/>
          <w:sz w:val="22"/>
          <w:szCs w:val="22"/>
          <w:highlight w:val="none"/>
          <w:lang w:val="pt-BR"/>
        </w:rPr>
        <w:t>17.1.10.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61"/>
    </w:p>
    <w:p w14:paraId="2C93D66B">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A</w:t>
      </w:r>
      <w:r>
        <w:rPr>
          <w:sz w:val="22"/>
          <w:szCs w:val="22"/>
          <w:highlight w:val="none"/>
        </w:rPr>
        <w:t xml:space="preserve">gir em conluio ou em desconformidade com a lei; </w:t>
      </w:r>
    </w:p>
    <w:p w14:paraId="10C1A9F6">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17.1.10.2.</w:t>
      </w:r>
      <w:r>
        <w:rPr>
          <w:rFonts w:hint="default"/>
          <w:sz w:val="22"/>
          <w:szCs w:val="22"/>
          <w:highlight w:val="none"/>
          <w:lang w:val="pt-BR"/>
        </w:rPr>
        <w:t xml:space="preserve"> I</w:t>
      </w:r>
      <w:r>
        <w:rPr>
          <w:sz w:val="22"/>
          <w:szCs w:val="22"/>
          <w:highlight w:val="none"/>
        </w:rPr>
        <w:t xml:space="preserve">nduzir deliberadamente a erro no julgamento; </w:t>
      </w:r>
    </w:p>
    <w:p w14:paraId="35772DD4">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2F474BBD">
      <w:pPr>
        <w:pStyle w:val="136"/>
        <w:numPr>
          <w:ilvl w:val="0"/>
          <w:numId w:val="0"/>
        </w:numPr>
        <w:spacing w:line="360" w:lineRule="auto"/>
        <w:ind w:left="0" w:leftChars="0" w:firstLine="481" w:firstLineChars="218"/>
        <w:rPr>
          <w:rFonts w:hint="default"/>
          <w:sz w:val="22"/>
          <w:szCs w:val="22"/>
          <w:highlight w:val="none"/>
          <w:lang w:val="pt-BR"/>
        </w:rPr>
      </w:pPr>
      <w:bookmarkStart w:id="62" w:name="_Ref114668251"/>
      <w:r>
        <w:rPr>
          <w:rFonts w:hint="default"/>
          <w:b/>
          <w:bCs/>
          <w:sz w:val="22"/>
          <w:szCs w:val="22"/>
          <w:highlight w:val="none"/>
          <w:lang w:val="pt-BR"/>
        </w:rPr>
        <w:t>17.1.11.</w:t>
      </w:r>
      <w:r>
        <w:rPr>
          <w:rFonts w:hint="default"/>
          <w:sz w:val="22"/>
          <w:szCs w:val="22"/>
          <w:highlight w:val="none"/>
          <w:lang w:val="pt-BR"/>
        </w:rPr>
        <w:t xml:space="preserve"> P</w:t>
      </w:r>
      <w:r>
        <w:rPr>
          <w:sz w:val="22"/>
          <w:szCs w:val="22"/>
          <w:highlight w:val="none"/>
        </w:rPr>
        <w:t>raticar atos ilícitos com vistas a frustrar os objetivos da licitação</w:t>
      </w:r>
      <w:bookmarkEnd w:id="62"/>
      <w:r>
        <w:rPr>
          <w:rFonts w:hint="default"/>
          <w:sz w:val="22"/>
          <w:szCs w:val="22"/>
          <w:highlight w:val="none"/>
          <w:lang w:val="pt-BR"/>
        </w:rPr>
        <w:t>;</w:t>
      </w:r>
    </w:p>
    <w:p w14:paraId="65EE00ED">
      <w:pPr>
        <w:pStyle w:val="136"/>
        <w:numPr>
          <w:ilvl w:val="0"/>
          <w:numId w:val="0"/>
        </w:numPr>
        <w:spacing w:line="360" w:lineRule="auto"/>
        <w:ind w:left="4" w:leftChars="0" w:firstLine="477" w:firstLineChars="216"/>
        <w:rPr>
          <w:sz w:val="22"/>
          <w:szCs w:val="22"/>
          <w:highlight w:val="none"/>
        </w:rPr>
      </w:pPr>
      <w:bookmarkStart w:id="63" w:name="_Ref114668252"/>
      <w:r>
        <w:rPr>
          <w:rFonts w:hint="default"/>
          <w:b/>
          <w:bCs/>
          <w:sz w:val="22"/>
          <w:szCs w:val="22"/>
          <w:highlight w:val="none"/>
          <w:lang w:val="pt-BR"/>
        </w:rPr>
        <w:t xml:space="preserve">17.1.12.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bookmarkEnd w:id="63"/>
    </w:p>
    <w:bookmarkEnd w:id="59"/>
    <w:p w14:paraId="1F29B0D4">
      <w:pPr>
        <w:pStyle w:val="133"/>
        <w:numPr>
          <w:ilvl w:val="0"/>
          <w:numId w:val="0"/>
        </w:numPr>
        <w:spacing w:line="360" w:lineRule="auto"/>
        <w:ind w:leftChars="0"/>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4970892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52052D43">
      <w:pPr>
        <w:pStyle w:val="136"/>
        <w:numPr>
          <w:ilvl w:val="0"/>
          <w:numId w:val="0"/>
        </w:numPr>
        <w:spacing w:line="360" w:lineRule="auto"/>
        <w:ind w:left="0" w:leftChars="0" w:firstLine="481" w:firstLineChars="218"/>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76D4C5B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588A2CBA">
      <w:pPr>
        <w:pStyle w:val="136"/>
        <w:numPr>
          <w:ilvl w:val="0"/>
          <w:numId w:val="0"/>
        </w:numPr>
        <w:spacing w:line="360" w:lineRule="auto"/>
        <w:ind w:left="0" w:leftChars="0" w:firstLine="481" w:firstLineChars="218"/>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73561EE0">
      <w:pPr>
        <w:pStyle w:val="133"/>
        <w:numPr>
          <w:ilvl w:val="0"/>
          <w:numId w:val="0"/>
        </w:numPr>
        <w:spacing w:line="360" w:lineRule="auto"/>
        <w:ind w:leftChars="0"/>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720D0E76">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564D65B0">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0601D99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39D3CD75">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7B977320">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397AE1CB">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636E9D1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17.1.4</w:t>
      </w:r>
      <w:r>
        <w:rPr>
          <w:rFonts w:hint="default" w:ascii="Arial" w:hAnsi="Arial" w:cs="Arial"/>
          <w:sz w:val="22"/>
          <w:szCs w:val="22"/>
          <w:highlight w:val="none"/>
          <w:lang w:val="pt-BR"/>
        </w:rPr>
        <w:t>.</w:t>
      </w:r>
      <w:r>
        <w:rPr>
          <w:rFonts w:hint="default" w:ascii="Arial" w:hAnsi="Arial" w:cs="Arial"/>
          <w:sz w:val="22"/>
          <w:szCs w:val="22"/>
          <w:highlight w:val="none"/>
        </w:rPr>
        <w:t xml:space="preserve"> e 17.1.5.</w:t>
      </w:r>
    </w:p>
    <w:p w14:paraId="3DB94C4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17.1.6.</w:t>
      </w:r>
    </w:p>
    <w:p w14:paraId="2285533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17.1.1.</w:t>
      </w:r>
    </w:p>
    <w:p w14:paraId="6F53B37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17.1.3.</w:t>
      </w:r>
    </w:p>
    <w:p w14:paraId="7E70793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17.1.2</w:t>
      </w:r>
      <w:r>
        <w:rPr>
          <w:rFonts w:hint="default" w:ascii="Arial" w:hAnsi="Arial" w:cs="Arial"/>
          <w:sz w:val="22"/>
          <w:szCs w:val="22"/>
          <w:highlight w:val="none"/>
          <w:lang w:val="pt-BR"/>
        </w:rPr>
        <w:t>.</w:t>
      </w:r>
      <w:r>
        <w:rPr>
          <w:rFonts w:hint="default" w:ascii="Arial" w:hAnsi="Arial" w:cs="Arial"/>
          <w:sz w:val="22"/>
          <w:szCs w:val="22"/>
          <w:highlight w:val="none"/>
        </w:rPr>
        <w:t>, 17.1.7</w:t>
      </w:r>
      <w:r>
        <w:rPr>
          <w:rFonts w:hint="default" w:ascii="Arial" w:hAnsi="Arial" w:cs="Arial"/>
          <w:sz w:val="22"/>
          <w:szCs w:val="22"/>
          <w:highlight w:val="none"/>
          <w:lang w:val="pt-BR"/>
        </w:rPr>
        <w:t>.</w:t>
      </w:r>
      <w:r>
        <w:rPr>
          <w:rFonts w:hint="default" w:ascii="Arial" w:hAnsi="Arial" w:cs="Arial"/>
          <w:sz w:val="22"/>
          <w:szCs w:val="22"/>
          <w:highlight w:val="none"/>
        </w:rPr>
        <w:t>, 17.1.8</w:t>
      </w:r>
      <w:r>
        <w:rPr>
          <w:rFonts w:hint="default" w:ascii="Arial" w:hAnsi="Arial" w:cs="Arial"/>
          <w:sz w:val="22"/>
          <w:szCs w:val="22"/>
          <w:highlight w:val="none"/>
          <w:lang w:val="pt-BR"/>
        </w:rPr>
        <w:t>.</w:t>
      </w:r>
      <w:r>
        <w:rPr>
          <w:rFonts w:hint="default" w:ascii="Arial" w:hAnsi="Arial" w:cs="Arial"/>
          <w:sz w:val="22"/>
          <w:szCs w:val="22"/>
          <w:highlight w:val="none"/>
        </w:rPr>
        <w:t>, 17.1.9</w:t>
      </w:r>
      <w:r>
        <w:rPr>
          <w:rFonts w:hint="default" w:ascii="Arial" w:hAnsi="Arial" w:cs="Arial"/>
          <w:sz w:val="22"/>
          <w:szCs w:val="22"/>
          <w:highlight w:val="none"/>
          <w:lang w:val="pt-BR"/>
        </w:rPr>
        <w:t>.</w:t>
      </w:r>
      <w:r>
        <w:rPr>
          <w:rFonts w:hint="default" w:ascii="Arial" w:hAnsi="Arial" w:cs="Arial"/>
          <w:sz w:val="22"/>
          <w:szCs w:val="22"/>
          <w:highlight w:val="none"/>
        </w:rPr>
        <w:t>, 17.1.10</w:t>
      </w:r>
      <w:r>
        <w:rPr>
          <w:rFonts w:hint="default" w:ascii="Arial" w:hAnsi="Arial" w:cs="Arial"/>
          <w:sz w:val="22"/>
          <w:szCs w:val="22"/>
          <w:highlight w:val="none"/>
          <w:lang w:val="pt-BR"/>
        </w:rPr>
        <w:t>.</w:t>
      </w:r>
      <w:r>
        <w:rPr>
          <w:rFonts w:hint="default" w:ascii="Arial" w:hAnsi="Arial" w:cs="Arial"/>
          <w:sz w:val="22"/>
          <w:szCs w:val="22"/>
          <w:highlight w:val="none"/>
        </w:rPr>
        <w:t>, 17.1.11</w:t>
      </w:r>
      <w:r>
        <w:rPr>
          <w:rFonts w:hint="default" w:ascii="Arial" w:hAnsi="Arial" w:cs="Arial"/>
          <w:sz w:val="22"/>
          <w:szCs w:val="22"/>
          <w:highlight w:val="none"/>
          <w:lang w:val="pt-BR"/>
        </w:rPr>
        <w:t>.</w:t>
      </w:r>
      <w:r>
        <w:rPr>
          <w:rFonts w:hint="default" w:ascii="Arial" w:hAnsi="Arial" w:cs="Arial"/>
          <w:sz w:val="22"/>
          <w:szCs w:val="22"/>
          <w:highlight w:val="none"/>
        </w:rPr>
        <w:t xml:space="preserve"> e 17.1.12.</w:t>
      </w:r>
    </w:p>
    <w:p w14:paraId="7163517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0214414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081E80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217DFE1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72AA5BA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21BC1F7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6.</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3B55361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7.</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37A4F0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625FACD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34700E9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4C001EB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114665E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01B1543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382670A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26E88EC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2ACDCAB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52CC8ABA">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FISCALIZAÇÃO DA ATA DE REGISTRO DE PREÇOS </w:t>
      </w:r>
    </w:p>
    <w:p w14:paraId="73B41543">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091BDD3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7118248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36F5410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rPr>
        <w:t>18.4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030996A1">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18.5</w:t>
      </w:r>
      <w:r>
        <w:rPr>
          <w:rStyle w:val="152"/>
          <w:rFonts w:hint="default" w:ascii="Arial" w:hAnsi="Arial" w:cs="Arial"/>
          <w:b/>
          <w:bCs/>
          <w:color w:val="auto"/>
          <w:sz w:val="22"/>
          <w:szCs w:val="22"/>
          <w:lang w:val="pt-BR"/>
        </w:rPr>
        <w:t>.</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5B0C7A9C">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5AA3597D">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59F674FE">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419B99C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46E90E4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F67947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3D0D09F2">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417B047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5A33B10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0691658E">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rPr>
        <w:t>18.5.2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3BEA512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bookmarkStart w:id="64" w:name="_Hlk132036137"/>
      <w:r>
        <w:rPr>
          <w:rFonts w:hint="default" w:ascii="Arial" w:hAnsi="Arial" w:cs="Arial"/>
          <w:b/>
          <w:bCs/>
          <w:sz w:val="22"/>
          <w:szCs w:val="22"/>
        </w:rPr>
        <w:t>18.6</w:t>
      </w:r>
      <w:r>
        <w:rPr>
          <w:rFonts w:hint="default" w:ascii="Arial" w:hAnsi="Arial" w:cs="Arial"/>
          <w:b/>
          <w:bCs/>
          <w:sz w:val="22"/>
          <w:szCs w:val="22"/>
          <w:lang w:val="pt-BR"/>
        </w:rPr>
        <w:t>.</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377CFB7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1BCF443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18.8</w:t>
      </w:r>
      <w:r>
        <w:rPr>
          <w:rFonts w:hint="default" w:ascii="Arial" w:hAnsi="Arial" w:cs="Arial"/>
          <w:b/>
          <w:bCs/>
          <w:sz w:val="22"/>
          <w:szCs w:val="22"/>
          <w:lang w:val="pt-BR"/>
        </w:rPr>
        <w:t>.</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p>
    <w:p w14:paraId="19B36B2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18.9</w:t>
      </w:r>
      <w:r>
        <w:rPr>
          <w:rFonts w:hint="default" w:ascii="Arial" w:hAnsi="Arial" w:cs="Arial"/>
          <w:b/>
          <w:bCs/>
          <w:sz w:val="22"/>
          <w:szCs w:val="22"/>
          <w:lang w:val="pt-BR"/>
        </w:rPr>
        <w:t>.</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14C30C4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039190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7C90B42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bookmarkEnd w:id="64"/>
    <w:p w14:paraId="536AB3AB">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4E16A743">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14:paraId="2F738659">
      <w:pPr>
        <w:pStyle w:val="133"/>
        <w:numPr>
          <w:ilvl w:val="0"/>
          <w:numId w:val="0"/>
        </w:numPr>
        <w:tabs>
          <w:tab w:val="left" w:pos="480"/>
        </w:tabs>
        <w:spacing w:line="360" w:lineRule="auto"/>
        <w:ind w:leftChars="0"/>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70092054">
      <w:pPr>
        <w:pStyle w:val="133"/>
        <w:numPr>
          <w:ilvl w:val="0"/>
          <w:numId w:val="0"/>
        </w:numPr>
        <w:spacing w:line="360" w:lineRule="auto"/>
        <w:ind w:leftChars="0"/>
        <w:rPr>
          <w:sz w:val="22"/>
          <w:szCs w:val="22"/>
        </w:rPr>
      </w:pPr>
      <w:r>
        <w:rPr>
          <w:rFonts w:hint="default"/>
          <w:b/>
          <w:bCs/>
          <w:sz w:val="22"/>
          <w:szCs w:val="22"/>
          <w:lang w:val="pt-BR"/>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BAD5936">
      <w:pPr>
        <w:pStyle w:val="133"/>
        <w:numPr>
          <w:ilvl w:val="0"/>
          <w:numId w:val="0"/>
        </w:numPr>
        <w:spacing w:line="360" w:lineRule="auto"/>
        <w:ind w:leftChars="0"/>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863895E">
      <w:pPr>
        <w:pStyle w:val="133"/>
        <w:numPr>
          <w:ilvl w:val="0"/>
          <w:numId w:val="0"/>
        </w:numPr>
        <w:spacing w:line="360" w:lineRule="auto"/>
        <w:ind w:leftChars="0"/>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73EFEBE8">
      <w:pPr>
        <w:pStyle w:val="133"/>
        <w:numPr>
          <w:ilvl w:val="0"/>
          <w:numId w:val="0"/>
        </w:numPr>
        <w:spacing w:line="360" w:lineRule="auto"/>
        <w:ind w:leftChars="0"/>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59918143">
      <w:pPr>
        <w:pStyle w:val="133"/>
        <w:numPr>
          <w:ilvl w:val="0"/>
          <w:numId w:val="0"/>
        </w:numPr>
        <w:spacing w:line="360" w:lineRule="auto"/>
        <w:ind w:leftChars="0"/>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1D04EAC2">
      <w:pPr>
        <w:pStyle w:val="133"/>
        <w:numPr>
          <w:ilvl w:val="0"/>
          <w:numId w:val="0"/>
        </w:numPr>
        <w:spacing w:line="360" w:lineRule="auto"/>
        <w:ind w:leftChars="0"/>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3144D4A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62D12BE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eastAsia="Arial" w:cs="Arial"/>
          <w:b/>
          <w:bCs/>
          <w:color w:val="000000"/>
          <w:sz w:val="22"/>
          <w:szCs w:val="22"/>
        </w:rPr>
        <w:t>19.</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14:paraId="7816233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757710E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na Ata de Registro de Preços. </w:t>
      </w:r>
    </w:p>
    <w:p w14:paraId="074C339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rPr>
        <w:t>19.</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2CD14EB2">
      <w:pPr>
        <w:pStyle w:val="133"/>
        <w:numPr>
          <w:ilvl w:val="0"/>
          <w:numId w:val="0"/>
        </w:numPr>
        <w:spacing w:line="360" w:lineRule="auto"/>
        <w:ind w:leftChars="0"/>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4"/>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da Prefeitura Municipal de Sinop, no endereço eletrônico </w:t>
      </w:r>
      <w:r>
        <w:rPr>
          <w:rFonts w:hint="default" w:cs="Arial"/>
          <w:bCs/>
          <w:iCs/>
          <w:snapToGrid w:val="0"/>
          <w:color w:val="000000"/>
          <w:sz w:val="22"/>
          <w:szCs w:val="22"/>
          <w:lang w:val="pt-BR"/>
        </w:rPr>
        <w:fldChar w:fldCharType="begin"/>
      </w:r>
      <w:r>
        <w:rPr>
          <w:rFonts w:hint="default" w:cs="Arial"/>
          <w:bCs/>
          <w:iCs/>
          <w:snapToGrid w:val="0"/>
          <w:color w:val="000000"/>
          <w:sz w:val="22"/>
          <w:szCs w:val="22"/>
          <w:lang w:val="pt-BR"/>
        </w:rPr>
        <w:instrText xml:space="preserve"> HYPERLINK "http://www.transparencia.sinop.mt.gov.br/2018/Licitacoes/" </w:instrText>
      </w:r>
      <w:r>
        <w:rPr>
          <w:rFonts w:hint="default" w:cs="Arial"/>
          <w:bCs/>
          <w:iCs/>
          <w:snapToGrid w:val="0"/>
          <w:color w:val="000000"/>
          <w:sz w:val="22"/>
          <w:szCs w:val="22"/>
          <w:lang w:val="pt-BR"/>
        </w:rPr>
        <w:fldChar w:fldCharType="separate"/>
      </w:r>
      <w:r>
        <w:rPr>
          <w:rStyle w:val="14"/>
          <w:rFonts w:hint="default" w:cs="Arial"/>
          <w:bCs/>
          <w:iCs/>
          <w:snapToGrid w:val="0"/>
          <w:sz w:val="22"/>
          <w:szCs w:val="22"/>
          <w:lang w:val="pt-BR"/>
        </w:rPr>
        <w:t xml:space="preserve"> www.transparencia.sinop.mt.gov.br/2018/Licitacoes/</w:t>
      </w:r>
      <w:r>
        <w:rPr>
          <w:rFonts w:hint="default" w:cs="Arial"/>
          <w:bCs/>
          <w:iCs/>
          <w:snapToGrid w:val="0"/>
          <w:color w:val="000000"/>
          <w:sz w:val="22"/>
          <w:szCs w:val="22"/>
          <w:lang w:val="pt-BR"/>
        </w:rPr>
        <w:fldChar w:fldCharType="end"/>
      </w:r>
      <w:r>
        <w:rPr>
          <w:rFonts w:hint="default" w:cs="Arial"/>
          <w:bCs/>
          <w:iCs/>
          <w:snapToGrid w:val="0"/>
          <w:color w:val="000000"/>
          <w:sz w:val="22"/>
          <w:szCs w:val="22"/>
          <w:lang w:val="pt-BR"/>
        </w:rPr>
        <w:t>.</w:t>
      </w:r>
    </w:p>
    <w:p w14:paraId="4BE32CD3">
      <w:pPr>
        <w:pStyle w:val="122"/>
        <w:tabs>
          <w:tab w:val="left" w:pos="1701"/>
        </w:tabs>
        <w:spacing w:before="240" w:after="240" w:line="360" w:lineRule="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9.15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53F585C1">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3FA41991">
      <w:pPr>
        <w:tabs>
          <w:tab w:val="left" w:pos="1080"/>
        </w:tabs>
        <w:spacing w:before="240" w:after="240" w:line="360" w:lineRule="auto"/>
        <w:jc w:val="both"/>
        <w:rPr>
          <w:rFonts w:hint="default"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65FF41AB">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00595268">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0D68C2D4">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eclaração</w:t>
      </w:r>
      <w:r>
        <w:rPr>
          <w:rFonts w:hint="default" w:ascii="Arial" w:hAnsi="Arial" w:cs="Arial"/>
          <w:color w:val="000000"/>
          <w:sz w:val="22"/>
          <w:szCs w:val="22"/>
          <w:highlight w:val="none"/>
          <w:lang w:val="pt-BR"/>
        </w:rPr>
        <w:t xml:space="preserve"> de conhecimento do edital e</w:t>
      </w:r>
      <w:r>
        <w:rPr>
          <w:rFonts w:ascii="Arial" w:hAnsi="Arial" w:cs="Arial"/>
          <w:color w:val="000000"/>
          <w:sz w:val="22"/>
          <w:szCs w:val="22"/>
          <w:highlight w:val="none"/>
        </w:rPr>
        <w:t xml:space="preserve"> </w:t>
      </w:r>
      <w:r>
        <w:rPr>
          <w:rFonts w:hint="default" w:ascii="Arial" w:hAnsi="Arial" w:cs="Arial"/>
          <w:color w:val="000000"/>
          <w:sz w:val="22"/>
          <w:szCs w:val="22"/>
          <w:highlight w:val="none"/>
          <w:lang w:val="pt-BR"/>
        </w:rPr>
        <w:t xml:space="preserve">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hint="default" w:ascii="Arial" w:hAnsi="Arial" w:cs="Arial"/>
          <w:color w:val="000000"/>
          <w:sz w:val="22"/>
          <w:szCs w:val="22"/>
          <w:highlight w:val="none"/>
          <w:lang w:val="pt-BR"/>
        </w:rPr>
        <w:t xml:space="preserve">Modelo de declaração de inexistência de fatos impeditivos,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em atendimento ao art. 7º, XXXIII, da Constituição Federal)</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3282D8F9">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1C1B3C85">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2691680D">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 xml:space="preserve">de conhecimento do edital e 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de que não emprega menor de idade</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54BE1F03">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Minuta da Ata de Registro de Preços</w:t>
      </w:r>
      <w:r>
        <w:rPr>
          <w:rFonts w:hint="default" w:ascii="Arial" w:hAnsi="Arial" w:cs="Arial"/>
          <w:color w:val="000000"/>
          <w:sz w:val="22"/>
          <w:szCs w:val="22"/>
          <w:highlight w:val="none"/>
          <w:lang w:val="pt-BR"/>
        </w:rPr>
        <w:t>;</w:t>
      </w:r>
    </w:p>
    <w:p w14:paraId="104E20B9">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 xml:space="preserve">Anexo V </w:t>
      </w:r>
      <w:r>
        <w:rPr>
          <w:rFonts w:hint="default" w:ascii="Arial" w:hAnsi="Arial" w:cs="Arial"/>
          <w:color w:val="000000"/>
          <w:sz w:val="22"/>
          <w:szCs w:val="22"/>
          <w:highlight w:val="none"/>
          <w:lang w:val="pt-BR"/>
        </w:rPr>
        <w:t>- Cadastro Reserva.</w:t>
      </w:r>
    </w:p>
    <w:p w14:paraId="0BEF8BA6">
      <w:pPr>
        <w:tabs>
          <w:tab w:val="left" w:pos="1080"/>
        </w:tabs>
        <w:spacing w:line="360" w:lineRule="auto"/>
        <w:jc w:val="both"/>
        <w:rPr>
          <w:rFonts w:ascii="Arial" w:hAnsi="Arial" w:cs="Arial"/>
          <w:color w:val="000000"/>
          <w:sz w:val="22"/>
          <w:szCs w:val="22"/>
        </w:rPr>
      </w:pPr>
    </w:p>
    <w:p w14:paraId="2E8AAEAF">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 xml:space="preserve">Sinop/MT, </w:t>
      </w:r>
      <w:r>
        <w:rPr>
          <w:rFonts w:hint="default" w:ascii="Arial" w:hAnsi="Arial" w:cs="Arial"/>
          <w:color w:val="000000"/>
          <w:sz w:val="22"/>
          <w:szCs w:val="22"/>
          <w:lang w:val="pt-BR"/>
        </w:rPr>
        <w:t>10 de março de 2025</w:t>
      </w:r>
      <w:r>
        <w:rPr>
          <w:rFonts w:ascii="Arial" w:hAnsi="Arial" w:cs="Arial"/>
          <w:color w:val="000000"/>
          <w:sz w:val="22"/>
          <w:szCs w:val="22"/>
        </w:rPr>
        <w:t>.</w:t>
      </w:r>
    </w:p>
    <w:p w14:paraId="7279E44A">
      <w:pPr>
        <w:tabs>
          <w:tab w:val="left" w:pos="1080"/>
        </w:tabs>
        <w:spacing w:line="360" w:lineRule="auto"/>
        <w:jc w:val="both"/>
        <w:rPr>
          <w:rFonts w:ascii="Arial" w:hAnsi="Arial" w:cs="Arial"/>
          <w:color w:val="000000"/>
          <w:sz w:val="22"/>
          <w:szCs w:val="22"/>
        </w:rPr>
      </w:pPr>
    </w:p>
    <w:p w14:paraId="15DF26B3">
      <w:pPr>
        <w:tabs>
          <w:tab w:val="left" w:pos="1080"/>
        </w:tabs>
        <w:spacing w:line="360" w:lineRule="auto"/>
        <w:jc w:val="both"/>
        <w:rPr>
          <w:rFonts w:ascii="Arial" w:hAnsi="Arial" w:cs="Arial"/>
          <w:color w:val="000000"/>
          <w:sz w:val="22"/>
          <w:szCs w:val="22"/>
        </w:rPr>
      </w:pPr>
    </w:p>
    <w:p w14:paraId="6C9C2CB8">
      <w:pPr>
        <w:tabs>
          <w:tab w:val="left" w:pos="1080"/>
        </w:tabs>
        <w:spacing w:line="360" w:lineRule="auto"/>
        <w:jc w:val="both"/>
        <w:rPr>
          <w:rFonts w:ascii="Arial" w:hAnsi="Arial" w:cs="Arial"/>
          <w:color w:val="000000"/>
          <w:sz w:val="22"/>
          <w:szCs w:val="22"/>
        </w:rPr>
      </w:pPr>
    </w:p>
    <w:p w14:paraId="605E2D7C">
      <w:pPr>
        <w:tabs>
          <w:tab w:val="left" w:pos="1080"/>
        </w:tabs>
        <w:spacing w:line="360" w:lineRule="auto"/>
        <w:ind w:firstLine="2650" w:firstLineChars="1200"/>
        <w:jc w:val="both"/>
        <w:rPr>
          <w:rFonts w:hint="default" w:ascii="Arial" w:hAnsi="Arial" w:cs="Arial"/>
          <w:b/>
          <w:color w:val="000000"/>
          <w:sz w:val="22"/>
          <w:szCs w:val="22"/>
          <w:lang w:val="pt-BR"/>
        </w:rPr>
      </w:pPr>
      <w:r>
        <w:rPr>
          <w:rFonts w:hint="default" w:ascii="Arial" w:hAnsi="Arial" w:cs="Arial"/>
          <w:b/>
          <w:color w:val="000000"/>
          <w:sz w:val="22"/>
          <w:szCs w:val="22"/>
          <w:lang w:val="pt-BR"/>
        </w:rPr>
        <w:t>ORODOVALDO A. DE MIRANDA</w:t>
      </w:r>
    </w:p>
    <w:p w14:paraId="314D66DD">
      <w:pPr>
        <w:tabs>
          <w:tab w:val="left" w:pos="1080"/>
        </w:tabs>
        <w:spacing w:line="360" w:lineRule="auto"/>
        <w:ind w:firstLine="2650" w:firstLineChars="1200"/>
        <w:jc w:val="both"/>
        <w:rPr>
          <w:rFonts w:hint="default" w:ascii="Arial" w:hAnsi="Arial" w:cs="Arial"/>
          <w:color w:val="000000"/>
          <w:sz w:val="22"/>
          <w:szCs w:val="22"/>
          <w:lang w:val="pt-BR"/>
        </w:rPr>
      </w:pPr>
      <w:r>
        <w:rPr>
          <w:rFonts w:hint="default" w:ascii="Arial" w:hAnsi="Arial" w:cs="Arial"/>
          <w:b/>
          <w:color w:val="000000"/>
          <w:sz w:val="22"/>
          <w:szCs w:val="22"/>
          <w:lang w:val="pt-BR"/>
        </w:rPr>
        <w:t>Secretário Municipal de Saúde</w:t>
      </w:r>
    </w:p>
    <w:p w14:paraId="7A663C45">
      <w:pPr>
        <w:tabs>
          <w:tab w:val="left" w:pos="1080"/>
        </w:tabs>
        <w:spacing w:line="360" w:lineRule="auto"/>
        <w:jc w:val="both"/>
        <w:rPr>
          <w:rFonts w:ascii="Arial" w:hAnsi="Arial" w:cs="Arial"/>
          <w:color w:val="000000"/>
          <w:sz w:val="22"/>
          <w:szCs w:val="22"/>
        </w:rPr>
      </w:pPr>
    </w:p>
    <w:p w14:paraId="2DBB9159">
      <w:pPr>
        <w:tabs>
          <w:tab w:val="left" w:pos="1080"/>
        </w:tabs>
        <w:spacing w:line="360" w:lineRule="auto"/>
        <w:jc w:val="both"/>
        <w:rPr>
          <w:rFonts w:ascii="Arial" w:hAnsi="Arial" w:cs="Arial"/>
          <w:color w:val="000000"/>
          <w:sz w:val="22"/>
          <w:szCs w:val="22"/>
        </w:rPr>
      </w:pPr>
    </w:p>
    <w:p w14:paraId="7A5D7C07">
      <w:pPr>
        <w:tabs>
          <w:tab w:val="left" w:pos="1080"/>
        </w:tabs>
        <w:spacing w:line="360" w:lineRule="auto"/>
        <w:jc w:val="both"/>
        <w:rPr>
          <w:rFonts w:ascii="Arial" w:hAnsi="Arial" w:cs="Arial"/>
          <w:color w:val="000000"/>
          <w:sz w:val="22"/>
          <w:szCs w:val="22"/>
        </w:rPr>
      </w:pPr>
    </w:p>
    <w:p w14:paraId="29759719">
      <w:pPr>
        <w:tabs>
          <w:tab w:val="left" w:pos="1080"/>
        </w:tabs>
        <w:spacing w:line="360" w:lineRule="auto"/>
        <w:jc w:val="both"/>
        <w:rPr>
          <w:rFonts w:ascii="Arial" w:hAnsi="Arial" w:cs="Arial"/>
          <w:color w:val="000000"/>
          <w:sz w:val="22"/>
          <w:szCs w:val="22"/>
        </w:rPr>
      </w:pPr>
    </w:p>
    <w:p w14:paraId="5E1EBBA8">
      <w:pPr>
        <w:tabs>
          <w:tab w:val="left" w:pos="1080"/>
        </w:tabs>
        <w:spacing w:line="360" w:lineRule="auto"/>
        <w:jc w:val="both"/>
        <w:rPr>
          <w:rFonts w:ascii="Arial" w:hAnsi="Arial" w:cs="Arial"/>
          <w:color w:val="000000"/>
          <w:sz w:val="22"/>
          <w:szCs w:val="22"/>
        </w:rPr>
      </w:pPr>
    </w:p>
    <w:p w14:paraId="4FB2DA6E">
      <w:pPr>
        <w:tabs>
          <w:tab w:val="left" w:pos="1080"/>
        </w:tabs>
        <w:spacing w:line="360" w:lineRule="auto"/>
        <w:jc w:val="both"/>
        <w:rPr>
          <w:rFonts w:ascii="Arial" w:hAnsi="Arial" w:cs="Arial"/>
          <w:color w:val="000000"/>
          <w:sz w:val="22"/>
          <w:szCs w:val="22"/>
        </w:rPr>
      </w:pPr>
    </w:p>
    <w:p w14:paraId="59C9CB88">
      <w:pPr>
        <w:tabs>
          <w:tab w:val="left" w:pos="1080"/>
        </w:tabs>
        <w:spacing w:line="360" w:lineRule="auto"/>
        <w:jc w:val="both"/>
        <w:rPr>
          <w:rFonts w:ascii="Arial" w:hAnsi="Arial" w:cs="Arial"/>
          <w:color w:val="000000"/>
          <w:sz w:val="22"/>
          <w:szCs w:val="22"/>
        </w:rPr>
      </w:pPr>
    </w:p>
    <w:p w14:paraId="5BB8236B">
      <w:pPr>
        <w:pStyle w:val="16"/>
        <w:ind w:left="96"/>
        <w:jc w:val="both"/>
        <w:rPr>
          <w:rFonts w:ascii="Times New Roman" w:hAnsi="Times New Roman" w:cs="Times New Roman"/>
          <w:b/>
          <w:bCs/>
          <w:sz w:val="24"/>
          <w:szCs w:val="24"/>
        </w:rPr>
      </w:pPr>
      <w:r>
        <w:rPr>
          <w:rFonts w:ascii="Times New Roman" w:hAnsi="Times New Roman" w:cs="Times New Roman"/>
          <w:b/>
          <w:bCs/>
          <w:sz w:val="24"/>
          <w:szCs w:val="24"/>
          <w:lang w:val="pt-BR" w:eastAsia="pt-BR"/>
        </w:rPr>
        <mc:AlternateContent>
          <mc:Choice Requires="wps">
            <w:drawing>
              <wp:inline distT="0" distB="0" distL="0" distR="0">
                <wp:extent cx="5556250" cy="254000"/>
                <wp:effectExtent l="4445" t="4445" r="20955" b="8255"/>
                <wp:docPr id="3" name="Textbox 3"/>
                <wp:cNvGraphicFramePr/>
                <a:graphic xmlns:a="http://schemas.openxmlformats.org/drawingml/2006/main">
                  <a:graphicData uri="http://schemas.microsoft.com/office/word/2010/wordprocessingShape">
                    <wps:wsp>
                      <wps:cNvSpPr txBox="1"/>
                      <wps:spPr>
                        <a:xfrm>
                          <a:off x="0" y="0"/>
                          <a:ext cx="5556250" cy="254524"/>
                        </a:xfrm>
                        <a:prstGeom prst="rect">
                          <a:avLst/>
                        </a:prstGeom>
                        <a:solidFill>
                          <a:srgbClr val="D6D6D6"/>
                        </a:solidFill>
                        <a:ln w="6096">
                          <a:solidFill>
                            <a:srgbClr val="000000"/>
                          </a:solidFill>
                          <a:prstDash val="solid"/>
                        </a:ln>
                      </wps:spPr>
                      <wps:txbx>
                        <w:txbxContent>
                          <w:p w14:paraId="124F8A08">
                            <w:pPr>
                              <w:spacing w:before="61"/>
                              <w:ind w:left="16"/>
                              <w:jc w:val="center"/>
                              <w:rPr>
                                <w:rFonts w:ascii="Arial" w:hAnsi="Arial"/>
                                <w:b/>
                                <w:color w:val="000000"/>
                              </w:rPr>
                            </w:pPr>
                            <w:r>
                              <w:rPr>
                                <w:rFonts w:ascii="Arial" w:hAnsi="Arial"/>
                                <w:b/>
                                <w:color w:val="000000"/>
                              </w:rPr>
                              <w:t>TERMO DE REFERÊNCIA</w:t>
                            </w:r>
                          </w:p>
                        </w:txbxContent>
                      </wps:txbx>
                      <wps:bodyPr wrap="square" lIns="0" tIns="0" rIns="0" bIns="0" rtlCol="0">
                        <a:noAutofit/>
                      </wps:bodyPr>
                    </wps:wsp>
                  </a:graphicData>
                </a:graphic>
              </wp:inline>
            </w:drawing>
          </mc:Choice>
          <mc:Fallback>
            <w:pict>
              <v:shape id="Textbox 3" o:spid="_x0000_s1026" o:spt="202" type="#_x0000_t202" style="height:20pt;width:437.5pt;" fillcolor="#D6D6D6" filled="t" stroked="t" coordsize="21600,21600" o:gfxdata="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EdSHKPU&#10;AAAABAEAAA8AAAAAAAAAAQAgAAAAIgAAAGRycy9kb3ducmV2LnhtbFBLAQIUABQAAAAIAIdO4kCG&#10;bbN46wEAAAsEAAAOAAAAAAAAAAEAIAAAACMBAABkcnMvZTJvRG9jLnhtbFBLBQYAAAAABgAGAFkB&#10;AACABQAAAAA=&#10;">
                <v:fill on="t" focussize="0,0"/>
                <v:stroke weight="0.48pt" color="#000000" joinstyle="round"/>
                <v:imagedata o:title=""/>
                <o:lock v:ext="edit" aspectratio="f"/>
                <v:textbox inset="0mm,0mm,0mm,0mm">
                  <w:txbxContent>
                    <w:p w14:paraId="124F8A08">
                      <w:pPr>
                        <w:spacing w:before="61"/>
                        <w:ind w:left="16"/>
                        <w:jc w:val="center"/>
                        <w:rPr>
                          <w:rFonts w:ascii="Arial" w:hAnsi="Arial"/>
                          <w:b/>
                          <w:color w:val="000000"/>
                        </w:rPr>
                      </w:pPr>
                      <w:r>
                        <w:rPr>
                          <w:rFonts w:ascii="Arial" w:hAnsi="Arial"/>
                          <w:b/>
                          <w:color w:val="000000"/>
                        </w:rPr>
                        <w:t>TERMO DE REFERÊNCIA</w:t>
                      </w:r>
                    </w:p>
                  </w:txbxContent>
                </v:textbox>
                <w10:wrap type="none"/>
                <w10:anchorlock/>
              </v:shape>
            </w:pict>
          </mc:Fallback>
        </mc:AlternateContent>
      </w:r>
    </w:p>
    <w:p w14:paraId="63D2CA23">
      <w:pPr>
        <w:pStyle w:val="16"/>
        <w:ind w:left="96"/>
        <w:jc w:val="both"/>
        <w:rPr>
          <w:rFonts w:ascii="Times New Roman" w:hAnsi="Times New Roman" w:cs="Times New Roman"/>
          <w:b/>
          <w:bCs/>
          <w:sz w:val="24"/>
          <w:szCs w:val="24"/>
        </w:rPr>
      </w:pPr>
    </w:p>
    <w:p w14:paraId="54935F23">
      <w:pPr>
        <w:pStyle w:val="16"/>
        <w:ind w:left="96"/>
        <w:jc w:val="both"/>
        <w:rPr>
          <w:rFonts w:ascii="Times New Roman" w:hAnsi="Times New Roman" w:cs="Times New Roman"/>
          <w:b/>
          <w:bCs/>
          <w:sz w:val="24"/>
          <w:szCs w:val="24"/>
        </w:rPr>
      </w:pPr>
      <w:r>
        <w:rPr>
          <w:rFonts w:ascii="Times New Roman" w:hAnsi="Times New Roman" w:cs="Times New Roman"/>
          <w:b/>
          <w:bCs/>
          <w:sz w:val="24"/>
          <w:szCs w:val="24"/>
          <w:lang w:val="pt-BR" w:eastAsia="pt-BR"/>
        </w:rPr>
        <mc:AlternateContent>
          <mc:Choice Requires="wps">
            <w:drawing>
              <wp:inline distT="0" distB="0" distL="0" distR="0">
                <wp:extent cx="5556250" cy="273050"/>
                <wp:effectExtent l="4445" t="4445" r="20955" b="8255"/>
                <wp:docPr id="23" name="Textbox 3"/>
                <wp:cNvGraphicFramePr/>
                <a:graphic xmlns:a="http://schemas.openxmlformats.org/drawingml/2006/main">
                  <a:graphicData uri="http://schemas.microsoft.com/office/word/2010/wordprocessingShape">
                    <wps:wsp>
                      <wps:cNvSpPr txBox="1"/>
                      <wps:spPr>
                        <a:xfrm>
                          <a:off x="0" y="0"/>
                          <a:ext cx="5556250" cy="273378"/>
                        </a:xfrm>
                        <a:prstGeom prst="rect">
                          <a:avLst/>
                        </a:prstGeom>
                        <a:solidFill>
                          <a:srgbClr val="D6D6D6"/>
                        </a:solidFill>
                        <a:ln w="6096">
                          <a:solidFill>
                            <a:srgbClr val="000000"/>
                          </a:solidFill>
                          <a:prstDash val="solid"/>
                        </a:ln>
                      </wps:spPr>
                      <wps:txbx>
                        <w:txbxContent>
                          <w:p w14:paraId="0FBB1C9A">
                            <w:pPr>
                              <w:spacing w:before="61"/>
                              <w:ind w:left="16"/>
                              <w:jc w:val="center"/>
                              <w:rPr>
                                <w:rFonts w:ascii="Arial" w:hAnsi="Arial"/>
                                <w:b/>
                                <w:color w:val="000000"/>
                              </w:rPr>
                            </w:pPr>
                            <w:r>
                              <w:rPr>
                                <w:rFonts w:ascii="Arial" w:hAnsi="Arial"/>
                                <w:b/>
                                <w:color w:val="000000"/>
                              </w:rPr>
                              <w:t xml:space="preserve">PROCESSO ADMINISTRATIVO </w:t>
                            </w:r>
                            <w:r>
                              <w:rPr>
                                <w:rFonts w:hint="default" w:ascii="Arial" w:hAnsi="Arial"/>
                                <w:b/>
                                <w:color w:val="000000"/>
                                <w:lang w:val="pt-BR"/>
                              </w:rPr>
                              <w:t>Nº 16</w:t>
                            </w:r>
                            <w:r>
                              <w:rPr>
                                <w:rFonts w:ascii="Arial" w:hAnsi="Arial"/>
                                <w:b/>
                                <w:color w:val="000000"/>
                              </w:rPr>
                              <w:t>/2024</w:t>
                            </w:r>
                          </w:p>
                        </w:txbxContent>
                      </wps:txbx>
                      <wps:bodyPr wrap="square" lIns="0" tIns="0" rIns="0" bIns="0" rtlCol="0">
                        <a:noAutofit/>
                      </wps:bodyPr>
                    </wps:wsp>
                  </a:graphicData>
                </a:graphic>
              </wp:inline>
            </w:drawing>
          </mc:Choice>
          <mc:Fallback>
            <w:pict>
              <v:shape id="Textbox 3" o:spid="_x0000_s1026" o:spt="202" type="#_x0000_t202" style="height:21.5pt;width:437.5pt;" fillcolor="#D6D6D6" filled="t" stroked="t" coordsize="21600,21600" o:gfxdata="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jR+1&#10;DNQAAAAEAQAADwAAAAAAAAABACAAAAAiAAAAZHJzL2Rvd25yZXYueG1sUEsBAhQAFAAAAAgAh07i&#10;QHTA5fftAQAADAQAAA4AAAAAAAAAAQAgAAAAIwEAAGRycy9lMm9Eb2MueG1sUEsFBgAAAAAGAAYA&#10;WQEAAIIFAAAAAA==&#10;">
                <v:fill on="t" focussize="0,0"/>
                <v:stroke weight="0.48pt" color="#000000" joinstyle="round"/>
                <v:imagedata o:title=""/>
                <o:lock v:ext="edit" aspectratio="f"/>
                <v:textbox inset="0mm,0mm,0mm,0mm">
                  <w:txbxContent>
                    <w:p w14:paraId="0FBB1C9A">
                      <w:pPr>
                        <w:spacing w:before="61"/>
                        <w:ind w:left="16"/>
                        <w:jc w:val="center"/>
                        <w:rPr>
                          <w:rFonts w:ascii="Arial" w:hAnsi="Arial"/>
                          <w:b/>
                          <w:color w:val="000000"/>
                        </w:rPr>
                      </w:pPr>
                      <w:r>
                        <w:rPr>
                          <w:rFonts w:ascii="Arial" w:hAnsi="Arial"/>
                          <w:b/>
                          <w:color w:val="000000"/>
                        </w:rPr>
                        <w:t xml:space="preserve">PROCESSO ADMINISTRATIVO </w:t>
                      </w:r>
                      <w:r>
                        <w:rPr>
                          <w:rFonts w:hint="default" w:ascii="Arial" w:hAnsi="Arial"/>
                          <w:b/>
                          <w:color w:val="000000"/>
                          <w:lang w:val="pt-BR"/>
                        </w:rPr>
                        <w:t>Nº 16</w:t>
                      </w:r>
                      <w:r>
                        <w:rPr>
                          <w:rFonts w:ascii="Arial" w:hAnsi="Arial"/>
                          <w:b/>
                          <w:color w:val="000000"/>
                        </w:rPr>
                        <w:t>/2024</w:t>
                      </w:r>
                    </w:p>
                  </w:txbxContent>
                </v:textbox>
                <w10:wrap type="none"/>
                <w10:anchorlock/>
              </v:shape>
            </w:pict>
          </mc:Fallback>
        </mc:AlternateContent>
      </w:r>
    </w:p>
    <w:p w14:paraId="34B59E2D">
      <w:pPr>
        <w:spacing w:before="240" w:after="240" w:line="240" w:lineRule="auto"/>
        <w:ind w:left="108"/>
        <w:jc w:val="both"/>
        <w:rPr>
          <w:rFonts w:ascii="Arial" w:hAnsi="Arial" w:cs="Arial"/>
          <w:bCs/>
        </w:rPr>
      </w:pPr>
      <w:r>
        <w:rPr>
          <w:rFonts w:ascii="Arial" w:hAnsi="Arial" w:cs="Arial"/>
          <w:b/>
          <w:spacing w:val="-2"/>
        </w:rPr>
        <w:t>SIGILO:</w:t>
      </w:r>
      <w:r>
        <w:rPr>
          <w:rFonts w:ascii="Arial" w:hAnsi="Arial" w:cs="Arial"/>
          <w:bCs/>
          <w:spacing w:val="-2"/>
        </w:rPr>
        <w:t xml:space="preserve"> </w:t>
      </w:r>
      <w:r>
        <w:rPr>
          <w:rFonts w:ascii="Arial" w:hAnsi="Arial" w:cs="Arial"/>
          <w:bCs/>
          <w:spacing w:val="-10"/>
        </w:rPr>
        <w:t>(</w:t>
      </w:r>
      <w:r>
        <w:rPr>
          <w:rFonts w:ascii="Arial" w:hAnsi="Arial" w:cs="Arial"/>
          <w:bCs/>
          <w:spacing w:val="27"/>
        </w:rPr>
        <w:t xml:space="preserve">  </w:t>
      </w:r>
      <w:r>
        <w:rPr>
          <w:rFonts w:ascii="Arial" w:hAnsi="Arial" w:cs="Arial"/>
          <w:bCs/>
        </w:rPr>
        <w:t xml:space="preserve">) SIM </w:t>
      </w:r>
      <w:r>
        <w:rPr>
          <w:rFonts w:ascii="Arial" w:hAnsi="Arial" w:cs="Arial"/>
          <w:bCs/>
          <w:spacing w:val="-10"/>
        </w:rPr>
        <w:t>(</w:t>
      </w:r>
      <w:r>
        <w:rPr>
          <w:rFonts w:ascii="Arial" w:hAnsi="Arial" w:cs="Arial"/>
          <w:b/>
          <w:spacing w:val="27"/>
        </w:rPr>
        <w:t>X</w:t>
      </w:r>
      <w:r>
        <w:rPr>
          <w:rFonts w:ascii="Arial" w:hAnsi="Arial" w:cs="Arial"/>
          <w:bCs/>
        </w:rPr>
        <w:t>) NÃO</w:t>
      </w:r>
    </w:p>
    <w:p w14:paraId="368203BB">
      <w:pPr>
        <w:spacing w:before="240" w:after="240" w:line="240" w:lineRule="auto"/>
        <w:ind w:left="108"/>
        <w:jc w:val="both"/>
        <w:rPr>
          <w:rFonts w:ascii="Arial" w:hAnsi="Arial" w:cs="Arial"/>
          <w:bCs/>
        </w:rPr>
      </w:pPr>
      <w:r>
        <w:rPr>
          <w:rFonts w:ascii="Arial" w:hAnsi="Arial" w:cs="Arial"/>
          <w:b/>
        </w:rPr>
        <w:t>PREVISÃO</w:t>
      </w:r>
      <w:r>
        <w:rPr>
          <w:rFonts w:ascii="Arial" w:hAnsi="Arial" w:cs="Arial"/>
          <w:b/>
          <w:spacing w:val="-11"/>
        </w:rPr>
        <w:t xml:space="preserve"> </w:t>
      </w:r>
      <w:r>
        <w:rPr>
          <w:rFonts w:ascii="Arial" w:hAnsi="Arial" w:cs="Arial"/>
          <w:b/>
        </w:rPr>
        <w:t>NO</w:t>
      </w:r>
      <w:r>
        <w:rPr>
          <w:rFonts w:ascii="Arial" w:hAnsi="Arial" w:cs="Arial"/>
          <w:b/>
          <w:spacing w:val="-11"/>
        </w:rPr>
        <w:t xml:space="preserve"> </w:t>
      </w:r>
      <w:r>
        <w:rPr>
          <w:rFonts w:ascii="Arial" w:hAnsi="Arial" w:cs="Arial"/>
          <w:b/>
        </w:rPr>
        <w:t>PLANO</w:t>
      </w:r>
      <w:r>
        <w:rPr>
          <w:rFonts w:ascii="Arial" w:hAnsi="Arial" w:cs="Arial"/>
          <w:b/>
          <w:spacing w:val="-11"/>
        </w:rPr>
        <w:t xml:space="preserve"> </w:t>
      </w:r>
      <w:r>
        <w:rPr>
          <w:rFonts w:ascii="Arial" w:hAnsi="Arial" w:cs="Arial"/>
          <w:b/>
        </w:rPr>
        <w:t>DE CONTRATAÇÃO ANUAL:</w:t>
      </w:r>
      <w:r>
        <w:rPr>
          <w:rFonts w:ascii="Arial" w:hAnsi="Arial" w:cs="Arial"/>
          <w:bCs/>
        </w:rPr>
        <w:t xml:space="preserve"> </w:t>
      </w:r>
      <w:r>
        <w:rPr>
          <w:rFonts w:ascii="Arial" w:hAnsi="Arial" w:cs="Arial"/>
          <w:bCs/>
          <w:spacing w:val="-10"/>
        </w:rPr>
        <w:t>(</w:t>
      </w:r>
      <w:r>
        <w:rPr>
          <w:rFonts w:ascii="Arial" w:hAnsi="Arial" w:cs="Arial"/>
          <w:b/>
          <w:spacing w:val="-10"/>
        </w:rPr>
        <w:t>X</w:t>
      </w:r>
      <w:r>
        <w:rPr>
          <w:rFonts w:ascii="Arial" w:hAnsi="Arial" w:cs="Arial"/>
          <w:bCs/>
        </w:rPr>
        <w:t xml:space="preserve">) SIM </w:t>
      </w:r>
      <w:r>
        <w:rPr>
          <w:rFonts w:ascii="Arial" w:hAnsi="Arial" w:cs="Arial"/>
          <w:bCs/>
          <w:spacing w:val="-10"/>
        </w:rPr>
        <w:t xml:space="preserve">(   </w:t>
      </w:r>
      <w:r>
        <w:rPr>
          <w:rFonts w:ascii="Arial" w:hAnsi="Arial" w:cs="Arial"/>
          <w:bCs/>
        </w:rPr>
        <w:t>) NÃO</w:t>
      </w:r>
    </w:p>
    <w:p w14:paraId="34D5FF8A">
      <w:pPr>
        <w:pStyle w:val="16"/>
        <w:ind w:left="96"/>
        <w:jc w:val="both"/>
        <w:rPr>
          <w:rFonts w:ascii="Times New Roman" w:hAnsi="Times New Roman" w:cs="Times New Roman"/>
          <w:b/>
          <w:bCs/>
          <w:sz w:val="24"/>
          <w:szCs w:val="24"/>
        </w:rPr>
      </w:pPr>
      <w:r>
        <w:rPr>
          <w:rFonts w:ascii="Times New Roman" w:hAnsi="Times New Roman" w:cs="Times New Roman"/>
          <w:b/>
          <w:bCs/>
          <w:sz w:val="24"/>
          <w:szCs w:val="24"/>
          <w:lang w:val="pt-BR" w:eastAsia="pt-BR"/>
        </w:rPr>
        <mc:AlternateContent>
          <mc:Choice Requires="wps">
            <w:drawing>
              <wp:inline distT="0" distB="0" distL="0" distR="0">
                <wp:extent cx="5556250" cy="263525"/>
                <wp:effectExtent l="4445" t="4445" r="20955" b="17780"/>
                <wp:docPr id="6" name="Textbox 3"/>
                <wp:cNvGraphicFramePr/>
                <a:graphic xmlns:a="http://schemas.openxmlformats.org/drawingml/2006/main">
                  <a:graphicData uri="http://schemas.microsoft.com/office/word/2010/wordprocessingShape">
                    <wps:wsp>
                      <wps:cNvSpPr txBox="1"/>
                      <wps:spPr>
                        <a:xfrm>
                          <a:off x="0" y="0"/>
                          <a:ext cx="5556250" cy="263950"/>
                        </a:xfrm>
                        <a:prstGeom prst="rect">
                          <a:avLst/>
                        </a:prstGeom>
                        <a:solidFill>
                          <a:srgbClr val="D6D6D6"/>
                        </a:solidFill>
                        <a:ln w="6096">
                          <a:solidFill>
                            <a:srgbClr val="000000"/>
                          </a:solidFill>
                          <a:prstDash val="solid"/>
                        </a:ln>
                      </wps:spPr>
                      <wps:txbx>
                        <w:txbxContent>
                          <w:p w14:paraId="2AE1A963">
                            <w:pPr>
                              <w:pStyle w:val="127"/>
                              <w:numPr>
                                <w:ilvl w:val="0"/>
                                <w:numId w:val="11"/>
                              </w:numPr>
                              <w:spacing w:before="61"/>
                              <w:jc w:val="center"/>
                              <w:rPr>
                                <w:rFonts w:ascii="Arial" w:hAnsi="Arial" w:cs="Arial"/>
                                <w:b/>
                                <w:color w:val="000000"/>
                              </w:rPr>
                            </w:pPr>
                            <w:r>
                              <w:rPr>
                                <w:rFonts w:ascii="Arial" w:hAnsi="Arial" w:cs="Arial"/>
                                <w:b/>
                                <w:color w:val="000000"/>
                              </w:rPr>
                              <w:t>ÁREA DEMANDANTE</w:t>
                            </w:r>
                          </w:p>
                        </w:txbxContent>
                      </wps:txbx>
                      <wps:bodyPr wrap="square" lIns="0" tIns="0" rIns="0" bIns="0" rtlCol="0">
                        <a:noAutofit/>
                      </wps:bodyPr>
                    </wps:wsp>
                  </a:graphicData>
                </a:graphic>
              </wp:inline>
            </w:drawing>
          </mc:Choice>
          <mc:Fallback>
            <w:pict>
              <v:shape id="Textbox 3" o:spid="_x0000_s1026" o:spt="202" type="#_x0000_t202" style="height:20.75pt;width:437.5pt;" fillcolor="#D6D6D6" filled="t" stroked="t" coordsize="21600,21600" o:gfxdata="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75PH40wAA&#10;AAQBAAAPAAAAAAAAAAEAIAAAACIAAABkcnMvZG93bnJldi54bWxQSwECFAAUAAAACACHTuJAnOnP&#10;4uoBAAALBAAADgAAAAAAAAABACAAAAAiAQAAZHJzL2Uyb0RvYy54bWxQSwUGAAAAAAYABgBZAQAA&#10;fgUAAAAA&#10;">
                <v:fill on="t" focussize="0,0"/>
                <v:stroke weight="0.48pt" color="#000000" joinstyle="round"/>
                <v:imagedata o:title=""/>
                <o:lock v:ext="edit" aspectratio="f"/>
                <v:textbox inset="0mm,0mm,0mm,0mm">
                  <w:txbxContent>
                    <w:p w14:paraId="2AE1A963">
                      <w:pPr>
                        <w:pStyle w:val="127"/>
                        <w:numPr>
                          <w:ilvl w:val="0"/>
                          <w:numId w:val="11"/>
                        </w:numPr>
                        <w:spacing w:before="61"/>
                        <w:jc w:val="center"/>
                        <w:rPr>
                          <w:rFonts w:ascii="Arial" w:hAnsi="Arial" w:cs="Arial"/>
                          <w:b/>
                          <w:color w:val="000000"/>
                        </w:rPr>
                      </w:pPr>
                      <w:r>
                        <w:rPr>
                          <w:rFonts w:ascii="Arial" w:hAnsi="Arial" w:cs="Arial"/>
                          <w:b/>
                          <w:color w:val="000000"/>
                        </w:rPr>
                        <w:t>ÁREA DEMANDANTE</w:t>
                      </w:r>
                    </w:p>
                  </w:txbxContent>
                </v:textbox>
                <w10:wrap type="none"/>
                <w10:anchorlock/>
              </v:shape>
            </w:pict>
          </mc:Fallback>
        </mc:AlternateContent>
      </w:r>
    </w:p>
    <w:p w14:paraId="10B92C79">
      <w:pPr>
        <w:spacing w:before="240" w:after="240" w:line="240" w:lineRule="auto"/>
        <w:ind w:left="108"/>
        <w:jc w:val="both"/>
        <w:rPr>
          <w:rFonts w:ascii="Arial" w:hAnsi="Arial" w:cs="Arial"/>
        </w:rPr>
      </w:pPr>
      <w:r>
        <w:rPr>
          <w:rFonts w:ascii="Arial" w:hAnsi="Arial" w:cs="Arial"/>
          <w:b/>
          <w:bCs/>
        </w:rPr>
        <w:t>Secretaria Demandante:</w:t>
      </w:r>
      <w:r>
        <w:rPr>
          <w:rFonts w:ascii="Arial" w:hAnsi="Arial" w:cs="Arial"/>
        </w:rPr>
        <w:t xml:space="preserve"> Secretaria Municipal de Saúde</w:t>
      </w:r>
    </w:p>
    <w:p w14:paraId="2AEBE18B">
      <w:pPr>
        <w:spacing w:before="240" w:after="240" w:line="240" w:lineRule="auto"/>
        <w:ind w:left="108"/>
        <w:jc w:val="both"/>
        <w:rPr>
          <w:rFonts w:ascii="Arial" w:hAnsi="Arial" w:cs="Arial"/>
        </w:rPr>
      </w:pPr>
      <w:r>
        <w:rPr>
          <w:rFonts w:ascii="Arial" w:hAnsi="Arial" w:cs="Arial"/>
          <w:b/>
          <w:bCs/>
        </w:rPr>
        <w:t>Secretário:</w:t>
      </w:r>
      <w:r>
        <w:rPr>
          <w:rFonts w:ascii="Arial" w:hAnsi="Arial" w:cs="Arial"/>
        </w:rPr>
        <w:t xml:space="preserve"> Orodovaldo Antônio de Miranda</w:t>
      </w:r>
    </w:p>
    <w:p w14:paraId="36386531">
      <w:pPr>
        <w:spacing w:before="240" w:after="240" w:line="240" w:lineRule="auto"/>
        <w:ind w:left="108"/>
        <w:jc w:val="both"/>
        <w:rPr>
          <w:rFonts w:ascii="Arial" w:hAnsi="Arial" w:cs="Arial"/>
        </w:rPr>
      </w:pPr>
      <w:r>
        <w:rPr>
          <w:rFonts w:ascii="Arial" w:hAnsi="Arial" w:cs="Arial"/>
          <w:b/>
          <w:bCs/>
        </w:rPr>
        <w:t>E-mail (institucional):</w:t>
      </w:r>
      <w:r>
        <w:rPr>
          <w:rFonts w:ascii="Arial" w:hAnsi="Arial" w:cs="Arial"/>
        </w:rPr>
        <w:t xml:space="preserve"> licitacao.saude@sinop.mt.gov.br</w:t>
      </w:r>
    </w:p>
    <w:p w14:paraId="2C8EDE85">
      <w:pPr>
        <w:spacing w:before="240" w:after="240" w:line="240" w:lineRule="auto"/>
        <w:ind w:left="108"/>
        <w:jc w:val="both"/>
        <w:rPr>
          <w:rFonts w:ascii="Arial" w:hAnsi="Arial" w:cs="Arial"/>
        </w:rPr>
      </w:pPr>
      <w:r>
        <w:rPr>
          <w:rFonts w:ascii="Arial" w:hAnsi="Arial" w:cs="Arial"/>
          <w:b/>
          <w:bCs/>
        </w:rPr>
        <w:t>Telefone (Institucional):</w:t>
      </w:r>
      <w:r>
        <w:rPr>
          <w:rFonts w:ascii="Arial" w:hAnsi="Arial" w:cs="Arial"/>
        </w:rPr>
        <w:t xml:space="preserve"> (66) 99226-8227</w:t>
      </w:r>
    </w:p>
    <w:p w14:paraId="7FFB665C">
      <w:pPr>
        <w:pStyle w:val="16"/>
        <w:ind w:left="96"/>
        <w:jc w:val="both"/>
        <w:rPr>
          <w:rFonts w:ascii="Times New Roman" w:hAnsi="Times New Roman" w:cs="Times New Roman"/>
          <w:b/>
          <w:bCs/>
          <w:sz w:val="24"/>
          <w:szCs w:val="24"/>
        </w:rPr>
      </w:pPr>
      <w:r>
        <w:rPr>
          <w:rFonts w:ascii="Times New Roman" w:hAnsi="Times New Roman" w:cs="Times New Roman"/>
          <w:b/>
          <w:bCs/>
          <w:sz w:val="24"/>
          <w:szCs w:val="24"/>
          <w:lang w:val="pt-BR" w:eastAsia="pt-BR"/>
        </w:rPr>
        <mc:AlternateContent>
          <mc:Choice Requires="wps">
            <w:drawing>
              <wp:inline distT="0" distB="0" distL="0" distR="0">
                <wp:extent cx="5556250" cy="254000"/>
                <wp:effectExtent l="4445" t="4445" r="20955" b="8255"/>
                <wp:docPr id="7" name="Textbox 3"/>
                <wp:cNvGraphicFramePr/>
                <a:graphic xmlns:a="http://schemas.openxmlformats.org/drawingml/2006/main">
                  <a:graphicData uri="http://schemas.microsoft.com/office/word/2010/wordprocessingShape">
                    <wps:wsp>
                      <wps:cNvSpPr txBox="1"/>
                      <wps:spPr>
                        <a:xfrm>
                          <a:off x="0" y="0"/>
                          <a:ext cx="5556250" cy="254524"/>
                        </a:xfrm>
                        <a:prstGeom prst="rect">
                          <a:avLst/>
                        </a:prstGeom>
                        <a:solidFill>
                          <a:srgbClr val="D6D6D6"/>
                        </a:solidFill>
                        <a:ln w="6096">
                          <a:solidFill>
                            <a:srgbClr val="000000"/>
                          </a:solidFill>
                          <a:prstDash val="solid"/>
                        </a:ln>
                      </wps:spPr>
                      <wps:txbx>
                        <w:txbxContent>
                          <w:p w14:paraId="6A104C8F">
                            <w:pPr>
                              <w:spacing w:before="61"/>
                              <w:ind w:left="16"/>
                              <w:jc w:val="center"/>
                              <w:rPr>
                                <w:rFonts w:ascii="Arial" w:hAnsi="Arial" w:cs="Arial"/>
                                <w:b/>
                                <w:color w:val="000000"/>
                              </w:rPr>
                            </w:pPr>
                            <w:r>
                              <w:rPr>
                                <w:rFonts w:ascii="Arial" w:hAnsi="Arial" w:cs="Arial"/>
                                <w:b/>
                                <w:color w:val="000000"/>
                              </w:rPr>
                              <w:t>2. OBJETO</w:t>
                            </w:r>
                          </w:p>
                        </w:txbxContent>
                      </wps:txbx>
                      <wps:bodyPr wrap="square" lIns="0" tIns="0" rIns="0" bIns="0" rtlCol="0">
                        <a:noAutofit/>
                      </wps:bodyPr>
                    </wps:wsp>
                  </a:graphicData>
                </a:graphic>
              </wp:inline>
            </w:drawing>
          </mc:Choice>
          <mc:Fallback>
            <w:pict>
              <v:shape id="Textbox 3" o:spid="_x0000_s1026" o:spt="202" type="#_x0000_t202" style="height:20pt;width:437.5pt;" fillcolor="#D6D6D6" filled="t" stroked="t" coordsize="21600,21600" o:gfxdata="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HUhyj&#10;1AAAAAQBAAAPAAAAAAAAAAEAIAAAACIAAABkcnMvZG93bnJldi54bWxQSwECFAAUAAAACACHTuJA&#10;5XhOIOwBAAALBAAADgAAAAAAAAABACAAAAAjAQAAZHJzL2Uyb0RvYy54bWxQSwUGAAAAAAYABgBZ&#10;AQAAgQUAAAAA&#10;">
                <v:fill on="t" focussize="0,0"/>
                <v:stroke weight="0.48pt" color="#000000" joinstyle="round"/>
                <v:imagedata o:title=""/>
                <o:lock v:ext="edit" aspectratio="f"/>
                <v:textbox inset="0mm,0mm,0mm,0mm">
                  <w:txbxContent>
                    <w:p w14:paraId="6A104C8F">
                      <w:pPr>
                        <w:spacing w:before="61"/>
                        <w:ind w:left="16"/>
                        <w:jc w:val="center"/>
                        <w:rPr>
                          <w:rFonts w:ascii="Arial" w:hAnsi="Arial" w:cs="Arial"/>
                          <w:b/>
                          <w:color w:val="000000"/>
                        </w:rPr>
                      </w:pPr>
                      <w:r>
                        <w:rPr>
                          <w:rFonts w:ascii="Arial" w:hAnsi="Arial" w:cs="Arial"/>
                          <w:b/>
                          <w:color w:val="000000"/>
                        </w:rPr>
                        <w:t>2. OBJETO</w:t>
                      </w:r>
                    </w:p>
                  </w:txbxContent>
                </v:textbox>
                <w10:wrap type="none"/>
                <w10:anchorlock/>
              </v:shape>
            </w:pict>
          </mc:Fallback>
        </mc:AlternateContent>
      </w:r>
    </w:p>
    <w:p w14:paraId="6A92D3A7">
      <w:pPr>
        <w:spacing w:before="240" w:after="240" w:line="360" w:lineRule="auto"/>
        <w:ind w:left="108"/>
        <w:jc w:val="both"/>
        <w:rPr>
          <w:rFonts w:ascii="Arial" w:hAnsi="Arial" w:cs="Arial"/>
          <w:b/>
          <w:bCs/>
          <w:spacing w:val="-2"/>
        </w:rPr>
      </w:pPr>
      <w:r>
        <w:rPr>
          <w:rFonts w:ascii="Arial" w:hAnsi="Arial" w:cs="Arial"/>
          <w:b/>
          <w:bCs/>
        </w:rPr>
        <w:t>2.1. ESPECIFICAÇÃO</w:t>
      </w:r>
      <w:r>
        <w:rPr>
          <w:rFonts w:ascii="Arial" w:hAnsi="Arial" w:cs="Arial"/>
          <w:b/>
          <w:bCs/>
          <w:spacing w:val="-1"/>
        </w:rPr>
        <w:t xml:space="preserve"> </w:t>
      </w:r>
      <w:r>
        <w:rPr>
          <w:rFonts w:ascii="Arial" w:hAnsi="Arial" w:cs="Arial"/>
          <w:b/>
          <w:bCs/>
        </w:rPr>
        <w:t>DO</w:t>
      </w:r>
      <w:r>
        <w:rPr>
          <w:rFonts w:ascii="Arial" w:hAnsi="Arial" w:cs="Arial"/>
          <w:b/>
          <w:bCs/>
          <w:spacing w:val="-1"/>
        </w:rPr>
        <w:t xml:space="preserve"> </w:t>
      </w:r>
      <w:r>
        <w:rPr>
          <w:rFonts w:ascii="Arial" w:hAnsi="Arial" w:cs="Arial"/>
          <w:b/>
          <w:bCs/>
          <w:spacing w:val="-2"/>
        </w:rPr>
        <w:t>OBJETO:</w:t>
      </w:r>
    </w:p>
    <w:p w14:paraId="318B6BCE">
      <w:pPr>
        <w:spacing w:before="240" w:after="240" w:line="360" w:lineRule="auto"/>
        <w:ind w:left="108"/>
        <w:jc w:val="both"/>
        <w:rPr>
          <w:rFonts w:ascii="Arial" w:hAnsi="Arial" w:cs="Arial"/>
        </w:rPr>
      </w:pPr>
      <w:r>
        <w:rPr>
          <w:rFonts w:ascii="Arial" w:hAnsi="Arial" w:cs="Arial"/>
        </w:rPr>
        <w:t xml:space="preserve">Contratação de Empresa Especializada na aquisição dos itens fracassados do Pregão eletrônico 54/2024 para aquisição de insumos para microbiologia, covid/influenza, insumos gerais para atender as demanda do Laboratório Municipal de Análises Clínicas de Sinop. </w:t>
      </w:r>
    </w:p>
    <w:p w14:paraId="1DCE8DCE">
      <w:pPr>
        <w:widowControl w:val="0"/>
        <w:tabs>
          <w:tab w:val="left" w:pos="142"/>
          <w:tab w:val="left" w:pos="426"/>
        </w:tabs>
        <w:adjustRightInd w:val="0"/>
        <w:spacing w:before="240" w:after="240" w:line="360" w:lineRule="auto"/>
        <w:ind w:left="108"/>
        <w:jc w:val="both"/>
        <w:textAlignment w:val="baseline"/>
        <w:rPr>
          <w:rFonts w:ascii="Arial" w:hAnsi="Arial" w:cs="Arial"/>
          <w:b/>
          <w:bCs/>
        </w:rPr>
      </w:pPr>
      <w:r>
        <w:rPr>
          <w:rFonts w:ascii="Arial" w:hAnsi="Arial" w:cs="Arial"/>
          <w:b/>
          <w:bCs/>
        </w:rPr>
        <w:t>2.2. DESCRIÇÃO E QUANTIDADES:</w:t>
      </w:r>
    </w:p>
    <w:p w14:paraId="6875FD22">
      <w:pPr>
        <w:tabs>
          <w:tab w:val="left" w:pos="142"/>
          <w:tab w:val="left" w:pos="426"/>
        </w:tabs>
        <w:adjustRightInd w:val="0"/>
        <w:spacing w:before="240" w:after="240" w:line="360" w:lineRule="auto"/>
        <w:ind w:left="108"/>
        <w:jc w:val="both"/>
        <w:textAlignment w:val="baseline"/>
        <w:rPr>
          <w:rFonts w:ascii="Arial" w:hAnsi="Arial" w:cs="Arial"/>
        </w:rPr>
      </w:pPr>
      <w:r>
        <w:rPr>
          <w:rFonts w:ascii="Arial" w:hAnsi="Arial" w:cs="Arial"/>
        </w:rPr>
        <w:t xml:space="preserve">2.2.1. O TCE/MT desenvolveu e mantém o Catálogo de Materiais e Serviços que é um banco de especificações de </w:t>
      </w:r>
      <w:r>
        <w:rPr>
          <w:rFonts w:ascii="Arial" w:hAnsi="Arial" w:cs="Arial"/>
          <w:u w:val="single"/>
        </w:rPr>
        <w:t>itens licitáveis de uso obrigatório para todos os órgãos sob a jurisdição do TCE/MT</w:t>
      </w:r>
      <w:r>
        <w:rPr>
          <w:rFonts w:ascii="Arial" w:hAnsi="Arial" w:cs="Arial"/>
        </w:rPr>
        <w:t>. Dessa forma, o município de Sinop utiliza desse catálogo eletrônico desde 2017.</w:t>
      </w:r>
    </w:p>
    <w:p w14:paraId="461B3130">
      <w:pPr>
        <w:tabs>
          <w:tab w:val="left" w:pos="142"/>
          <w:tab w:val="left" w:pos="426"/>
        </w:tabs>
        <w:adjustRightInd w:val="0"/>
        <w:spacing w:before="240" w:after="240" w:line="360" w:lineRule="auto"/>
        <w:ind w:left="108"/>
        <w:jc w:val="both"/>
        <w:textAlignment w:val="baseline"/>
        <w:rPr>
          <w:rFonts w:ascii="Arial" w:hAnsi="Arial" w:cs="Arial"/>
        </w:rPr>
      </w:pPr>
      <w:r>
        <w:rPr>
          <w:rFonts w:ascii="Arial" w:hAnsi="Arial" w:cs="Arial"/>
        </w:rPr>
        <w:t>2.2.2. O catálogo abrange desde alimentos, produtos de higiene, artigos de vestuário, produtos químicos, armamentos, maquinários, material de expediente, medicamentos e demais materiais ou serviços. A padronização de descrições de itens de compra estimula a ampla concorrência entre produtos equivalentes nas licitações públicas e possibilita o estabelecimento de banco de dados confiável para análises e estudos de preços praticados nas compras públicas realizadas no estado de Mato Grosso.</w:t>
      </w:r>
    </w:p>
    <w:tbl>
      <w:tblPr>
        <w:tblStyle w:val="10"/>
        <w:tblW w:w="9360" w:type="dxa"/>
        <w:jc w:val="center"/>
        <w:tblLayout w:type="fixed"/>
        <w:tblCellMar>
          <w:top w:w="0" w:type="dxa"/>
          <w:left w:w="108" w:type="dxa"/>
          <w:bottom w:w="0" w:type="dxa"/>
          <w:right w:w="108" w:type="dxa"/>
        </w:tblCellMar>
      </w:tblPr>
      <w:tblGrid>
        <w:gridCol w:w="927"/>
        <w:gridCol w:w="3463"/>
        <w:gridCol w:w="1275"/>
        <w:gridCol w:w="956"/>
        <w:gridCol w:w="1370"/>
        <w:gridCol w:w="1369"/>
      </w:tblGrid>
      <w:tr w14:paraId="0FB9221B">
        <w:tblPrEx>
          <w:tblCellMar>
            <w:top w:w="0" w:type="dxa"/>
            <w:left w:w="108" w:type="dxa"/>
            <w:bottom w:w="0" w:type="dxa"/>
            <w:right w:w="108" w:type="dxa"/>
          </w:tblCellMar>
        </w:tblPrEx>
        <w:trPr>
          <w:trHeight w:val="741" w:hRule="atLeast"/>
          <w:jc w:val="center"/>
        </w:trPr>
        <w:tc>
          <w:tcPr>
            <w:tcW w:w="927"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vAlign w:val="center"/>
          </w:tcPr>
          <w:p w14:paraId="389E0083">
            <w:pPr>
              <w:jc w:val="center"/>
              <w:textAlignment w:val="center"/>
              <w:rPr>
                <w:rFonts w:ascii="Arial" w:hAnsi="Arial" w:cs="Arial"/>
                <w:b/>
                <w:bCs/>
                <w:color w:val="000000"/>
                <w:sz w:val="18"/>
                <w:szCs w:val="18"/>
              </w:rPr>
            </w:pPr>
            <w:bookmarkStart w:id="65" w:name="_Hlk188609008"/>
            <w:r>
              <w:rPr>
                <w:rFonts w:ascii="Arial" w:hAnsi="Arial" w:eastAsia="SimSun" w:cs="Arial"/>
                <w:b/>
                <w:bCs/>
                <w:color w:val="000000"/>
                <w:sz w:val="18"/>
                <w:szCs w:val="18"/>
                <w:lang w:val="en-US" w:eastAsia="zh-CN" w:bidi="ar"/>
              </w:rPr>
              <w:t>ITEM</w:t>
            </w:r>
          </w:p>
        </w:tc>
        <w:tc>
          <w:tcPr>
            <w:tcW w:w="3463"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vAlign w:val="center"/>
          </w:tcPr>
          <w:p w14:paraId="20867403">
            <w:pPr>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DESCRIÇÃO E ESPECIFICAÇÃO</w:t>
            </w:r>
          </w:p>
        </w:tc>
        <w:tc>
          <w:tcPr>
            <w:tcW w:w="1275"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11D696F">
            <w:pPr>
              <w:jc w:val="center"/>
              <w:rPr>
                <w:rFonts w:ascii="Arial" w:hAnsi="Arial" w:cs="Arial"/>
                <w:sz w:val="18"/>
                <w:szCs w:val="18"/>
              </w:rPr>
            </w:pPr>
            <w:r>
              <w:rPr>
                <w:rStyle w:val="163"/>
                <w:rFonts w:ascii="Arial" w:hAnsi="Arial" w:cs="Arial"/>
                <w:sz w:val="18"/>
                <w:szCs w:val="18"/>
              </w:rPr>
              <w:t>UNIDADE DE MEDIDA</w:t>
            </w:r>
          </w:p>
        </w:tc>
        <w:tc>
          <w:tcPr>
            <w:tcW w:w="95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4062B911">
            <w:pPr>
              <w:jc w:val="center"/>
              <w:rPr>
                <w:rFonts w:ascii="Arial" w:hAnsi="Arial" w:cs="Arial"/>
                <w:sz w:val="18"/>
                <w:szCs w:val="18"/>
              </w:rPr>
            </w:pPr>
            <w:r>
              <w:rPr>
                <w:rStyle w:val="163"/>
                <w:rFonts w:ascii="Arial" w:hAnsi="Arial" w:cs="Arial"/>
                <w:sz w:val="18"/>
                <w:szCs w:val="18"/>
              </w:rPr>
              <w:t>QUANT.</w:t>
            </w:r>
          </w:p>
        </w:tc>
        <w:tc>
          <w:tcPr>
            <w:tcW w:w="137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266290AD">
            <w:pPr>
              <w:jc w:val="center"/>
              <w:rPr>
                <w:rFonts w:ascii="Arial" w:hAnsi="Arial" w:cs="Arial"/>
                <w:sz w:val="18"/>
                <w:szCs w:val="18"/>
              </w:rPr>
            </w:pPr>
            <w:r>
              <w:rPr>
                <w:rStyle w:val="163"/>
                <w:rFonts w:ascii="Arial" w:hAnsi="Arial" w:cs="Arial"/>
                <w:sz w:val="18"/>
                <w:szCs w:val="18"/>
              </w:rPr>
              <w:t>VALOR UNIT. ESTIMADO</w:t>
            </w:r>
          </w:p>
        </w:tc>
        <w:tc>
          <w:tcPr>
            <w:tcW w:w="1369"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2E550BF9">
            <w:pPr>
              <w:jc w:val="center"/>
              <w:rPr>
                <w:rFonts w:ascii="Arial" w:hAnsi="Arial" w:cs="Arial"/>
                <w:sz w:val="18"/>
                <w:szCs w:val="18"/>
              </w:rPr>
            </w:pPr>
            <w:r>
              <w:rPr>
                <w:rStyle w:val="163"/>
                <w:rFonts w:ascii="Arial" w:hAnsi="Arial" w:cs="Arial"/>
                <w:sz w:val="18"/>
                <w:szCs w:val="18"/>
              </w:rPr>
              <w:t>VALOR TOTAL ESTIMADO</w:t>
            </w:r>
          </w:p>
        </w:tc>
      </w:tr>
      <w:tr w14:paraId="0A82E7E9">
        <w:tblPrEx>
          <w:tblCellMar>
            <w:top w:w="0" w:type="dxa"/>
            <w:left w:w="108" w:type="dxa"/>
            <w:bottom w:w="0" w:type="dxa"/>
            <w:right w:w="108" w:type="dxa"/>
          </w:tblCellMar>
        </w:tblPrEx>
        <w:trPr>
          <w:trHeight w:val="962" w:hRule="atLeast"/>
          <w:jc w:val="center"/>
        </w:trPr>
        <w:tc>
          <w:tcPr>
            <w:tcW w:w="927"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77F2CDA6">
            <w:pPr>
              <w:jc w:val="cente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1</w:t>
            </w:r>
          </w:p>
        </w:tc>
        <w:tc>
          <w:tcPr>
            <w:tcW w:w="34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38C84175">
            <w:pP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 xml:space="preserve">AGAR MUELLER-HINTON - MEIO PARA USO EM TESTE DE SENSIBILIDADE A ANTIBIOTICOS, DE ACORDO COM PADRAO NCCLS M6, CATION CONTROLADO (MAGNESIO E CALCIO) E TIMINA E TIMIDINA DESIDRATADO, ACONDICIONADO EM EMBALAGEM APROPRIADA PARA O PRODUTO, ROTULO COM NR. LOTE, DATA DE FABRICACAO/VALIDADE, PROCEDENCIA. FRASCO COM 500 G. </w:t>
            </w:r>
            <w:r>
              <w:rPr>
                <w:rFonts w:ascii="Arial" w:hAnsi="Arial" w:eastAsia="SimSun" w:cs="Arial"/>
                <w:b/>
                <w:bCs/>
                <w:color w:val="000000"/>
                <w:sz w:val="18"/>
                <w:szCs w:val="18"/>
                <w:lang w:val="en-US" w:eastAsia="zh-CN" w:bidi="ar"/>
              </w:rPr>
              <w:t>(EXCLUSIVO PARA M.E. E E.P.P.)</w:t>
            </w:r>
          </w:p>
        </w:tc>
        <w:tc>
          <w:tcPr>
            <w:tcW w:w="127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583EB8F">
            <w:pPr>
              <w:jc w:val="center"/>
              <w:rPr>
                <w:rFonts w:ascii="Arial" w:hAnsi="Arial" w:cs="Arial"/>
                <w:bCs/>
                <w:color w:val="000000"/>
                <w:sz w:val="18"/>
                <w:szCs w:val="18"/>
              </w:rPr>
            </w:pPr>
            <w:r>
              <w:rPr>
                <w:rFonts w:ascii="Arial" w:hAnsi="Arial" w:cs="Arial"/>
                <w:bCs/>
                <w:color w:val="000000"/>
                <w:sz w:val="18"/>
                <w:szCs w:val="18"/>
              </w:rPr>
              <w:t>FRASCO</w:t>
            </w:r>
          </w:p>
        </w:tc>
        <w:tc>
          <w:tcPr>
            <w:tcW w:w="95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0F0C6C8">
            <w:pPr>
              <w:jc w:val="center"/>
              <w:rPr>
                <w:rFonts w:ascii="Arial" w:hAnsi="Arial" w:cs="Arial"/>
                <w:bCs/>
                <w:color w:val="000000"/>
                <w:sz w:val="18"/>
                <w:szCs w:val="18"/>
              </w:rPr>
            </w:pPr>
            <w:r>
              <w:rPr>
                <w:rFonts w:ascii="Arial" w:hAnsi="Arial" w:cs="Arial"/>
                <w:bCs/>
                <w:color w:val="000000"/>
                <w:sz w:val="18"/>
                <w:szCs w:val="18"/>
              </w:rPr>
              <w:t>30</w:t>
            </w:r>
          </w:p>
        </w:tc>
        <w:tc>
          <w:tcPr>
            <w:tcW w:w="13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006CDFC">
            <w:pPr>
              <w:jc w:val="center"/>
              <w:rPr>
                <w:rFonts w:ascii="Arial" w:hAnsi="Arial" w:cs="Arial"/>
                <w:bCs/>
                <w:color w:val="000000"/>
                <w:sz w:val="18"/>
                <w:szCs w:val="18"/>
              </w:rPr>
            </w:pPr>
            <w:r>
              <w:rPr>
                <w:rFonts w:ascii="Arial" w:hAnsi="Arial" w:cs="Arial"/>
                <w:bCs/>
                <w:color w:val="000000"/>
                <w:sz w:val="18"/>
                <w:szCs w:val="18"/>
              </w:rPr>
              <w:t>R$ 470,95</w:t>
            </w:r>
          </w:p>
        </w:tc>
        <w:tc>
          <w:tcPr>
            <w:tcW w:w="13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0190287">
            <w:pPr>
              <w:jc w:val="center"/>
              <w:rPr>
                <w:rFonts w:ascii="Arial" w:hAnsi="Arial" w:cs="Arial"/>
                <w:bCs/>
                <w:color w:val="000000"/>
                <w:sz w:val="18"/>
                <w:szCs w:val="18"/>
              </w:rPr>
            </w:pPr>
            <w:r>
              <w:rPr>
                <w:rFonts w:ascii="Arial" w:hAnsi="Arial" w:cs="Arial"/>
                <w:bCs/>
                <w:color w:val="000000"/>
                <w:sz w:val="18"/>
                <w:szCs w:val="18"/>
              </w:rPr>
              <w:t>R$ 14.128,50</w:t>
            </w:r>
          </w:p>
        </w:tc>
      </w:tr>
      <w:tr w14:paraId="210E204A">
        <w:tblPrEx>
          <w:tblCellMar>
            <w:top w:w="0" w:type="dxa"/>
            <w:left w:w="108" w:type="dxa"/>
            <w:bottom w:w="0" w:type="dxa"/>
            <w:right w:w="108" w:type="dxa"/>
          </w:tblCellMar>
        </w:tblPrEx>
        <w:trPr>
          <w:trHeight w:val="962" w:hRule="atLeast"/>
          <w:jc w:val="center"/>
        </w:trPr>
        <w:tc>
          <w:tcPr>
            <w:tcW w:w="927"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5B079AA7">
            <w:pPr>
              <w:jc w:val="cente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2</w:t>
            </w:r>
          </w:p>
        </w:tc>
        <w:tc>
          <w:tcPr>
            <w:tcW w:w="34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4DC4DDAC">
            <w:pP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 xml:space="preserve">ÁGAR CROMOGÊNICO – MEIO DE CULTURA DESIDRATADO EM PÓ, RECOMENDADO PARA IDENTIFICAÇÃO PRESUNTIVA E CONFIRMAÇÃO DE MICRORGANISMOS QUE CAUSAM PRINCIPALMENTE INFECÇÕES DO TRATO URINÁRIO, COMO: ESCHERICHIA COLI E STAPHYLOCOCCUS SAPROPHYTICUS, OU PELOS MICRORGANISMOS ADQUIRIDOS EM HOSPITAIS, ENTRE ELES ESPÉCIES DO GÊNERO KLEBSIELLA, PROTEUS MIRABILIS, PSEUDOMONAS AERUGINOSA E ENTEROCOCCUS FAECALIS. ENTRE OUTRAS AMOSTRAS CLINICAS. ACONDICIONADO EM EMBALAGEM APROPRIADA, ROTULO COM NR. LOTE, DATA DEFABRICACAO/VALIDADE, PROCEDENCIA. FRASCO COM 500 G.  FRASCO 500 GRG. </w:t>
            </w:r>
            <w:r>
              <w:rPr>
                <w:rFonts w:ascii="Arial" w:hAnsi="Arial" w:eastAsia="SimSun" w:cs="Arial"/>
                <w:b/>
                <w:bCs/>
                <w:color w:val="000000"/>
                <w:sz w:val="18"/>
                <w:szCs w:val="18"/>
                <w:lang w:val="en-US" w:eastAsia="zh-CN" w:bidi="ar"/>
              </w:rPr>
              <w:t>(EXCLUSIVO PARA M.E. E E.P.P.)</w:t>
            </w:r>
          </w:p>
        </w:tc>
        <w:tc>
          <w:tcPr>
            <w:tcW w:w="127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478E3A2">
            <w:pPr>
              <w:jc w:val="center"/>
              <w:rPr>
                <w:rFonts w:ascii="Arial" w:hAnsi="Arial" w:cs="Arial"/>
                <w:bCs/>
                <w:color w:val="000000"/>
                <w:sz w:val="18"/>
                <w:szCs w:val="18"/>
              </w:rPr>
            </w:pPr>
            <w:r>
              <w:rPr>
                <w:rFonts w:ascii="Arial" w:hAnsi="Arial" w:cs="Arial"/>
                <w:bCs/>
                <w:color w:val="000000"/>
                <w:sz w:val="18"/>
                <w:szCs w:val="18"/>
              </w:rPr>
              <w:t>FRASCO</w:t>
            </w:r>
          </w:p>
        </w:tc>
        <w:tc>
          <w:tcPr>
            <w:tcW w:w="95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CC170A6">
            <w:pPr>
              <w:jc w:val="center"/>
              <w:rPr>
                <w:rFonts w:ascii="Arial" w:hAnsi="Arial" w:cs="Arial"/>
                <w:bCs/>
                <w:color w:val="000000"/>
                <w:sz w:val="18"/>
                <w:szCs w:val="18"/>
              </w:rPr>
            </w:pPr>
            <w:r>
              <w:rPr>
                <w:rFonts w:ascii="Arial" w:hAnsi="Arial" w:cs="Arial"/>
                <w:bCs/>
                <w:color w:val="000000"/>
                <w:sz w:val="18"/>
                <w:szCs w:val="18"/>
              </w:rPr>
              <w:t>30</w:t>
            </w:r>
          </w:p>
        </w:tc>
        <w:tc>
          <w:tcPr>
            <w:tcW w:w="13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40B965A">
            <w:pPr>
              <w:jc w:val="center"/>
              <w:rPr>
                <w:rFonts w:ascii="Arial" w:hAnsi="Arial" w:cs="Arial"/>
                <w:bCs/>
                <w:color w:val="000000"/>
                <w:sz w:val="18"/>
                <w:szCs w:val="18"/>
              </w:rPr>
            </w:pPr>
            <w:r>
              <w:rPr>
                <w:rFonts w:ascii="Arial" w:hAnsi="Arial" w:cs="Arial"/>
                <w:bCs/>
                <w:color w:val="000000"/>
                <w:sz w:val="18"/>
                <w:szCs w:val="18"/>
              </w:rPr>
              <w:t>R$ 2.342,58</w:t>
            </w:r>
          </w:p>
        </w:tc>
        <w:tc>
          <w:tcPr>
            <w:tcW w:w="13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B93D2E2">
            <w:pPr>
              <w:jc w:val="center"/>
              <w:rPr>
                <w:rFonts w:ascii="Arial" w:hAnsi="Arial" w:cs="Arial"/>
                <w:bCs/>
                <w:color w:val="000000"/>
                <w:sz w:val="18"/>
                <w:szCs w:val="18"/>
              </w:rPr>
            </w:pPr>
            <w:r>
              <w:rPr>
                <w:rFonts w:ascii="Arial" w:hAnsi="Arial" w:cs="Arial"/>
                <w:bCs/>
                <w:color w:val="000000"/>
                <w:sz w:val="18"/>
                <w:szCs w:val="18"/>
              </w:rPr>
              <w:t>R$ 70.277,40</w:t>
            </w:r>
          </w:p>
        </w:tc>
      </w:tr>
      <w:tr w14:paraId="33FC4709">
        <w:tblPrEx>
          <w:tblCellMar>
            <w:top w:w="0" w:type="dxa"/>
            <w:left w:w="108" w:type="dxa"/>
            <w:bottom w:w="0" w:type="dxa"/>
            <w:right w:w="108" w:type="dxa"/>
          </w:tblCellMar>
        </w:tblPrEx>
        <w:trPr>
          <w:trHeight w:val="962" w:hRule="atLeast"/>
          <w:jc w:val="center"/>
        </w:trPr>
        <w:tc>
          <w:tcPr>
            <w:tcW w:w="927"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35F977D9">
            <w:pPr>
              <w:jc w:val="cente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3</w:t>
            </w:r>
          </w:p>
        </w:tc>
        <w:tc>
          <w:tcPr>
            <w:tcW w:w="34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3E7785D1">
            <w:pP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AGULHA REMOVIVEL - COLETA MULTIPLA DE SANGUE, PARA EM ADAPTADOR P/TUBO DE COLETA DE SANGUE A VACUO, AGULHA VACUTAINER - 25 X 8.</w:t>
            </w:r>
            <w:r>
              <w:rPr>
                <w:rFonts w:ascii="Arial" w:hAnsi="Arial" w:eastAsia="SimSun" w:cs="Arial"/>
                <w:b/>
                <w:bCs/>
                <w:color w:val="000000"/>
                <w:sz w:val="18"/>
                <w:szCs w:val="18"/>
                <w:lang w:val="en-US" w:eastAsia="zh-CN" w:bidi="ar"/>
              </w:rPr>
              <w:t>(EXCLUSIVO PARA M.E. E E.P.P.)</w:t>
            </w:r>
          </w:p>
        </w:tc>
        <w:tc>
          <w:tcPr>
            <w:tcW w:w="127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A556F6E">
            <w:pPr>
              <w:jc w:val="center"/>
              <w:rPr>
                <w:rFonts w:ascii="Arial" w:hAnsi="Arial" w:cs="Arial"/>
                <w:bCs/>
                <w:color w:val="000000"/>
                <w:sz w:val="18"/>
                <w:szCs w:val="18"/>
              </w:rPr>
            </w:pPr>
            <w:r>
              <w:rPr>
                <w:rFonts w:ascii="Arial" w:hAnsi="Arial" w:cs="Arial"/>
                <w:bCs/>
                <w:color w:val="000000"/>
                <w:sz w:val="18"/>
                <w:szCs w:val="18"/>
              </w:rPr>
              <w:t>CAIXA</w:t>
            </w:r>
          </w:p>
        </w:tc>
        <w:tc>
          <w:tcPr>
            <w:tcW w:w="95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AA093E6">
            <w:pPr>
              <w:jc w:val="center"/>
              <w:rPr>
                <w:rFonts w:ascii="Arial" w:hAnsi="Arial" w:cs="Arial"/>
                <w:bCs/>
                <w:color w:val="000000"/>
                <w:sz w:val="18"/>
                <w:szCs w:val="18"/>
              </w:rPr>
            </w:pPr>
            <w:r>
              <w:rPr>
                <w:rFonts w:ascii="Arial" w:hAnsi="Arial" w:cs="Arial"/>
                <w:bCs/>
                <w:color w:val="000000"/>
                <w:sz w:val="18"/>
                <w:szCs w:val="18"/>
              </w:rPr>
              <w:t>500</w:t>
            </w:r>
          </w:p>
        </w:tc>
        <w:tc>
          <w:tcPr>
            <w:tcW w:w="13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D56963A">
            <w:pPr>
              <w:jc w:val="center"/>
              <w:rPr>
                <w:rFonts w:ascii="Arial" w:hAnsi="Arial" w:cs="Arial"/>
                <w:bCs/>
                <w:color w:val="000000"/>
                <w:sz w:val="18"/>
                <w:szCs w:val="18"/>
              </w:rPr>
            </w:pPr>
            <w:r>
              <w:rPr>
                <w:rFonts w:ascii="Arial" w:hAnsi="Arial" w:cs="Arial"/>
                <w:bCs/>
                <w:color w:val="000000"/>
                <w:sz w:val="18"/>
                <w:szCs w:val="18"/>
              </w:rPr>
              <w:t>R$ 64,80</w:t>
            </w:r>
          </w:p>
        </w:tc>
        <w:tc>
          <w:tcPr>
            <w:tcW w:w="13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DCE0757">
            <w:pPr>
              <w:jc w:val="center"/>
              <w:rPr>
                <w:rFonts w:ascii="Arial" w:hAnsi="Arial" w:cs="Arial"/>
                <w:bCs/>
                <w:color w:val="000000"/>
                <w:sz w:val="18"/>
                <w:szCs w:val="18"/>
              </w:rPr>
            </w:pPr>
            <w:r>
              <w:rPr>
                <w:rFonts w:ascii="Arial" w:hAnsi="Arial" w:cs="Arial"/>
                <w:bCs/>
                <w:color w:val="000000"/>
                <w:sz w:val="18"/>
                <w:szCs w:val="18"/>
              </w:rPr>
              <w:t>R$ 32.400,00</w:t>
            </w:r>
          </w:p>
        </w:tc>
      </w:tr>
      <w:tr w14:paraId="4B25F493">
        <w:tblPrEx>
          <w:tblCellMar>
            <w:top w:w="0" w:type="dxa"/>
            <w:left w:w="108" w:type="dxa"/>
            <w:bottom w:w="0" w:type="dxa"/>
            <w:right w:w="108" w:type="dxa"/>
          </w:tblCellMar>
        </w:tblPrEx>
        <w:trPr>
          <w:trHeight w:val="962" w:hRule="atLeast"/>
          <w:jc w:val="center"/>
        </w:trPr>
        <w:tc>
          <w:tcPr>
            <w:tcW w:w="927"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703DE11C">
            <w:pPr>
              <w:jc w:val="cente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4</w:t>
            </w:r>
          </w:p>
        </w:tc>
        <w:tc>
          <w:tcPr>
            <w:tcW w:w="34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10F1DBE5">
            <w:pP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 xml:space="preserve">ALCA BACTERIOLOGICA, MATERIAL PLASTICO, COMPONENTES COM HASTE FLEXIVEL, CALIBRADA, VOLUME 1 MCL, ESTERILIDADE ESTERIL, DESCARTAVEL, EMBALAGEM INDIVIDUAL, ACONDICIONADO EM PACOTE COM 100 UNIDADES CADA.  </w:t>
            </w:r>
            <w:r>
              <w:rPr>
                <w:rFonts w:ascii="Arial" w:hAnsi="Arial" w:eastAsia="SimSun" w:cs="Arial"/>
                <w:b/>
                <w:bCs/>
                <w:color w:val="000000"/>
                <w:sz w:val="18"/>
                <w:szCs w:val="18"/>
                <w:lang w:val="en-US" w:eastAsia="zh-CN" w:bidi="ar"/>
              </w:rPr>
              <w:t>(EXCLUSIVO PARA M.E. E E.P.P.)</w:t>
            </w:r>
          </w:p>
        </w:tc>
        <w:tc>
          <w:tcPr>
            <w:tcW w:w="127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98DA940">
            <w:pPr>
              <w:jc w:val="center"/>
              <w:rPr>
                <w:rFonts w:ascii="Arial" w:hAnsi="Arial" w:cs="Arial"/>
                <w:bCs/>
                <w:color w:val="000000"/>
                <w:sz w:val="18"/>
                <w:szCs w:val="18"/>
              </w:rPr>
            </w:pPr>
            <w:r>
              <w:rPr>
                <w:rFonts w:ascii="Arial" w:hAnsi="Arial" w:cs="Arial"/>
                <w:bCs/>
                <w:color w:val="000000"/>
                <w:sz w:val="18"/>
                <w:szCs w:val="18"/>
              </w:rPr>
              <w:t>PACOTE</w:t>
            </w:r>
          </w:p>
        </w:tc>
        <w:tc>
          <w:tcPr>
            <w:tcW w:w="95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AA2B38C">
            <w:pPr>
              <w:jc w:val="center"/>
              <w:rPr>
                <w:rFonts w:ascii="Arial" w:hAnsi="Arial" w:cs="Arial"/>
                <w:bCs/>
                <w:color w:val="000000"/>
                <w:sz w:val="18"/>
                <w:szCs w:val="18"/>
              </w:rPr>
            </w:pPr>
            <w:r>
              <w:rPr>
                <w:rFonts w:ascii="Arial" w:hAnsi="Arial" w:cs="Arial"/>
                <w:bCs/>
                <w:color w:val="000000"/>
                <w:sz w:val="18"/>
                <w:szCs w:val="18"/>
              </w:rPr>
              <w:t>400</w:t>
            </w:r>
          </w:p>
        </w:tc>
        <w:tc>
          <w:tcPr>
            <w:tcW w:w="13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ECEDDA6">
            <w:pPr>
              <w:jc w:val="center"/>
              <w:rPr>
                <w:rFonts w:ascii="Arial" w:hAnsi="Arial" w:cs="Arial"/>
                <w:bCs/>
                <w:color w:val="000000"/>
                <w:sz w:val="18"/>
                <w:szCs w:val="18"/>
              </w:rPr>
            </w:pPr>
            <w:r>
              <w:rPr>
                <w:rFonts w:ascii="Arial" w:hAnsi="Arial" w:cs="Arial"/>
                <w:bCs/>
                <w:color w:val="000000"/>
                <w:sz w:val="18"/>
                <w:szCs w:val="18"/>
              </w:rPr>
              <w:t xml:space="preserve">R$ 19,28 </w:t>
            </w:r>
          </w:p>
        </w:tc>
        <w:tc>
          <w:tcPr>
            <w:tcW w:w="13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119F057">
            <w:pPr>
              <w:jc w:val="center"/>
              <w:rPr>
                <w:rFonts w:ascii="Arial" w:hAnsi="Arial" w:cs="Arial"/>
                <w:bCs/>
                <w:color w:val="000000"/>
                <w:sz w:val="18"/>
                <w:szCs w:val="18"/>
              </w:rPr>
            </w:pPr>
            <w:r>
              <w:rPr>
                <w:rFonts w:ascii="Arial" w:hAnsi="Arial" w:cs="Arial"/>
                <w:bCs/>
                <w:color w:val="000000"/>
                <w:sz w:val="18"/>
                <w:szCs w:val="18"/>
              </w:rPr>
              <w:t>R$ 7.712,00</w:t>
            </w:r>
          </w:p>
        </w:tc>
      </w:tr>
      <w:tr w14:paraId="71DB672D">
        <w:tblPrEx>
          <w:tblCellMar>
            <w:top w:w="0" w:type="dxa"/>
            <w:left w:w="108" w:type="dxa"/>
            <w:bottom w:w="0" w:type="dxa"/>
            <w:right w:w="108" w:type="dxa"/>
          </w:tblCellMar>
        </w:tblPrEx>
        <w:trPr>
          <w:trHeight w:val="962" w:hRule="atLeast"/>
          <w:jc w:val="center"/>
        </w:trPr>
        <w:tc>
          <w:tcPr>
            <w:tcW w:w="927"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0A24835F">
            <w:pPr>
              <w:jc w:val="cente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5</w:t>
            </w:r>
          </w:p>
        </w:tc>
        <w:tc>
          <w:tcPr>
            <w:tcW w:w="34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35D0906E">
            <w:pP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 xml:space="preserve">LUVA DESCARTAVEL PARA PROCEDIMENTO - LUVAS DE LÁTEX NITRÍLICA, LUVAS HIPOAL ERGÊNICA, COM PERFEITA ADAPTACAO ANATOMICA E SEM FALHAS, AMBIDESTRA, BOA ELASTICIDADE, RESISTENTE A TRACAO, ALTA SENSIBILIDADE TATIL, UNIFORME SEM FALHAS, TAMANHO MEDIA, COM DATA DE FABRICACAO, COM VALIDADE DO PRODUTO. CAIXA COM 100 UNIDADES.  </w:t>
            </w:r>
            <w:r>
              <w:rPr>
                <w:rFonts w:ascii="Arial" w:hAnsi="Arial" w:eastAsia="SimSun" w:cs="Arial"/>
                <w:b/>
                <w:bCs/>
                <w:color w:val="000000"/>
                <w:sz w:val="18"/>
                <w:szCs w:val="18"/>
                <w:lang w:val="en-US" w:eastAsia="zh-CN" w:bidi="ar"/>
              </w:rPr>
              <w:t>(EXCLUSIVO PARA M.E. E E.P.P.)</w:t>
            </w:r>
          </w:p>
        </w:tc>
        <w:tc>
          <w:tcPr>
            <w:tcW w:w="127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D41994A">
            <w:pPr>
              <w:jc w:val="center"/>
              <w:rPr>
                <w:rFonts w:ascii="Arial" w:hAnsi="Arial" w:cs="Arial"/>
                <w:bCs/>
                <w:color w:val="000000"/>
                <w:sz w:val="18"/>
                <w:szCs w:val="18"/>
              </w:rPr>
            </w:pPr>
            <w:r>
              <w:rPr>
                <w:rFonts w:ascii="Arial" w:hAnsi="Arial" w:cs="Arial"/>
                <w:bCs/>
                <w:color w:val="000000"/>
                <w:sz w:val="18"/>
                <w:szCs w:val="18"/>
              </w:rPr>
              <w:t>CAIXA</w:t>
            </w:r>
          </w:p>
        </w:tc>
        <w:tc>
          <w:tcPr>
            <w:tcW w:w="95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8A270BD">
            <w:pPr>
              <w:jc w:val="center"/>
              <w:rPr>
                <w:rFonts w:ascii="Arial" w:hAnsi="Arial" w:cs="Arial"/>
                <w:bCs/>
                <w:color w:val="000000"/>
                <w:sz w:val="18"/>
                <w:szCs w:val="18"/>
              </w:rPr>
            </w:pPr>
            <w:r>
              <w:rPr>
                <w:rFonts w:ascii="Arial" w:hAnsi="Arial" w:cs="Arial"/>
                <w:bCs/>
                <w:color w:val="000000"/>
                <w:sz w:val="18"/>
                <w:szCs w:val="18"/>
              </w:rPr>
              <w:t>100</w:t>
            </w:r>
          </w:p>
        </w:tc>
        <w:tc>
          <w:tcPr>
            <w:tcW w:w="13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ACC0018">
            <w:pPr>
              <w:jc w:val="center"/>
              <w:rPr>
                <w:rFonts w:ascii="Arial" w:hAnsi="Arial" w:cs="Arial"/>
                <w:bCs/>
                <w:color w:val="000000"/>
                <w:sz w:val="18"/>
                <w:szCs w:val="18"/>
              </w:rPr>
            </w:pPr>
            <w:r>
              <w:rPr>
                <w:rFonts w:ascii="Arial" w:hAnsi="Arial" w:cs="Arial"/>
                <w:bCs/>
                <w:color w:val="000000"/>
                <w:sz w:val="18"/>
                <w:szCs w:val="18"/>
              </w:rPr>
              <w:t xml:space="preserve">R$ 32,63 </w:t>
            </w:r>
          </w:p>
        </w:tc>
        <w:tc>
          <w:tcPr>
            <w:tcW w:w="13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F2C4EE4">
            <w:pPr>
              <w:jc w:val="center"/>
              <w:rPr>
                <w:rFonts w:ascii="Arial" w:hAnsi="Arial" w:cs="Arial"/>
                <w:bCs/>
                <w:color w:val="000000"/>
                <w:sz w:val="18"/>
                <w:szCs w:val="18"/>
              </w:rPr>
            </w:pPr>
            <w:r>
              <w:rPr>
                <w:rFonts w:ascii="Arial" w:hAnsi="Arial" w:cs="Arial"/>
                <w:bCs/>
                <w:color w:val="000000"/>
                <w:sz w:val="18"/>
                <w:szCs w:val="18"/>
              </w:rPr>
              <w:t>R$ 3.263,00</w:t>
            </w:r>
          </w:p>
        </w:tc>
      </w:tr>
      <w:tr w14:paraId="5A09737F">
        <w:tblPrEx>
          <w:tblCellMar>
            <w:top w:w="0" w:type="dxa"/>
            <w:left w:w="108" w:type="dxa"/>
            <w:bottom w:w="0" w:type="dxa"/>
            <w:right w:w="108" w:type="dxa"/>
          </w:tblCellMar>
        </w:tblPrEx>
        <w:trPr>
          <w:trHeight w:val="2254" w:hRule="atLeast"/>
          <w:jc w:val="center"/>
        </w:trPr>
        <w:tc>
          <w:tcPr>
            <w:tcW w:w="927"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09122E33">
            <w:pPr>
              <w:jc w:val="cente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6</w:t>
            </w:r>
          </w:p>
        </w:tc>
        <w:tc>
          <w:tcPr>
            <w:tcW w:w="34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19830FF4">
            <w:pP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 xml:space="preserve">LUVA DESCARTAVEL PARA PROCEDIMENTO - LUVAS DE LÁTEX NITRÍLICA, LUVAS HIPOALERGÊNICA, COM PERFEITA ADAPTACAO ANATOMICA E SEM FALHAS, AMBIDESTRA, BOA ELASTICIDADE, RESISTENTE A TRACAO, ALTA SENSIBILIDADE TATIL, UNIFORME SEM FALHAS, TAMANHO PEQUENO, COM DATA DE FABRICACAO, COM VALIDADE DO PRODUTO. CAIXA COM 100 UNIDADES. </w:t>
            </w:r>
            <w:r>
              <w:rPr>
                <w:rFonts w:ascii="Arial" w:hAnsi="Arial" w:eastAsia="SimSun" w:cs="Arial"/>
                <w:b/>
                <w:bCs/>
                <w:color w:val="000000"/>
                <w:sz w:val="18"/>
                <w:szCs w:val="18"/>
                <w:lang w:val="en-US" w:eastAsia="zh-CN" w:bidi="ar"/>
              </w:rPr>
              <w:t>(EXCLUSIVO PARA M.E. E E.P.P.)</w:t>
            </w:r>
          </w:p>
        </w:tc>
        <w:tc>
          <w:tcPr>
            <w:tcW w:w="127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407CAAC">
            <w:pPr>
              <w:jc w:val="center"/>
              <w:rPr>
                <w:rFonts w:ascii="Arial" w:hAnsi="Arial" w:cs="Arial"/>
                <w:bCs/>
                <w:color w:val="000000"/>
                <w:sz w:val="18"/>
                <w:szCs w:val="18"/>
              </w:rPr>
            </w:pPr>
            <w:r>
              <w:rPr>
                <w:rFonts w:ascii="Arial" w:hAnsi="Arial" w:cs="Arial"/>
                <w:bCs/>
                <w:color w:val="000000"/>
                <w:sz w:val="18"/>
                <w:szCs w:val="18"/>
              </w:rPr>
              <w:t>CAIXA</w:t>
            </w:r>
          </w:p>
        </w:tc>
        <w:tc>
          <w:tcPr>
            <w:tcW w:w="95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9F709D1">
            <w:pPr>
              <w:jc w:val="center"/>
              <w:rPr>
                <w:rFonts w:ascii="Arial" w:hAnsi="Arial" w:cs="Arial"/>
                <w:bCs/>
                <w:color w:val="000000"/>
                <w:sz w:val="18"/>
                <w:szCs w:val="18"/>
              </w:rPr>
            </w:pPr>
            <w:r>
              <w:rPr>
                <w:rFonts w:ascii="Arial" w:hAnsi="Arial" w:cs="Arial"/>
                <w:bCs/>
                <w:color w:val="000000"/>
                <w:sz w:val="18"/>
                <w:szCs w:val="18"/>
              </w:rPr>
              <w:t>100</w:t>
            </w:r>
          </w:p>
        </w:tc>
        <w:tc>
          <w:tcPr>
            <w:tcW w:w="13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5406EE5">
            <w:pPr>
              <w:jc w:val="center"/>
              <w:rPr>
                <w:rFonts w:ascii="Arial" w:hAnsi="Arial" w:cs="Arial"/>
                <w:bCs/>
                <w:color w:val="000000"/>
                <w:sz w:val="18"/>
                <w:szCs w:val="18"/>
              </w:rPr>
            </w:pPr>
            <w:r>
              <w:rPr>
                <w:rFonts w:ascii="Arial" w:hAnsi="Arial" w:cs="Arial"/>
                <w:bCs/>
                <w:color w:val="000000"/>
                <w:sz w:val="18"/>
                <w:szCs w:val="18"/>
              </w:rPr>
              <w:t xml:space="preserve">R$ 32,63 </w:t>
            </w:r>
          </w:p>
        </w:tc>
        <w:tc>
          <w:tcPr>
            <w:tcW w:w="13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3EB041C">
            <w:pPr>
              <w:jc w:val="center"/>
              <w:rPr>
                <w:rFonts w:ascii="Arial" w:hAnsi="Arial" w:cs="Arial"/>
                <w:bCs/>
                <w:color w:val="000000"/>
                <w:sz w:val="18"/>
                <w:szCs w:val="18"/>
              </w:rPr>
            </w:pPr>
            <w:r>
              <w:rPr>
                <w:rFonts w:ascii="Arial" w:hAnsi="Arial" w:cs="Arial"/>
                <w:bCs/>
                <w:color w:val="000000"/>
                <w:sz w:val="18"/>
                <w:szCs w:val="18"/>
              </w:rPr>
              <w:t>R$ 3.263,00</w:t>
            </w:r>
          </w:p>
        </w:tc>
      </w:tr>
      <w:tr w14:paraId="3081AC5E">
        <w:tblPrEx>
          <w:tblCellMar>
            <w:top w:w="0" w:type="dxa"/>
            <w:left w:w="108" w:type="dxa"/>
            <w:bottom w:w="0" w:type="dxa"/>
            <w:right w:w="108" w:type="dxa"/>
          </w:tblCellMar>
        </w:tblPrEx>
        <w:trPr>
          <w:trHeight w:val="962" w:hRule="atLeast"/>
          <w:jc w:val="center"/>
        </w:trPr>
        <w:tc>
          <w:tcPr>
            <w:tcW w:w="927"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37A0BA5C">
            <w:pPr>
              <w:jc w:val="cente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7</w:t>
            </w:r>
          </w:p>
        </w:tc>
        <w:tc>
          <w:tcPr>
            <w:tcW w:w="34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2C1A327D">
            <w:pP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 xml:space="preserve">MEIOS DE CULTURA - AGAR MACCONKEY/MACCONKEY AGAR, MEIO PARA USO EM MEIO SELETIVO DIFERENCIAL PARA ENTEROBACTERIAS, MEIO DESIDRATADO, ACONDICIONADO EM EMBALAGEM APROPRIADA, ROTULO COM NR. LOTE, DATA DEFABRICACAO/VALIDADE, PROCEDENCIA. FRASCO COM 500 G. </w:t>
            </w:r>
            <w:r>
              <w:rPr>
                <w:rFonts w:ascii="Arial" w:hAnsi="Arial" w:eastAsia="SimSun" w:cs="Arial"/>
                <w:b/>
                <w:bCs/>
                <w:color w:val="000000"/>
                <w:sz w:val="18"/>
                <w:szCs w:val="18"/>
                <w:lang w:val="en-US" w:eastAsia="zh-CN" w:bidi="ar"/>
              </w:rPr>
              <w:t>(EXCLUSIVO PARA M.E. E E.P.P.)</w:t>
            </w:r>
          </w:p>
        </w:tc>
        <w:tc>
          <w:tcPr>
            <w:tcW w:w="127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40FC1CD">
            <w:pPr>
              <w:jc w:val="center"/>
              <w:rPr>
                <w:rFonts w:ascii="Arial" w:hAnsi="Arial" w:cs="Arial"/>
                <w:bCs/>
                <w:color w:val="000000"/>
                <w:sz w:val="18"/>
                <w:szCs w:val="18"/>
              </w:rPr>
            </w:pPr>
            <w:r>
              <w:rPr>
                <w:rFonts w:ascii="Arial" w:hAnsi="Arial" w:cs="Arial"/>
                <w:bCs/>
                <w:color w:val="000000"/>
                <w:sz w:val="18"/>
                <w:szCs w:val="18"/>
              </w:rPr>
              <w:t>UNID.</w:t>
            </w:r>
          </w:p>
        </w:tc>
        <w:tc>
          <w:tcPr>
            <w:tcW w:w="95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B8A8786">
            <w:pPr>
              <w:jc w:val="center"/>
              <w:rPr>
                <w:rFonts w:ascii="Arial" w:hAnsi="Arial" w:cs="Arial"/>
                <w:bCs/>
                <w:color w:val="000000"/>
                <w:sz w:val="18"/>
                <w:szCs w:val="18"/>
              </w:rPr>
            </w:pPr>
            <w:r>
              <w:rPr>
                <w:rFonts w:ascii="Arial" w:hAnsi="Arial" w:cs="Arial"/>
                <w:bCs/>
                <w:color w:val="000000"/>
                <w:sz w:val="18"/>
                <w:szCs w:val="18"/>
              </w:rPr>
              <w:t>30</w:t>
            </w:r>
          </w:p>
        </w:tc>
        <w:tc>
          <w:tcPr>
            <w:tcW w:w="13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C7E0668">
            <w:pPr>
              <w:jc w:val="center"/>
              <w:rPr>
                <w:rFonts w:ascii="Arial" w:hAnsi="Arial" w:cs="Arial"/>
                <w:bCs/>
                <w:color w:val="000000"/>
                <w:sz w:val="18"/>
                <w:szCs w:val="18"/>
              </w:rPr>
            </w:pPr>
            <w:r>
              <w:rPr>
                <w:rFonts w:ascii="Arial" w:hAnsi="Arial" w:cs="Arial"/>
                <w:bCs/>
                <w:color w:val="000000"/>
                <w:sz w:val="18"/>
                <w:szCs w:val="18"/>
              </w:rPr>
              <w:t>R$ 434,55</w:t>
            </w:r>
          </w:p>
        </w:tc>
        <w:tc>
          <w:tcPr>
            <w:tcW w:w="13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9C89ED2">
            <w:pPr>
              <w:jc w:val="center"/>
              <w:rPr>
                <w:rFonts w:ascii="Arial" w:hAnsi="Arial" w:cs="Arial"/>
                <w:bCs/>
                <w:color w:val="000000"/>
                <w:sz w:val="18"/>
                <w:szCs w:val="18"/>
              </w:rPr>
            </w:pPr>
            <w:r>
              <w:rPr>
                <w:rFonts w:ascii="Arial" w:hAnsi="Arial" w:cs="Arial"/>
                <w:bCs/>
                <w:color w:val="000000"/>
                <w:sz w:val="18"/>
                <w:szCs w:val="18"/>
              </w:rPr>
              <w:t>R$ 13.036,50</w:t>
            </w:r>
          </w:p>
        </w:tc>
      </w:tr>
      <w:tr w14:paraId="2D496A30">
        <w:tblPrEx>
          <w:tblCellMar>
            <w:top w:w="0" w:type="dxa"/>
            <w:left w:w="108" w:type="dxa"/>
            <w:bottom w:w="0" w:type="dxa"/>
            <w:right w:w="108" w:type="dxa"/>
          </w:tblCellMar>
        </w:tblPrEx>
        <w:trPr>
          <w:trHeight w:val="962" w:hRule="atLeast"/>
          <w:jc w:val="center"/>
        </w:trPr>
        <w:tc>
          <w:tcPr>
            <w:tcW w:w="927"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79BE4FF6">
            <w:pPr>
              <w:jc w:val="cente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8</w:t>
            </w:r>
          </w:p>
        </w:tc>
        <w:tc>
          <w:tcPr>
            <w:tcW w:w="34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150E8AF4">
            <w:pP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MICROPIPETA - MONOCANAL, 10 A 100 MICROLITROS, COM VOLUME REGULAVEL PELO VOLUMETRO E PELO BOTAO SUPERIOR, COM DISPOSITIVO EJETOR DE PONTEIRAS, E EXTREMIDADE EM AÇO INOXIDÁVEL CALIBRADA COM PRECISAO MENOR OU IGUAL A 0,1 MICROLITROS, CORPO EM PLASTICO, ANALISES BIOLOGICAS, ACOMPANHA MANUAL PARA USO, ACONDICIONADO EM EMBALAGEM INDIVIDUAL.</w:t>
            </w:r>
            <w:r>
              <w:rPr>
                <w:rFonts w:ascii="Arial" w:hAnsi="Arial" w:eastAsia="SimSun" w:cs="Arial"/>
                <w:b/>
                <w:bCs/>
                <w:color w:val="000000"/>
                <w:sz w:val="18"/>
                <w:szCs w:val="18"/>
                <w:lang w:val="en-US" w:eastAsia="zh-CN" w:bidi="ar"/>
              </w:rPr>
              <w:t xml:space="preserve"> (EXCLUSIVO PARA M.E. E E.P.P.)</w:t>
            </w:r>
          </w:p>
        </w:tc>
        <w:tc>
          <w:tcPr>
            <w:tcW w:w="127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9F56C68">
            <w:pPr>
              <w:jc w:val="center"/>
              <w:rPr>
                <w:rFonts w:ascii="Arial" w:hAnsi="Arial" w:cs="Arial"/>
                <w:bCs/>
                <w:color w:val="000000"/>
                <w:sz w:val="18"/>
                <w:szCs w:val="18"/>
              </w:rPr>
            </w:pPr>
            <w:r>
              <w:rPr>
                <w:rFonts w:ascii="Arial" w:hAnsi="Arial" w:cs="Arial"/>
                <w:bCs/>
                <w:color w:val="000000"/>
                <w:sz w:val="18"/>
                <w:szCs w:val="18"/>
              </w:rPr>
              <w:t>UNID.</w:t>
            </w:r>
          </w:p>
        </w:tc>
        <w:tc>
          <w:tcPr>
            <w:tcW w:w="95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74CD3B6">
            <w:pPr>
              <w:jc w:val="center"/>
              <w:rPr>
                <w:rFonts w:ascii="Arial" w:hAnsi="Arial" w:cs="Arial"/>
                <w:bCs/>
                <w:color w:val="000000"/>
                <w:sz w:val="18"/>
                <w:szCs w:val="18"/>
              </w:rPr>
            </w:pPr>
            <w:r>
              <w:rPr>
                <w:rFonts w:ascii="Arial" w:hAnsi="Arial" w:cs="Arial"/>
                <w:bCs/>
                <w:color w:val="000000"/>
                <w:sz w:val="18"/>
                <w:szCs w:val="18"/>
              </w:rPr>
              <w:t>5</w:t>
            </w:r>
          </w:p>
        </w:tc>
        <w:tc>
          <w:tcPr>
            <w:tcW w:w="13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9629F3F">
            <w:pPr>
              <w:jc w:val="center"/>
              <w:rPr>
                <w:rFonts w:ascii="Arial" w:hAnsi="Arial" w:cs="Arial"/>
                <w:bCs/>
                <w:color w:val="000000"/>
                <w:sz w:val="18"/>
                <w:szCs w:val="18"/>
              </w:rPr>
            </w:pPr>
            <w:r>
              <w:rPr>
                <w:rFonts w:ascii="Arial" w:hAnsi="Arial" w:cs="Arial"/>
                <w:bCs/>
                <w:color w:val="000000"/>
                <w:sz w:val="18"/>
                <w:szCs w:val="18"/>
              </w:rPr>
              <w:t>R$ 850,00</w:t>
            </w:r>
          </w:p>
        </w:tc>
        <w:tc>
          <w:tcPr>
            <w:tcW w:w="13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783FB38">
            <w:pPr>
              <w:jc w:val="center"/>
              <w:rPr>
                <w:rFonts w:ascii="Arial" w:hAnsi="Arial" w:cs="Arial"/>
                <w:bCs/>
                <w:color w:val="000000"/>
                <w:sz w:val="18"/>
                <w:szCs w:val="18"/>
              </w:rPr>
            </w:pPr>
            <w:r>
              <w:rPr>
                <w:rFonts w:ascii="Arial" w:hAnsi="Arial" w:cs="Arial"/>
                <w:bCs/>
                <w:color w:val="000000"/>
                <w:sz w:val="18"/>
                <w:szCs w:val="18"/>
              </w:rPr>
              <w:t>R$ 4.250,00</w:t>
            </w:r>
          </w:p>
        </w:tc>
      </w:tr>
      <w:tr w14:paraId="245575DC">
        <w:tblPrEx>
          <w:tblCellMar>
            <w:top w:w="0" w:type="dxa"/>
            <w:left w:w="108" w:type="dxa"/>
            <w:bottom w:w="0" w:type="dxa"/>
            <w:right w:w="108" w:type="dxa"/>
          </w:tblCellMar>
        </w:tblPrEx>
        <w:trPr>
          <w:trHeight w:val="962" w:hRule="atLeast"/>
          <w:jc w:val="center"/>
        </w:trPr>
        <w:tc>
          <w:tcPr>
            <w:tcW w:w="927"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747B7AEB">
            <w:pPr>
              <w:jc w:val="cente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9</w:t>
            </w:r>
          </w:p>
        </w:tc>
        <w:tc>
          <w:tcPr>
            <w:tcW w:w="34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40276E26">
            <w:pP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 xml:space="preserve">MICROPIPETA - MONOCANAL, 100 A 1000 MICROLITROS, COM VOLUME REGULAVEL PELO VOLUMETRO E PELO BOTAO SUPERIOR, COM DISPOSITIVO EJETOR DE PONTEIRAS E EXTREMIDADE EM AÇO INOXIDÁVEL, CALIBRADA COM PRECISAO MENOR OU IGUAL A 0,6 MICROLITROS, CORPO EM PLASTICO, ANALISES BIOLOGICAS, ACOMPANHA MANUAL PARA USO, ACONDICIONADO EM EMBALAGEM INDIVIDUAL. </w:t>
            </w:r>
            <w:r>
              <w:rPr>
                <w:rFonts w:ascii="Arial" w:hAnsi="Arial" w:eastAsia="SimSun" w:cs="Arial"/>
                <w:b/>
                <w:bCs/>
                <w:color w:val="000000"/>
                <w:sz w:val="18"/>
                <w:szCs w:val="18"/>
                <w:lang w:val="en-US" w:eastAsia="zh-CN" w:bidi="ar"/>
              </w:rPr>
              <w:t>(EXCLUSIVO PARA M.E. E E.P.P.)</w:t>
            </w:r>
          </w:p>
        </w:tc>
        <w:tc>
          <w:tcPr>
            <w:tcW w:w="127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3B98D7C">
            <w:pPr>
              <w:jc w:val="center"/>
              <w:rPr>
                <w:rFonts w:ascii="Arial" w:hAnsi="Arial" w:cs="Arial"/>
                <w:bCs/>
                <w:color w:val="000000"/>
                <w:sz w:val="18"/>
                <w:szCs w:val="18"/>
              </w:rPr>
            </w:pPr>
            <w:r>
              <w:rPr>
                <w:rFonts w:ascii="Arial" w:hAnsi="Arial" w:cs="Arial"/>
                <w:bCs/>
                <w:color w:val="000000"/>
                <w:sz w:val="18"/>
                <w:szCs w:val="18"/>
              </w:rPr>
              <w:t>UNID.</w:t>
            </w:r>
          </w:p>
        </w:tc>
        <w:tc>
          <w:tcPr>
            <w:tcW w:w="95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075942E">
            <w:pPr>
              <w:jc w:val="center"/>
              <w:rPr>
                <w:rFonts w:ascii="Arial" w:hAnsi="Arial" w:cs="Arial"/>
                <w:bCs/>
                <w:color w:val="000000"/>
                <w:sz w:val="18"/>
                <w:szCs w:val="18"/>
              </w:rPr>
            </w:pPr>
            <w:r>
              <w:rPr>
                <w:rFonts w:ascii="Arial" w:hAnsi="Arial" w:cs="Arial"/>
                <w:bCs/>
                <w:color w:val="000000"/>
                <w:sz w:val="18"/>
                <w:szCs w:val="18"/>
              </w:rPr>
              <w:t>10</w:t>
            </w:r>
          </w:p>
        </w:tc>
        <w:tc>
          <w:tcPr>
            <w:tcW w:w="13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9C28325">
            <w:pPr>
              <w:jc w:val="center"/>
              <w:rPr>
                <w:rFonts w:ascii="Arial" w:hAnsi="Arial" w:cs="Arial"/>
                <w:bCs/>
                <w:color w:val="000000"/>
                <w:sz w:val="18"/>
                <w:szCs w:val="18"/>
              </w:rPr>
            </w:pPr>
            <w:r>
              <w:rPr>
                <w:rFonts w:ascii="Arial" w:hAnsi="Arial" w:cs="Arial"/>
                <w:bCs/>
                <w:color w:val="000000"/>
                <w:sz w:val="18"/>
                <w:szCs w:val="18"/>
              </w:rPr>
              <w:t>R$ 1.476,45</w:t>
            </w:r>
          </w:p>
        </w:tc>
        <w:tc>
          <w:tcPr>
            <w:tcW w:w="13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62E2BDC">
            <w:pPr>
              <w:jc w:val="center"/>
              <w:rPr>
                <w:rFonts w:ascii="Arial" w:hAnsi="Arial" w:cs="Arial"/>
                <w:bCs/>
                <w:color w:val="000000"/>
                <w:sz w:val="18"/>
                <w:szCs w:val="18"/>
              </w:rPr>
            </w:pPr>
            <w:r>
              <w:rPr>
                <w:rFonts w:ascii="Arial" w:hAnsi="Arial" w:cs="Arial"/>
                <w:bCs/>
                <w:color w:val="000000"/>
                <w:sz w:val="18"/>
                <w:szCs w:val="18"/>
              </w:rPr>
              <w:t>R$ 14.764,50</w:t>
            </w:r>
          </w:p>
        </w:tc>
      </w:tr>
      <w:tr w14:paraId="4609608B">
        <w:tblPrEx>
          <w:tblCellMar>
            <w:top w:w="0" w:type="dxa"/>
            <w:left w:w="108" w:type="dxa"/>
            <w:bottom w:w="0" w:type="dxa"/>
            <w:right w:w="108" w:type="dxa"/>
          </w:tblCellMar>
        </w:tblPrEx>
        <w:trPr>
          <w:trHeight w:val="962" w:hRule="atLeast"/>
          <w:jc w:val="center"/>
        </w:trPr>
        <w:tc>
          <w:tcPr>
            <w:tcW w:w="927"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7D9731B7">
            <w:pPr>
              <w:jc w:val="cente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10</w:t>
            </w:r>
          </w:p>
        </w:tc>
        <w:tc>
          <w:tcPr>
            <w:tcW w:w="34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2C5B2D8C">
            <w:pP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 xml:space="preserve">REAGENTE ANTI-CDE MONOCLONAL (IGM/IGG) REAGENTE PARA DETECTAR ANTIGENOS D, C, E DO SISTEMA RH. FRASCO COM 10 ML </w:t>
            </w:r>
            <w:r>
              <w:rPr>
                <w:rFonts w:ascii="Arial" w:hAnsi="Arial" w:eastAsia="SimSun" w:cs="Arial"/>
                <w:b/>
                <w:bCs/>
                <w:color w:val="000000"/>
                <w:sz w:val="18"/>
                <w:szCs w:val="18"/>
                <w:lang w:val="en-US" w:eastAsia="zh-CN" w:bidi="ar"/>
              </w:rPr>
              <w:t>(EXCLUSIVO PARA M.E. E E.P.P.)</w:t>
            </w:r>
          </w:p>
        </w:tc>
        <w:tc>
          <w:tcPr>
            <w:tcW w:w="127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0EF1546">
            <w:pPr>
              <w:jc w:val="center"/>
              <w:rPr>
                <w:rFonts w:ascii="Arial" w:hAnsi="Arial" w:cs="Arial"/>
                <w:bCs/>
                <w:color w:val="000000"/>
                <w:sz w:val="18"/>
                <w:szCs w:val="18"/>
              </w:rPr>
            </w:pPr>
            <w:r>
              <w:rPr>
                <w:rFonts w:ascii="Arial" w:hAnsi="Arial" w:cs="Arial"/>
                <w:bCs/>
                <w:color w:val="000000"/>
                <w:sz w:val="18"/>
                <w:szCs w:val="18"/>
              </w:rPr>
              <w:t>UNID.</w:t>
            </w:r>
          </w:p>
        </w:tc>
        <w:tc>
          <w:tcPr>
            <w:tcW w:w="95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F0FE7DC">
            <w:pPr>
              <w:jc w:val="center"/>
              <w:rPr>
                <w:rFonts w:ascii="Arial" w:hAnsi="Arial" w:cs="Arial"/>
                <w:bCs/>
                <w:color w:val="000000"/>
                <w:sz w:val="18"/>
                <w:szCs w:val="18"/>
              </w:rPr>
            </w:pPr>
            <w:r>
              <w:rPr>
                <w:rFonts w:ascii="Arial" w:hAnsi="Arial" w:cs="Arial"/>
                <w:bCs/>
                <w:color w:val="000000"/>
                <w:sz w:val="18"/>
                <w:szCs w:val="18"/>
              </w:rPr>
              <w:t>15</w:t>
            </w:r>
          </w:p>
        </w:tc>
        <w:tc>
          <w:tcPr>
            <w:tcW w:w="13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03EBD10">
            <w:pPr>
              <w:jc w:val="center"/>
              <w:rPr>
                <w:rFonts w:ascii="Arial" w:hAnsi="Arial" w:cs="Arial"/>
                <w:bCs/>
                <w:color w:val="000000"/>
                <w:sz w:val="18"/>
                <w:szCs w:val="18"/>
              </w:rPr>
            </w:pPr>
            <w:r>
              <w:rPr>
                <w:rFonts w:ascii="Arial" w:hAnsi="Arial" w:cs="Arial"/>
                <w:bCs/>
                <w:color w:val="000000"/>
                <w:sz w:val="18"/>
                <w:szCs w:val="18"/>
              </w:rPr>
              <w:t>R$ 78,90</w:t>
            </w:r>
          </w:p>
        </w:tc>
        <w:tc>
          <w:tcPr>
            <w:tcW w:w="13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1E7D5FE">
            <w:pPr>
              <w:jc w:val="center"/>
              <w:rPr>
                <w:rFonts w:ascii="Arial" w:hAnsi="Arial" w:cs="Arial"/>
                <w:bCs/>
                <w:color w:val="000000"/>
                <w:sz w:val="18"/>
                <w:szCs w:val="18"/>
              </w:rPr>
            </w:pPr>
            <w:r>
              <w:rPr>
                <w:rFonts w:ascii="Arial" w:hAnsi="Arial" w:cs="Arial"/>
                <w:bCs/>
                <w:color w:val="000000"/>
                <w:sz w:val="18"/>
                <w:szCs w:val="18"/>
              </w:rPr>
              <w:t>R$ 1.183,50</w:t>
            </w:r>
          </w:p>
        </w:tc>
      </w:tr>
      <w:tr w14:paraId="7E180B40">
        <w:tblPrEx>
          <w:tblCellMar>
            <w:top w:w="0" w:type="dxa"/>
            <w:left w:w="108" w:type="dxa"/>
            <w:bottom w:w="0" w:type="dxa"/>
            <w:right w:w="108" w:type="dxa"/>
          </w:tblCellMar>
        </w:tblPrEx>
        <w:trPr>
          <w:trHeight w:val="962" w:hRule="atLeast"/>
          <w:jc w:val="center"/>
        </w:trPr>
        <w:tc>
          <w:tcPr>
            <w:tcW w:w="927"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70C98438">
            <w:pPr>
              <w:jc w:val="cente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11</w:t>
            </w:r>
          </w:p>
        </w:tc>
        <w:tc>
          <w:tcPr>
            <w:tcW w:w="34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7DE23C5F">
            <w:pP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 xml:space="preserve">SACO- LARANJA O SACO DE LIXO HOSPITALAR TÓXICO É UM PRODUTO CONSTITUÍDO EM POLIETILENO DE ALTA DENSIDADE (PEAD), IDEAL PARA O DESCARTE DE MATERIAIS INFECTADOS DE LABORATÓRIOS E HOSPITAIS.PRODUTO NORMATIZADO COM OS PADRÕES DA ABNT NBR 9191/7500.COR: LARANJA DIMENSÕES: 50 LITROS - 63CM X 80CM; QUANTIDADE: 1 PACOTE COM 100 SACOS.MICRA:    0, 03. </w:t>
            </w:r>
            <w:r>
              <w:rPr>
                <w:rFonts w:ascii="Arial" w:hAnsi="Arial" w:eastAsia="SimSun" w:cs="Arial"/>
                <w:b/>
                <w:bCs/>
                <w:color w:val="000000"/>
                <w:sz w:val="18"/>
                <w:szCs w:val="18"/>
                <w:lang w:val="en-US" w:eastAsia="zh-CN" w:bidi="ar"/>
              </w:rPr>
              <w:t>(EXCLUSIVO PARA M.E. E E.P.P.)</w:t>
            </w:r>
          </w:p>
        </w:tc>
        <w:tc>
          <w:tcPr>
            <w:tcW w:w="127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B32F53B">
            <w:pPr>
              <w:jc w:val="center"/>
              <w:rPr>
                <w:rFonts w:ascii="Arial" w:hAnsi="Arial" w:cs="Arial"/>
                <w:bCs/>
                <w:color w:val="000000"/>
                <w:sz w:val="18"/>
                <w:szCs w:val="18"/>
              </w:rPr>
            </w:pPr>
            <w:r>
              <w:rPr>
                <w:rFonts w:ascii="Arial" w:hAnsi="Arial" w:cs="Arial"/>
                <w:bCs/>
                <w:color w:val="000000"/>
                <w:sz w:val="18"/>
                <w:szCs w:val="18"/>
              </w:rPr>
              <w:t>PACOTE</w:t>
            </w:r>
          </w:p>
        </w:tc>
        <w:tc>
          <w:tcPr>
            <w:tcW w:w="95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CF6C7DB">
            <w:pPr>
              <w:jc w:val="center"/>
              <w:rPr>
                <w:rFonts w:ascii="Arial" w:hAnsi="Arial" w:cs="Arial"/>
                <w:bCs/>
                <w:color w:val="000000"/>
                <w:sz w:val="18"/>
                <w:szCs w:val="18"/>
              </w:rPr>
            </w:pPr>
            <w:r>
              <w:rPr>
                <w:rFonts w:ascii="Arial" w:hAnsi="Arial" w:cs="Arial"/>
                <w:bCs/>
                <w:color w:val="000000"/>
                <w:sz w:val="18"/>
                <w:szCs w:val="18"/>
              </w:rPr>
              <w:t>50</w:t>
            </w:r>
          </w:p>
        </w:tc>
        <w:tc>
          <w:tcPr>
            <w:tcW w:w="13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25DD3EE">
            <w:pPr>
              <w:jc w:val="center"/>
              <w:rPr>
                <w:rFonts w:ascii="Arial" w:hAnsi="Arial" w:cs="Arial"/>
                <w:bCs/>
                <w:color w:val="000000"/>
                <w:sz w:val="18"/>
                <w:szCs w:val="18"/>
              </w:rPr>
            </w:pPr>
            <w:r>
              <w:rPr>
                <w:rFonts w:ascii="Arial" w:hAnsi="Arial" w:cs="Arial"/>
                <w:bCs/>
                <w:color w:val="000000"/>
                <w:sz w:val="18"/>
                <w:szCs w:val="18"/>
              </w:rPr>
              <w:t>R$ 92,90</w:t>
            </w:r>
          </w:p>
        </w:tc>
        <w:tc>
          <w:tcPr>
            <w:tcW w:w="13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4983438">
            <w:pPr>
              <w:jc w:val="center"/>
              <w:rPr>
                <w:rFonts w:ascii="Arial" w:hAnsi="Arial" w:cs="Arial"/>
                <w:bCs/>
                <w:color w:val="000000"/>
                <w:sz w:val="18"/>
                <w:szCs w:val="18"/>
              </w:rPr>
            </w:pPr>
            <w:r>
              <w:rPr>
                <w:rFonts w:ascii="Arial" w:hAnsi="Arial" w:cs="Arial"/>
                <w:bCs/>
                <w:color w:val="000000"/>
                <w:sz w:val="18"/>
                <w:szCs w:val="18"/>
              </w:rPr>
              <w:t>R$ 4.645,00</w:t>
            </w:r>
          </w:p>
        </w:tc>
      </w:tr>
      <w:tr w14:paraId="10DBA12A">
        <w:tblPrEx>
          <w:tblCellMar>
            <w:top w:w="0" w:type="dxa"/>
            <w:left w:w="108" w:type="dxa"/>
            <w:bottom w:w="0" w:type="dxa"/>
            <w:right w:w="108" w:type="dxa"/>
          </w:tblCellMar>
        </w:tblPrEx>
        <w:trPr>
          <w:trHeight w:val="962" w:hRule="atLeast"/>
          <w:jc w:val="center"/>
        </w:trPr>
        <w:tc>
          <w:tcPr>
            <w:tcW w:w="927"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7B749E51">
            <w:pPr>
              <w:jc w:val="cente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12</w:t>
            </w:r>
          </w:p>
        </w:tc>
        <w:tc>
          <w:tcPr>
            <w:tcW w:w="34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43EA843C">
            <w:pP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 xml:space="preserve">SCALP/ESCALPE - PARA COLETA SANGUE A VACUO COM DISPOSITIVO DE SEGURANCA, O ESCALPE INTRAVENOSO DE COLETA MÚLTIPLA, SENDO COMPOSTA POR UMA AGULHA EM AÇO INOXIDÁVEL, SUA PONTA TRIFACETADA ELETRONICAMENTE, REVESTIDA POR DE UMA CAPA PROTETORA EM POLIETILENO PARA MAIOR SEGURANÇA. A AGULHA COLADA A BORBOLETA/ASA EM TUBO PVC, COM EXTENSÃO DE 20 CM, UNIDO A SUA PONTA DISTAL, COM ADAPTADOR LUER, PARA CONEXÃO DO CONJUNTO DE COLETA DE SANGUE. CALIBRE 23G X 3/4. </w:t>
            </w:r>
            <w:r>
              <w:rPr>
                <w:rFonts w:ascii="Arial" w:hAnsi="Arial" w:eastAsia="SimSun" w:cs="Arial"/>
                <w:b/>
                <w:bCs/>
                <w:color w:val="000000"/>
                <w:sz w:val="18"/>
                <w:szCs w:val="18"/>
                <w:lang w:val="en-US" w:eastAsia="zh-CN" w:bidi="ar"/>
              </w:rPr>
              <w:t>(EXCLUSIVO PARA M.E. E E.P.P.)</w:t>
            </w:r>
          </w:p>
        </w:tc>
        <w:tc>
          <w:tcPr>
            <w:tcW w:w="127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6DFC08D">
            <w:pPr>
              <w:jc w:val="center"/>
              <w:rPr>
                <w:rFonts w:ascii="Arial" w:hAnsi="Arial" w:cs="Arial"/>
                <w:bCs/>
                <w:color w:val="000000"/>
                <w:sz w:val="18"/>
                <w:szCs w:val="18"/>
              </w:rPr>
            </w:pPr>
            <w:r>
              <w:rPr>
                <w:rFonts w:ascii="Arial" w:hAnsi="Arial" w:cs="Arial"/>
                <w:bCs/>
                <w:color w:val="000000"/>
                <w:sz w:val="18"/>
                <w:szCs w:val="18"/>
              </w:rPr>
              <w:t>UNID.</w:t>
            </w:r>
          </w:p>
        </w:tc>
        <w:tc>
          <w:tcPr>
            <w:tcW w:w="95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0EA9107">
            <w:pPr>
              <w:jc w:val="center"/>
              <w:rPr>
                <w:rFonts w:ascii="Arial" w:hAnsi="Arial" w:cs="Arial"/>
                <w:bCs/>
                <w:color w:val="000000"/>
                <w:sz w:val="18"/>
                <w:szCs w:val="18"/>
              </w:rPr>
            </w:pPr>
            <w:r>
              <w:rPr>
                <w:rFonts w:ascii="Arial" w:hAnsi="Arial" w:cs="Arial"/>
                <w:bCs/>
                <w:color w:val="000000"/>
                <w:sz w:val="18"/>
                <w:szCs w:val="18"/>
              </w:rPr>
              <w:t>2500</w:t>
            </w:r>
          </w:p>
        </w:tc>
        <w:tc>
          <w:tcPr>
            <w:tcW w:w="13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1CA8F09">
            <w:pPr>
              <w:jc w:val="center"/>
              <w:rPr>
                <w:rFonts w:ascii="Arial" w:hAnsi="Arial" w:cs="Arial"/>
                <w:bCs/>
                <w:color w:val="000000"/>
                <w:sz w:val="18"/>
                <w:szCs w:val="18"/>
              </w:rPr>
            </w:pPr>
            <w:r>
              <w:rPr>
                <w:rFonts w:ascii="Arial" w:hAnsi="Arial" w:cs="Arial"/>
                <w:bCs/>
                <w:color w:val="000000"/>
                <w:sz w:val="18"/>
                <w:szCs w:val="18"/>
              </w:rPr>
              <w:t>R$ 0,70</w:t>
            </w:r>
          </w:p>
        </w:tc>
        <w:tc>
          <w:tcPr>
            <w:tcW w:w="13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2DE2FC7">
            <w:pPr>
              <w:jc w:val="center"/>
              <w:rPr>
                <w:rFonts w:ascii="Arial" w:hAnsi="Arial" w:cs="Arial"/>
                <w:bCs/>
                <w:color w:val="000000"/>
                <w:sz w:val="18"/>
                <w:szCs w:val="18"/>
              </w:rPr>
            </w:pPr>
            <w:r>
              <w:rPr>
                <w:rFonts w:ascii="Arial" w:hAnsi="Arial" w:cs="Arial"/>
                <w:bCs/>
                <w:color w:val="000000"/>
                <w:sz w:val="18"/>
                <w:szCs w:val="18"/>
              </w:rPr>
              <w:t>R$ 1.750,00</w:t>
            </w:r>
          </w:p>
        </w:tc>
      </w:tr>
      <w:tr w14:paraId="467427F4">
        <w:tblPrEx>
          <w:tblCellMar>
            <w:top w:w="0" w:type="dxa"/>
            <w:left w:w="108" w:type="dxa"/>
            <w:bottom w:w="0" w:type="dxa"/>
            <w:right w:w="108" w:type="dxa"/>
          </w:tblCellMar>
        </w:tblPrEx>
        <w:trPr>
          <w:trHeight w:val="962" w:hRule="atLeast"/>
          <w:jc w:val="center"/>
        </w:trPr>
        <w:tc>
          <w:tcPr>
            <w:tcW w:w="927"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54C280C1">
            <w:pPr>
              <w:jc w:val="cente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13</w:t>
            </w:r>
          </w:p>
        </w:tc>
        <w:tc>
          <w:tcPr>
            <w:tcW w:w="34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44D2444E">
            <w:pP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 xml:space="preserve">SCALP/ESCALPE - PARA COLETA SANGUE A VACUO COM DISPOSITIVO DE SEGURANCA, O ESCALPE INTRAVENOSO DE COLETA MÚLTIPLA, SENDO COMPOSTA POR UMA AGULHA EM AÇO INOXIDÁVEL, SUA PONTA TRIFACETADA ELETRONICAMENTE, REVESTIDA POR DE UMA CAPA PROTETORA EM POLIETILENO PARA MAIOR SEGURANÇA. A AGULHA COLADA A BORBOLETA/ASA EM TUBO PVC, COM EXTENSÃO DE 20 CM, UNIDO A SUA PONTA DISTAL, COM ADAPTADOR LUER, PARA CONEXÃO DO CONJUNTO DE COLETA DE SANGUE. </w:t>
            </w:r>
            <w:r>
              <w:rPr>
                <w:rFonts w:ascii="Arial" w:hAnsi="Arial" w:eastAsia="SimSun" w:cs="Arial"/>
                <w:bCs/>
                <w:color w:val="000000"/>
                <w:sz w:val="18"/>
                <w:szCs w:val="18"/>
                <w:lang w:val="en-US" w:eastAsia="zh-CN" w:bidi="ar"/>
              </w:rPr>
              <w:br w:type="page"/>
            </w:r>
            <w:r>
              <w:rPr>
                <w:rFonts w:ascii="Arial" w:hAnsi="Arial" w:eastAsia="SimSun" w:cs="Arial"/>
                <w:bCs/>
                <w:color w:val="000000"/>
                <w:sz w:val="18"/>
                <w:szCs w:val="18"/>
                <w:lang w:val="en-US" w:eastAsia="zh-CN" w:bidi="ar"/>
              </w:rPr>
              <w:t xml:space="preserve">CALIBRE 25G X 7. </w:t>
            </w:r>
            <w:r>
              <w:rPr>
                <w:rFonts w:ascii="Arial" w:hAnsi="Arial" w:eastAsia="SimSun" w:cs="Arial"/>
                <w:b/>
                <w:bCs/>
                <w:color w:val="000000"/>
                <w:sz w:val="18"/>
                <w:szCs w:val="18"/>
                <w:lang w:val="en-US" w:eastAsia="zh-CN" w:bidi="ar"/>
              </w:rPr>
              <w:t>(EXCLUSIVO PARA M.E. E E.P.P.)</w:t>
            </w:r>
            <w:r>
              <w:rPr>
                <w:rFonts w:ascii="Arial" w:hAnsi="Arial" w:eastAsia="SimSun" w:cs="Arial"/>
                <w:bCs/>
                <w:color w:val="000000"/>
                <w:sz w:val="18"/>
                <w:szCs w:val="18"/>
                <w:lang w:val="en-US" w:eastAsia="zh-CN" w:bidi="ar"/>
              </w:rPr>
              <w:br w:type="page"/>
            </w:r>
          </w:p>
        </w:tc>
        <w:tc>
          <w:tcPr>
            <w:tcW w:w="127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1933628">
            <w:pPr>
              <w:jc w:val="center"/>
              <w:rPr>
                <w:rFonts w:ascii="Arial" w:hAnsi="Arial" w:cs="Arial"/>
                <w:bCs/>
                <w:color w:val="000000"/>
                <w:sz w:val="18"/>
                <w:szCs w:val="18"/>
              </w:rPr>
            </w:pPr>
            <w:r>
              <w:rPr>
                <w:rFonts w:ascii="Arial" w:hAnsi="Arial" w:cs="Arial"/>
                <w:bCs/>
                <w:color w:val="000000"/>
                <w:sz w:val="18"/>
                <w:szCs w:val="18"/>
              </w:rPr>
              <w:t>UNID.</w:t>
            </w:r>
          </w:p>
        </w:tc>
        <w:tc>
          <w:tcPr>
            <w:tcW w:w="95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79183DC">
            <w:pPr>
              <w:jc w:val="center"/>
              <w:rPr>
                <w:rFonts w:ascii="Arial" w:hAnsi="Arial" w:cs="Arial"/>
                <w:bCs/>
                <w:color w:val="000000"/>
                <w:sz w:val="18"/>
                <w:szCs w:val="18"/>
              </w:rPr>
            </w:pPr>
            <w:r>
              <w:rPr>
                <w:rFonts w:ascii="Arial" w:hAnsi="Arial" w:cs="Arial"/>
                <w:bCs/>
                <w:color w:val="000000"/>
                <w:sz w:val="18"/>
                <w:szCs w:val="18"/>
              </w:rPr>
              <w:t>2500</w:t>
            </w:r>
          </w:p>
        </w:tc>
        <w:tc>
          <w:tcPr>
            <w:tcW w:w="13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47C54E8">
            <w:pPr>
              <w:jc w:val="center"/>
              <w:rPr>
                <w:rFonts w:ascii="Arial" w:hAnsi="Arial" w:cs="Arial"/>
                <w:bCs/>
                <w:color w:val="000000"/>
                <w:sz w:val="18"/>
                <w:szCs w:val="18"/>
              </w:rPr>
            </w:pPr>
            <w:r>
              <w:rPr>
                <w:rFonts w:ascii="Arial" w:hAnsi="Arial" w:cs="Arial"/>
                <w:bCs/>
                <w:color w:val="000000"/>
                <w:sz w:val="18"/>
                <w:szCs w:val="18"/>
              </w:rPr>
              <w:t>R$ 0,46</w:t>
            </w:r>
          </w:p>
        </w:tc>
        <w:tc>
          <w:tcPr>
            <w:tcW w:w="13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0D214C8">
            <w:pPr>
              <w:jc w:val="center"/>
              <w:rPr>
                <w:rFonts w:ascii="Arial" w:hAnsi="Arial" w:cs="Arial"/>
                <w:bCs/>
                <w:color w:val="000000"/>
                <w:sz w:val="18"/>
                <w:szCs w:val="18"/>
              </w:rPr>
            </w:pPr>
            <w:r>
              <w:rPr>
                <w:rFonts w:ascii="Arial" w:hAnsi="Arial" w:cs="Arial"/>
                <w:bCs/>
                <w:color w:val="000000"/>
                <w:sz w:val="18"/>
                <w:szCs w:val="18"/>
              </w:rPr>
              <w:t>R$ 1.150,00</w:t>
            </w:r>
          </w:p>
        </w:tc>
      </w:tr>
      <w:tr w14:paraId="6CB998D8">
        <w:tblPrEx>
          <w:tblCellMar>
            <w:top w:w="0" w:type="dxa"/>
            <w:left w:w="108" w:type="dxa"/>
            <w:bottom w:w="0" w:type="dxa"/>
            <w:right w:w="108" w:type="dxa"/>
          </w:tblCellMar>
        </w:tblPrEx>
        <w:trPr>
          <w:trHeight w:val="962" w:hRule="atLeast"/>
          <w:jc w:val="center"/>
        </w:trPr>
        <w:tc>
          <w:tcPr>
            <w:tcW w:w="927"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712D99AC">
            <w:pPr>
              <w:jc w:val="cente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14</w:t>
            </w:r>
          </w:p>
        </w:tc>
        <w:tc>
          <w:tcPr>
            <w:tcW w:w="34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7D6D5A1C">
            <w:pP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 xml:space="preserve">TESTE RAPIDO IMUNOCROMATOGRAFICO PARA A DETECCAO E DIFERENCIACAO SIMULTANEA DOS ANTICORPOS IGG E IGM ANTI-ZIKA EM AMOSTRAS HUMANAS DE SORO, PLASMA OU SANGUE TOTAL. E DESTINADO PARA A TRIAGEM NO AUXILIO DO DIAGNOSTICO DE INFECCOES PELO VIRUS DA ZIKA. METODOLOGIA: IMUNOCROMATOGRAFIA LINEARIDADE: IGM - SENSIBILIDADE ≥ 94% E ESPECIFICIDADE ≥ 97% E IGG SENSIBILIDADE ≥ 94% E ESPECIFICIDADE ≥ 96%. KIT PARA OS TESTES CONTENDO:  DISPOSITIVOS TESTES EMBALADOS INDIVIDUALMENTE COM 1 PIPETA PASTEUR / 1 FRASCO DE TAMPAO DILUENTE / INSTRUCOES DE USO.  </w:t>
            </w:r>
            <w:r>
              <w:rPr>
                <w:rFonts w:ascii="Arial" w:hAnsi="Arial" w:eastAsia="SimSun" w:cs="Arial"/>
                <w:b/>
                <w:bCs/>
                <w:color w:val="000000"/>
                <w:sz w:val="18"/>
                <w:szCs w:val="18"/>
                <w:lang w:val="en-US" w:eastAsia="zh-CN" w:bidi="ar"/>
              </w:rPr>
              <w:t>(COTA PRINCIPAL)</w:t>
            </w:r>
          </w:p>
        </w:tc>
        <w:tc>
          <w:tcPr>
            <w:tcW w:w="127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726E379">
            <w:pPr>
              <w:jc w:val="center"/>
              <w:rPr>
                <w:rFonts w:ascii="Arial" w:hAnsi="Arial" w:cs="Arial"/>
                <w:bCs/>
                <w:color w:val="000000"/>
                <w:sz w:val="18"/>
                <w:szCs w:val="18"/>
              </w:rPr>
            </w:pPr>
            <w:r>
              <w:rPr>
                <w:rFonts w:ascii="Arial" w:hAnsi="Arial" w:cs="Arial"/>
                <w:bCs/>
                <w:color w:val="000000"/>
                <w:sz w:val="18"/>
                <w:szCs w:val="18"/>
              </w:rPr>
              <w:t>UNID.</w:t>
            </w:r>
          </w:p>
        </w:tc>
        <w:tc>
          <w:tcPr>
            <w:tcW w:w="95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9F18A2C">
            <w:pPr>
              <w:jc w:val="center"/>
              <w:rPr>
                <w:rFonts w:ascii="Arial" w:hAnsi="Arial" w:cs="Arial"/>
                <w:bCs/>
                <w:color w:val="000000"/>
                <w:sz w:val="18"/>
                <w:szCs w:val="18"/>
              </w:rPr>
            </w:pPr>
            <w:r>
              <w:rPr>
                <w:rFonts w:ascii="Arial" w:hAnsi="Arial" w:cs="Arial"/>
                <w:bCs/>
                <w:color w:val="000000"/>
                <w:sz w:val="18"/>
                <w:szCs w:val="18"/>
              </w:rPr>
              <w:t>750</w:t>
            </w:r>
          </w:p>
        </w:tc>
        <w:tc>
          <w:tcPr>
            <w:tcW w:w="13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24EA56F">
            <w:pPr>
              <w:jc w:val="center"/>
              <w:rPr>
                <w:rFonts w:ascii="Arial" w:hAnsi="Arial" w:cs="Arial"/>
                <w:bCs/>
                <w:color w:val="000000"/>
                <w:sz w:val="18"/>
                <w:szCs w:val="18"/>
              </w:rPr>
            </w:pPr>
            <w:r>
              <w:rPr>
                <w:rFonts w:ascii="Arial" w:hAnsi="Arial" w:cs="Arial"/>
                <w:bCs/>
                <w:color w:val="000000"/>
                <w:sz w:val="18"/>
                <w:szCs w:val="18"/>
              </w:rPr>
              <w:t xml:space="preserve">R$ 80,80 </w:t>
            </w:r>
          </w:p>
        </w:tc>
        <w:tc>
          <w:tcPr>
            <w:tcW w:w="13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E2D58EF">
            <w:pPr>
              <w:jc w:val="center"/>
              <w:rPr>
                <w:rFonts w:ascii="Arial" w:hAnsi="Arial" w:cs="Arial"/>
                <w:bCs/>
                <w:color w:val="000000"/>
                <w:sz w:val="18"/>
                <w:szCs w:val="18"/>
              </w:rPr>
            </w:pPr>
            <w:r>
              <w:rPr>
                <w:rFonts w:ascii="Arial" w:hAnsi="Arial" w:cs="Arial"/>
                <w:bCs/>
                <w:color w:val="000000"/>
                <w:sz w:val="18"/>
                <w:szCs w:val="18"/>
              </w:rPr>
              <w:t>R$ 60.600,00</w:t>
            </w:r>
          </w:p>
        </w:tc>
      </w:tr>
      <w:tr w14:paraId="64D30A9A">
        <w:tblPrEx>
          <w:tblCellMar>
            <w:top w:w="0" w:type="dxa"/>
            <w:left w:w="108" w:type="dxa"/>
            <w:bottom w:w="0" w:type="dxa"/>
            <w:right w:w="108" w:type="dxa"/>
          </w:tblCellMar>
        </w:tblPrEx>
        <w:trPr>
          <w:trHeight w:val="962" w:hRule="atLeast"/>
          <w:jc w:val="center"/>
        </w:trPr>
        <w:tc>
          <w:tcPr>
            <w:tcW w:w="927"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27299660">
            <w:pPr>
              <w:jc w:val="cente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15</w:t>
            </w:r>
          </w:p>
        </w:tc>
        <w:tc>
          <w:tcPr>
            <w:tcW w:w="34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017A96C1">
            <w:pP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 xml:space="preserve">TESTE RAPIDO IMUNOCROMATOGRAFICO PARA A DETECCAO E DIFERENCIACAO SIMULTANEA DOS ANTICORPOS IGG E IGM ANTI-ZIKA EM AMOSTRAS HUMANAS DE SORO, PLASMA OU SANGUE TOTAL. E DESTINADO PARA A TRIAGEM NO AUXILIO DO DIAGNOSTICO DE INFECCOES PELO VIRUS DA ZIKA. METODOLOGIA: IMUNOCROMATOGRAFIA LINEARIDADE: IGM - SENSIBILIDADE ≥ 94% E ESPECIFICIDADE ≥ 97% E IGG SENSIBILIDADE ≥ 94% E ESPECIFICIDADE ≥ 96%. KIT PARA OS TESTES CONTENDO:  DISPOSITIVOS TESTES EMBALADOS INDIVIDUALMENTE COM 1 PIPETA PASTEUR / 1 FRASCO DE TAMPAO DILUENTE / INSTRUCOES DE USO.   </w:t>
            </w:r>
            <w:r>
              <w:rPr>
                <w:rFonts w:ascii="Arial" w:hAnsi="Arial" w:eastAsia="SimSun" w:cs="Arial"/>
                <w:b/>
                <w:bCs/>
                <w:color w:val="000000"/>
                <w:sz w:val="18"/>
                <w:szCs w:val="18"/>
                <w:lang w:val="en-US" w:eastAsia="zh-CN" w:bidi="ar"/>
              </w:rPr>
              <w:t>(COTA RESERVADA PARA M.E. E E.P.P.)</w:t>
            </w:r>
          </w:p>
        </w:tc>
        <w:tc>
          <w:tcPr>
            <w:tcW w:w="127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6F60E3A">
            <w:pPr>
              <w:jc w:val="center"/>
              <w:rPr>
                <w:rFonts w:ascii="Arial" w:hAnsi="Arial" w:cs="Arial"/>
                <w:bCs/>
                <w:color w:val="000000"/>
                <w:sz w:val="18"/>
                <w:szCs w:val="18"/>
              </w:rPr>
            </w:pPr>
            <w:r>
              <w:rPr>
                <w:rFonts w:ascii="Arial" w:hAnsi="Arial" w:cs="Arial"/>
                <w:bCs/>
                <w:color w:val="000000"/>
                <w:sz w:val="18"/>
                <w:szCs w:val="18"/>
              </w:rPr>
              <w:t>UNID.</w:t>
            </w:r>
          </w:p>
        </w:tc>
        <w:tc>
          <w:tcPr>
            <w:tcW w:w="95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88CB60B">
            <w:pPr>
              <w:jc w:val="center"/>
              <w:rPr>
                <w:rFonts w:ascii="Arial" w:hAnsi="Arial" w:cs="Arial"/>
                <w:bCs/>
                <w:color w:val="000000"/>
                <w:sz w:val="18"/>
                <w:szCs w:val="18"/>
              </w:rPr>
            </w:pPr>
            <w:r>
              <w:rPr>
                <w:rFonts w:ascii="Arial" w:hAnsi="Arial" w:cs="Arial"/>
                <w:bCs/>
                <w:color w:val="000000"/>
                <w:sz w:val="18"/>
                <w:szCs w:val="18"/>
              </w:rPr>
              <w:t>250</w:t>
            </w:r>
          </w:p>
        </w:tc>
        <w:tc>
          <w:tcPr>
            <w:tcW w:w="13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9308350">
            <w:pPr>
              <w:jc w:val="center"/>
              <w:rPr>
                <w:rFonts w:ascii="Arial" w:hAnsi="Arial" w:cs="Arial"/>
                <w:bCs/>
                <w:color w:val="000000"/>
                <w:sz w:val="18"/>
                <w:szCs w:val="18"/>
              </w:rPr>
            </w:pPr>
            <w:r>
              <w:rPr>
                <w:rFonts w:ascii="Arial" w:hAnsi="Arial" w:cs="Arial"/>
                <w:bCs/>
                <w:color w:val="000000"/>
                <w:sz w:val="18"/>
                <w:szCs w:val="18"/>
              </w:rPr>
              <w:t>R$ 8</w:t>
            </w:r>
            <w:r>
              <w:rPr>
                <w:rFonts w:hint="default" w:ascii="Arial" w:hAnsi="Arial" w:cs="Arial"/>
                <w:bCs/>
                <w:color w:val="000000"/>
                <w:sz w:val="18"/>
                <w:szCs w:val="18"/>
                <w:lang w:val="pt-BR"/>
              </w:rPr>
              <w:t>0</w:t>
            </w:r>
            <w:r>
              <w:rPr>
                <w:rFonts w:ascii="Arial" w:hAnsi="Arial" w:cs="Arial"/>
                <w:bCs/>
                <w:color w:val="000000"/>
                <w:sz w:val="18"/>
                <w:szCs w:val="18"/>
              </w:rPr>
              <w:t xml:space="preserve">,80 </w:t>
            </w:r>
          </w:p>
        </w:tc>
        <w:tc>
          <w:tcPr>
            <w:tcW w:w="13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52A5A33">
            <w:pPr>
              <w:jc w:val="center"/>
              <w:rPr>
                <w:rFonts w:ascii="Arial" w:hAnsi="Arial" w:cs="Arial"/>
                <w:bCs/>
                <w:color w:val="000000"/>
                <w:sz w:val="18"/>
                <w:szCs w:val="18"/>
              </w:rPr>
            </w:pPr>
            <w:r>
              <w:rPr>
                <w:rFonts w:ascii="Arial" w:hAnsi="Arial" w:cs="Arial"/>
                <w:bCs/>
                <w:color w:val="000000"/>
                <w:sz w:val="18"/>
                <w:szCs w:val="18"/>
              </w:rPr>
              <w:t>R$ 20.</w:t>
            </w:r>
            <w:r>
              <w:rPr>
                <w:rFonts w:hint="default" w:ascii="Arial" w:hAnsi="Arial" w:cs="Arial"/>
                <w:bCs/>
                <w:color w:val="000000"/>
                <w:sz w:val="18"/>
                <w:szCs w:val="18"/>
                <w:lang w:val="pt-BR"/>
              </w:rPr>
              <w:t>20</w:t>
            </w:r>
            <w:bookmarkStart w:id="94" w:name="_GoBack"/>
            <w:bookmarkEnd w:id="94"/>
            <w:r>
              <w:rPr>
                <w:rFonts w:ascii="Arial" w:hAnsi="Arial" w:cs="Arial"/>
                <w:bCs/>
                <w:color w:val="000000"/>
                <w:sz w:val="18"/>
                <w:szCs w:val="18"/>
              </w:rPr>
              <w:t>0,00</w:t>
            </w:r>
          </w:p>
        </w:tc>
      </w:tr>
      <w:tr w14:paraId="4153B5E0">
        <w:tblPrEx>
          <w:tblCellMar>
            <w:top w:w="0" w:type="dxa"/>
            <w:left w:w="108" w:type="dxa"/>
            <w:bottom w:w="0" w:type="dxa"/>
            <w:right w:w="108" w:type="dxa"/>
          </w:tblCellMar>
        </w:tblPrEx>
        <w:trPr>
          <w:trHeight w:val="90" w:hRule="atLeast"/>
          <w:jc w:val="center"/>
        </w:trPr>
        <w:tc>
          <w:tcPr>
            <w:tcW w:w="927"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0F4A9901">
            <w:pPr>
              <w:jc w:val="cente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16</w:t>
            </w:r>
          </w:p>
        </w:tc>
        <w:tc>
          <w:tcPr>
            <w:tcW w:w="34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3BDC73C9">
            <w:pP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 xml:space="preserve">TESTE RAPIDO IMUNOCROMATOGRAFICO PARA A DETECCAO E DIFERENCIACAO SIMULTANEA DOS ANTICORPOS IGG E IGM CHIKUNGUNYA A EM AMOSTRAS HUMANAS DE SORO, PLASMA OU SANGUE TOTAL. E DESTINADO PARA A TRIAGEM NO AUXILIO DO DIAGNOSTICO DE INFECCOES PELO VIRUS DA CHIKUNGUNYA. METODOLOGIA: IMUNOCROMATOGRAFIA LINEARIDADE: IGM - SENSIBILIDADE ≥ 94% E ESPECIFICIDADE ≥ 97% E IGG SENSIBILIDADE ≥ 97% E ESPECIFICIDADE ≥ 97%. KIT PARA OS TESTES CONTENDO: DISPOSITIVOS TESTES EMBALADOS INDIVIDUALMENTE COM 1 PIPETA /1 FRASCO DE TAMPAO DILUENTE / INSTRUCOES DE USO. </w:t>
            </w:r>
            <w:r>
              <w:rPr>
                <w:rFonts w:ascii="Arial" w:hAnsi="Arial" w:eastAsia="SimSun" w:cs="Arial"/>
                <w:b/>
                <w:bCs/>
                <w:color w:val="000000"/>
                <w:sz w:val="18"/>
                <w:szCs w:val="18"/>
                <w:lang w:val="en-US" w:eastAsia="zh-CN" w:bidi="ar"/>
              </w:rPr>
              <w:t>(COTAPRINCIPAL)</w:t>
            </w:r>
          </w:p>
        </w:tc>
        <w:tc>
          <w:tcPr>
            <w:tcW w:w="127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352B73F">
            <w:pPr>
              <w:jc w:val="center"/>
              <w:rPr>
                <w:rFonts w:ascii="Arial" w:hAnsi="Arial" w:cs="Arial"/>
                <w:bCs/>
                <w:color w:val="000000"/>
                <w:sz w:val="18"/>
                <w:szCs w:val="18"/>
              </w:rPr>
            </w:pPr>
            <w:r>
              <w:rPr>
                <w:rFonts w:ascii="Arial" w:hAnsi="Arial" w:cs="Arial"/>
                <w:bCs/>
                <w:color w:val="000000"/>
                <w:sz w:val="18"/>
                <w:szCs w:val="18"/>
              </w:rPr>
              <w:t>UNID.</w:t>
            </w:r>
          </w:p>
        </w:tc>
        <w:tc>
          <w:tcPr>
            <w:tcW w:w="95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74C9B77">
            <w:pPr>
              <w:jc w:val="center"/>
              <w:rPr>
                <w:rFonts w:ascii="Arial" w:hAnsi="Arial" w:cs="Arial"/>
                <w:bCs/>
                <w:color w:val="000000"/>
                <w:sz w:val="18"/>
                <w:szCs w:val="18"/>
              </w:rPr>
            </w:pPr>
            <w:r>
              <w:rPr>
                <w:rFonts w:ascii="Arial" w:hAnsi="Arial" w:cs="Arial"/>
                <w:bCs/>
                <w:color w:val="000000"/>
                <w:sz w:val="18"/>
                <w:szCs w:val="18"/>
              </w:rPr>
              <w:t>3.000</w:t>
            </w:r>
          </w:p>
        </w:tc>
        <w:tc>
          <w:tcPr>
            <w:tcW w:w="13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0F50B30">
            <w:pPr>
              <w:jc w:val="center"/>
              <w:rPr>
                <w:rFonts w:ascii="Arial" w:hAnsi="Arial" w:cs="Arial"/>
                <w:bCs/>
                <w:color w:val="000000"/>
                <w:sz w:val="18"/>
                <w:szCs w:val="18"/>
              </w:rPr>
            </w:pPr>
            <w:r>
              <w:rPr>
                <w:rFonts w:ascii="Arial" w:hAnsi="Arial" w:cs="Arial"/>
                <w:bCs/>
                <w:color w:val="000000"/>
                <w:sz w:val="18"/>
                <w:szCs w:val="18"/>
              </w:rPr>
              <w:t xml:space="preserve">R$ 61,00 </w:t>
            </w:r>
          </w:p>
        </w:tc>
        <w:tc>
          <w:tcPr>
            <w:tcW w:w="13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3BAD394">
            <w:pPr>
              <w:jc w:val="center"/>
              <w:rPr>
                <w:rFonts w:ascii="Arial" w:hAnsi="Arial" w:cs="Arial"/>
                <w:bCs/>
                <w:color w:val="000000"/>
                <w:sz w:val="18"/>
                <w:szCs w:val="18"/>
              </w:rPr>
            </w:pPr>
            <w:r>
              <w:rPr>
                <w:rFonts w:ascii="Arial" w:hAnsi="Arial" w:cs="Arial"/>
                <w:bCs/>
                <w:color w:val="000000"/>
                <w:sz w:val="18"/>
                <w:szCs w:val="18"/>
              </w:rPr>
              <w:t>R$ 183.000,00</w:t>
            </w:r>
          </w:p>
        </w:tc>
      </w:tr>
      <w:tr w14:paraId="301F52B3">
        <w:tblPrEx>
          <w:tblCellMar>
            <w:top w:w="0" w:type="dxa"/>
            <w:left w:w="108" w:type="dxa"/>
            <w:bottom w:w="0" w:type="dxa"/>
            <w:right w:w="108" w:type="dxa"/>
          </w:tblCellMar>
        </w:tblPrEx>
        <w:trPr>
          <w:trHeight w:val="962" w:hRule="atLeast"/>
          <w:jc w:val="center"/>
        </w:trPr>
        <w:tc>
          <w:tcPr>
            <w:tcW w:w="927"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437520E6">
            <w:pPr>
              <w:jc w:val="cente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17</w:t>
            </w:r>
          </w:p>
        </w:tc>
        <w:tc>
          <w:tcPr>
            <w:tcW w:w="34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7F7BFF2D">
            <w:pP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 xml:space="preserve">TESTE RAPIDO IMUNOCROMATOGRAFICO PARA A DETECCAO E DIFERENCIACAO SIMULTANEA DOS ANTICORPOS IGG E IGM CHIKUNGUNYA A EM AMOSTRAS HUMANAS DE SORO, PLASMA OU SANGUE TOTAL. E DESTINADO PARA A TRIAGEM NO AUXILIO DO DIAGNOSTICO DE INFECCOES PELO VIRUS DA CHIKUNGUNYA. METODOLOGIA: IMUNOCROMATOGRAFIA LINEARIDADE: IGM - SENSIBILIDADE ≥ 94% E ESPECIFICIDADE ≥ 97% E IGG SENSIBILIDADE ≥ 97% E ESPECIFICIDADE ≥ 97%. KIT PARA OS TESTES CONTENDO: DISPOSITIVOS TESTES EMBALADOS INDIVIDUALMENTE COM 1 PIPETA /1 FRASCO DE TAMPAO DILUENTE / INSTRUCOES DE USO.  </w:t>
            </w:r>
            <w:r>
              <w:rPr>
                <w:rFonts w:ascii="Arial" w:hAnsi="Arial" w:eastAsia="SimSun" w:cs="Arial"/>
                <w:b/>
                <w:bCs/>
                <w:color w:val="000000"/>
                <w:sz w:val="18"/>
                <w:szCs w:val="18"/>
                <w:lang w:val="en-US" w:eastAsia="zh-CN" w:bidi="ar"/>
              </w:rPr>
              <w:t>(COTA RESERVADA PARA M.E. E E.P.P.)</w:t>
            </w:r>
          </w:p>
        </w:tc>
        <w:tc>
          <w:tcPr>
            <w:tcW w:w="127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2F96991">
            <w:pPr>
              <w:jc w:val="center"/>
              <w:rPr>
                <w:rFonts w:ascii="Arial" w:hAnsi="Arial" w:cs="Arial"/>
                <w:bCs/>
                <w:color w:val="000000"/>
                <w:sz w:val="18"/>
                <w:szCs w:val="18"/>
              </w:rPr>
            </w:pPr>
            <w:r>
              <w:rPr>
                <w:rFonts w:ascii="Arial" w:hAnsi="Arial" w:cs="Arial"/>
                <w:bCs/>
                <w:color w:val="000000"/>
                <w:sz w:val="18"/>
                <w:szCs w:val="18"/>
              </w:rPr>
              <w:t>UNID.</w:t>
            </w:r>
          </w:p>
        </w:tc>
        <w:tc>
          <w:tcPr>
            <w:tcW w:w="95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553C235">
            <w:pPr>
              <w:jc w:val="center"/>
              <w:rPr>
                <w:rFonts w:ascii="Arial" w:hAnsi="Arial" w:cs="Arial"/>
                <w:bCs/>
                <w:color w:val="000000"/>
                <w:sz w:val="18"/>
                <w:szCs w:val="18"/>
              </w:rPr>
            </w:pPr>
            <w:r>
              <w:rPr>
                <w:rFonts w:ascii="Arial" w:hAnsi="Arial" w:cs="Arial"/>
                <w:bCs/>
                <w:color w:val="000000"/>
                <w:sz w:val="18"/>
                <w:szCs w:val="18"/>
              </w:rPr>
              <w:t>1.000</w:t>
            </w:r>
          </w:p>
        </w:tc>
        <w:tc>
          <w:tcPr>
            <w:tcW w:w="13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94E3FA0">
            <w:pPr>
              <w:jc w:val="center"/>
              <w:rPr>
                <w:rFonts w:ascii="Arial" w:hAnsi="Arial" w:cs="Arial"/>
                <w:bCs/>
                <w:color w:val="000000"/>
                <w:sz w:val="18"/>
                <w:szCs w:val="18"/>
              </w:rPr>
            </w:pPr>
            <w:r>
              <w:rPr>
                <w:rFonts w:ascii="Arial" w:hAnsi="Arial" w:cs="Arial"/>
                <w:bCs/>
                <w:color w:val="000000"/>
                <w:sz w:val="18"/>
                <w:szCs w:val="18"/>
              </w:rPr>
              <w:t xml:space="preserve">R$ 61,00 </w:t>
            </w:r>
          </w:p>
        </w:tc>
        <w:tc>
          <w:tcPr>
            <w:tcW w:w="13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9EBA4D6">
            <w:pPr>
              <w:jc w:val="center"/>
              <w:rPr>
                <w:rFonts w:ascii="Arial" w:hAnsi="Arial" w:cs="Arial"/>
                <w:bCs/>
                <w:color w:val="000000"/>
                <w:sz w:val="18"/>
                <w:szCs w:val="18"/>
              </w:rPr>
            </w:pPr>
            <w:r>
              <w:rPr>
                <w:rFonts w:ascii="Arial" w:hAnsi="Arial" w:cs="Arial"/>
                <w:bCs/>
                <w:color w:val="000000"/>
                <w:sz w:val="18"/>
                <w:szCs w:val="18"/>
              </w:rPr>
              <w:t>R$ 61.000,00</w:t>
            </w:r>
          </w:p>
        </w:tc>
      </w:tr>
      <w:tr w14:paraId="0E0352E5">
        <w:tblPrEx>
          <w:tblCellMar>
            <w:top w:w="0" w:type="dxa"/>
            <w:left w:w="108" w:type="dxa"/>
            <w:bottom w:w="0" w:type="dxa"/>
            <w:right w:w="108" w:type="dxa"/>
          </w:tblCellMar>
        </w:tblPrEx>
        <w:trPr>
          <w:trHeight w:val="962" w:hRule="atLeast"/>
          <w:jc w:val="center"/>
        </w:trPr>
        <w:tc>
          <w:tcPr>
            <w:tcW w:w="927"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3CB47644">
            <w:pPr>
              <w:jc w:val="cente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18</w:t>
            </w:r>
          </w:p>
        </w:tc>
        <w:tc>
          <w:tcPr>
            <w:tcW w:w="34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7229F55A">
            <w:pP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 xml:space="preserve">TUBO - A VACUO PARA COLETA DE SANGUE- EM PLASTICO COM CAPA PROTETORA, TUBO A VACUO COM EDTA K2 + GEL SEPARADOR DE 5 ML DE ASPIRACAO (13X75), TAMPA ROXA COM ANEL AMARELO, USO PARA COLETA DE SANGUE NA HEMATOLOGIA, CARACTERISTICA ADICIONAL A VACUO, ESTERILIDADE ESTERIL, DESCARTAVEL. </w:t>
            </w:r>
            <w:r>
              <w:rPr>
                <w:rFonts w:ascii="Arial" w:hAnsi="Arial" w:eastAsia="SimSun" w:cs="Arial"/>
                <w:b/>
                <w:bCs/>
                <w:color w:val="000000"/>
                <w:sz w:val="18"/>
                <w:szCs w:val="18"/>
                <w:lang w:val="en-US" w:eastAsia="zh-CN" w:bidi="ar"/>
              </w:rPr>
              <w:t>(EXCLUSIVO PARA M.E. E E.P.P.)</w:t>
            </w:r>
          </w:p>
        </w:tc>
        <w:tc>
          <w:tcPr>
            <w:tcW w:w="127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EB6780D">
            <w:pPr>
              <w:jc w:val="center"/>
              <w:rPr>
                <w:rFonts w:ascii="Arial" w:hAnsi="Arial" w:cs="Arial"/>
                <w:bCs/>
                <w:color w:val="000000"/>
                <w:sz w:val="18"/>
                <w:szCs w:val="18"/>
              </w:rPr>
            </w:pPr>
            <w:r>
              <w:rPr>
                <w:rFonts w:ascii="Arial" w:hAnsi="Arial" w:cs="Arial"/>
                <w:bCs/>
                <w:color w:val="000000"/>
                <w:sz w:val="18"/>
                <w:szCs w:val="18"/>
              </w:rPr>
              <w:t>PACOTE</w:t>
            </w:r>
          </w:p>
        </w:tc>
        <w:tc>
          <w:tcPr>
            <w:tcW w:w="95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9287C63">
            <w:pPr>
              <w:jc w:val="center"/>
              <w:rPr>
                <w:rFonts w:ascii="Arial" w:hAnsi="Arial" w:cs="Arial"/>
                <w:bCs/>
                <w:color w:val="000000"/>
                <w:sz w:val="18"/>
                <w:szCs w:val="18"/>
              </w:rPr>
            </w:pPr>
            <w:r>
              <w:rPr>
                <w:rFonts w:ascii="Arial" w:hAnsi="Arial" w:cs="Arial"/>
                <w:bCs/>
                <w:color w:val="000000"/>
                <w:sz w:val="18"/>
                <w:szCs w:val="18"/>
              </w:rPr>
              <w:t>500</w:t>
            </w:r>
          </w:p>
        </w:tc>
        <w:tc>
          <w:tcPr>
            <w:tcW w:w="13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138D0DC">
            <w:pPr>
              <w:jc w:val="center"/>
              <w:rPr>
                <w:rFonts w:ascii="Arial" w:hAnsi="Arial" w:cs="Arial"/>
                <w:bCs/>
                <w:color w:val="000000"/>
                <w:sz w:val="18"/>
                <w:szCs w:val="18"/>
              </w:rPr>
            </w:pPr>
            <w:r>
              <w:rPr>
                <w:rFonts w:ascii="Arial" w:hAnsi="Arial" w:cs="Arial"/>
                <w:bCs/>
                <w:color w:val="000000"/>
                <w:sz w:val="18"/>
                <w:szCs w:val="18"/>
              </w:rPr>
              <w:t>R$ 156,25</w:t>
            </w:r>
          </w:p>
        </w:tc>
        <w:tc>
          <w:tcPr>
            <w:tcW w:w="13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BB15B2A">
            <w:pPr>
              <w:jc w:val="center"/>
              <w:rPr>
                <w:rFonts w:ascii="Arial" w:hAnsi="Arial" w:cs="Arial"/>
                <w:bCs/>
                <w:color w:val="000000"/>
                <w:sz w:val="18"/>
                <w:szCs w:val="18"/>
              </w:rPr>
            </w:pPr>
            <w:r>
              <w:rPr>
                <w:rFonts w:ascii="Arial" w:hAnsi="Arial" w:cs="Arial"/>
                <w:bCs/>
                <w:color w:val="000000"/>
                <w:sz w:val="18"/>
                <w:szCs w:val="18"/>
              </w:rPr>
              <w:t>R$ 78.125,00</w:t>
            </w:r>
          </w:p>
        </w:tc>
      </w:tr>
      <w:tr w14:paraId="031E2A09">
        <w:tblPrEx>
          <w:tblCellMar>
            <w:top w:w="0" w:type="dxa"/>
            <w:left w:w="108" w:type="dxa"/>
            <w:bottom w:w="0" w:type="dxa"/>
            <w:right w:w="108" w:type="dxa"/>
          </w:tblCellMar>
        </w:tblPrEx>
        <w:trPr>
          <w:trHeight w:val="962" w:hRule="atLeast"/>
          <w:jc w:val="center"/>
        </w:trPr>
        <w:tc>
          <w:tcPr>
            <w:tcW w:w="927"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308FDFC1">
            <w:pPr>
              <w:jc w:val="cente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19</w:t>
            </w:r>
          </w:p>
        </w:tc>
        <w:tc>
          <w:tcPr>
            <w:tcW w:w="3463"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1A87AA4F">
            <w:pPr>
              <w:textAlignment w:val="center"/>
              <w:rPr>
                <w:rFonts w:ascii="Arial" w:hAnsi="Arial" w:eastAsia="SimSun" w:cs="Arial"/>
                <w:bCs/>
                <w:color w:val="000000"/>
                <w:sz w:val="18"/>
                <w:szCs w:val="18"/>
                <w:lang w:val="en-US" w:eastAsia="zh-CN" w:bidi="ar"/>
              </w:rPr>
            </w:pPr>
            <w:r>
              <w:rPr>
                <w:rFonts w:ascii="Arial" w:hAnsi="Arial" w:eastAsia="SimSun" w:cs="Arial"/>
                <w:bCs/>
                <w:color w:val="000000"/>
                <w:sz w:val="18"/>
                <w:szCs w:val="18"/>
                <w:lang w:val="en-US" w:eastAsia="zh-CN" w:bidi="ar"/>
              </w:rPr>
              <w:t xml:space="preserve">TUBO A VACUO PARA COLETA DE SANGUE - TUBOS PARA COLETA DE SANGUE, MICROTUBOS COM EDTA K2, SEM CAPILAR VOLUME: 2, 0 ML TAMANHO DO TUBO: 10 X 45 MM. </w:t>
            </w:r>
            <w:r>
              <w:rPr>
                <w:rFonts w:ascii="Arial" w:hAnsi="Arial" w:eastAsia="SimSun" w:cs="Arial"/>
                <w:b/>
                <w:bCs/>
                <w:color w:val="000000"/>
                <w:sz w:val="18"/>
                <w:szCs w:val="18"/>
                <w:lang w:val="en-US" w:eastAsia="zh-CN" w:bidi="ar"/>
              </w:rPr>
              <w:t>(EXCLUSIVO PARA M.E. E E.P.P.)</w:t>
            </w:r>
          </w:p>
        </w:tc>
        <w:tc>
          <w:tcPr>
            <w:tcW w:w="127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19D5F34">
            <w:pPr>
              <w:jc w:val="center"/>
              <w:rPr>
                <w:rFonts w:ascii="Arial" w:hAnsi="Arial" w:cs="Arial"/>
                <w:bCs/>
                <w:color w:val="000000"/>
                <w:sz w:val="18"/>
                <w:szCs w:val="18"/>
              </w:rPr>
            </w:pPr>
            <w:r>
              <w:rPr>
                <w:rFonts w:ascii="Arial" w:hAnsi="Arial" w:cs="Arial"/>
                <w:bCs/>
                <w:color w:val="000000"/>
                <w:sz w:val="18"/>
                <w:szCs w:val="18"/>
              </w:rPr>
              <w:t>CAIXA</w:t>
            </w:r>
          </w:p>
        </w:tc>
        <w:tc>
          <w:tcPr>
            <w:tcW w:w="95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D5A4B2B">
            <w:pPr>
              <w:jc w:val="center"/>
              <w:rPr>
                <w:rFonts w:ascii="Arial" w:hAnsi="Arial" w:cs="Arial"/>
                <w:bCs/>
                <w:color w:val="000000"/>
                <w:sz w:val="18"/>
                <w:szCs w:val="18"/>
              </w:rPr>
            </w:pPr>
            <w:r>
              <w:rPr>
                <w:rFonts w:ascii="Arial" w:hAnsi="Arial" w:cs="Arial"/>
                <w:bCs/>
                <w:color w:val="000000"/>
                <w:sz w:val="18"/>
                <w:szCs w:val="18"/>
              </w:rPr>
              <w:t>200</w:t>
            </w:r>
          </w:p>
        </w:tc>
        <w:tc>
          <w:tcPr>
            <w:tcW w:w="13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C02A56F">
            <w:pPr>
              <w:jc w:val="center"/>
              <w:rPr>
                <w:rFonts w:ascii="Arial" w:hAnsi="Arial" w:cs="Arial"/>
                <w:bCs/>
                <w:color w:val="000000"/>
                <w:sz w:val="18"/>
                <w:szCs w:val="18"/>
              </w:rPr>
            </w:pPr>
            <w:r>
              <w:rPr>
                <w:rFonts w:ascii="Arial" w:hAnsi="Arial" w:cs="Arial"/>
                <w:bCs/>
                <w:color w:val="000000"/>
                <w:sz w:val="18"/>
                <w:szCs w:val="18"/>
              </w:rPr>
              <w:t>R$ 71,39</w:t>
            </w:r>
          </w:p>
        </w:tc>
        <w:tc>
          <w:tcPr>
            <w:tcW w:w="13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C91740E">
            <w:pPr>
              <w:jc w:val="center"/>
              <w:rPr>
                <w:rFonts w:ascii="Arial" w:hAnsi="Arial" w:cs="Arial"/>
                <w:bCs/>
                <w:color w:val="000000"/>
                <w:sz w:val="18"/>
                <w:szCs w:val="18"/>
              </w:rPr>
            </w:pPr>
            <w:r>
              <w:rPr>
                <w:rFonts w:ascii="Arial" w:hAnsi="Arial" w:cs="Arial"/>
                <w:bCs/>
                <w:color w:val="000000"/>
                <w:sz w:val="18"/>
                <w:szCs w:val="18"/>
              </w:rPr>
              <w:t>R$ 14.277,00</w:t>
            </w:r>
          </w:p>
        </w:tc>
      </w:tr>
      <w:bookmarkEnd w:id="65"/>
    </w:tbl>
    <w:p w14:paraId="2657DD6E">
      <w:pPr>
        <w:widowControl w:val="0"/>
        <w:tabs>
          <w:tab w:val="left" w:pos="142"/>
          <w:tab w:val="left" w:pos="426"/>
        </w:tabs>
        <w:adjustRightInd w:val="0"/>
        <w:spacing w:before="240" w:after="240" w:line="360" w:lineRule="auto"/>
        <w:jc w:val="both"/>
        <w:textAlignment w:val="baseline"/>
        <w:rPr>
          <w:rFonts w:ascii="Arial" w:hAnsi="Arial" w:cs="Arial"/>
          <w:b/>
          <w:bCs/>
          <w:sz w:val="18"/>
          <w:szCs w:val="18"/>
        </w:rPr>
      </w:pPr>
    </w:p>
    <w:p w14:paraId="13D678F7">
      <w:pPr>
        <w:widowControl w:val="0"/>
        <w:tabs>
          <w:tab w:val="left" w:pos="142"/>
          <w:tab w:val="left" w:pos="426"/>
        </w:tabs>
        <w:adjustRightInd w:val="0"/>
        <w:spacing w:before="240" w:after="240" w:line="360" w:lineRule="auto"/>
        <w:jc w:val="both"/>
        <w:textAlignment w:val="baseline"/>
        <w:rPr>
          <w:rFonts w:ascii="Arial" w:hAnsi="Arial" w:cs="Arial"/>
          <w:b/>
          <w:bCs/>
          <w:sz w:val="18"/>
          <w:szCs w:val="18"/>
        </w:rPr>
      </w:pPr>
    </w:p>
    <w:p w14:paraId="2E1E391F">
      <w:pPr>
        <w:widowControl w:val="0"/>
        <w:tabs>
          <w:tab w:val="left" w:pos="142"/>
          <w:tab w:val="left" w:pos="426"/>
        </w:tabs>
        <w:adjustRightInd w:val="0"/>
        <w:spacing w:before="240" w:after="240" w:line="360" w:lineRule="auto"/>
        <w:jc w:val="both"/>
        <w:textAlignment w:val="baseline"/>
        <w:rPr>
          <w:rFonts w:ascii="Arial" w:hAnsi="Arial" w:cs="Arial"/>
          <w:b/>
          <w:bCs/>
          <w:sz w:val="18"/>
          <w:szCs w:val="18"/>
        </w:rPr>
      </w:pPr>
      <w:r>
        <w:rPr>
          <w:rFonts w:ascii="Arial" w:hAnsi="Arial" w:cs="Arial"/>
          <w:b/>
          <w:bCs/>
          <w:sz w:val="18"/>
          <w:szCs w:val="18"/>
        </w:rPr>
        <w:t>2.3. ESTIMATIVA DE CONSUMO</w:t>
      </w:r>
    </w:p>
    <w:tbl>
      <w:tblPr>
        <w:tblStyle w:val="10"/>
        <w:tblW w:w="8359" w:type="dxa"/>
        <w:tblInd w:w="0" w:type="dxa"/>
        <w:shd w:val="clear" w:color="auto" w:fill="FFFFFF" w:themeFill="background1"/>
        <w:tblLayout w:type="fixed"/>
        <w:tblCellMar>
          <w:top w:w="0" w:type="dxa"/>
          <w:left w:w="70" w:type="dxa"/>
          <w:bottom w:w="0" w:type="dxa"/>
          <w:right w:w="70" w:type="dxa"/>
        </w:tblCellMar>
      </w:tblPr>
      <w:tblGrid>
        <w:gridCol w:w="988"/>
        <w:gridCol w:w="3104"/>
        <w:gridCol w:w="1167"/>
        <w:gridCol w:w="832"/>
        <w:gridCol w:w="1134"/>
        <w:gridCol w:w="1134"/>
      </w:tblGrid>
      <w:tr w14:paraId="0EDE6C43">
        <w:tblPrEx>
          <w:shd w:val="clear" w:color="auto" w:fill="FFFFFF" w:themeFill="background1"/>
          <w:tblCellMar>
            <w:top w:w="0" w:type="dxa"/>
            <w:left w:w="70" w:type="dxa"/>
            <w:bottom w:w="0" w:type="dxa"/>
            <w:right w:w="70" w:type="dxa"/>
          </w:tblCellMar>
        </w:tblPrEx>
        <w:trPr>
          <w:trHeight w:val="1015" w:hRule="atLeast"/>
        </w:trPr>
        <w:tc>
          <w:tcPr>
            <w:tcW w:w="988"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02D2F1F1">
            <w:pPr>
              <w:spacing w:after="0" w:line="240" w:lineRule="auto"/>
              <w:jc w:val="center"/>
              <w:rPr>
                <w:rFonts w:ascii="Arial" w:hAnsi="Arial" w:eastAsia="Times New Roman" w:cs="Arial"/>
                <w:b/>
                <w:bCs/>
                <w:sz w:val="18"/>
                <w:szCs w:val="18"/>
                <w:lang w:eastAsia="pt-BR"/>
              </w:rPr>
            </w:pPr>
            <w:r>
              <w:rPr>
                <w:rFonts w:ascii="Arial" w:hAnsi="Arial" w:eastAsia="Times New Roman" w:cs="Arial"/>
                <w:b/>
                <w:bCs/>
                <w:sz w:val="18"/>
                <w:szCs w:val="18"/>
                <w:lang w:eastAsia="pt-BR"/>
              </w:rPr>
              <w:t>ITEM</w:t>
            </w:r>
          </w:p>
        </w:tc>
        <w:tc>
          <w:tcPr>
            <w:tcW w:w="3104"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F10F08E">
            <w:pPr>
              <w:spacing w:after="0" w:line="240" w:lineRule="auto"/>
              <w:jc w:val="center"/>
              <w:rPr>
                <w:rFonts w:ascii="Arial" w:hAnsi="Arial" w:eastAsia="Times New Roman" w:cs="Arial"/>
                <w:b/>
                <w:bCs/>
                <w:sz w:val="18"/>
                <w:szCs w:val="18"/>
                <w:lang w:eastAsia="pt-BR"/>
              </w:rPr>
            </w:pPr>
            <w:r>
              <w:rPr>
                <w:rFonts w:ascii="Arial" w:hAnsi="Arial" w:eastAsia="Times New Roman" w:cs="Arial"/>
                <w:b/>
                <w:bCs/>
                <w:sz w:val="18"/>
                <w:szCs w:val="18"/>
                <w:lang w:eastAsia="pt-BR"/>
              </w:rPr>
              <w:t>DESCRIÇÃO E ESPECI</w:t>
            </w:r>
            <w:r>
              <w:rPr>
                <w:rFonts w:hint="default" w:ascii="Arial" w:hAnsi="Arial" w:eastAsia="Times New Roman" w:cs="Arial"/>
                <w:b/>
                <w:bCs/>
                <w:sz w:val="18"/>
                <w:szCs w:val="18"/>
                <w:lang w:val="en-US" w:eastAsia="pt-BR"/>
              </w:rPr>
              <w:t>FIC</w:t>
            </w:r>
            <w:r>
              <w:rPr>
                <w:rFonts w:ascii="Arial" w:hAnsi="Arial" w:eastAsia="Times New Roman" w:cs="Arial"/>
                <w:b/>
                <w:bCs/>
                <w:sz w:val="18"/>
                <w:szCs w:val="18"/>
                <w:lang w:eastAsia="pt-BR"/>
              </w:rPr>
              <w:t>AÇÃO</w:t>
            </w:r>
          </w:p>
        </w:tc>
        <w:tc>
          <w:tcPr>
            <w:tcW w:w="116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7E981D4">
            <w:pPr>
              <w:spacing w:after="0" w:line="240" w:lineRule="auto"/>
              <w:jc w:val="center"/>
              <w:rPr>
                <w:rFonts w:ascii="Arial" w:hAnsi="Arial" w:eastAsia="Times New Roman" w:cs="Arial"/>
                <w:b/>
                <w:bCs/>
                <w:sz w:val="18"/>
                <w:szCs w:val="18"/>
                <w:lang w:eastAsia="pt-BR"/>
              </w:rPr>
            </w:pPr>
            <w:r>
              <w:rPr>
                <w:rFonts w:ascii="Arial" w:hAnsi="Arial" w:eastAsia="Times New Roman" w:cs="Arial"/>
                <w:b/>
                <w:bCs/>
                <w:sz w:val="18"/>
                <w:szCs w:val="18"/>
                <w:lang w:eastAsia="pt-BR"/>
              </w:rPr>
              <w:t>UNIDADE DE MEDIDA</w:t>
            </w:r>
          </w:p>
        </w:tc>
        <w:tc>
          <w:tcPr>
            <w:tcW w:w="83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42680CC">
            <w:pPr>
              <w:spacing w:after="0" w:line="240" w:lineRule="auto"/>
              <w:jc w:val="center"/>
              <w:rPr>
                <w:rFonts w:ascii="Arial" w:hAnsi="Arial" w:eastAsia="Times New Roman" w:cs="Arial"/>
                <w:b/>
                <w:bCs/>
                <w:sz w:val="18"/>
                <w:szCs w:val="18"/>
                <w:lang w:eastAsia="pt-BR"/>
              </w:rPr>
            </w:pPr>
            <w:r>
              <w:rPr>
                <w:rFonts w:ascii="Arial" w:hAnsi="Arial" w:eastAsia="Times New Roman" w:cs="Arial"/>
                <w:b/>
                <w:bCs/>
                <w:sz w:val="18"/>
                <w:szCs w:val="18"/>
                <w:lang w:eastAsia="pt-BR"/>
              </w:rPr>
              <w:t>QTD.</w:t>
            </w:r>
          </w:p>
        </w:tc>
        <w:tc>
          <w:tcPr>
            <w:tcW w:w="1134" w:type="dxa"/>
            <w:tcBorders>
              <w:top w:val="single" w:color="auto" w:sz="4" w:space="0"/>
              <w:left w:val="single" w:color="auto" w:sz="4" w:space="0"/>
              <w:bottom w:val="single" w:color="auto" w:sz="4" w:space="0"/>
              <w:right w:val="single" w:color="auto" w:sz="4" w:space="0"/>
            </w:tcBorders>
            <w:shd w:val="clear" w:color="auto" w:fill="BEBEBE" w:themeFill="background1" w:themeFillShade="BF"/>
          </w:tcPr>
          <w:p w14:paraId="3566E907">
            <w:pPr>
              <w:spacing w:after="0" w:line="240" w:lineRule="auto"/>
              <w:jc w:val="center"/>
              <w:rPr>
                <w:rFonts w:ascii="Arial" w:hAnsi="Arial" w:eastAsia="Times New Roman" w:cs="Arial"/>
                <w:b/>
                <w:color w:val="000000"/>
                <w:sz w:val="18"/>
                <w:szCs w:val="18"/>
                <w:lang w:eastAsia="pt-BR"/>
              </w:rPr>
            </w:pPr>
          </w:p>
          <w:p w14:paraId="342809B2">
            <w:pPr>
              <w:spacing w:after="0" w:line="240" w:lineRule="auto"/>
              <w:jc w:val="center"/>
              <w:rPr>
                <w:rFonts w:ascii="Arial" w:hAnsi="Arial" w:eastAsia="Times New Roman" w:cs="Arial"/>
                <w:b/>
                <w:color w:val="000000"/>
                <w:sz w:val="18"/>
                <w:szCs w:val="18"/>
                <w:lang w:eastAsia="pt-BR"/>
              </w:rPr>
            </w:pPr>
            <w:r>
              <w:rPr>
                <w:rFonts w:ascii="Arial" w:hAnsi="Arial" w:eastAsia="Times New Roman" w:cs="Arial"/>
                <w:b/>
                <w:color w:val="000000"/>
                <w:sz w:val="18"/>
                <w:szCs w:val="18"/>
                <w:lang w:eastAsia="pt-BR"/>
              </w:rPr>
              <w:t>QUANT. MÍMINA</w:t>
            </w:r>
          </w:p>
        </w:tc>
        <w:tc>
          <w:tcPr>
            <w:tcW w:w="1134" w:type="dxa"/>
            <w:tcBorders>
              <w:top w:val="single" w:color="auto" w:sz="4" w:space="0"/>
              <w:left w:val="single" w:color="auto" w:sz="4" w:space="0"/>
              <w:bottom w:val="single" w:color="auto" w:sz="4" w:space="0"/>
              <w:right w:val="single" w:color="auto" w:sz="4" w:space="0"/>
            </w:tcBorders>
            <w:shd w:val="clear" w:color="auto" w:fill="BEBEBE" w:themeFill="background1" w:themeFillShade="BF"/>
          </w:tcPr>
          <w:p w14:paraId="4806829D">
            <w:pPr>
              <w:spacing w:after="0" w:line="240" w:lineRule="auto"/>
              <w:jc w:val="center"/>
              <w:rPr>
                <w:rFonts w:ascii="Arial" w:hAnsi="Arial" w:eastAsia="Times New Roman" w:cs="Arial"/>
                <w:b/>
                <w:color w:val="000000"/>
                <w:sz w:val="18"/>
                <w:szCs w:val="18"/>
                <w:lang w:eastAsia="pt-BR"/>
              </w:rPr>
            </w:pPr>
          </w:p>
          <w:p w14:paraId="7F08C79A">
            <w:pPr>
              <w:spacing w:after="0" w:line="240" w:lineRule="auto"/>
              <w:jc w:val="center"/>
              <w:rPr>
                <w:rFonts w:ascii="Arial" w:hAnsi="Arial" w:eastAsia="Times New Roman" w:cs="Arial"/>
                <w:b/>
                <w:color w:val="000000"/>
                <w:sz w:val="18"/>
                <w:szCs w:val="18"/>
                <w:lang w:eastAsia="pt-BR"/>
              </w:rPr>
            </w:pPr>
            <w:r>
              <w:rPr>
                <w:rFonts w:ascii="Arial" w:hAnsi="Arial" w:eastAsia="Times New Roman" w:cs="Arial"/>
                <w:b/>
                <w:color w:val="000000"/>
                <w:sz w:val="18"/>
                <w:szCs w:val="18"/>
                <w:lang w:eastAsia="pt-BR"/>
              </w:rPr>
              <w:t>QUANT. MÁXIMA</w:t>
            </w:r>
          </w:p>
        </w:tc>
      </w:tr>
      <w:tr w14:paraId="7E10E3A6">
        <w:tblPrEx>
          <w:tblCellMar>
            <w:top w:w="0" w:type="dxa"/>
            <w:left w:w="70" w:type="dxa"/>
            <w:bottom w:w="0" w:type="dxa"/>
            <w:right w:w="70" w:type="dxa"/>
          </w:tblCellMar>
        </w:tblPrEx>
        <w:trPr>
          <w:trHeight w:val="2630" w:hRule="atLeast"/>
        </w:trPr>
        <w:tc>
          <w:tcPr>
            <w:tcW w:w="988"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05EC1000">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1</w:t>
            </w:r>
          </w:p>
        </w:tc>
        <w:tc>
          <w:tcPr>
            <w:tcW w:w="3104" w:type="dxa"/>
            <w:tcBorders>
              <w:top w:val="single" w:color="auto" w:sz="4" w:space="0"/>
              <w:left w:val="nil"/>
              <w:bottom w:val="single" w:color="auto" w:sz="4" w:space="0"/>
              <w:right w:val="single" w:color="auto" w:sz="4" w:space="0"/>
            </w:tcBorders>
            <w:shd w:val="clear" w:color="auto" w:fill="FFFFFF" w:themeFill="background1"/>
          </w:tcPr>
          <w:p w14:paraId="206B6B61">
            <w:pPr>
              <w:spacing w:after="0" w:line="240" w:lineRule="auto"/>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AGAR MUELLER-HINTON - MEIO PARA USO EM TESTE DE SENSIBILIDADE A ANTIBIOTICOS, DE ACORDO COM PADRAO NCCLS M6, CATION CONTROLADO (MAGNESIO E CALCIO) E TIMINA E TIMIDINA DESIDRATADO, ACONDICIONADO EM EMBALAGEM APROPRIADA PARA O PRODUTO, ROTULO COM NR. LOTE, DATA DE FABRICACAO/VALIDADE, PROCEDENCIA. FRASCO COM 500 G.</w:t>
            </w:r>
            <w:r>
              <w:rPr>
                <w:rFonts w:ascii="Arial" w:hAnsi="Arial" w:eastAsia="Times New Roman" w:cs="Arial"/>
                <w:b/>
                <w:bCs/>
                <w:color w:val="000000"/>
                <w:sz w:val="18"/>
                <w:szCs w:val="18"/>
                <w:lang w:eastAsia="pt-BR"/>
              </w:rPr>
              <w:t xml:space="preserve"> </w:t>
            </w:r>
          </w:p>
        </w:tc>
        <w:tc>
          <w:tcPr>
            <w:tcW w:w="1167" w:type="dxa"/>
            <w:tcBorders>
              <w:top w:val="single" w:color="auto" w:sz="4" w:space="0"/>
              <w:left w:val="nil"/>
              <w:bottom w:val="single" w:color="auto" w:sz="4" w:space="0"/>
              <w:right w:val="single" w:color="auto" w:sz="4" w:space="0"/>
            </w:tcBorders>
            <w:shd w:val="clear" w:color="auto" w:fill="FFFFFF" w:themeFill="background1"/>
            <w:vAlign w:val="center"/>
          </w:tcPr>
          <w:p w14:paraId="54031BCA">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FRASCO</w:t>
            </w:r>
          </w:p>
        </w:tc>
        <w:tc>
          <w:tcPr>
            <w:tcW w:w="832" w:type="dxa"/>
            <w:tcBorders>
              <w:top w:val="single" w:color="auto" w:sz="4" w:space="0"/>
              <w:left w:val="nil"/>
              <w:bottom w:val="single" w:color="auto" w:sz="4" w:space="0"/>
              <w:right w:val="single" w:color="auto" w:sz="4" w:space="0"/>
            </w:tcBorders>
            <w:shd w:val="clear" w:color="auto" w:fill="FFFFFF" w:themeFill="background1"/>
            <w:vAlign w:val="center"/>
          </w:tcPr>
          <w:p w14:paraId="164DED07">
            <w:pPr>
              <w:spacing w:after="0" w:line="240" w:lineRule="auto"/>
              <w:jc w:val="center"/>
              <w:rPr>
                <w:rFonts w:ascii="Arial" w:hAnsi="Arial" w:eastAsia="Times New Roman" w:cs="Arial"/>
                <w:sz w:val="18"/>
                <w:szCs w:val="18"/>
                <w:lang w:eastAsia="pt-BR"/>
              </w:rPr>
            </w:pPr>
            <w:r>
              <w:rPr>
                <w:rFonts w:ascii="Arial" w:hAnsi="Arial" w:eastAsia="Times New Roman" w:cs="Arial"/>
                <w:sz w:val="18"/>
                <w:szCs w:val="18"/>
                <w:lang w:eastAsia="pt-BR"/>
              </w:rPr>
              <w:t>30</w:t>
            </w:r>
          </w:p>
        </w:tc>
        <w:tc>
          <w:tcPr>
            <w:tcW w:w="1134" w:type="dxa"/>
            <w:tcBorders>
              <w:top w:val="single" w:color="auto" w:sz="4" w:space="0"/>
              <w:left w:val="nil"/>
              <w:bottom w:val="single" w:color="auto" w:sz="4" w:space="0"/>
              <w:right w:val="single" w:color="auto" w:sz="4" w:space="0"/>
            </w:tcBorders>
            <w:shd w:val="clear" w:color="auto" w:fill="FFFFFF" w:themeFill="background1"/>
          </w:tcPr>
          <w:p w14:paraId="468AD473">
            <w:pPr>
              <w:spacing w:after="0" w:line="240" w:lineRule="auto"/>
              <w:jc w:val="center"/>
              <w:rPr>
                <w:rFonts w:ascii="Arial" w:hAnsi="Arial" w:eastAsia="Times New Roman" w:cs="Arial"/>
                <w:color w:val="000000"/>
                <w:sz w:val="18"/>
                <w:szCs w:val="18"/>
                <w:lang w:eastAsia="pt-BR"/>
              </w:rPr>
            </w:pPr>
          </w:p>
          <w:p w14:paraId="57050E60">
            <w:pPr>
              <w:spacing w:after="0" w:line="240" w:lineRule="auto"/>
              <w:jc w:val="center"/>
              <w:rPr>
                <w:rFonts w:ascii="Arial" w:hAnsi="Arial" w:eastAsia="Times New Roman" w:cs="Arial"/>
                <w:color w:val="000000"/>
                <w:sz w:val="18"/>
                <w:szCs w:val="18"/>
                <w:lang w:eastAsia="pt-BR"/>
              </w:rPr>
            </w:pPr>
          </w:p>
          <w:p w14:paraId="78056777">
            <w:pPr>
              <w:spacing w:after="0" w:line="240" w:lineRule="auto"/>
              <w:jc w:val="center"/>
              <w:rPr>
                <w:rFonts w:ascii="Arial" w:hAnsi="Arial" w:eastAsia="Times New Roman" w:cs="Arial"/>
                <w:color w:val="000000"/>
                <w:sz w:val="18"/>
                <w:szCs w:val="18"/>
                <w:lang w:eastAsia="pt-BR"/>
              </w:rPr>
            </w:pPr>
          </w:p>
          <w:p w14:paraId="025F4455">
            <w:pPr>
              <w:spacing w:after="0" w:line="240" w:lineRule="auto"/>
              <w:jc w:val="center"/>
              <w:rPr>
                <w:rFonts w:ascii="Arial" w:hAnsi="Arial" w:eastAsia="Times New Roman" w:cs="Arial"/>
                <w:color w:val="000000"/>
                <w:sz w:val="18"/>
                <w:szCs w:val="18"/>
                <w:lang w:eastAsia="pt-BR"/>
              </w:rPr>
            </w:pPr>
          </w:p>
          <w:p w14:paraId="1BCD2D59">
            <w:pPr>
              <w:spacing w:after="0" w:line="240" w:lineRule="auto"/>
              <w:jc w:val="center"/>
              <w:rPr>
                <w:rFonts w:ascii="Arial" w:hAnsi="Arial" w:eastAsia="Times New Roman" w:cs="Arial"/>
                <w:color w:val="000000"/>
                <w:sz w:val="18"/>
                <w:szCs w:val="18"/>
                <w:lang w:eastAsia="pt-BR"/>
              </w:rPr>
            </w:pPr>
          </w:p>
          <w:p w14:paraId="29517937">
            <w:pPr>
              <w:spacing w:after="0" w:line="240" w:lineRule="auto"/>
              <w:jc w:val="center"/>
              <w:rPr>
                <w:rFonts w:ascii="Arial" w:hAnsi="Arial" w:eastAsia="Times New Roman" w:cs="Arial"/>
                <w:color w:val="000000"/>
                <w:sz w:val="18"/>
                <w:szCs w:val="18"/>
                <w:lang w:eastAsia="pt-BR"/>
              </w:rPr>
            </w:pPr>
          </w:p>
          <w:p w14:paraId="35A40135">
            <w:pPr>
              <w:spacing w:after="0" w:line="240" w:lineRule="auto"/>
              <w:jc w:val="center"/>
              <w:rPr>
                <w:rFonts w:ascii="Arial" w:hAnsi="Arial" w:eastAsia="Times New Roman" w:cs="Arial"/>
                <w:color w:val="000000"/>
                <w:sz w:val="18"/>
                <w:szCs w:val="18"/>
                <w:lang w:eastAsia="pt-BR"/>
              </w:rPr>
            </w:pPr>
          </w:p>
          <w:p w14:paraId="77258AB3">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20</w:t>
            </w:r>
          </w:p>
        </w:tc>
        <w:tc>
          <w:tcPr>
            <w:tcW w:w="1134" w:type="dxa"/>
            <w:tcBorders>
              <w:top w:val="single" w:color="auto" w:sz="4" w:space="0"/>
              <w:left w:val="nil"/>
              <w:bottom w:val="single" w:color="auto" w:sz="4" w:space="0"/>
              <w:right w:val="single" w:color="auto" w:sz="4" w:space="0"/>
            </w:tcBorders>
            <w:shd w:val="clear" w:color="auto" w:fill="FFFFFF" w:themeFill="background1"/>
          </w:tcPr>
          <w:p w14:paraId="7646FC6B">
            <w:pPr>
              <w:spacing w:after="0" w:line="240" w:lineRule="auto"/>
              <w:jc w:val="center"/>
              <w:rPr>
                <w:rFonts w:ascii="Arial" w:hAnsi="Arial" w:eastAsia="Times New Roman" w:cs="Arial"/>
                <w:color w:val="000000"/>
                <w:sz w:val="18"/>
                <w:szCs w:val="18"/>
                <w:lang w:eastAsia="pt-BR"/>
              </w:rPr>
            </w:pPr>
          </w:p>
          <w:p w14:paraId="1C4E9DC5">
            <w:pPr>
              <w:spacing w:after="0" w:line="240" w:lineRule="auto"/>
              <w:jc w:val="center"/>
              <w:rPr>
                <w:rFonts w:ascii="Arial" w:hAnsi="Arial" w:eastAsia="Times New Roman" w:cs="Arial"/>
                <w:color w:val="000000"/>
                <w:sz w:val="18"/>
                <w:szCs w:val="18"/>
                <w:lang w:eastAsia="pt-BR"/>
              </w:rPr>
            </w:pPr>
          </w:p>
          <w:p w14:paraId="0F073CA7">
            <w:pPr>
              <w:spacing w:after="0" w:line="240" w:lineRule="auto"/>
              <w:jc w:val="center"/>
              <w:rPr>
                <w:rFonts w:ascii="Arial" w:hAnsi="Arial" w:eastAsia="Times New Roman" w:cs="Arial"/>
                <w:color w:val="000000"/>
                <w:sz w:val="18"/>
                <w:szCs w:val="18"/>
                <w:lang w:eastAsia="pt-BR"/>
              </w:rPr>
            </w:pPr>
          </w:p>
          <w:p w14:paraId="23AE7AFB">
            <w:pPr>
              <w:spacing w:after="0" w:line="240" w:lineRule="auto"/>
              <w:jc w:val="center"/>
              <w:rPr>
                <w:rFonts w:ascii="Arial" w:hAnsi="Arial" w:eastAsia="Times New Roman" w:cs="Arial"/>
                <w:color w:val="000000"/>
                <w:sz w:val="18"/>
                <w:szCs w:val="18"/>
                <w:lang w:eastAsia="pt-BR"/>
              </w:rPr>
            </w:pPr>
          </w:p>
          <w:p w14:paraId="77B0BE61">
            <w:pPr>
              <w:spacing w:after="0" w:line="240" w:lineRule="auto"/>
              <w:jc w:val="center"/>
              <w:rPr>
                <w:rFonts w:ascii="Arial" w:hAnsi="Arial" w:eastAsia="Times New Roman" w:cs="Arial"/>
                <w:color w:val="000000"/>
                <w:sz w:val="18"/>
                <w:szCs w:val="18"/>
                <w:lang w:eastAsia="pt-BR"/>
              </w:rPr>
            </w:pPr>
          </w:p>
          <w:p w14:paraId="52848F37">
            <w:pPr>
              <w:spacing w:after="0" w:line="240" w:lineRule="auto"/>
              <w:jc w:val="center"/>
              <w:rPr>
                <w:rFonts w:ascii="Arial" w:hAnsi="Arial" w:eastAsia="Times New Roman" w:cs="Arial"/>
                <w:color w:val="000000"/>
                <w:sz w:val="18"/>
                <w:szCs w:val="18"/>
                <w:lang w:eastAsia="pt-BR"/>
              </w:rPr>
            </w:pPr>
          </w:p>
          <w:p w14:paraId="4277141C">
            <w:pPr>
              <w:spacing w:after="0" w:line="240" w:lineRule="auto"/>
              <w:jc w:val="center"/>
              <w:rPr>
                <w:rFonts w:ascii="Arial" w:hAnsi="Arial" w:eastAsia="Times New Roman" w:cs="Arial"/>
                <w:color w:val="000000"/>
                <w:sz w:val="18"/>
                <w:szCs w:val="18"/>
                <w:lang w:eastAsia="pt-BR"/>
              </w:rPr>
            </w:pPr>
          </w:p>
          <w:p w14:paraId="7F126032">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30</w:t>
            </w:r>
          </w:p>
          <w:p w14:paraId="7F015AEB">
            <w:pPr>
              <w:spacing w:after="0" w:line="240" w:lineRule="auto"/>
              <w:jc w:val="center"/>
              <w:rPr>
                <w:rFonts w:ascii="Arial" w:hAnsi="Arial" w:eastAsia="Times New Roman" w:cs="Arial"/>
                <w:color w:val="000000"/>
                <w:sz w:val="18"/>
                <w:szCs w:val="18"/>
                <w:lang w:eastAsia="pt-BR"/>
              </w:rPr>
            </w:pPr>
          </w:p>
          <w:p w14:paraId="7209D3D7">
            <w:pPr>
              <w:spacing w:after="0" w:line="240" w:lineRule="auto"/>
              <w:jc w:val="center"/>
              <w:rPr>
                <w:rFonts w:ascii="Arial" w:hAnsi="Arial" w:eastAsia="Times New Roman" w:cs="Arial"/>
                <w:color w:val="000000"/>
                <w:sz w:val="18"/>
                <w:szCs w:val="18"/>
                <w:lang w:eastAsia="pt-BR"/>
              </w:rPr>
            </w:pPr>
          </w:p>
        </w:tc>
      </w:tr>
      <w:tr w14:paraId="3C3E81EE">
        <w:tblPrEx>
          <w:tblCellMar>
            <w:top w:w="0" w:type="dxa"/>
            <w:left w:w="70" w:type="dxa"/>
            <w:bottom w:w="0" w:type="dxa"/>
            <w:right w:w="70" w:type="dxa"/>
          </w:tblCellMar>
        </w:tblPrEx>
        <w:trPr>
          <w:trHeight w:val="4152" w:hRule="atLeast"/>
        </w:trPr>
        <w:tc>
          <w:tcPr>
            <w:tcW w:w="988" w:type="dxa"/>
            <w:tcBorders>
              <w:top w:val="nil"/>
              <w:left w:val="single" w:color="auto" w:sz="4" w:space="0"/>
              <w:bottom w:val="single" w:color="auto" w:sz="4" w:space="0"/>
              <w:right w:val="single" w:color="auto" w:sz="4" w:space="0"/>
            </w:tcBorders>
            <w:shd w:val="clear" w:color="auto" w:fill="FFFFFF" w:themeFill="background1"/>
            <w:noWrap/>
            <w:vAlign w:val="center"/>
          </w:tcPr>
          <w:p w14:paraId="68FA63F1">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2</w:t>
            </w:r>
          </w:p>
        </w:tc>
        <w:tc>
          <w:tcPr>
            <w:tcW w:w="3104" w:type="dxa"/>
            <w:tcBorders>
              <w:top w:val="nil"/>
              <w:left w:val="nil"/>
              <w:bottom w:val="single" w:color="auto" w:sz="4" w:space="0"/>
              <w:right w:val="single" w:color="auto" w:sz="4" w:space="0"/>
            </w:tcBorders>
            <w:shd w:val="clear" w:color="auto" w:fill="FFFFFF" w:themeFill="background1"/>
          </w:tcPr>
          <w:p w14:paraId="79C4107C">
            <w:pPr>
              <w:spacing w:after="0" w:line="240" w:lineRule="auto"/>
              <w:rPr>
                <w:rFonts w:ascii="Arial" w:hAnsi="Arial" w:eastAsia="Times New Roman" w:cs="Arial"/>
                <w:sz w:val="18"/>
                <w:szCs w:val="18"/>
                <w:lang w:eastAsia="pt-BR"/>
              </w:rPr>
            </w:pPr>
            <w:r>
              <w:rPr>
                <w:rFonts w:ascii="Arial" w:hAnsi="Arial" w:eastAsia="Times New Roman" w:cs="Arial"/>
                <w:sz w:val="18"/>
                <w:szCs w:val="18"/>
                <w:lang w:eastAsia="pt-BR"/>
              </w:rPr>
              <w:t>ÁGAR CROMOGÊNICO – MEIO DE CULTURA DESIDRATADO EM PÓ, RECOMENDADO PARA IDENTIFICAÇÃO PRESUNTIVA E CONFIRMAÇÃO DE MICRORGANISMOS QUE CAUSAM PRINCIPALMENTE INFECÇÕES DO TRATO URINÁRIO, COMO: ESCHERICHIA COLI E STAPHYLOCOCCUS SAPROPHYTICUS, OU PELOS MICRORGANISMOS ADQUIRIDOS EM HOSPITAIS, ENTRE ELES ESPÉCIES DO GÊNERO KLEBSIELLA, PROTEUS MIRABILIS, PSEUDOMONAS AERUGINOSA E ENTEROCOCCUS FAECALIS. ENTRE OUTRAS AMOSTRAS CLINICAS. ACONDICIONADO EM EMBALAGEM APROPRIADA, ROTULO COM NR. LOTE, DATA DEFABRICACAO/VALIDADE, PROCEDENCIA. FRASCO COM 500 G.  FRASCO 500 GRG</w:t>
            </w:r>
            <w:r>
              <w:rPr>
                <w:rFonts w:ascii="Arial" w:hAnsi="Arial" w:eastAsia="Times New Roman" w:cs="Arial"/>
                <w:b/>
                <w:bCs/>
                <w:sz w:val="18"/>
                <w:szCs w:val="18"/>
                <w:lang w:eastAsia="pt-BR"/>
              </w:rPr>
              <w:t xml:space="preserve">. </w:t>
            </w:r>
          </w:p>
        </w:tc>
        <w:tc>
          <w:tcPr>
            <w:tcW w:w="1167" w:type="dxa"/>
            <w:tcBorders>
              <w:top w:val="nil"/>
              <w:left w:val="nil"/>
              <w:bottom w:val="single" w:color="auto" w:sz="4" w:space="0"/>
              <w:right w:val="single" w:color="auto" w:sz="4" w:space="0"/>
            </w:tcBorders>
            <w:shd w:val="clear" w:color="auto" w:fill="FFFFFF" w:themeFill="background1"/>
            <w:vAlign w:val="center"/>
          </w:tcPr>
          <w:p w14:paraId="71B95A75">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FRASCO</w:t>
            </w:r>
          </w:p>
        </w:tc>
        <w:tc>
          <w:tcPr>
            <w:tcW w:w="832" w:type="dxa"/>
            <w:tcBorders>
              <w:top w:val="nil"/>
              <w:left w:val="nil"/>
              <w:bottom w:val="single" w:color="auto" w:sz="4" w:space="0"/>
              <w:right w:val="single" w:color="auto" w:sz="4" w:space="0"/>
            </w:tcBorders>
            <w:shd w:val="clear" w:color="auto" w:fill="FFFFFF" w:themeFill="background1"/>
            <w:vAlign w:val="center"/>
          </w:tcPr>
          <w:p w14:paraId="6ED02C9E">
            <w:pPr>
              <w:spacing w:after="0" w:line="240" w:lineRule="auto"/>
              <w:jc w:val="center"/>
              <w:rPr>
                <w:rFonts w:ascii="Arial" w:hAnsi="Arial" w:eastAsia="Times New Roman" w:cs="Arial"/>
                <w:sz w:val="18"/>
                <w:szCs w:val="18"/>
                <w:lang w:eastAsia="pt-BR"/>
              </w:rPr>
            </w:pPr>
            <w:r>
              <w:rPr>
                <w:rFonts w:ascii="Arial" w:hAnsi="Arial" w:eastAsia="Times New Roman" w:cs="Arial"/>
                <w:sz w:val="18"/>
                <w:szCs w:val="18"/>
                <w:lang w:eastAsia="pt-BR"/>
              </w:rPr>
              <w:t>30</w:t>
            </w:r>
          </w:p>
        </w:tc>
        <w:tc>
          <w:tcPr>
            <w:tcW w:w="1134" w:type="dxa"/>
            <w:tcBorders>
              <w:top w:val="nil"/>
              <w:left w:val="nil"/>
              <w:bottom w:val="single" w:color="auto" w:sz="4" w:space="0"/>
              <w:right w:val="single" w:color="auto" w:sz="4" w:space="0"/>
            </w:tcBorders>
            <w:shd w:val="clear" w:color="auto" w:fill="FFFFFF" w:themeFill="background1"/>
          </w:tcPr>
          <w:p w14:paraId="434C9BD0">
            <w:pPr>
              <w:spacing w:after="0" w:line="240" w:lineRule="auto"/>
              <w:jc w:val="center"/>
              <w:rPr>
                <w:rFonts w:ascii="Arial" w:hAnsi="Arial" w:eastAsia="Times New Roman" w:cs="Arial"/>
                <w:sz w:val="18"/>
                <w:szCs w:val="18"/>
                <w:lang w:eastAsia="pt-BR"/>
              </w:rPr>
            </w:pPr>
          </w:p>
          <w:p w14:paraId="6D02627C">
            <w:pPr>
              <w:spacing w:after="0" w:line="240" w:lineRule="auto"/>
              <w:jc w:val="center"/>
              <w:rPr>
                <w:rFonts w:ascii="Arial" w:hAnsi="Arial" w:eastAsia="Times New Roman" w:cs="Arial"/>
                <w:sz w:val="18"/>
                <w:szCs w:val="18"/>
                <w:lang w:eastAsia="pt-BR"/>
              </w:rPr>
            </w:pPr>
          </w:p>
          <w:p w14:paraId="0F892CC8">
            <w:pPr>
              <w:spacing w:after="0" w:line="240" w:lineRule="auto"/>
              <w:jc w:val="center"/>
              <w:rPr>
                <w:rFonts w:ascii="Arial" w:hAnsi="Arial" w:eastAsia="Times New Roman" w:cs="Arial"/>
                <w:sz w:val="18"/>
                <w:szCs w:val="18"/>
                <w:lang w:eastAsia="pt-BR"/>
              </w:rPr>
            </w:pPr>
          </w:p>
          <w:p w14:paraId="1C87A058">
            <w:pPr>
              <w:spacing w:after="0" w:line="240" w:lineRule="auto"/>
              <w:jc w:val="center"/>
              <w:rPr>
                <w:rFonts w:ascii="Arial" w:hAnsi="Arial" w:eastAsia="Times New Roman" w:cs="Arial"/>
                <w:sz w:val="18"/>
                <w:szCs w:val="18"/>
                <w:lang w:eastAsia="pt-BR"/>
              </w:rPr>
            </w:pPr>
          </w:p>
          <w:p w14:paraId="1A1EFF7A">
            <w:pPr>
              <w:spacing w:after="0" w:line="240" w:lineRule="auto"/>
              <w:jc w:val="center"/>
              <w:rPr>
                <w:rFonts w:ascii="Arial" w:hAnsi="Arial" w:eastAsia="Times New Roman" w:cs="Arial"/>
                <w:sz w:val="18"/>
                <w:szCs w:val="18"/>
                <w:lang w:eastAsia="pt-BR"/>
              </w:rPr>
            </w:pPr>
          </w:p>
          <w:p w14:paraId="323BA4F1">
            <w:pPr>
              <w:spacing w:after="0" w:line="240" w:lineRule="auto"/>
              <w:jc w:val="center"/>
              <w:rPr>
                <w:rFonts w:ascii="Arial" w:hAnsi="Arial" w:eastAsia="Times New Roman" w:cs="Arial"/>
                <w:sz w:val="18"/>
                <w:szCs w:val="18"/>
                <w:lang w:eastAsia="pt-BR"/>
              </w:rPr>
            </w:pPr>
          </w:p>
          <w:p w14:paraId="35337F2D">
            <w:pPr>
              <w:spacing w:after="0" w:line="240" w:lineRule="auto"/>
              <w:jc w:val="center"/>
              <w:rPr>
                <w:rFonts w:ascii="Arial" w:hAnsi="Arial" w:eastAsia="Times New Roman" w:cs="Arial"/>
                <w:sz w:val="18"/>
                <w:szCs w:val="18"/>
                <w:lang w:eastAsia="pt-BR"/>
              </w:rPr>
            </w:pPr>
          </w:p>
          <w:p w14:paraId="13A2C215">
            <w:pPr>
              <w:spacing w:after="0" w:line="240" w:lineRule="auto"/>
              <w:jc w:val="center"/>
              <w:rPr>
                <w:rFonts w:ascii="Arial" w:hAnsi="Arial" w:eastAsia="Times New Roman" w:cs="Arial"/>
                <w:sz w:val="18"/>
                <w:szCs w:val="18"/>
                <w:lang w:eastAsia="pt-BR"/>
              </w:rPr>
            </w:pPr>
          </w:p>
          <w:p w14:paraId="65FC6636">
            <w:pPr>
              <w:spacing w:after="0" w:line="240" w:lineRule="auto"/>
              <w:jc w:val="center"/>
              <w:rPr>
                <w:rFonts w:ascii="Arial" w:hAnsi="Arial" w:eastAsia="Times New Roman" w:cs="Arial"/>
                <w:sz w:val="18"/>
                <w:szCs w:val="18"/>
                <w:lang w:eastAsia="pt-BR"/>
              </w:rPr>
            </w:pPr>
          </w:p>
          <w:p w14:paraId="1EEA0381">
            <w:pPr>
              <w:spacing w:after="0" w:line="240" w:lineRule="auto"/>
              <w:jc w:val="center"/>
              <w:rPr>
                <w:rFonts w:ascii="Arial" w:hAnsi="Arial" w:eastAsia="Times New Roman" w:cs="Arial"/>
                <w:sz w:val="18"/>
                <w:szCs w:val="18"/>
                <w:lang w:eastAsia="pt-BR"/>
              </w:rPr>
            </w:pPr>
          </w:p>
          <w:p w14:paraId="12953632">
            <w:pPr>
              <w:spacing w:after="0" w:line="240" w:lineRule="auto"/>
              <w:jc w:val="center"/>
              <w:rPr>
                <w:rFonts w:ascii="Arial" w:hAnsi="Arial" w:eastAsia="Times New Roman" w:cs="Arial"/>
                <w:sz w:val="18"/>
                <w:szCs w:val="18"/>
                <w:lang w:eastAsia="pt-BR"/>
              </w:rPr>
            </w:pPr>
          </w:p>
          <w:p w14:paraId="014CD6D6">
            <w:pPr>
              <w:spacing w:after="0" w:line="240" w:lineRule="auto"/>
              <w:jc w:val="center"/>
              <w:rPr>
                <w:rFonts w:ascii="Arial" w:hAnsi="Arial" w:eastAsia="Times New Roman" w:cs="Arial"/>
                <w:sz w:val="18"/>
                <w:szCs w:val="18"/>
                <w:lang w:eastAsia="pt-BR"/>
              </w:rPr>
            </w:pPr>
          </w:p>
          <w:p w14:paraId="2A67D40E">
            <w:pPr>
              <w:spacing w:after="0" w:line="240" w:lineRule="auto"/>
              <w:jc w:val="center"/>
              <w:rPr>
                <w:rFonts w:ascii="Arial" w:hAnsi="Arial" w:eastAsia="Times New Roman" w:cs="Arial"/>
                <w:sz w:val="18"/>
                <w:szCs w:val="18"/>
                <w:lang w:eastAsia="pt-BR"/>
              </w:rPr>
            </w:pPr>
            <w:r>
              <w:rPr>
                <w:rFonts w:ascii="Arial" w:hAnsi="Arial" w:eastAsia="Times New Roman" w:cs="Arial"/>
                <w:sz w:val="18"/>
                <w:szCs w:val="18"/>
                <w:lang w:eastAsia="pt-BR"/>
              </w:rPr>
              <w:t>20</w:t>
            </w:r>
          </w:p>
        </w:tc>
        <w:tc>
          <w:tcPr>
            <w:tcW w:w="1134" w:type="dxa"/>
            <w:tcBorders>
              <w:top w:val="nil"/>
              <w:left w:val="nil"/>
              <w:bottom w:val="single" w:color="auto" w:sz="4" w:space="0"/>
              <w:right w:val="single" w:color="auto" w:sz="4" w:space="0"/>
            </w:tcBorders>
            <w:shd w:val="clear" w:color="auto" w:fill="FFFFFF" w:themeFill="background1"/>
          </w:tcPr>
          <w:p w14:paraId="6C3EED42">
            <w:pPr>
              <w:spacing w:after="0" w:line="240" w:lineRule="auto"/>
              <w:jc w:val="center"/>
              <w:rPr>
                <w:rFonts w:ascii="Arial" w:hAnsi="Arial" w:eastAsia="Times New Roman" w:cs="Arial"/>
                <w:sz w:val="18"/>
                <w:szCs w:val="18"/>
                <w:lang w:eastAsia="pt-BR"/>
              </w:rPr>
            </w:pPr>
          </w:p>
          <w:p w14:paraId="4520E474">
            <w:pPr>
              <w:spacing w:after="0" w:line="240" w:lineRule="auto"/>
              <w:jc w:val="center"/>
              <w:rPr>
                <w:rFonts w:ascii="Arial" w:hAnsi="Arial" w:eastAsia="Times New Roman" w:cs="Arial"/>
                <w:sz w:val="18"/>
                <w:szCs w:val="18"/>
                <w:lang w:eastAsia="pt-BR"/>
              </w:rPr>
            </w:pPr>
          </w:p>
          <w:p w14:paraId="19E90A23">
            <w:pPr>
              <w:spacing w:after="0" w:line="240" w:lineRule="auto"/>
              <w:jc w:val="center"/>
              <w:rPr>
                <w:rFonts w:ascii="Arial" w:hAnsi="Arial" w:eastAsia="Times New Roman" w:cs="Arial"/>
                <w:sz w:val="18"/>
                <w:szCs w:val="18"/>
                <w:lang w:eastAsia="pt-BR"/>
              </w:rPr>
            </w:pPr>
          </w:p>
          <w:p w14:paraId="1C36ABF2">
            <w:pPr>
              <w:spacing w:after="0" w:line="240" w:lineRule="auto"/>
              <w:jc w:val="center"/>
              <w:rPr>
                <w:rFonts w:ascii="Arial" w:hAnsi="Arial" w:eastAsia="Times New Roman" w:cs="Arial"/>
                <w:sz w:val="18"/>
                <w:szCs w:val="18"/>
                <w:lang w:eastAsia="pt-BR"/>
              </w:rPr>
            </w:pPr>
          </w:p>
          <w:p w14:paraId="786F2479">
            <w:pPr>
              <w:spacing w:after="0" w:line="240" w:lineRule="auto"/>
              <w:jc w:val="center"/>
              <w:rPr>
                <w:rFonts w:ascii="Arial" w:hAnsi="Arial" w:eastAsia="Times New Roman" w:cs="Arial"/>
                <w:sz w:val="18"/>
                <w:szCs w:val="18"/>
                <w:lang w:eastAsia="pt-BR"/>
              </w:rPr>
            </w:pPr>
          </w:p>
          <w:p w14:paraId="5AD733AF">
            <w:pPr>
              <w:spacing w:after="0" w:line="240" w:lineRule="auto"/>
              <w:jc w:val="center"/>
              <w:rPr>
                <w:rFonts w:ascii="Arial" w:hAnsi="Arial" w:eastAsia="Times New Roman" w:cs="Arial"/>
                <w:sz w:val="18"/>
                <w:szCs w:val="18"/>
                <w:lang w:eastAsia="pt-BR"/>
              </w:rPr>
            </w:pPr>
          </w:p>
          <w:p w14:paraId="0CE6B8FD">
            <w:pPr>
              <w:spacing w:after="0" w:line="240" w:lineRule="auto"/>
              <w:jc w:val="center"/>
              <w:rPr>
                <w:rFonts w:ascii="Arial" w:hAnsi="Arial" w:eastAsia="Times New Roman" w:cs="Arial"/>
                <w:sz w:val="18"/>
                <w:szCs w:val="18"/>
                <w:lang w:eastAsia="pt-BR"/>
              </w:rPr>
            </w:pPr>
          </w:p>
          <w:p w14:paraId="0A53716B">
            <w:pPr>
              <w:spacing w:after="0" w:line="240" w:lineRule="auto"/>
              <w:jc w:val="center"/>
              <w:rPr>
                <w:rFonts w:ascii="Arial" w:hAnsi="Arial" w:eastAsia="Times New Roman" w:cs="Arial"/>
                <w:sz w:val="18"/>
                <w:szCs w:val="18"/>
                <w:lang w:eastAsia="pt-BR"/>
              </w:rPr>
            </w:pPr>
          </w:p>
          <w:p w14:paraId="3E32CF7E">
            <w:pPr>
              <w:spacing w:after="0" w:line="240" w:lineRule="auto"/>
              <w:jc w:val="center"/>
              <w:rPr>
                <w:rFonts w:ascii="Arial" w:hAnsi="Arial" w:eastAsia="Times New Roman" w:cs="Arial"/>
                <w:sz w:val="18"/>
                <w:szCs w:val="18"/>
                <w:lang w:eastAsia="pt-BR"/>
              </w:rPr>
            </w:pPr>
          </w:p>
          <w:p w14:paraId="3E4EE266">
            <w:pPr>
              <w:spacing w:after="0" w:line="240" w:lineRule="auto"/>
              <w:jc w:val="center"/>
              <w:rPr>
                <w:rFonts w:ascii="Arial" w:hAnsi="Arial" w:eastAsia="Times New Roman" w:cs="Arial"/>
                <w:sz w:val="18"/>
                <w:szCs w:val="18"/>
                <w:lang w:eastAsia="pt-BR"/>
              </w:rPr>
            </w:pPr>
          </w:p>
          <w:p w14:paraId="735043C9">
            <w:pPr>
              <w:spacing w:after="0" w:line="240" w:lineRule="auto"/>
              <w:jc w:val="center"/>
              <w:rPr>
                <w:rFonts w:ascii="Arial" w:hAnsi="Arial" w:eastAsia="Times New Roman" w:cs="Arial"/>
                <w:sz w:val="18"/>
                <w:szCs w:val="18"/>
                <w:lang w:eastAsia="pt-BR"/>
              </w:rPr>
            </w:pPr>
          </w:p>
          <w:p w14:paraId="694562F7">
            <w:pPr>
              <w:spacing w:after="0" w:line="240" w:lineRule="auto"/>
              <w:jc w:val="center"/>
              <w:rPr>
                <w:rFonts w:ascii="Arial" w:hAnsi="Arial" w:eastAsia="Times New Roman" w:cs="Arial"/>
                <w:sz w:val="18"/>
                <w:szCs w:val="18"/>
                <w:lang w:eastAsia="pt-BR"/>
              </w:rPr>
            </w:pPr>
          </w:p>
          <w:p w14:paraId="07D2C790">
            <w:pPr>
              <w:spacing w:after="0" w:line="240" w:lineRule="auto"/>
              <w:jc w:val="center"/>
              <w:rPr>
                <w:rFonts w:ascii="Arial" w:hAnsi="Arial" w:eastAsia="Times New Roman" w:cs="Arial"/>
                <w:sz w:val="18"/>
                <w:szCs w:val="18"/>
                <w:lang w:eastAsia="pt-BR"/>
              </w:rPr>
            </w:pPr>
            <w:r>
              <w:rPr>
                <w:rFonts w:ascii="Arial" w:hAnsi="Arial" w:eastAsia="Times New Roman" w:cs="Arial"/>
                <w:sz w:val="18"/>
                <w:szCs w:val="18"/>
                <w:lang w:eastAsia="pt-BR"/>
              </w:rPr>
              <w:t>30</w:t>
            </w:r>
          </w:p>
        </w:tc>
      </w:tr>
      <w:tr w14:paraId="17B18563">
        <w:tblPrEx>
          <w:shd w:val="clear" w:color="auto" w:fill="FFFFFF" w:themeFill="background1"/>
          <w:tblCellMar>
            <w:top w:w="0" w:type="dxa"/>
            <w:left w:w="70" w:type="dxa"/>
            <w:bottom w:w="0" w:type="dxa"/>
            <w:right w:w="70" w:type="dxa"/>
          </w:tblCellMar>
        </w:tblPrEx>
        <w:trPr>
          <w:trHeight w:val="1030" w:hRule="atLeast"/>
        </w:trPr>
        <w:tc>
          <w:tcPr>
            <w:tcW w:w="988" w:type="dxa"/>
            <w:tcBorders>
              <w:top w:val="nil"/>
              <w:left w:val="single" w:color="auto" w:sz="4" w:space="0"/>
              <w:bottom w:val="single" w:color="auto" w:sz="4" w:space="0"/>
              <w:right w:val="single" w:color="auto" w:sz="4" w:space="0"/>
            </w:tcBorders>
            <w:shd w:val="clear" w:color="auto" w:fill="FFFFFF" w:themeFill="background1"/>
            <w:noWrap/>
            <w:vAlign w:val="center"/>
          </w:tcPr>
          <w:p w14:paraId="450B5E27">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3</w:t>
            </w:r>
          </w:p>
        </w:tc>
        <w:tc>
          <w:tcPr>
            <w:tcW w:w="3104" w:type="dxa"/>
            <w:tcBorders>
              <w:top w:val="nil"/>
              <w:left w:val="nil"/>
              <w:bottom w:val="single" w:color="auto" w:sz="4" w:space="0"/>
              <w:right w:val="single" w:color="auto" w:sz="4" w:space="0"/>
            </w:tcBorders>
            <w:shd w:val="clear" w:color="auto" w:fill="FFFFFF" w:themeFill="background1"/>
          </w:tcPr>
          <w:p w14:paraId="747F6BEC">
            <w:pPr>
              <w:spacing w:after="0" w:line="240" w:lineRule="auto"/>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AGULHA REMOVIVEL - COLETA MULTIPLA DE SANGUE, PARA EM ADAPTADOR P/TUBO DE COLETA DE SANGUE A VACUO, AGULHA VACUTAINER - 25 X 8</w:t>
            </w:r>
            <w:r>
              <w:rPr>
                <w:rFonts w:ascii="Arial" w:hAnsi="Arial" w:eastAsia="Times New Roman" w:cs="Arial"/>
                <w:b/>
                <w:bCs/>
                <w:color w:val="000000"/>
                <w:sz w:val="18"/>
                <w:szCs w:val="18"/>
                <w:lang w:eastAsia="pt-BR"/>
              </w:rPr>
              <w:t>.</w:t>
            </w:r>
          </w:p>
        </w:tc>
        <w:tc>
          <w:tcPr>
            <w:tcW w:w="1167" w:type="dxa"/>
            <w:tcBorders>
              <w:top w:val="nil"/>
              <w:left w:val="nil"/>
              <w:bottom w:val="single" w:color="auto" w:sz="4" w:space="0"/>
              <w:right w:val="single" w:color="auto" w:sz="4" w:space="0"/>
            </w:tcBorders>
            <w:shd w:val="clear" w:color="auto" w:fill="FFFFFF" w:themeFill="background1"/>
            <w:vAlign w:val="center"/>
          </w:tcPr>
          <w:p w14:paraId="575C2196">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CAIXA</w:t>
            </w:r>
          </w:p>
        </w:tc>
        <w:tc>
          <w:tcPr>
            <w:tcW w:w="832" w:type="dxa"/>
            <w:tcBorders>
              <w:top w:val="nil"/>
              <w:left w:val="nil"/>
              <w:bottom w:val="single" w:color="auto" w:sz="4" w:space="0"/>
              <w:right w:val="single" w:color="auto" w:sz="4" w:space="0"/>
            </w:tcBorders>
            <w:shd w:val="clear" w:color="auto" w:fill="FFFFFF" w:themeFill="background1"/>
            <w:vAlign w:val="center"/>
          </w:tcPr>
          <w:p w14:paraId="04816438">
            <w:pPr>
              <w:spacing w:after="0" w:line="240" w:lineRule="auto"/>
              <w:jc w:val="center"/>
              <w:rPr>
                <w:rFonts w:ascii="Arial" w:hAnsi="Arial" w:eastAsia="Times New Roman" w:cs="Arial"/>
                <w:sz w:val="18"/>
                <w:szCs w:val="18"/>
                <w:lang w:eastAsia="pt-BR"/>
              </w:rPr>
            </w:pPr>
            <w:r>
              <w:rPr>
                <w:rFonts w:ascii="Arial" w:hAnsi="Arial" w:eastAsia="Times New Roman" w:cs="Arial"/>
                <w:sz w:val="18"/>
                <w:szCs w:val="18"/>
                <w:lang w:eastAsia="pt-BR"/>
              </w:rPr>
              <w:t>500</w:t>
            </w:r>
          </w:p>
        </w:tc>
        <w:tc>
          <w:tcPr>
            <w:tcW w:w="1134" w:type="dxa"/>
            <w:tcBorders>
              <w:top w:val="nil"/>
              <w:left w:val="nil"/>
              <w:bottom w:val="single" w:color="auto" w:sz="4" w:space="0"/>
              <w:right w:val="single" w:color="auto" w:sz="4" w:space="0"/>
            </w:tcBorders>
            <w:shd w:val="clear" w:color="auto" w:fill="FFFFFF" w:themeFill="background1"/>
          </w:tcPr>
          <w:p w14:paraId="72EE5AF5">
            <w:pPr>
              <w:spacing w:after="0" w:line="240" w:lineRule="auto"/>
              <w:jc w:val="center"/>
              <w:rPr>
                <w:rFonts w:ascii="Arial" w:hAnsi="Arial" w:eastAsia="Times New Roman" w:cs="Arial"/>
                <w:color w:val="000000"/>
                <w:sz w:val="18"/>
                <w:szCs w:val="18"/>
                <w:lang w:eastAsia="pt-BR"/>
              </w:rPr>
            </w:pPr>
          </w:p>
          <w:p w14:paraId="3D24660F">
            <w:pPr>
              <w:spacing w:after="0" w:line="240" w:lineRule="auto"/>
              <w:jc w:val="center"/>
              <w:rPr>
                <w:rFonts w:ascii="Arial" w:hAnsi="Arial" w:eastAsia="Times New Roman" w:cs="Arial"/>
                <w:color w:val="000000"/>
                <w:sz w:val="18"/>
                <w:szCs w:val="18"/>
                <w:lang w:eastAsia="pt-BR"/>
              </w:rPr>
            </w:pPr>
          </w:p>
          <w:p w14:paraId="1084F303">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300</w:t>
            </w:r>
          </w:p>
        </w:tc>
        <w:tc>
          <w:tcPr>
            <w:tcW w:w="1134" w:type="dxa"/>
            <w:tcBorders>
              <w:top w:val="nil"/>
              <w:left w:val="nil"/>
              <w:bottom w:val="single" w:color="auto" w:sz="4" w:space="0"/>
              <w:right w:val="single" w:color="auto" w:sz="4" w:space="0"/>
            </w:tcBorders>
            <w:shd w:val="clear" w:color="auto" w:fill="FFFFFF" w:themeFill="background1"/>
          </w:tcPr>
          <w:p w14:paraId="576B80AC">
            <w:pPr>
              <w:spacing w:after="0" w:line="240" w:lineRule="auto"/>
              <w:jc w:val="center"/>
              <w:rPr>
                <w:rFonts w:ascii="Arial" w:hAnsi="Arial" w:eastAsia="Times New Roman" w:cs="Arial"/>
                <w:color w:val="000000"/>
                <w:sz w:val="18"/>
                <w:szCs w:val="18"/>
                <w:lang w:eastAsia="pt-BR"/>
              </w:rPr>
            </w:pPr>
          </w:p>
          <w:p w14:paraId="5234245E">
            <w:pPr>
              <w:spacing w:after="0" w:line="240" w:lineRule="auto"/>
              <w:jc w:val="center"/>
              <w:rPr>
                <w:rFonts w:ascii="Arial" w:hAnsi="Arial" w:eastAsia="Times New Roman" w:cs="Arial"/>
                <w:color w:val="000000"/>
                <w:sz w:val="18"/>
                <w:szCs w:val="18"/>
                <w:lang w:eastAsia="pt-BR"/>
              </w:rPr>
            </w:pPr>
          </w:p>
          <w:p w14:paraId="64F4A02B">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500</w:t>
            </w:r>
          </w:p>
        </w:tc>
      </w:tr>
      <w:tr w14:paraId="7397C09B">
        <w:tblPrEx>
          <w:shd w:val="clear" w:color="auto" w:fill="FFFFFF" w:themeFill="background1"/>
          <w:tblCellMar>
            <w:top w:w="0" w:type="dxa"/>
            <w:left w:w="70" w:type="dxa"/>
            <w:bottom w:w="0" w:type="dxa"/>
            <w:right w:w="70" w:type="dxa"/>
          </w:tblCellMar>
        </w:tblPrEx>
        <w:trPr>
          <w:trHeight w:val="1367" w:hRule="atLeast"/>
        </w:trPr>
        <w:tc>
          <w:tcPr>
            <w:tcW w:w="988" w:type="dxa"/>
            <w:tcBorders>
              <w:top w:val="nil"/>
              <w:left w:val="single" w:color="auto" w:sz="4" w:space="0"/>
              <w:bottom w:val="single" w:color="auto" w:sz="4" w:space="0"/>
              <w:right w:val="single" w:color="auto" w:sz="4" w:space="0"/>
            </w:tcBorders>
            <w:shd w:val="clear" w:color="auto" w:fill="FFFFFF" w:themeFill="background1"/>
            <w:noWrap/>
            <w:vAlign w:val="center"/>
          </w:tcPr>
          <w:p w14:paraId="1056F2CC">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4</w:t>
            </w:r>
          </w:p>
        </w:tc>
        <w:tc>
          <w:tcPr>
            <w:tcW w:w="3104" w:type="dxa"/>
            <w:tcBorders>
              <w:top w:val="nil"/>
              <w:left w:val="nil"/>
              <w:bottom w:val="single" w:color="auto" w:sz="4" w:space="0"/>
              <w:right w:val="single" w:color="auto" w:sz="4" w:space="0"/>
            </w:tcBorders>
            <w:shd w:val="clear" w:color="auto" w:fill="FFFFFF" w:themeFill="background1"/>
          </w:tcPr>
          <w:p w14:paraId="77FEEB0F">
            <w:pPr>
              <w:spacing w:after="0" w:line="240" w:lineRule="auto"/>
              <w:jc w:val="both"/>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 xml:space="preserve">ALCA BACTERIOLOGICA, MATERIAL PLASTICO, COMPONENTES COM HASTE FLEXIVEL, CALIBRADA, VOLUME 1 MCL, ESTERILIDADE ESTERIL, DESCARTAVEL, EMBALAGEM INDIVIDUAL, ACONDICIONADO EM PACOTE COM 100 UNIDADES CADA. </w:t>
            </w:r>
          </w:p>
        </w:tc>
        <w:tc>
          <w:tcPr>
            <w:tcW w:w="1167" w:type="dxa"/>
            <w:tcBorders>
              <w:top w:val="nil"/>
              <w:left w:val="nil"/>
              <w:bottom w:val="single" w:color="auto" w:sz="4" w:space="0"/>
              <w:right w:val="single" w:color="auto" w:sz="4" w:space="0"/>
            </w:tcBorders>
            <w:shd w:val="clear" w:color="auto" w:fill="FFFFFF" w:themeFill="background1"/>
            <w:vAlign w:val="center"/>
          </w:tcPr>
          <w:p w14:paraId="098C99DC">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PACOTE</w:t>
            </w:r>
          </w:p>
        </w:tc>
        <w:tc>
          <w:tcPr>
            <w:tcW w:w="832" w:type="dxa"/>
            <w:tcBorders>
              <w:top w:val="nil"/>
              <w:left w:val="nil"/>
              <w:bottom w:val="single" w:color="auto" w:sz="4" w:space="0"/>
              <w:right w:val="single" w:color="auto" w:sz="4" w:space="0"/>
            </w:tcBorders>
            <w:shd w:val="clear" w:color="auto" w:fill="FFFFFF" w:themeFill="background1"/>
            <w:vAlign w:val="center"/>
          </w:tcPr>
          <w:p w14:paraId="71F746B0">
            <w:pPr>
              <w:spacing w:after="0" w:line="240" w:lineRule="auto"/>
              <w:jc w:val="center"/>
              <w:rPr>
                <w:rFonts w:ascii="Arial" w:hAnsi="Arial" w:eastAsia="Times New Roman" w:cs="Arial"/>
                <w:sz w:val="18"/>
                <w:szCs w:val="18"/>
                <w:lang w:eastAsia="pt-BR"/>
              </w:rPr>
            </w:pPr>
            <w:r>
              <w:rPr>
                <w:rFonts w:ascii="Arial" w:hAnsi="Arial" w:eastAsia="Times New Roman" w:cs="Arial"/>
                <w:sz w:val="18"/>
                <w:szCs w:val="18"/>
                <w:lang w:eastAsia="pt-BR"/>
              </w:rPr>
              <w:t>400</w:t>
            </w:r>
          </w:p>
        </w:tc>
        <w:tc>
          <w:tcPr>
            <w:tcW w:w="1134" w:type="dxa"/>
            <w:tcBorders>
              <w:top w:val="nil"/>
              <w:left w:val="nil"/>
              <w:bottom w:val="single" w:color="auto" w:sz="4" w:space="0"/>
              <w:right w:val="single" w:color="auto" w:sz="4" w:space="0"/>
            </w:tcBorders>
            <w:shd w:val="clear" w:color="auto" w:fill="FFFFFF" w:themeFill="background1"/>
          </w:tcPr>
          <w:p w14:paraId="365FCFDD">
            <w:pPr>
              <w:spacing w:after="0" w:line="240" w:lineRule="auto"/>
              <w:jc w:val="center"/>
              <w:rPr>
                <w:rFonts w:ascii="Arial" w:hAnsi="Arial" w:eastAsia="Times New Roman" w:cs="Arial"/>
                <w:color w:val="000000"/>
                <w:sz w:val="18"/>
                <w:szCs w:val="18"/>
                <w:lang w:eastAsia="pt-BR"/>
              </w:rPr>
            </w:pPr>
          </w:p>
          <w:p w14:paraId="14B629EE">
            <w:pPr>
              <w:spacing w:after="0" w:line="240" w:lineRule="auto"/>
              <w:jc w:val="center"/>
              <w:rPr>
                <w:rFonts w:ascii="Arial" w:hAnsi="Arial" w:eastAsia="Times New Roman" w:cs="Arial"/>
                <w:color w:val="000000"/>
                <w:sz w:val="18"/>
                <w:szCs w:val="18"/>
                <w:lang w:eastAsia="pt-BR"/>
              </w:rPr>
            </w:pPr>
          </w:p>
          <w:p w14:paraId="2B733E5E">
            <w:pPr>
              <w:spacing w:after="0" w:line="240" w:lineRule="auto"/>
              <w:jc w:val="center"/>
              <w:rPr>
                <w:rFonts w:ascii="Arial" w:hAnsi="Arial" w:eastAsia="Times New Roman" w:cs="Arial"/>
                <w:color w:val="000000"/>
                <w:sz w:val="18"/>
                <w:szCs w:val="18"/>
                <w:lang w:eastAsia="pt-BR"/>
              </w:rPr>
            </w:pPr>
          </w:p>
          <w:p w14:paraId="3B093321">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300</w:t>
            </w:r>
          </w:p>
        </w:tc>
        <w:tc>
          <w:tcPr>
            <w:tcW w:w="1134" w:type="dxa"/>
            <w:tcBorders>
              <w:top w:val="nil"/>
              <w:left w:val="nil"/>
              <w:bottom w:val="single" w:color="auto" w:sz="4" w:space="0"/>
              <w:right w:val="single" w:color="auto" w:sz="4" w:space="0"/>
            </w:tcBorders>
            <w:shd w:val="clear" w:color="auto" w:fill="FFFFFF" w:themeFill="background1"/>
          </w:tcPr>
          <w:p w14:paraId="6AFB3BE6">
            <w:pPr>
              <w:spacing w:after="0" w:line="240" w:lineRule="auto"/>
              <w:jc w:val="center"/>
              <w:rPr>
                <w:rFonts w:ascii="Arial" w:hAnsi="Arial" w:eastAsia="Times New Roman" w:cs="Arial"/>
                <w:color w:val="000000"/>
                <w:sz w:val="18"/>
                <w:szCs w:val="18"/>
                <w:lang w:eastAsia="pt-BR"/>
              </w:rPr>
            </w:pPr>
          </w:p>
          <w:p w14:paraId="4335C843">
            <w:pPr>
              <w:spacing w:after="0" w:line="240" w:lineRule="auto"/>
              <w:jc w:val="center"/>
              <w:rPr>
                <w:rFonts w:ascii="Arial" w:hAnsi="Arial" w:eastAsia="Times New Roman" w:cs="Arial"/>
                <w:color w:val="000000"/>
                <w:sz w:val="18"/>
                <w:szCs w:val="18"/>
                <w:lang w:eastAsia="pt-BR"/>
              </w:rPr>
            </w:pPr>
          </w:p>
          <w:p w14:paraId="015086CA">
            <w:pPr>
              <w:spacing w:after="0" w:line="240" w:lineRule="auto"/>
              <w:jc w:val="center"/>
              <w:rPr>
                <w:rFonts w:ascii="Arial" w:hAnsi="Arial" w:eastAsia="Times New Roman" w:cs="Arial"/>
                <w:color w:val="000000"/>
                <w:sz w:val="18"/>
                <w:szCs w:val="18"/>
                <w:lang w:eastAsia="pt-BR"/>
              </w:rPr>
            </w:pPr>
          </w:p>
          <w:p w14:paraId="2CB9EBCC">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400</w:t>
            </w:r>
          </w:p>
        </w:tc>
      </w:tr>
      <w:tr w14:paraId="7A97CF66">
        <w:tblPrEx>
          <w:shd w:val="clear" w:color="auto" w:fill="FFFFFF" w:themeFill="background1"/>
          <w:tblCellMar>
            <w:top w:w="0" w:type="dxa"/>
            <w:left w:w="70" w:type="dxa"/>
            <w:bottom w:w="0" w:type="dxa"/>
            <w:right w:w="70" w:type="dxa"/>
          </w:tblCellMar>
        </w:tblPrEx>
        <w:trPr>
          <w:trHeight w:val="2177" w:hRule="atLeast"/>
        </w:trPr>
        <w:tc>
          <w:tcPr>
            <w:tcW w:w="988" w:type="dxa"/>
            <w:tcBorders>
              <w:top w:val="nil"/>
              <w:left w:val="single" w:color="auto" w:sz="4" w:space="0"/>
              <w:bottom w:val="single" w:color="auto" w:sz="4" w:space="0"/>
              <w:right w:val="single" w:color="auto" w:sz="4" w:space="0"/>
            </w:tcBorders>
            <w:shd w:val="clear" w:color="auto" w:fill="FFFFFF" w:themeFill="background1"/>
            <w:noWrap/>
            <w:vAlign w:val="center"/>
          </w:tcPr>
          <w:p w14:paraId="1FC4EFCC">
            <w:pPr>
              <w:spacing w:after="0" w:line="240" w:lineRule="auto"/>
              <w:jc w:val="center"/>
              <w:rPr>
                <w:rFonts w:ascii="Arial" w:hAnsi="Arial" w:eastAsia="Times New Roman" w:cs="Arial"/>
                <w:color w:val="000000"/>
                <w:sz w:val="18"/>
                <w:szCs w:val="18"/>
                <w:lang w:val="en-US" w:eastAsia="pt-BR"/>
              </w:rPr>
            </w:pPr>
            <w:r>
              <w:rPr>
                <w:rFonts w:ascii="Arial" w:hAnsi="Arial" w:eastAsia="Times New Roman" w:cs="Arial"/>
                <w:color w:val="000000"/>
                <w:sz w:val="18"/>
                <w:szCs w:val="18"/>
                <w:lang w:val="en-US" w:eastAsia="pt-BR"/>
              </w:rPr>
              <w:t>5</w:t>
            </w:r>
          </w:p>
        </w:tc>
        <w:tc>
          <w:tcPr>
            <w:tcW w:w="3104" w:type="dxa"/>
            <w:tcBorders>
              <w:top w:val="nil"/>
              <w:left w:val="nil"/>
              <w:bottom w:val="single" w:color="auto" w:sz="4" w:space="0"/>
              <w:right w:val="single" w:color="auto" w:sz="4" w:space="0"/>
            </w:tcBorders>
            <w:shd w:val="clear" w:color="auto" w:fill="FFFFFF" w:themeFill="background1"/>
          </w:tcPr>
          <w:p w14:paraId="11D7CE5E">
            <w:pPr>
              <w:spacing w:after="0" w:line="240" w:lineRule="auto"/>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LUVA DESCARTAVEL PARA PROCEDIMENTO - LUVAS DE LÁTEX NITRÍLICA, LUVAS HIPOAL ERGÊNICA, COM PERFEITA ADAPTACAO ANATOMICA E SEM FALHAS, AMBIDESTRA, BOA ELASTICIDADE. RESISTENTE A TRACAO, ALTA SENSIBILIDADE TATIL, UNIFORME SEM FALHAS, TAMANHO MEDIA, COM DATA DE FABRICACAO, COM VALIDADE DO PRODUTO. CAIXA COM 100 UNIDADES.</w:t>
            </w:r>
            <w:r>
              <w:rPr>
                <w:rFonts w:ascii="Arial" w:hAnsi="Arial" w:eastAsia="Times New Roman" w:cs="Arial"/>
                <w:b/>
                <w:bCs/>
                <w:color w:val="000000"/>
                <w:sz w:val="18"/>
                <w:szCs w:val="18"/>
                <w:lang w:eastAsia="pt-BR"/>
              </w:rPr>
              <w:t xml:space="preserve"> </w:t>
            </w:r>
          </w:p>
        </w:tc>
        <w:tc>
          <w:tcPr>
            <w:tcW w:w="1167" w:type="dxa"/>
            <w:tcBorders>
              <w:top w:val="nil"/>
              <w:left w:val="nil"/>
              <w:bottom w:val="single" w:color="auto" w:sz="4" w:space="0"/>
              <w:right w:val="single" w:color="auto" w:sz="4" w:space="0"/>
            </w:tcBorders>
            <w:shd w:val="clear" w:color="auto" w:fill="FFFFFF" w:themeFill="background1"/>
            <w:vAlign w:val="center"/>
          </w:tcPr>
          <w:p w14:paraId="1F14AB2A">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CAIXA</w:t>
            </w:r>
          </w:p>
        </w:tc>
        <w:tc>
          <w:tcPr>
            <w:tcW w:w="832" w:type="dxa"/>
            <w:tcBorders>
              <w:top w:val="nil"/>
              <w:left w:val="nil"/>
              <w:bottom w:val="single" w:color="auto" w:sz="4" w:space="0"/>
              <w:right w:val="single" w:color="auto" w:sz="4" w:space="0"/>
            </w:tcBorders>
            <w:shd w:val="clear" w:color="auto" w:fill="FFFFFF" w:themeFill="background1"/>
            <w:vAlign w:val="center"/>
          </w:tcPr>
          <w:p w14:paraId="76F73AE1">
            <w:pPr>
              <w:spacing w:after="0" w:line="240" w:lineRule="auto"/>
              <w:jc w:val="center"/>
              <w:rPr>
                <w:rFonts w:ascii="Arial" w:hAnsi="Arial" w:eastAsia="Times New Roman" w:cs="Arial"/>
                <w:sz w:val="18"/>
                <w:szCs w:val="18"/>
                <w:lang w:eastAsia="pt-BR"/>
              </w:rPr>
            </w:pPr>
            <w:r>
              <w:rPr>
                <w:rFonts w:ascii="Arial" w:hAnsi="Arial" w:eastAsia="Times New Roman" w:cs="Arial"/>
                <w:sz w:val="18"/>
                <w:szCs w:val="18"/>
                <w:lang w:eastAsia="pt-BR"/>
              </w:rPr>
              <w:t>100</w:t>
            </w:r>
          </w:p>
        </w:tc>
        <w:tc>
          <w:tcPr>
            <w:tcW w:w="1134" w:type="dxa"/>
            <w:tcBorders>
              <w:top w:val="nil"/>
              <w:left w:val="nil"/>
              <w:bottom w:val="single" w:color="auto" w:sz="4" w:space="0"/>
              <w:right w:val="single" w:color="auto" w:sz="4" w:space="0"/>
            </w:tcBorders>
            <w:shd w:val="clear" w:color="auto" w:fill="FFFFFF" w:themeFill="background1"/>
          </w:tcPr>
          <w:p w14:paraId="059AB4AA">
            <w:pPr>
              <w:spacing w:after="0" w:line="240" w:lineRule="auto"/>
              <w:jc w:val="center"/>
              <w:rPr>
                <w:rFonts w:ascii="Arial" w:hAnsi="Arial" w:eastAsia="Times New Roman" w:cs="Arial"/>
                <w:color w:val="000000"/>
                <w:sz w:val="18"/>
                <w:szCs w:val="18"/>
                <w:lang w:eastAsia="pt-BR"/>
              </w:rPr>
            </w:pPr>
          </w:p>
          <w:p w14:paraId="1B119907">
            <w:pPr>
              <w:spacing w:after="0" w:line="240" w:lineRule="auto"/>
              <w:jc w:val="center"/>
              <w:rPr>
                <w:rFonts w:ascii="Arial" w:hAnsi="Arial" w:eastAsia="Times New Roman" w:cs="Arial"/>
                <w:color w:val="000000"/>
                <w:sz w:val="18"/>
                <w:szCs w:val="18"/>
                <w:lang w:eastAsia="pt-BR"/>
              </w:rPr>
            </w:pPr>
          </w:p>
          <w:p w14:paraId="0D286F06">
            <w:pPr>
              <w:spacing w:after="0" w:line="240" w:lineRule="auto"/>
              <w:jc w:val="center"/>
              <w:rPr>
                <w:rFonts w:ascii="Arial" w:hAnsi="Arial" w:eastAsia="Times New Roman" w:cs="Arial"/>
                <w:color w:val="000000"/>
                <w:sz w:val="18"/>
                <w:szCs w:val="18"/>
                <w:lang w:eastAsia="pt-BR"/>
              </w:rPr>
            </w:pPr>
          </w:p>
          <w:p w14:paraId="6337E59C">
            <w:pPr>
              <w:spacing w:after="0" w:line="240" w:lineRule="auto"/>
              <w:jc w:val="center"/>
              <w:rPr>
                <w:rFonts w:ascii="Arial" w:hAnsi="Arial" w:eastAsia="Times New Roman" w:cs="Arial"/>
                <w:color w:val="000000"/>
                <w:sz w:val="18"/>
                <w:szCs w:val="18"/>
                <w:lang w:eastAsia="pt-BR"/>
              </w:rPr>
            </w:pPr>
          </w:p>
          <w:p w14:paraId="727086DB">
            <w:pPr>
              <w:spacing w:after="0" w:line="240" w:lineRule="auto"/>
              <w:jc w:val="center"/>
              <w:rPr>
                <w:rFonts w:ascii="Arial" w:hAnsi="Arial" w:eastAsia="Times New Roman" w:cs="Arial"/>
                <w:color w:val="000000"/>
                <w:sz w:val="18"/>
                <w:szCs w:val="18"/>
                <w:lang w:eastAsia="pt-BR"/>
              </w:rPr>
            </w:pPr>
          </w:p>
          <w:p w14:paraId="61F2830E">
            <w:pPr>
              <w:spacing w:after="0" w:line="240" w:lineRule="auto"/>
              <w:jc w:val="center"/>
              <w:rPr>
                <w:rFonts w:ascii="Arial" w:hAnsi="Arial" w:eastAsia="Times New Roman" w:cs="Arial"/>
                <w:color w:val="000000"/>
                <w:sz w:val="18"/>
                <w:szCs w:val="18"/>
                <w:lang w:eastAsia="pt-BR"/>
              </w:rPr>
            </w:pPr>
          </w:p>
          <w:p w14:paraId="24D74539">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70</w:t>
            </w:r>
          </w:p>
        </w:tc>
        <w:tc>
          <w:tcPr>
            <w:tcW w:w="1134" w:type="dxa"/>
            <w:tcBorders>
              <w:top w:val="nil"/>
              <w:left w:val="nil"/>
              <w:bottom w:val="single" w:color="auto" w:sz="4" w:space="0"/>
              <w:right w:val="single" w:color="auto" w:sz="4" w:space="0"/>
            </w:tcBorders>
            <w:shd w:val="clear" w:color="auto" w:fill="FFFFFF" w:themeFill="background1"/>
          </w:tcPr>
          <w:p w14:paraId="71876655">
            <w:pPr>
              <w:spacing w:after="0" w:line="240" w:lineRule="auto"/>
              <w:jc w:val="center"/>
              <w:rPr>
                <w:rFonts w:ascii="Arial" w:hAnsi="Arial" w:eastAsia="Times New Roman" w:cs="Arial"/>
                <w:color w:val="000000"/>
                <w:sz w:val="18"/>
                <w:szCs w:val="18"/>
                <w:lang w:eastAsia="pt-BR"/>
              </w:rPr>
            </w:pPr>
          </w:p>
          <w:p w14:paraId="726DC7C8">
            <w:pPr>
              <w:spacing w:after="0" w:line="240" w:lineRule="auto"/>
              <w:jc w:val="center"/>
              <w:rPr>
                <w:rFonts w:ascii="Arial" w:hAnsi="Arial" w:eastAsia="Times New Roman" w:cs="Arial"/>
                <w:color w:val="000000"/>
                <w:sz w:val="18"/>
                <w:szCs w:val="18"/>
                <w:lang w:eastAsia="pt-BR"/>
              </w:rPr>
            </w:pPr>
          </w:p>
          <w:p w14:paraId="78963C10">
            <w:pPr>
              <w:spacing w:after="0" w:line="240" w:lineRule="auto"/>
              <w:jc w:val="center"/>
              <w:rPr>
                <w:rFonts w:ascii="Arial" w:hAnsi="Arial" w:eastAsia="Times New Roman" w:cs="Arial"/>
                <w:color w:val="000000"/>
                <w:sz w:val="18"/>
                <w:szCs w:val="18"/>
                <w:lang w:eastAsia="pt-BR"/>
              </w:rPr>
            </w:pPr>
          </w:p>
          <w:p w14:paraId="368B2E1F">
            <w:pPr>
              <w:spacing w:after="0" w:line="240" w:lineRule="auto"/>
              <w:jc w:val="center"/>
              <w:rPr>
                <w:rFonts w:ascii="Arial" w:hAnsi="Arial" w:eastAsia="Times New Roman" w:cs="Arial"/>
                <w:color w:val="000000"/>
                <w:sz w:val="18"/>
                <w:szCs w:val="18"/>
                <w:lang w:eastAsia="pt-BR"/>
              </w:rPr>
            </w:pPr>
          </w:p>
          <w:p w14:paraId="14751BEE">
            <w:pPr>
              <w:spacing w:after="0" w:line="240" w:lineRule="auto"/>
              <w:jc w:val="center"/>
              <w:rPr>
                <w:rFonts w:ascii="Arial" w:hAnsi="Arial" w:eastAsia="Times New Roman" w:cs="Arial"/>
                <w:color w:val="000000"/>
                <w:sz w:val="18"/>
                <w:szCs w:val="18"/>
                <w:lang w:eastAsia="pt-BR"/>
              </w:rPr>
            </w:pPr>
          </w:p>
          <w:p w14:paraId="6BBD2391">
            <w:pPr>
              <w:spacing w:after="0" w:line="240" w:lineRule="auto"/>
              <w:jc w:val="center"/>
              <w:rPr>
                <w:rFonts w:ascii="Arial" w:hAnsi="Arial" w:eastAsia="Times New Roman" w:cs="Arial"/>
                <w:color w:val="000000"/>
                <w:sz w:val="18"/>
                <w:szCs w:val="18"/>
                <w:lang w:eastAsia="pt-BR"/>
              </w:rPr>
            </w:pPr>
          </w:p>
          <w:p w14:paraId="698A52CF">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100</w:t>
            </w:r>
          </w:p>
        </w:tc>
      </w:tr>
      <w:tr w14:paraId="3313A825">
        <w:tblPrEx>
          <w:shd w:val="clear" w:color="auto" w:fill="FFFFFF" w:themeFill="background1"/>
          <w:tblCellMar>
            <w:top w:w="0" w:type="dxa"/>
            <w:left w:w="70" w:type="dxa"/>
            <w:bottom w:w="0" w:type="dxa"/>
            <w:right w:w="70" w:type="dxa"/>
          </w:tblCellMar>
        </w:tblPrEx>
        <w:trPr>
          <w:trHeight w:val="2390" w:hRule="atLeast"/>
        </w:trPr>
        <w:tc>
          <w:tcPr>
            <w:tcW w:w="988" w:type="dxa"/>
            <w:tcBorders>
              <w:top w:val="nil"/>
              <w:left w:val="single" w:color="auto" w:sz="4" w:space="0"/>
              <w:bottom w:val="single" w:color="auto" w:sz="4" w:space="0"/>
              <w:right w:val="single" w:color="auto" w:sz="4" w:space="0"/>
            </w:tcBorders>
            <w:shd w:val="clear" w:color="auto" w:fill="FFFFFF" w:themeFill="background1"/>
            <w:noWrap/>
            <w:vAlign w:val="center"/>
          </w:tcPr>
          <w:p w14:paraId="2CFC7417">
            <w:pPr>
              <w:spacing w:after="0" w:line="240" w:lineRule="auto"/>
              <w:jc w:val="center"/>
              <w:rPr>
                <w:rFonts w:ascii="Arial" w:hAnsi="Arial" w:eastAsia="Times New Roman" w:cs="Arial"/>
                <w:color w:val="000000"/>
                <w:sz w:val="18"/>
                <w:szCs w:val="18"/>
                <w:lang w:val="en-US" w:eastAsia="pt-BR"/>
              </w:rPr>
            </w:pPr>
            <w:r>
              <w:rPr>
                <w:rFonts w:ascii="Arial" w:hAnsi="Arial" w:eastAsia="Times New Roman" w:cs="Arial"/>
                <w:color w:val="000000"/>
                <w:sz w:val="18"/>
                <w:szCs w:val="18"/>
                <w:lang w:val="en-US" w:eastAsia="pt-BR"/>
              </w:rPr>
              <w:t>6</w:t>
            </w:r>
          </w:p>
        </w:tc>
        <w:tc>
          <w:tcPr>
            <w:tcW w:w="3104" w:type="dxa"/>
            <w:tcBorders>
              <w:top w:val="nil"/>
              <w:left w:val="nil"/>
              <w:bottom w:val="single" w:color="auto" w:sz="4" w:space="0"/>
              <w:right w:val="single" w:color="auto" w:sz="4" w:space="0"/>
            </w:tcBorders>
            <w:shd w:val="clear" w:color="auto" w:fill="FFFFFF" w:themeFill="background1"/>
          </w:tcPr>
          <w:p w14:paraId="1B17805B">
            <w:pPr>
              <w:spacing w:after="0" w:line="240" w:lineRule="auto"/>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 xml:space="preserve">LUVA DESCARTAVEL PARA PROCEDIMENTO - LUVAS DE LÁTEX NITRÍLICA, LUVAS HIPOALERGÊNICA, COM PERFEITA ADAPTACAO ANATOMICA E SEM FALHAS, AMBIDESTRA, BOA ELASTICIDADE. RESISTENTE A TRACAO, ALTA SENSIBILIDADE TATIL, UNIFORME SEM FALHAS, TAMANHO PEQUENO, COM DATA DE FABRICACAO, COM VALIDADE DO PRODUTO. CAIXA COM 100 UNIDADES. </w:t>
            </w:r>
          </w:p>
        </w:tc>
        <w:tc>
          <w:tcPr>
            <w:tcW w:w="1167" w:type="dxa"/>
            <w:tcBorders>
              <w:top w:val="nil"/>
              <w:left w:val="nil"/>
              <w:bottom w:val="single" w:color="auto" w:sz="4" w:space="0"/>
              <w:right w:val="single" w:color="auto" w:sz="4" w:space="0"/>
            </w:tcBorders>
            <w:shd w:val="clear" w:color="auto" w:fill="FFFFFF" w:themeFill="background1"/>
            <w:vAlign w:val="center"/>
          </w:tcPr>
          <w:p w14:paraId="6FA3E6B7">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CAIXA</w:t>
            </w:r>
          </w:p>
        </w:tc>
        <w:tc>
          <w:tcPr>
            <w:tcW w:w="832" w:type="dxa"/>
            <w:tcBorders>
              <w:top w:val="nil"/>
              <w:left w:val="nil"/>
              <w:bottom w:val="single" w:color="auto" w:sz="4" w:space="0"/>
              <w:right w:val="single" w:color="auto" w:sz="4" w:space="0"/>
            </w:tcBorders>
            <w:shd w:val="clear" w:color="auto" w:fill="FFFFFF" w:themeFill="background1"/>
            <w:vAlign w:val="center"/>
          </w:tcPr>
          <w:p w14:paraId="7DD6FB81">
            <w:pPr>
              <w:spacing w:after="0" w:line="240" w:lineRule="auto"/>
              <w:jc w:val="center"/>
              <w:rPr>
                <w:rFonts w:ascii="Arial" w:hAnsi="Arial" w:eastAsia="Times New Roman" w:cs="Arial"/>
                <w:sz w:val="18"/>
                <w:szCs w:val="18"/>
                <w:lang w:eastAsia="pt-BR"/>
              </w:rPr>
            </w:pPr>
            <w:r>
              <w:rPr>
                <w:rFonts w:ascii="Arial" w:hAnsi="Arial" w:eastAsia="Times New Roman" w:cs="Arial"/>
                <w:sz w:val="18"/>
                <w:szCs w:val="18"/>
                <w:lang w:eastAsia="pt-BR"/>
              </w:rPr>
              <w:t>100</w:t>
            </w:r>
          </w:p>
        </w:tc>
        <w:tc>
          <w:tcPr>
            <w:tcW w:w="1134" w:type="dxa"/>
            <w:tcBorders>
              <w:top w:val="nil"/>
              <w:left w:val="nil"/>
              <w:bottom w:val="single" w:color="auto" w:sz="4" w:space="0"/>
              <w:right w:val="single" w:color="auto" w:sz="4" w:space="0"/>
            </w:tcBorders>
            <w:shd w:val="clear" w:color="auto" w:fill="FFFFFF" w:themeFill="background1"/>
          </w:tcPr>
          <w:p w14:paraId="3B7B7BF9">
            <w:pPr>
              <w:spacing w:after="0" w:line="240" w:lineRule="auto"/>
              <w:jc w:val="center"/>
              <w:rPr>
                <w:rFonts w:ascii="Arial" w:hAnsi="Arial" w:eastAsia="Times New Roman" w:cs="Arial"/>
                <w:color w:val="000000"/>
                <w:sz w:val="18"/>
                <w:szCs w:val="18"/>
                <w:lang w:eastAsia="pt-BR"/>
              </w:rPr>
            </w:pPr>
          </w:p>
          <w:p w14:paraId="0B4FDFE5">
            <w:pPr>
              <w:spacing w:after="0" w:line="240" w:lineRule="auto"/>
              <w:jc w:val="center"/>
              <w:rPr>
                <w:rFonts w:ascii="Arial" w:hAnsi="Arial" w:eastAsia="Times New Roman" w:cs="Arial"/>
                <w:color w:val="000000"/>
                <w:sz w:val="18"/>
                <w:szCs w:val="18"/>
                <w:lang w:eastAsia="pt-BR"/>
              </w:rPr>
            </w:pPr>
          </w:p>
          <w:p w14:paraId="124CFEE7">
            <w:pPr>
              <w:spacing w:after="0" w:line="240" w:lineRule="auto"/>
              <w:jc w:val="center"/>
              <w:rPr>
                <w:rFonts w:ascii="Arial" w:hAnsi="Arial" w:eastAsia="Times New Roman" w:cs="Arial"/>
                <w:color w:val="000000"/>
                <w:sz w:val="18"/>
                <w:szCs w:val="18"/>
                <w:lang w:eastAsia="pt-BR"/>
              </w:rPr>
            </w:pPr>
          </w:p>
          <w:p w14:paraId="2EDBABED">
            <w:pPr>
              <w:spacing w:after="0" w:line="240" w:lineRule="auto"/>
              <w:jc w:val="center"/>
              <w:rPr>
                <w:rFonts w:ascii="Arial" w:hAnsi="Arial" w:eastAsia="Times New Roman" w:cs="Arial"/>
                <w:color w:val="000000"/>
                <w:sz w:val="18"/>
                <w:szCs w:val="18"/>
                <w:lang w:eastAsia="pt-BR"/>
              </w:rPr>
            </w:pPr>
          </w:p>
          <w:p w14:paraId="3C5F6BEE">
            <w:pPr>
              <w:spacing w:after="0" w:line="240" w:lineRule="auto"/>
              <w:jc w:val="center"/>
              <w:rPr>
                <w:rFonts w:ascii="Arial" w:hAnsi="Arial" w:eastAsia="Times New Roman" w:cs="Arial"/>
                <w:color w:val="000000"/>
                <w:sz w:val="18"/>
                <w:szCs w:val="18"/>
                <w:lang w:eastAsia="pt-BR"/>
              </w:rPr>
            </w:pPr>
          </w:p>
          <w:p w14:paraId="33BC5238">
            <w:pPr>
              <w:spacing w:after="0" w:line="240" w:lineRule="auto"/>
              <w:jc w:val="center"/>
              <w:rPr>
                <w:rFonts w:ascii="Arial" w:hAnsi="Arial" w:eastAsia="Times New Roman" w:cs="Arial"/>
                <w:color w:val="000000"/>
                <w:sz w:val="18"/>
                <w:szCs w:val="18"/>
                <w:lang w:eastAsia="pt-BR"/>
              </w:rPr>
            </w:pPr>
          </w:p>
          <w:p w14:paraId="5AAAF021">
            <w:pPr>
              <w:spacing w:after="0" w:line="240" w:lineRule="auto"/>
              <w:jc w:val="center"/>
              <w:rPr>
                <w:rFonts w:ascii="Arial" w:hAnsi="Arial" w:eastAsia="Times New Roman" w:cs="Arial"/>
                <w:color w:val="000000"/>
                <w:sz w:val="18"/>
                <w:szCs w:val="18"/>
                <w:lang w:eastAsia="pt-BR"/>
              </w:rPr>
            </w:pPr>
          </w:p>
          <w:p w14:paraId="6ACB0E42">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70</w:t>
            </w:r>
          </w:p>
        </w:tc>
        <w:tc>
          <w:tcPr>
            <w:tcW w:w="1134" w:type="dxa"/>
            <w:tcBorders>
              <w:top w:val="nil"/>
              <w:left w:val="nil"/>
              <w:bottom w:val="single" w:color="auto" w:sz="4" w:space="0"/>
              <w:right w:val="single" w:color="auto" w:sz="4" w:space="0"/>
            </w:tcBorders>
            <w:shd w:val="clear" w:color="auto" w:fill="FFFFFF" w:themeFill="background1"/>
          </w:tcPr>
          <w:p w14:paraId="0AEEE5E0">
            <w:pPr>
              <w:spacing w:after="0" w:line="240" w:lineRule="auto"/>
              <w:jc w:val="center"/>
              <w:rPr>
                <w:rFonts w:ascii="Arial" w:hAnsi="Arial" w:eastAsia="Times New Roman" w:cs="Arial"/>
                <w:color w:val="000000"/>
                <w:sz w:val="18"/>
                <w:szCs w:val="18"/>
                <w:lang w:eastAsia="pt-BR"/>
              </w:rPr>
            </w:pPr>
          </w:p>
          <w:p w14:paraId="09F58B6F">
            <w:pPr>
              <w:spacing w:after="0" w:line="240" w:lineRule="auto"/>
              <w:jc w:val="center"/>
              <w:rPr>
                <w:rFonts w:ascii="Arial" w:hAnsi="Arial" w:eastAsia="Times New Roman" w:cs="Arial"/>
                <w:color w:val="000000"/>
                <w:sz w:val="18"/>
                <w:szCs w:val="18"/>
                <w:lang w:eastAsia="pt-BR"/>
              </w:rPr>
            </w:pPr>
          </w:p>
          <w:p w14:paraId="2BF2D89F">
            <w:pPr>
              <w:spacing w:after="0" w:line="240" w:lineRule="auto"/>
              <w:jc w:val="center"/>
              <w:rPr>
                <w:rFonts w:ascii="Arial" w:hAnsi="Arial" w:eastAsia="Times New Roman" w:cs="Arial"/>
                <w:color w:val="000000"/>
                <w:sz w:val="18"/>
                <w:szCs w:val="18"/>
                <w:lang w:eastAsia="pt-BR"/>
              </w:rPr>
            </w:pPr>
          </w:p>
          <w:p w14:paraId="1E6D278D">
            <w:pPr>
              <w:spacing w:after="0" w:line="240" w:lineRule="auto"/>
              <w:jc w:val="center"/>
              <w:rPr>
                <w:rFonts w:ascii="Arial" w:hAnsi="Arial" w:eastAsia="Times New Roman" w:cs="Arial"/>
                <w:color w:val="000000"/>
                <w:sz w:val="18"/>
                <w:szCs w:val="18"/>
                <w:lang w:eastAsia="pt-BR"/>
              </w:rPr>
            </w:pPr>
          </w:p>
          <w:p w14:paraId="5C931341">
            <w:pPr>
              <w:spacing w:after="0" w:line="240" w:lineRule="auto"/>
              <w:jc w:val="center"/>
              <w:rPr>
                <w:rFonts w:ascii="Arial" w:hAnsi="Arial" w:eastAsia="Times New Roman" w:cs="Arial"/>
                <w:color w:val="000000"/>
                <w:sz w:val="18"/>
                <w:szCs w:val="18"/>
                <w:lang w:eastAsia="pt-BR"/>
              </w:rPr>
            </w:pPr>
          </w:p>
          <w:p w14:paraId="115685F3">
            <w:pPr>
              <w:spacing w:after="0" w:line="240" w:lineRule="auto"/>
              <w:jc w:val="center"/>
              <w:rPr>
                <w:rFonts w:ascii="Arial" w:hAnsi="Arial" w:eastAsia="Times New Roman" w:cs="Arial"/>
                <w:color w:val="000000"/>
                <w:sz w:val="18"/>
                <w:szCs w:val="18"/>
                <w:lang w:eastAsia="pt-BR"/>
              </w:rPr>
            </w:pPr>
          </w:p>
          <w:p w14:paraId="3F5D6CE1">
            <w:pPr>
              <w:spacing w:after="0" w:line="240" w:lineRule="auto"/>
              <w:jc w:val="center"/>
              <w:rPr>
                <w:rFonts w:ascii="Arial" w:hAnsi="Arial" w:eastAsia="Times New Roman" w:cs="Arial"/>
                <w:color w:val="000000"/>
                <w:sz w:val="18"/>
                <w:szCs w:val="18"/>
                <w:lang w:eastAsia="pt-BR"/>
              </w:rPr>
            </w:pPr>
          </w:p>
          <w:p w14:paraId="7E26D704">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100</w:t>
            </w:r>
          </w:p>
        </w:tc>
      </w:tr>
      <w:tr w14:paraId="4CD10427">
        <w:tblPrEx>
          <w:shd w:val="clear" w:color="auto" w:fill="FFFFFF" w:themeFill="background1"/>
          <w:tblCellMar>
            <w:top w:w="0" w:type="dxa"/>
            <w:left w:w="70" w:type="dxa"/>
            <w:bottom w:w="0" w:type="dxa"/>
            <w:right w:w="70" w:type="dxa"/>
          </w:tblCellMar>
        </w:tblPrEx>
        <w:trPr>
          <w:trHeight w:val="2103" w:hRule="atLeast"/>
        </w:trPr>
        <w:tc>
          <w:tcPr>
            <w:tcW w:w="988" w:type="dxa"/>
            <w:tcBorders>
              <w:top w:val="nil"/>
              <w:left w:val="single" w:color="auto" w:sz="4" w:space="0"/>
              <w:bottom w:val="single" w:color="auto" w:sz="4" w:space="0"/>
              <w:right w:val="single" w:color="auto" w:sz="4" w:space="0"/>
            </w:tcBorders>
            <w:shd w:val="clear" w:color="auto" w:fill="FFFFFF" w:themeFill="background1"/>
            <w:noWrap/>
            <w:vAlign w:val="center"/>
          </w:tcPr>
          <w:p w14:paraId="1426584E">
            <w:pPr>
              <w:spacing w:after="0" w:line="240" w:lineRule="auto"/>
              <w:jc w:val="center"/>
              <w:rPr>
                <w:rFonts w:ascii="Arial" w:hAnsi="Arial" w:eastAsia="Times New Roman" w:cs="Arial"/>
                <w:color w:val="000000"/>
                <w:sz w:val="18"/>
                <w:szCs w:val="18"/>
                <w:lang w:val="en-US" w:eastAsia="pt-BR"/>
              </w:rPr>
            </w:pPr>
            <w:r>
              <w:rPr>
                <w:rFonts w:ascii="Arial" w:hAnsi="Arial" w:eastAsia="Times New Roman" w:cs="Arial"/>
                <w:color w:val="000000"/>
                <w:sz w:val="18"/>
                <w:szCs w:val="18"/>
                <w:lang w:val="en-US" w:eastAsia="pt-BR"/>
              </w:rPr>
              <w:t>7</w:t>
            </w:r>
          </w:p>
        </w:tc>
        <w:tc>
          <w:tcPr>
            <w:tcW w:w="3104" w:type="dxa"/>
            <w:tcBorders>
              <w:top w:val="nil"/>
              <w:left w:val="nil"/>
              <w:bottom w:val="single" w:color="auto" w:sz="4" w:space="0"/>
              <w:right w:val="single" w:color="auto" w:sz="4" w:space="0"/>
            </w:tcBorders>
            <w:shd w:val="clear" w:color="auto" w:fill="FFFFFF" w:themeFill="background1"/>
          </w:tcPr>
          <w:p w14:paraId="64140907">
            <w:pPr>
              <w:spacing w:after="0" w:line="240" w:lineRule="auto"/>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MEIOS DE CULTURA - AGAR MACCONKEY/MACCONKEY AGAR, MEIO PARA USO EM MEIO SELETIVO DIFERENCIAL PARA ENTEROBACTERIAS, MEIO DESIDRATADO, ACONDICIONADO EM EMBALAGEM APROPRIADA, ROTULO COM NR. LOTE, DATA DEFABRICACAO/VALIDADE, PROCEDENCIA. FRASCO COM 500 G.</w:t>
            </w:r>
            <w:r>
              <w:rPr>
                <w:rFonts w:ascii="Arial" w:hAnsi="Arial" w:eastAsia="Times New Roman" w:cs="Arial"/>
                <w:b/>
                <w:bCs/>
                <w:color w:val="000000"/>
                <w:sz w:val="18"/>
                <w:szCs w:val="18"/>
                <w:lang w:eastAsia="pt-BR"/>
              </w:rPr>
              <w:t xml:space="preserve"> </w:t>
            </w:r>
          </w:p>
        </w:tc>
        <w:tc>
          <w:tcPr>
            <w:tcW w:w="1167" w:type="dxa"/>
            <w:tcBorders>
              <w:top w:val="nil"/>
              <w:left w:val="nil"/>
              <w:bottom w:val="single" w:color="auto" w:sz="4" w:space="0"/>
              <w:right w:val="single" w:color="auto" w:sz="4" w:space="0"/>
            </w:tcBorders>
            <w:shd w:val="clear" w:color="auto" w:fill="FFFFFF" w:themeFill="background1"/>
            <w:vAlign w:val="center"/>
          </w:tcPr>
          <w:p w14:paraId="6FAB39D7">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UNID.</w:t>
            </w:r>
          </w:p>
        </w:tc>
        <w:tc>
          <w:tcPr>
            <w:tcW w:w="832" w:type="dxa"/>
            <w:tcBorders>
              <w:top w:val="nil"/>
              <w:left w:val="nil"/>
              <w:bottom w:val="single" w:color="auto" w:sz="4" w:space="0"/>
              <w:right w:val="single" w:color="auto" w:sz="4" w:space="0"/>
            </w:tcBorders>
            <w:shd w:val="clear" w:color="auto" w:fill="FFFFFF" w:themeFill="background1"/>
            <w:vAlign w:val="center"/>
          </w:tcPr>
          <w:p w14:paraId="16D6E751">
            <w:pPr>
              <w:spacing w:after="0" w:line="240" w:lineRule="auto"/>
              <w:jc w:val="center"/>
              <w:rPr>
                <w:rFonts w:ascii="Arial" w:hAnsi="Arial" w:eastAsia="Times New Roman" w:cs="Arial"/>
                <w:sz w:val="18"/>
                <w:szCs w:val="18"/>
                <w:lang w:eastAsia="pt-BR"/>
              </w:rPr>
            </w:pPr>
            <w:r>
              <w:rPr>
                <w:rFonts w:ascii="Arial" w:hAnsi="Arial" w:eastAsia="Times New Roman" w:cs="Arial"/>
                <w:sz w:val="18"/>
                <w:szCs w:val="18"/>
                <w:lang w:eastAsia="pt-BR"/>
              </w:rPr>
              <w:t>30</w:t>
            </w:r>
          </w:p>
        </w:tc>
        <w:tc>
          <w:tcPr>
            <w:tcW w:w="1134" w:type="dxa"/>
            <w:tcBorders>
              <w:top w:val="nil"/>
              <w:left w:val="nil"/>
              <w:bottom w:val="single" w:color="auto" w:sz="4" w:space="0"/>
              <w:right w:val="single" w:color="auto" w:sz="4" w:space="0"/>
            </w:tcBorders>
            <w:shd w:val="clear" w:color="auto" w:fill="FFFFFF" w:themeFill="background1"/>
          </w:tcPr>
          <w:p w14:paraId="4D74CBCB">
            <w:pPr>
              <w:spacing w:after="0" w:line="240" w:lineRule="auto"/>
              <w:jc w:val="center"/>
              <w:rPr>
                <w:rFonts w:ascii="Arial" w:hAnsi="Arial" w:eastAsia="Times New Roman" w:cs="Arial"/>
                <w:color w:val="000000"/>
                <w:sz w:val="18"/>
                <w:szCs w:val="18"/>
                <w:lang w:eastAsia="pt-BR"/>
              </w:rPr>
            </w:pPr>
          </w:p>
          <w:p w14:paraId="14BAFB86">
            <w:pPr>
              <w:spacing w:after="0" w:line="240" w:lineRule="auto"/>
              <w:jc w:val="center"/>
              <w:rPr>
                <w:rFonts w:ascii="Arial" w:hAnsi="Arial" w:eastAsia="Times New Roman" w:cs="Arial"/>
                <w:color w:val="000000"/>
                <w:sz w:val="18"/>
                <w:szCs w:val="18"/>
                <w:lang w:eastAsia="pt-BR"/>
              </w:rPr>
            </w:pPr>
          </w:p>
          <w:p w14:paraId="644FEFD0">
            <w:pPr>
              <w:spacing w:after="0" w:line="240" w:lineRule="auto"/>
              <w:jc w:val="center"/>
              <w:rPr>
                <w:rFonts w:ascii="Arial" w:hAnsi="Arial" w:eastAsia="Times New Roman" w:cs="Arial"/>
                <w:color w:val="000000"/>
                <w:sz w:val="18"/>
                <w:szCs w:val="18"/>
                <w:lang w:eastAsia="pt-BR"/>
              </w:rPr>
            </w:pPr>
          </w:p>
          <w:p w14:paraId="69AFD7E0">
            <w:pPr>
              <w:spacing w:after="0" w:line="240" w:lineRule="auto"/>
              <w:jc w:val="center"/>
              <w:rPr>
                <w:rFonts w:ascii="Arial" w:hAnsi="Arial" w:eastAsia="Times New Roman" w:cs="Arial"/>
                <w:color w:val="000000"/>
                <w:sz w:val="18"/>
                <w:szCs w:val="18"/>
                <w:lang w:eastAsia="pt-BR"/>
              </w:rPr>
            </w:pPr>
          </w:p>
          <w:p w14:paraId="19F999FF">
            <w:pPr>
              <w:spacing w:after="0" w:line="240" w:lineRule="auto"/>
              <w:jc w:val="center"/>
              <w:rPr>
                <w:rFonts w:ascii="Arial" w:hAnsi="Arial" w:eastAsia="Times New Roman" w:cs="Arial"/>
                <w:color w:val="000000"/>
                <w:sz w:val="18"/>
                <w:szCs w:val="18"/>
                <w:lang w:eastAsia="pt-BR"/>
              </w:rPr>
            </w:pPr>
          </w:p>
          <w:p w14:paraId="62EF8834">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20</w:t>
            </w:r>
          </w:p>
          <w:p w14:paraId="1A491C05">
            <w:pPr>
              <w:spacing w:after="0" w:line="240" w:lineRule="auto"/>
              <w:jc w:val="center"/>
              <w:rPr>
                <w:rFonts w:ascii="Arial" w:hAnsi="Arial" w:eastAsia="Times New Roman" w:cs="Arial"/>
                <w:color w:val="000000"/>
                <w:sz w:val="18"/>
                <w:szCs w:val="18"/>
                <w:lang w:eastAsia="pt-BR"/>
              </w:rPr>
            </w:pPr>
          </w:p>
        </w:tc>
        <w:tc>
          <w:tcPr>
            <w:tcW w:w="1134" w:type="dxa"/>
            <w:tcBorders>
              <w:top w:val="nil"/>
              <w:left w:val="nil"/>
              <w:bottom w:val="single" w:color="auto" w:sz="4" w:space="0"/>
              <w:right w:val="single" w:color="auto" w:sz="4" w:space="0"/>
            </w:tcBorders>
            <w:shd w:val="clear" w:color="auto" w:fill="FFFFFF" w:themeFill="background1"/>
          </w:tcPr>
          <w:p w14:paraId="01C4993A">
            <w:pPr>
              <w:spacing w:after="0" w:line="240" w:lineRule="auto"/>
              <w:jc w:val="center"/>
              <w:rPr>
                <w:rFonts w:ascii="Arial" w:hAnsi="Arial" w:eastAsia="Times New Roman" w:cs="Arial"/>
                <w:color w:val="000000"/>
                <w:sz w:val="18"/>
                <w:szCs w:val="18"/>
                <w:lang w:eastAsia="pt-BR"/>
              </w:rPr>
            </w:pPr>
          </w:p>
          <w:p w14:paraId="6E36FC64">
            <w:pPr>
              <w:spacing w:after="0" w:line="240" w:lineRule="auto"/>
              <w:jc w:val="center"/>
              <w:rPr>
                <w:rFonts w:ascii="Arial" w:hAnsi="Arial" w:eastAsia="Times New Roman" w:cs="Arial"/>
                <w:color w:val="000000"/>
                <w:sz w:val="18"/>
                <w:szCs w:val="18"/>
                <w:lang w:eastAsia="pt-BR"/>
              </w:rPr>
            </w:pPr>
          </w:p>
          <w:p w14:paraId="4E7D7C9E">
            <w:pPr>
              <w:spacing w:after="0" w:line="240" w:lineRule="auto"/>
              <w:jc w:val="center"/>
              <w:rPr>
                <w:rFonts w:ascii="Arial" w:hAnsi="Arial" w:eastAsia="Times New Roman" w:cs="Arial"/>
                <w:color w:val="000000"/>
                <w:sz w:val="18"/>
                <w:szCs w:val="18"/>
                <w:lang w:eastAsia="pt-BR"/>
              </w:rPr>
            </w:pPr>
          </w:p>
          <w:p w14:paraId="3F22A6B8">
            <w:pPr>
              <w:spacing w:after="0" w:line="240" w:lineRule="auto"/>
              <w:jc w:val="center"/>
              <w:rPr>
                <w:rFonts w:ascii="Arial" w:hAnsi="Arial" w:eastAsia="Times New Roman" w:cs="Arial"/>
                <w:color w:val="000000"/>
                <w:sz w:val="18"/>
                <w:szCs w:val="18"/>
                <w:lang w:eastAsia="pt-BR"/>
              </w:rPr>
            </w:pPr>
          </w:p>
          <w:p w14:paraId="2F62BB35">
            <w:pPr>
              <w:spacing w:after="0" w:line="240" w:lineRule="auto"/>
              <w:jc w:val="center"/>
              <w:rPr>
                <w:rFonts w:ascii="Arial" w:hAnsi="Arial" w:eastAsia="Times New Roman" w:cs="Arial"/>
                <w:color w:val="000000"/>
                <w:sz w:val="18"/>
                <w:szCs w:val="18"/>
                <w:lang w:eastAsia="pt-BR"/>
              </w:rPr>
            </w:pPr>
          </w:p>
          <w:p w14:paraId="0E46CA71">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30</w:t>
            </w:r>
          </w:p>
        </w:tc>
      </w:tr>
      <w:tr w14:paraId="142C638F">
        <w:tblPrEx>
          <w:shd w:val="clear" w:color="auto" w:fill="FFFFFF" w:themeFill="background1"/>
          <w:tblCellMar>
            <w:top w:w="0" w:type="dxa"/>
            <w:left w:w="70" w:type="dxa"/>
            <w:bottom w:w="0" w:type="dxa"/>
            <w:right w:w="70" w:type="dxa"/>
          </w:tblCellMar>
        </w:tblPrEx>
        <w:trPr>
          <w:trHeight w:val="2289" w:hRule="atLeast"/>
        </w:trPr>
        <w:tc>
          <w:tcPr>
            <w:tcW w:w="988" w:type="dxa"/>
            <w:tcBorders>
              <w:top w:val="nil"/>
              <w:left w:val="single" w:color="auto" w:sz="4" w:space="0"/>
              <w:bottom w:val="single" w:color="auto" w:sz="4" w:space="0"/>
              <w:right w:val="single" w:color="auto" w:sz="4" w:space="0"/>
            </w:tcBorders>
            <w:shd w:val="clear" w:color="auto" w:fill="FFFFFF" w:themeFill="background1"/>
            <w:noWrap/>
            <w:vAlign w:val="center"/>
          </w:tcPr>
          <w:p w14:paraId="0999215D">
            <w:pPr>
              <w:spacing w:after="0" w:line="240" w:lineRule="auto"/>
              <w:jc w:val="center"/>
              <w:rPr>
                <w:rFonts w:ascii="Arial" w:hAnsi="Arial" w:eastAsia="Times New Roman" w:cs="Arial"/>
                <w:color w:val="000000"/>
                <w:sz w:val="18"/>
                <w:szCs w:val="18"/>
                <w:lang w:val="en-US" w:eastAsia="pt-BR"/>
              </w:rPr>
            </w:pPr>
            <w:r>
              <w:rPr>
                <w:rFonts w:ascii="Arial" w:hAnsi="Arial" w:eastAsia="Times New Roman" w:cs="Arial"/>
                <w:color w:val="000000"/>
                <w:sz w:val="18"/>
                <w:szCs w:val="18"/>
                <w:lang w:val="en-US" w:eastAsia="pt-BR"/>
              </w:rPr>
              <w:t>8</w:t>
            </w:r>
          </w:p>
        </w:tc>
        <w:tc>
          <w:tcPr>
            <w:tcW w:w="3104" w:type="dxa"/>
            <w:tcBorders>
              <w:top w:val="nil"/>
              <w:left w:val="nil"/>
              <w:bottom w:val="single" w:color="auto" w:sz="4" w:space="0"/>
              <w:right w:val="single" w:color="auto" w:sz="4" w:space="0"/>
            </w:tcBorders>
            <w:shd w:val="clear" w:color="auto" w:fill="FFFFFF" w:themeFill="background1"/>
          </w:tcPr>
          <w:p w14:paraId="6AF2FB73">
            <w:pPr>
              <w:spacing w:after="0" w:line="240" w:lineRule="auto"/>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MICROPIPETA - MONOCANAL, 10 A 100 MICROLITROS, COM VOLUME REGULAVEL PELO VOLUMETRO E PELO BOTAO SUPERIOR, COM DISPOSITIVO EJETOR DE PONTEIRAS, E EXTREMIDADE EM AÇO INOXIDÁVEL CALIBRADA COM PRECISAO MENOR OU IGUAL A 0,1 MICROLITROS, CORPO EM PLASTICO, ANALISES BIOLOGICAS, ACOMPANHA MANUAL PARA USO, ACONDICIONADO EM EMBALAGEM INDIVIDUAL</w:t>
            </w:r>
            <w:r>
              <w:rPr>
                <w:rFonts w:ascii="Arial" w:hAnsi="Arial" w:eastAsia="Times New Roman" w:cs="Arial"/>
                <w:b/>
                <w:bCs/>
                <w:color w:val="000000"/>
                <w:sz w:val="18"/>
                <w:szCs w:val="18"/>
                <w:lang w:eastAsia="pt-BR"/>
              </w:rPr>
              <w:t xml:space="preserve">. </w:t>
            </w:r>
          </w:p>
        </w:tc>
        <w:tc>
          <w:tcPr>
            <w:tcW w:w="1167" w:type="dxa"/>
            <w:tcBorders>
              <w:top w:val="nil"/>
              <w:left w:val="nil"/>
              <w:bottom w:val="single" w:color="auto" w:sz="4" w:space="0"/>
              <w:right w:val="single" w:color="auto" w:sz="4" w:space="0"/>
            </w:tcBorders>
            <w:shd w:val="clear" w:color="auto" w:fill="FFFFFF" w:themeFill="background1"/>
            <w:vAlign w:val="center"/>
          </w:tcPr>
          <w:p w14:paraId="06A568A9">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UNID.</w:t>
            </w:r>
          </w:p>
        </w:tc>
        <w:tc>
          <w:tcPr>
            <w:tcW w:w="832" w:type="dxa"/>
            <w:tcBorders>
              <w:top w:val="nil"/>
              <w:left w:val="nil"/>
              <w:bottom w:val="single" w:color="auto" w:sz="4" w:space="0"/>
              <w:right w:val="single" w:color="auto" w:sz="4" w:space="0"/>
            </w:tcBorders>
            <w:shd w:val="clear" w:color="auto" w:fill="FFFFFF" w:themeFill="background1"/>
            <w:vAlign w:val="center"/>
          </w:tcPr>
          <w:p w14:paraId="12ACD4DE">
            <w:pPr>
              <w:spacing w:after="0" w:line="240" w:lineRule="auto"/>
              <w:jc w:val="center"/>
              <w:rPr>
                <w:rFonts w:ascii="Arial" w:hAnsi="Arial" w:eastAsia="Times New Roman" w:cs="Arial"/>
                <w:sz w:val="18"/>
                <w:szCs w:val="18"/>
                <w:lang w:eastAsia="pt-BR"/>
              </w:rPr>
            </w:pPr>
            <w:r>
              <w:rPr>
                <w:rFonts w:ascii="Arial" w:hAnsi="Arial" w:eastAsia="Times New Roman" w:cs="Arial"/>
                <w:sz w:val="18"/>
                <w:szCs w:val="18"/>
                <w:lang w:eastAsia="pt-BR"/>
              </w:rPr>
              <w:t>5</w:t>
            </w:r>
          </w:p>
        </w:tc>
        <w:tc>
          <w:tcPr>
            <w:tcW w:w="1134" w:type="dxa"/>
            <w:tcBorders>
              <w:top w:val="nil"/>
              <w:left w:val="nil"/>
              <w:bottom w:val="single" w:color="auto" w:sz="4" w:space="0"/>
              <w:right w:val="single" w:color="auto" w:sz="4" w:space="0"/>
            </w:tcBorders>
            <w:shd w:val="clear" w:color="auto" w:fill="FFFFFF" w:themeFill="background1"/>
          </w:tcPr>
          <w:p w14:paraId="0B6F0857">
            <w:pPr>
              <w:spacing w:after="0" w:line="240" w:lineRule="auto"/>
              <w:jc w:val="center"/>
              <w:rPr>
                <w:rFonts w:ascii="Arial" w:hAnsi="Arial" w:eastAsia="Times New Roman" w:cs="Arial"/>
                <w:color w:val="000000"/>
                <w:sz w:val="18"/>
                <w:szCs w:val="18"/>
                <w:lang w:eastAsia="pt-BR"/>
              </w:rPr>
            </w:pPr>
          </w:p>
          <w:p w14:paraId="3D9FB438">
            <w:pPr>
              <w:spacing w:after="0" w:line="240" w:lineRule="auto"/>
              <w:jc w:val="center"/>
              <w:rPr>
                <w:rFonts w:ascii="Arial" w:hAnsi="Arial" w:eastAsia="Times New Roman" w:cs="Arial"/>
                <w:color w:val="000000"/>
                <w:sz w:val="18"/>
                <w:szCs w:val="18"/>
                <w:lang w:eastAsia="pt-BR"/>
              </w:rPr>
            </w:pPr>
          </w:p>
          <w:p w14:paraId="32D18E2E">
            <w:pPr>
              <w:spacing w:after="0" w:line="240" w:lineRule="auto"/>
              <w:jc w:val="center"/>
              <w:rPr>
                <w:rFonts w:ascii="Arial" w:hAnsi="Arial" w:eastAsia="Times New Roman" w:cs="Arial"/>
                <w:color w:val="000000"/>
                <w:sz w:val="18"/>
                <w:szCs w:val="18"/>
                <w:lang w:eastAsia="pt-BR"/>
              </w:rPr>
            </w:pPr>
          </w:p>
          <w:p w14:paraId="2C483947">
            <w:pPr>
              <w:spacing w:after="0" w:line="240" w:lineRule="auto"/>
              <w:jc w:val="center"/>
              <w:rPr>
                <w:rFonts w:ascii="Arial" w:hAnsi="Arial" w:eastAsia="Times New Roman" w:cs="Arial"/>
                <w:color w:val="000000"/>
                <w:sz w:val="18"/>
                <w:szCs w:val="18"/>
                <w:lang w:eastAsia="pt-BR"/>
              </w:rPr>
            </w:pPr>
          </w:p>
          <w:p w14:paraId="69CA25F8">
            <w:pPr>
              <w:spacing w:after="0" w:line="240" w:lineRule="auto"/>
              <w:jc w:val="center"/>
              <w:rPr>
                <w:rFonts w:ascii="Arial" w:hAnsi="Arial" w:eastAsia="Times New Roman" w:cs="Arial"/>
                <w:color w:val="000000"/>
                <w:sz w:val="18"/>
                <w:szCs w:val="18"/>
                <w:lang w:eastAsia="pt-BR"/>
              </w:rPr>
            </w:pPr>
          </w:p>
          <w:p w14:paraId="1B66C294">
            <w:pPr>
              <w:spacing w:after="0" w:line="240" w:lineRule="auto"/>
              <w:jc w:val="center"/>
              <w:rPr>
                <w:rFonts w:ascii="Arial" w:hAnsi="Arial" w:eastAsia="Times New Roman" w:cs="Arial"/>
                <w:color w:val="000000"/>
                <w:sz w:val="18"/>
                <w:szCs w:val="18"/>
                <w:lang w:eastAsia="pt-BR"/>
              </w:rPr>
            </w:pPr>
          </w:p>
          <w:p w14:paraId="4554D112">
            <w:pPr>
              <w:spacing w:after="0" w:line="240" w:lineRule="auto"/>
              <w:jc w:val="center"/>
              <w:rPr>
                <w:rFonts w:ascii="Arial" w:hAnsi="Arial" w:eastAsia="Times New Roman" w:cs="Arial"/>
                <w:color w:val="000000"/>
                <w:sz w:val="18"/>
                <w:szCs w:val="18"/>
                <w:lang w:eastAsia="pt-BR"/>
              </w:rPr>
            </w:pPr>
          </w:p>
          <w:p w14:paraId="0B55A1CC">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4</w:t>
            </w:r>
          </w:p>
        </w:tc>
        <w:tc>
          <w:tcPr>
            <w:tcW w:w="1134" w:type="dxa"/>
            <w:tcBorders>
              <w:top w:val="nil"/>
              <w:left w:val="nil"/>
              <w:bottom w:val="single" w:color="auto" w:sz="4" w:space="0"/>
              <w:right w:val="single" w:color="auto" w:sz="4" w:space="0"/>
            </w:tcBorders>
            <w:shd w:val="clear" w:color="auto" w:fill="FFFFFF" w:themeFill="background1"/>
          </w:tcPr>
          <w:p w14:paraId="6F2CBFF6">
            <w:pPr>
              <w:spacing w:after="0" w:line="240" w:lineRule="auto"/>
              <w:jc w:val="center"/>
              <w:rPr>
                <w:rFonts w:ascii="Arial" w:hAnsi="Arial" w:eastAsia="Times New Roman" w:cs="Arial"/>
                <w:color w:val="000000"/>
                <w:sz w:val="18"/>
                <w:szCs w:val="18"/>
                <w:lang w:eastAsia="pt-BR"/>
              </w:rPr>
            </w:pPr>
          </w:p>
          <w:p w14:paraId="22CD2AB1">
            <w:pPr>
              <w:spacing w:after="0" w:line="240" w:lineRule="auto"/>
              <w:jc w:val="center"/>
              <w:rPr>
                <w:rFonts w:ascii="Arial" w:hAnsi="Arial" w:eastAsia="Times New Roman" w:cs="Arial"/>
                <w:color w:val="000000"/>
                <w:sz w:val="18"/>
                <w:szCs w:val="18"/>
                <w:lang w:eastAsia="pt-BR"/>
              </w:rPr>
            </w:pPr>
          </w:p>
          <w:p w14:paraId="33EB988D">
            <w:pPr>
              <w:spacing w:after="0" w:line="240" w:lineRule="auto"/>
              <w:jc w:val="center"/>
              <w:rPr>
                <w:rFonts w:ascii="Arial" w:hAnsi="Arial" w:eastAsia="Times New Roman" w:cs="Arial"/>
                <w:color w:val="000000"/>
                <w:sz w:val="18"/>
                <w:szCs w:val="18"/>
                <w:lang w:eastAsia="pt-BR"/>
              </w:rPr>
            </w:pPr>
          </w:p>
          <w:p w14:paraId="7048214D">
            <w:pPr>
              <w:spacing w:after="0" w:line="240" w:lineRule="auto"/>
              <w:jc w:val="center"/>
              <w:rPr>
                <w:rFonts w:ascii="Arial" w:hAnsi="Arial" w:eastAsia="Times New Roman" w:cs="Arial"/>
                <w:color w:val="000000"/>
                <w:sz w:val="18"/>
                <w:szCs w:val="18"/>
                <w:lang w:eastAsia="pt-BR"/>
              </w:rPr>
            </w:pPr>
          </w:p>
          <w:p w14:paraId="1A327D23">
            <w:pPr>
              <w:spacing w:after="0" w:line="240" w:lineRule="auto"/>
              <w:jc w:val="center"/>
              <w:rPr>
                <w:rFonts w:ascii="Arial" w:hAnsi="Arial" w:eastAsia="Times New Roman" w:cs="Arial"/>
                <w:color w:val="000000"/>
                <w:sz w:val="18"/>
                <w:szCs w:val="18"/>
                <w:lang w:eastAsia="pt-BR"/>
              </w:rPr>
            </w:pPr>
          </w:p>
          <w:p w14:paraId="50436A60">
            <w:pPr>
              <w:spacing w:after="0" w:line="240" w:lineRule="auto"/>
              <w:jc w:val="center"/>
              <w:rPr>
                <w:rFonts w:ascii="Arial" w:hAnsi="Arial" w:eastAsia="Times New Roman" w:cs="Arial"/>
                <w:color w:val="000000"/>
                <w:sz w:val="18"/>
                <w:szCs w:val="18"/>
                <w:lang w:eastAsia="pt-BR"/>
              </w:rPr>
            </w:pPr>
          </w:p>
          <w:p w14:paraId="61E58477">
            <w:pPr>
              <w:spacing w:after="0" w:line="240" w:lineRule="auto"/>
              <w:jc w:val="center"/>
              <w:rPr>
                <w:rFonts w:ascii="Arial" w:hAnsi="Arial" w:eastAsia="Times New Roman" w:cs="Arial"/>
                <w:color w:val="000000"/>
                <w:sz w:val="18"/>
                <w:szCs w:val="18"/>
                <w:lang w:eastAsia="pt-BR"/>
              </w:rPr>
            </w:pPr>
          </w:p>
          <w:p w14:paraId="2817F793">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5</w:t>
            </w:r>
          </w:p>
          <w:p w14:paraId="3A8179DA">
            <w:pPr>
              <w:spacing w:after="0" w:line="240" w:lineRule="auto"/>
              <w:jc w:val="center"/>
              <w:rPr>
                <w:rFonts w:ascii="Arial" w:hAnsi="Arial" w:eastAsia="Times New Roman" w:cs="Arial"/>
                <w:color w:val="000000"/>
                <w:sz w:val="18"/>
                <w:szCs w:val="18"/>
                <w:lang w:eastAsia="pt-BR"/>
              </w:rPr>
            </w:pPr>
          </w:p>
        </w:tc>
      </w:tr>
      <w:tr w14:paraId="179B49D7">
        <w:tblPrEx>
          <w:tblCellMar>
            <w:top w:w="0" w:type="dxa"/>
            <w:left w:w="70" w:type="dxa"/>
            <w:bottom w:w="0" w:type="dxa"/>
            <w:right w:w="70" w:type="dxa"/>
          </w:tblCellMar>
        </w:tblPrEx>
        <w:trPr>
          <w:trHeight w:val="2290" w:hRule="atLeast"/>
        </w:trPr>
        <w:tc>
          <w:tcPr>
            <w:tcW w:w="988" w:type="dxa"/>
            <w:tcBorders>
              <w:top w:val="nil"/>
              <w:left w:val="single" w:color="auto" w:sz="4" w:space="0"/>
              <w:bottom w:val="single" w:color="auto" w:sz="4" w:space="0"/>
              <w:right w:val="single" w:color="auto" w:sz="4" w:space="0"/>
            </w:tcBorders>
            <w:shd w:val="clear" w:color="auto" w:fill="FFFFFF" w:themeFill="background1"/>
            <w:noWrap/>
            <w:vAlign w:val="center"/>
          </w:tcPr>
          <w:p w14:paraId="05F423BE">
            <w:pPr>
              <w:spacing w:after="0" w:line="240" w:lineRule="auto"/>
              <w:jc w:val="center"/>
              <w:rPr>
                <w:rFonts w:ascii="Arial" w:hAnsi="Arial" w:eastAsia="Times New Roman" w:cs="Arial"/>
                <w:color w:val="000000"/>
                <w:sz w:val="18"/>
                <w:szCs w:val="18"/>
                <w:lang w:val="en-US" w:eastAsia="pt-BR"/>
              </w:rPr>
            </w:pPr>
            <w:r>
              <w:rPr>
                <w:rFonts w:ascii="Arial" w:hAnsi="Arial" w:eastAsia="Times New Roman" w:cs="Arial"/>
                <w:color w:val="000000"/>
                <w:sz w:val="18"/>
                <w:szCs w:val="18"/>
                <w:lang w:val="en-US" w:eastAsia="pt-BR"/>
              </w:rPr>
              <w:t>9</w:t>
            </w:r>
          </w:p>
        </w:tc>
        <w:tc>
          <w:tcPr>
            <w:tcW w:w="3104" w:type="dxa"/>
            <w:tcBorders>
              <w:top w:val="nil"/>
              <w:left w:val="nil"/>
              <w:bottom w:val="single" w:color="auto" w:sz="4" w:space="0"/>
              <w:right w:val="single" w:color="auto" w:sz="4" w:space="0"/>
            </w:tcBorders>
            <w:shd w:val="clear" w:color="auto" w:fill="FFFFFF" w:themeFill="background1"/>
          </w:tcPr>
          <w:p w14:paraId="176F3A69">
            <w:pPr>
              <w:spacing w:after="0" w:line="240" w:lineRule="auto"/>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MICROPIPETA - MONOCANAL, 100 A 1000 MICROLITROS, COM VOLUME REGULAVEL PELO VOLUMETRO E PELO BOTAO SUPERIOR, COM DISPOSITIVO EJETOR DE PONTEIRAS E EXTREMIDADE EM AÇO INOXIDÁVEL, CALIBRADA COM PRECISAO MENOR OU IGUAL A 0,6 MICROLITROS, CORPO EM PLASTICO, ANALISES BIOLOGICAS, ACOMPANHA MANUAL PARA USO, ACONDICIONADO EM EMBALAGEM INDIVIDUAL.</w:t>
            </w:r>
            <w:r>
              <w:rPr>
                <w:rFonts w:ascii="Arial" w:hAnsi="Arial" w:eastAsia="Times New Roman" w:cs="Arial"/>
                <w:b/>
                <w:bCs/>
                <w:color w:val="000000"/>
                <w:sz w:val="18"/>
                <w:szCs w:val="18"/>
                <w:lang w:eastAsia="pt-BR"/>
              </w:rPr>
              <w:t xml:space="preserve"> </w:t>
            </w:r>
          </w:p>
        </w:tc>
        <w:tc>
          <w:tcPr>
            <w:tcW w:w="1167" w:type="dxa"/>
            <w:tcBorders>
              <w:top w:val="nil"/>
              <w:left w:val="nil"/>
              <w:bottom w:val="single" w:color="auto" w:sz="4" w:space="0"/>
              <w:right w:val="single" w:color="auto" w:sz="4" w:space="0"/>
            </w:tcBorders>
            <w:shd w:val="clear" w:color="auto" w:fill="FFFFFF" w:themeFill="background1"/>
            <w:vAlign w:val="center"/>
          </w:tcPr>
          <w:p w14:paraId="21208D16">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UNID.</w:t>
            </w:r>
          </w:p>
        </w:tc>
        <w:tc>
          <w:tcPr>
            <w:tcW w:w="832" w:type="dxa"/>
            <w:tcBorders>
              <w:top w:val="nil"/>
              <w:left w:val="nil"/>
              <w:bottom w:val="single" w:color="auto" w:sz="4" w:space="0"/>
              <w:right w:val="single" w:color="auto" w:sz="4" w:space="0"/>
            </w:tcBorders>
            <w:shd w:val="clear" w:color="auto" w:fill="FFFFFF" w:themeFill="background1"/>
            <w:vAlign w:val="center"/>
          </w:tcPr>
          <w:p w14:paraId="78D14EA5">
            <w:pPr>
              <w:spacing w:after="0" w:line="240" w:lineRule="auto"/>
              <w:jc w:val="center"/>
              <w:rPr>
                <w:rFonts w:ascii="Arial" w:hAnsi="Arial" w:eastAsia="Times New Roman" w:cs="Arial"/>
                <w:sz w:val="18"/>
                <w:szCs w:val="18"/>
                <w:lang w:eastAsia="pt-BR"/>
              </w:rPr>
            </w:pPr>
            <w:r>
              <w:rPr>
                <w:rFonts w:ascii="Arial" w:hAnsi="Arial" w:eastAsia="Times New Roman" w:cs="Arial"/>
                <w:sz w:val="18"/>
                <w:szCs w:val="18"/>
                <w:lang w:eastAsia="pt-BR"/>
              </w:rPr>
              <w:t>10</w:t>
            </w:r>
          </w:p>
        </w:tc>
        <w:tc>
          <w:tcPr>
            <w:tcW w:w="1134" w:type="dxa"/>
            <w:tcBorders>
              <w:top w:val="nil"/>
              <w:left w:val="nil"/>
              <w:bottom w:val="single" w:color="auto" w:sz="4" w:space="0"/>
              <w:right w:val="single" w:color="auto" w:sz="4" w:space="0"/>
            </w:tcBorders>
            <w:shd w:val="clear" w:color="auto" w:fill="FFFFFF" w:themeFill="background1"/>
          </w:tcPr>
          <w:p w14:paraId="10C2FEFD">
            <w:pPr>
              <w:spacing w:after="0" w:line="240" w:lineRule="auto"/>
              <w:jc w:val="center"/>
              <w:rPr>
                <w:rFonts w:ascii="Arial" w:hAnsi="Arial" w:eastAsia="Times New Roman" w:cs="Arial"/>
                <w:color w:val="000000"/>
                <w:sz w:val="18"/>
                <w:szCs w:val="18"/>
                <w:lang w:eastAsia="pt-BR"/>
              </w:rPr>
            </w:pPr>
          </w:p>
          <w:p w14:paraId="23BCEAE1">
            <w:pPr>
              <w:spacing w:after="0" w:line="240" w:lineRule="auto"/>
              <w:jc w:val="center"/>
              <w:rPr>
                <w:rFonts w:ascii="Arial" w:hAnsi="Arial" w:eastAsia="Times New Roman" w:cs="Arial"/>
                <w:color w:val="000000"/>
                <w:sz w:val="18"/>
                <w:szCs w:val="18"/>
                <w:lang w:eastAsia="pt-BR"/>
              </w:rPr>
            </w:pPr>
          </w:p>
          <w:p w14:paraId="218B91B5">
            <w:pPr>
              <w:spacing w:after="0" w:line="240" w:lineRule="auto"/>
              <w:jc w:val="center"/>
              <w:rPr>
                <w:rFonts w:ascii="Arial" w:hAnsi="Arial" w:eastAsia="Times New Roman" w:cs="Arial"/>
                <w:color w:val="000000"/>
                <w:sz w:val="18"/>
                <w:szCs w:val="18"/>
                <w:lang w:eastAsia="pt-BR"/>
              </w:rPr>
            </w:pPr>
          </w:p>
          <w:p w14:paraId="026189AD">
            <w:pPr>
              <w:spacing w:after="0" w:line="240" w:lineRule="auto"/>
              <w:jc w:val="center"/>
              <w:rPr>
                <w:rFonts w:ascii="Arial" w:hAnsi="Arial" w:eastAsia="Times New Roman" w:cs="Arial"/>
                <w:color w:val="000000"/>
                <w:sz w:val="18"/>
                <w:szCs w:val="18"/>
                <w:lang w:eastAsia="pt-BR"/>
              </w:rPr>
            </w:pPr>
          </w:p>
          <w:p w14:paraId="0A8388C7">
            <w:pPr>
              <w:spacing w:after="0" w:line="240" w:lineRule="auto"/>
              <w:jc w:val="center"/>
              <w:rPr>
                <w:rFonts w:ascii="Arial" w:hAnsi="Arial" w:eastAsia="Times New Roman" w:cs="Arial"/>
                <w:color w:val="000000"/>
                <w:sz w:val="18"/>
                <w:szCs w:val="18"/>
                <w:lang w:eastAsia="pt-BR"/>
              </w:rPr>
            </w:pPr>
          </w:p>
          <w:p w14:paraId="7322E500">
            <w:pPr>
              <w:spacing w:after="0" w:line="240" w:lineRule="auto"/>
              <w:jc w:val="center"/>
              <w:rPr>
                <w:rFonts w:ascii="Arial" w:hAnsi="Arial" w:eastAsia="Times New Roman" w:cs="Arial"/>
                <w:color w:val="000000"/>
                <w:sz w:val="18"/>
                <w:szCs w:val="18"/>
                <w:lang w:eastAsia="pt-BR"/>
              </w:rPr>
            </w:pPr>
          </w:p>
          <w:p w14:paraId="1CB81F5F">
            <w:pPr>
              <w:spacing w:after="0" w:line="240" w:lineRule="auto"/>
              <w:jc w:val="center"/>
              <w:rPr>
                <w:rFonts w:ascii="Arial" w:hAnsi="Arial" w:eastAsia="Times New Roman" w:cs="Arial"/>
                <w:color w:val="000000"/>
                <w:sz w:val="18"/>
                <w:szCs w:val="18"/>
                <w:lang w:eastAsia="pt-BR"/>
              </w:rPr>
            </w:pPr>
          </w:p>
          <w:p w14:paraId="72EB58CF">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9</w:t>
            </w:r>
          </w:p>
        </w:tc>
        <w:tc>
          <w:tcPr>
            <w:tcW w:w="1134" w:type="dxa"/>
            <w:tcBorders>
              <w:top w:val="nil"/>
              <w:left w:val="nil"/>
              <w:bottom w:val="single" w:color="auto" w:sz="4" w:space="0"/>
              <w:right w:val="single" w:color="auto" w:sz="4" w:space="0"/>
            </w:tcBorders>
            <w:shd w:val="clear" w:color="auto" w:fill="FFFFFF" w:themeFill="background1"/>
          </w:tcPr>
          <w:p w14:paraId="49BAE86C">
            <w:pPr>
              <w:spacing w:after="0" w:line="240" w:lineRule="auto"/>
              <w:jc w:val="center"/>
              <w:rPr>
                <w:rFonts w:ascii="Arial" w:hAnsi="Arial" w:eastAsia="Times New Roman" w:cs="Arial"/>
                <w:color w:val="000000"/>
                <w:sz w:val="18"/>
                <w:szCs w:val="18"/>
                <w:lang w:eastAsia="pt-BR"/>
              </w:rPr>
            </w:pPr>
          </w:p>
          <w:p w14:paraId="2273654E">
            <w:pPr>
              <w:spacing w:after="0" w:line="240" w:lineRule="auto"/>
              <w:jc w:val="center"/>
              <w:rPr>
                <w:rFonts w:ascii="Arial" w:hAnsi="Arial" w:eastAsia="Times New Roman" w:cs="Arial"/>
                <w:color w:val="000000"/>
                <w:sz w:val="18"/>
                <w:szCs w:val="18"/>
                <w:lang w:eastAsia="pt-BR"/>
              </w:rPr>
            </w:pPr>
          </w:p>
          <w:p w14:paraId="400234A8">
            <w:pPr>
              <w:spacing w:after="0" w:line="240" w:lineRule="auto"/>
              <w:jc w:val="center"/>
              <w:rPr>
                <w:rFonts w:ascii="Arial" w:hAnsi="Arial" w:eastAsia="Times New Roman" w:cs="Arial"/>
                <w:color w:val="000000"/>
                <w:sz w:val="18"/>
                <w:szCs w:val="18"/>
                <w:lang w:eastAsia="pt-BR"/>
              </w:rPr>
            </w:pPr>
          </w:p>
          <w:p w14:paraId="2FAAEA46">
            <w:pPr>
              <w:spacing w:after="0" w:line="240" w:lineRule="auto"/>
              <w:jc w:val="center"/>
              <w:rPr>
                <w:rFonts w:ascii="Arial" w:hAnsi="Arial" w:eastAsia="Times New Roman" w:cs="Arial"/>
                <w:color w:val="000000"/>
                <w:sz w:val="18"/>
                <w:szCs w:val="18"/>
                <w:lang w:eastAsia="pt-BR"/>
              </w:rPr>
            </w:pPr>
          </w:p>
          <w:p w14:paraId="5E98486A">
            <w:pPr>
              <w:spacing w:after="0" w:line="240" w:lineRule="auto"/>
              <w:jc w:val="center"/>
              <w:rPr>
                <w:rFonts w:ascii="Arial" w:hAnsi="Arial" w:eastAsia="Times New Roman" w:cs="Arial"/>
                <w:color w:val="000000"/>
                <w:sz w:val="18"/>
                <w:szCs w:val="18"/>
                <w:lang w:eastAsia="pt-BR"/>
              </w:rPr>
            </w:pPr>
          </w:p>
          <w:p w14:paraId="131F0099">
            <w:pPr>
              <w:spacing w:after="0" w:line="240" w:lineRule="auto"/>
              <w:jc w:val="center"/>
              <w:rPr>
                <w:rFonts w:ascii="Arial" w:hAnsi="Arial" w:eastAsia="Times New Roman" w:cs="Arial"/>
                <w:color w:val="000000"/>
                <w:sz w:val="18"/>
                <w:szCs w:val="18"/>
                <w:lang w:eastAsia="pt-BR"/>
              </w:rPr>
            </w:pPr>
          </w:p>
          <w:p w14:paraId="2766AB40">
            <w:pPr>
              <w:spacing w:after="0" w:line="240" w:lineRule="auto"/>
              <w:jc w:val="center"/>
              <w:rPr>
                <w:rFonts w:ascii="Arial" w:hAnsi="Arial" w:eastAsia="Times New Roman" w:cs="Arial"/>
                <w:color w:val="000000"/>
                <w:sz w:val="18"/>
                <w:szCs w:val="18"/>
                <w:lang w:eastAsia="pt-BR"/>
              </w:rPr>
            </w:pPr>
          </w:p>
          <w:p w14:paraId="4AEA3FB8">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10</w:t>
            </w:r>
          </w:p>
        </w:tc>
      </w:tr>
      <w:tr w14:paraId="0A71CFB4">
        <w:tblPrEx>
          <w:shd w:val="clear" w:color="auto" w:fill="FFFFFF" w:themeFill="background1"/>
          <w:tblCellMar>
            <w:top w:w="0" w:type="dxa"/>
            <w:left w:w="70" w:type="dxa"/>
            <w:bottom w:w="0" w:type="dxa"/>
            <w:right w:w="70" w:type="dxa"/>
          </w:tblCellMar>
        </w:tblPrEx>
        <w:trPr>
          <w:trHeight w:val="1156" w:hRule="atLeast"/>
        </w:trPr>
        <w:tc>
          <w:tcPr>
            <w:tcW w:w="988" w:type="dxa"/>
            <w:tcBorders>
              <w:top w:val="nil"/>
              <w:left w:val="single" w:color="auto" w:sz="4" w:space="0"/>
              <w:bottom w:val="single" w:color="auto" w:sz="4" w:space="0"/>
              <w:right w:val="single" w:color="auto" w:sz="4" w:space="0"/>
            </w:tcBorders>
            <w:shd w:val="clear" w:color="auto" w:fill="FFFFFF" w:themeFill="background1"/>
            <w:noWrap/>
            <w:vAlign w:val="center"/>
          </w:tcPr>
          <w:p w14:paraId="3B6C8856">
            <w:pPr>
              <w:spacing w:after="0" w:line="240" w:lineRule="auto"/>
              <w:jc w:val="center"/>
              <w:rPr>
                <w:rFonts w:ascii="Arial" w:hAnsi="Arial" w:eastAsia="Times New Roman" w:cs="Arial"/>
                <w:color w:val="000000"/>
                <w:sz w:val="18"/>
                <w:szCs w:val="18"/>
                <w:lang w:val="en-US" w:eastAsia="pt-BR"/>
              </w:rPr>
            </w:pPr>
            <w:r>
              <w:rPr>
                <w:rFonts w:ascii="Arial" w:hAnsi="Arial" w:eastAsia="Times New Roman" w:cs="Arial"/>
                <w:color w:val="000000"/>
                <w:sz w:val="18"/>
                <w:szCs w:val="18"/>
                <w:lang w:val="en-US" w:eastAsia="pt-BR"/>
              </w:rPr>
              <w:t>10</w:t>
            </w:r>
          </w:p>
        </w:tc>
        <w:tc>
          <w:tcPr>
            <w:tcW w:w="3104" w:type="dxa"/>
            <w:tcBorders>
              <w:top w:val="nil"/>
              <w:left w:val="nil"/>
              <w:bottom w:val="single" w:color="auto" w:sz="4" w:space="0"/>
              <w:right w:val="single" w:color="auto" w:sz="4" w:space="0"/>
            </w:tcBorders>
            <w:shd w:val="clear" w:color="auto" w:fill="FFFFFF" w:themeFill="background1"/>
          </w:tcPr>
          <w:p w14:paraId="02731235">
            <w:pPr>
              <w:spacing w:after="0" w:line="240" w:lineRule="auto"/>
              <w:rPr>
                <w:rFonts w:ascii="Arial" w:hAnsi="Arial" w:eastAsia="Times New Roman" w:cs="Arial"/>
                <w:color w:val="FF0000"/>
                <w:sz w:val="18"/>
                <w:szCs w:val="18"/>
                <w:lang w:eastAsia="pt-BR"/>
              </w:rPr>
            </w:pPr>
            <w:r>
              <w:rPr>
                <w:rFonts w:ascii="Arial" w:hAnsi="Arial" w:eastAsia="Times New Roman" w:cs="Arial"/>
                <w:color w:val="000000"/>
                <w:sz w:val="18"/>
                <w:szCs w:val="18"/>
                <w:lang w:eastAsia="pt-BR"/>
              </w:rPr>
              <w:t>REAGENTE ANTI-CDE MONOCLONAL (IGM/IGG) REAGEN</w:t>
            </w:r>
            <w:r>
              <w:rPr>
                <w:rFonts w:ascii="Arial" w:hAnsi="Arial" w:eastAsia="Times New Roman" w:cs="Arial"/>
                <w:sz w:val="18"/>
                <w:szCs w:val="18"/>
                <w:lang w:eastAsia="pt-BR"/>
              </w:rPr>
              <w:t>TE PARA DETECTAR ANTIGENOS D, C, E DO SISTEMA RH. FRASCO COM 10 ML</w:t>
            </w:r>
            <w:r>
              <w:rPr>
                <w:rFonts w:ascii="Arial" w:hAnsi="Arial" w:eastAsia="Times New Roman" w:cs="Arial"/>
                <w:b/>
                <w:bCs/>
                <w:sz w:val="18"/>
                <w:szCs w:val="18"/>
                <w:lang w:eastAsia="pt-BR"/>
              </w:rPr>
              <w:t>.</w:t>
            </w:r>
          </w:p>
        </w:tc>
        <w:tc>
          <w:tcPr>
            <w:tcW w:w="1167" w:type="dxa"/>
            <w:tcBorders>
              <w:top w:val="nil"/>
              <w:left w:val="nil"/>
              <w:bottom w:val="single" w:color="auto" w:sz="4" w:space="0"/>
              <w:right w:val="single" w:color="auto" w:sz="4" w:space="0"/>
            </w:tcBorders>
            <w:shd w:val="clear" w:color="auto" w:fill="FFFFFF" w:themeFill="background1"/>
            <w:vAlign w:val="center"/>
          </w:tcPr>
          <w:p w14:paraId="138E26CA">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UNID.</w:t>
            </w:r>
          </w:p>
        </w:tc>
        <w:tc>
          <w:tcPr>
            <w:tcW w:w="832" w:type="dxa"/>
            <w:tcBorders>
              <w:top w:val="nil"/>
              <w:left w:val="nil"/>
              <w:bottom w:val="single" w:color="auto" w:sz="4" w:space="0"/>
              <w:right w:val="single" w:color="auto" w:sz="4" w:space="0"/>
            </w:tcBorders>
            <w:shd w:val="clear" w:color="auto" w:fill="FFFFFF" w:themeFill="background1"/>
            <w:vAlign w:val="center"/>
          </w:tcPr>
          <w:p w14:paraId="4F72DB51">
            <w:pPr>
              <w:spacing w:after="0" w:line="240" w:lineRule="auto"/>
              <w:jc w:val="center"/>
              <w:rPr>
                <w:rFonts w:ascii="Arial" w:hAnsi="Arial" w:eastAsia="Times New Roman" w:cs="Arial"/>
                <w:sz w:val="18"/>
                <w:szCs w:val="18"/>
                <w:lang w:eastAsia="pt-BR"/>
              </w:rPr>
            </w:pPr>
            <w:r>
              <w:rPr>
                <w:rFonts w:ascii="Arial" w:hAnsi="Arial" w:eastAsia="Times New Roman" w:cs="Arial"/>
                <w:sz w:val="18"/>
                <w:szCs w:val="18"/>
                <w:lang w:eastAsia="pt-BR"/>
              </w:rPr>
              <w:t>15</w:t>
            </w:r>
          </w:p>
        </w:tc>
        <w:tc>
          <w:tcPr>
            <w:tcW w:w="1134" w:type="dxa"/>
            <w:tcBorders>
              <w:top w:val="nil"/>
              <w:left w:val="nil"/>
              <w:bottom w:val="single" w:color="auto" w:sz="4" w:space="0"/>
              <w:right w:val="single" w:color="auto" w:sz="4" w:space="0"/>
            </w:tcBorders>
            <w:shd w:val="clear" w:color="auto" w:fill="FFFFFF" w:themeFill="background1"/>
          </w:tcPr>
          <w:p w14:paraId="04548B4B">
            <w:pPr>
              <w:spacing w:after="0" w:line="240" w:lineRule="auto"/>
              <w:jc w:val="center"/>
              <w:rPr>
                <w:rFonts w:ascii="Arial" w:hAnsi="Arial" w:eastAsia="Times New Roman" w:cs="Arial"/>
                <w:color w:val="000000"/>
                <w:sz w:val="18"/>
                <w:szCs w:val="18"/>
                <w:lang w:eastAsia="pt-BR"/>
              </w:rPr>
            </w:pPr>
          </w:p>
          <w:p w14:paraId="3A70800F">
            <w:pPr>
              <w:spacing w:after="0" w:line="240" w:lineRule="auto"/>
              <w:jc w:val="center"/>
              <w:rPr>
                <w:rFonts w:ascii="Arial" w:hAnsi="Arial" w:eastAsia="Times New Roman" w:cs="Arial"/>
                <w:color w:val="000000"/>
                <w:sz w:val="18"/>
                <w:szCs w:val="18"/>
                <w:lang w:eastAsia="pt-BR"/>
              </w:rPr>
            </w:pPr>
          </w:p>
          <w:p w14:paraId="621F3E6A">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10</w:t>
            </w:r>
          </w:p>
        </w:tc>
        <w:tc>
          <w:tcPr>
            <w:tcW w:w="1134" w:type="dxa"/>
            <w:tcBorders>
              <w:top w:val="nil"/>
              <w:left w:val="nil"/>
              <w:bottom w:val="single" w:color="auto" w:sz="4" w:space="0"/>
              <w:right w:val="single" w:color="auto" w:sz="4" w:space="0"/>
            </w:tcBorders>
            <w:shd w:val="clear" w:color="auto" w:fill="FFFFFF" w:themeFill="background1"/>
          </w:tcPr>
          <w:p w14:paraId="63AA5A2C">
            <w:pPr>
              <w:spacing w:after="0" w:line="240" w:lineRule="auto"/>
              <w:jc w:val="center"/>
              <w:rPr>
                <w:rFonts w:ascii="Arial" w:hAnsi="Arial" w:eastAsia="Times New Roman" w:cs="Arial"/>
                <w:color w:val="000000"/>
                <w:sz w:val="18"/>
                <w:szCs w:val="18"/>
                <w:lang w:eastAsia="pt-BR"/>
              </w:rPr>
            </w:pPr>
          </w:p>
          <w:p w14:paraId="195238E2">
            <w:pPr>
              <w:spacing w:after="0" w:line="240" w:lineRule="auto"/>
              <w:jc w:val="center"/>
              <w:rPr>
                <w:rFonts w:ascii="Arial" w:hAnsi="Arial" w:eastAsia="Times New Roman" w:cs="Arial"/>
                <w:color w:val="000000"/>
                <w:sz w:val="18"/>
                <w:szCs w:val="18"/>
                <w:lang w:eastAsia="pt-BR"/>
              </w:rPr>
            </w:pPr>
          </w:p>
          <w:p w14:paraId="407CAFD2">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15</w:t>
            </w:r>
          </w:p>
        </w:tc>
      </w:tr>
      <w:tr w14:paraId="27C8E97B">
        <w:tblPrEx>
          <w:shd w:val="clear" w:color="auto" w:fill="FFFFFF" w:themeFill="background1"/>
          <w:tblCellMar>
            <w:top w:w="0" w:type="dxa"/>
            <w:left w:w="70" w:type="dxa"/>
            <w:bottom w:w="0" w:type="dxa"/>
            <w:right w:w="70" w:type="dxa"/>
          </w:tblCellMar>
        </w:tblPrEx>
        <w:trPr>
          <w:trHeight w:val="2214" w:hRule="atLeast"/>
        </w:trPr>
        <w:tc>
          <w:tcPr>
            <w:tcW w:w="988" w:type="dxa"/>
            <w:tcBorders>
              <w:top w:val="nil"/>
              <w:left w:val="single" w:color="auto" w:sz="4" w:space="0"/>
              <w:bottom w:val="single" w:color="auto" w:sz="4" w:space="0"/>
              <w:right w:val="single" w:color="auto" w:sz="4" w:space="0"/>
            </w:tcBorders>
            <w:shd w:val="clear" w:color="auto" w:fill="FFFFFF" w:themeFill="background1"/>
            <w:noWrap/>
            <w:vAlign w:val="center"/>
          </w:tcPr>
          <w:p w14:paraId="4B39F0A6">
            <w:pPr>
              <w:spacing w:after="0" w:line="240" w:lineRule="auto"/>
              <w:jc w:val="center"/>
              <w:rPr>
                <w:rFonts w:ascii="Arial" w:hAnsi="Arial" w:eastAsia="Times New Roman" w:cs="Arial"/>
                <w:color w:val="000000"/>
                <w:sz w:val="18"/>
                <w:szCs w:val="18"/>
                <w:lang w:val="en-US" w:eastAsia="pt-BR"/>
              </w:rPr>
            </w:pPr>
            <w:r>
              <w:rPr>
                <w:rFonts w:ascii="Arial" w:hAnsi="Arial" w:eastAsia="Times New Roman" w:cs="Arial"/>
                <w:color w:val="000000"/>
                <w:sz w:val="18"/>
                <w:szCs w:val="18"/>
                <w:lang w:val="en-US" w:eastAsia="pt-BR"/>
              </w:rPr>
              <w:t>11</w:t>
            </w:r>
          </w:p>
        </w:tc>
        <w:tc>
          <w:tcPr>
            <w:tcW w:w="3104" w:type="dxa"/>
            <w:tcBorders>
              <w:top w:val="nil"/>
              <w:left w:val="nil"/>
              <w:bottom w:val="single" w:color="auto" w:sz="4" w:space="0"/>
              <w:right w:val="single" w:color="auto" w:sz="4" w:space="0"/>
            </w:tcBorders>
            <w:shd w:val="clear" w:color="auto" w:fill="FFFFFF" w:themeFill="background1"/>
          </w:tcPr>
          <w:p w14:paraId="7ACADFAF">
            <w:pPr>
              <w:spacing w:after="0" w:line="240" w:lineRule="auto"/>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SACO- LARANJA O SACO DE LIXO HOSPITALAR TÓXICO É UM PRODUTO CONSTITUÍDO EM POLIETILENO DE ALTA DENSIDADE (PEAD), IDEAL PARA O DESCARTE DE MATERIAIS INFECTADOS DE LABORATÓRIOS E HOSPITAIS.PRODUTO NORMATIZADO COM OS PADRÕES DA ABNT NBR 9191/7500.COR: LARANJA DIMENSÕES: 50 LITROS - 63CM X 80CM; QUANTIDADE: 1 PACOTE COM 100 SACOS.MICRA: 0,03.</w:t>
            </w:r>
          </w:p>
        </w:tc>
        <w:tc>
          <w:tcPr>
            <w:tcW w:w="1167" w:type="dxa"/>
            <w:tcBorders>
              <w:top w:val="nil"/>
              <w:left w:val="nil"/>
              <w:bottom w:val="single" w:color="auto" w:sz="4" w:space="0"/>
              <w:right w:val="single" w:color="auto" w:sz="4" w:space="0"/>
            </w:tcBorders>
            <w:shd w:val="clear" w:color="auto" w:fill="FFFFFF" w:themeFill="background1"/>
            <w:vAlign w:val="center"/>
          </w:tcPr>
          <w:p w14:paraId="53F4385B">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PACOTE</w:t>
            </w:r>
          </w:p>
        </w:tc>
        <w:tc>
          <w:tcPr>
            <w:tcW w:w="832" w:type="dxa"/>
            <w:tcBorders>
              <w:top w:val="nil"/>
              <w:left w:val="nil"/>
              <w:bottom w:val="single" w:color="auto" w:sz="4" w:space="0"/>
              <w:right w:val="single" w:color="auto" w:sz="4" w:space="0"/>
            </w:tcBorders>
            <w:shd w:val="clear" w:color="auto" w:fill="FFFFFF" w:themeFill="background1"/>
            <w:vAlign w:val="center"/>
          </w:tcPr>
          <w:p w14:paraId="5B22D798">
            <w:pPr>
              <w:spacing w:after="0" w:line="240" w:lineRule="auto"/>
              <w:jc w:val="center"/>
              <w:rPr>
                <w:rFonts w:ascii="Arial" w:hAnsi="Arial" w:eastAsia="Times New Roman" w:cs="Arial"/>
                <w:sz w:val="18"/>
                <w:szCs w:val="18"/>
                <w:lang w:eastAsia="pt-BR"/>
              </w:rPr>
            </w:pPr>
            <w:r>
              <w:rPr>
                <w:rFonts w:ascii="Arial" w:hAnsi="Arial" w:eastAsia="Times New Roman" w:cs="Arial"/>
                <w:sz w:val="18"/>
                <w:szCs w:val="18"/>
                <w:lang w:eastAsia="pt-BR"/>
              </w:rPr>
              <w:t>50</w:t>
            </w:r>
          </w:p>
        </w:tc>
        <w:tc>
          <w:tcPr>
            <w:tcW w:w="1134" w:type="dxa"/>
            <w:tcBorders>
              <w:top w:val="nil"/>
              <w:left w:val="nil"/>
              <w:bottom w:val="single" w:color="auto" w:sz="4" w:space="0"/>
              <w:right w:val="single" w:color="auto" w:sz="4" w:space="0"/>
            </w:tcBorders>
            <w:shd w:val="clear" w:color="auto" w:fill="FFFFFF" w:themeFill="background1"/>
          </w:tcPr>
          <w:p w14:paraId="62B5C892">
            <w:pPr>
              <w:spacing w:after="0" w:line="240" w:lineRule="auto"/>
              <w:jc w:val="center"/>
              <w:rPr>
                <w:rFonts w:ascii="Arial" w:hAnsi="Arial" w:eastAsia="Times New Roman" w:cs="Arial"/>
                <w:color w:val="000000"/>
                <w:sz w:val="18"/>
                <w:szCs w:val="18"/>
                <w:lang w:eastAsia="pt-BR"/>
              </w:rPr>
            </w:pPr>
          </w:p>
          <w:p w14:paraId="72DC6785">
            <w:pPr>
              <w:spacing w:after="0" w:line="240" w:lineRule="auto"/>
              <w:jc w:val="center"/>
              <w:rPr>
                <w:rFonts w:ascii="Arial" w:hAnsi="Arial" w:eastAsia="Times New Roman" w:cs="Arial"/>
                <w:color w:val="000000"/>
                <w:sz w:val="18"/>
                <w:szCs w:val="18"/>
                <w:lang w:eastAsia="pt-BR"/>
              </w:rPr>
            </w:pPr>
          </w:p>
          <w:p w14:paraId="0C7C5B65">
            <w:pPr>
              <w:spacing w:after="0" w:line="240" w:lineRule="auto"/>
              <w:jc w:val="center"/>
              <w:rPr>
                <w:rFonts w:ascii="Arial" w:hAnsi="Arial" w:eastAsia="Times New Roman" w:cs="Arial"/>
                <w:color w:val="000000"/>
                <w:sz w:val="18"/>
                <w:szCs w:val="18"/>
                <w:lang w:eastAsia="pt-BR"/>
              </w:rPr>
            </w:pPr>
          </w:p>
          <w:p w14:paraId="19CAF1C2">
            <w:pPr>
              <w:spacing w:after="0" w:line="240" w:lineRule="auto"/>
              <w:jc w:val="center"/>
              <w:rPr>
                <w:rFonts w:ascii="Arial" w:hAnsi="Arial" w:eastAsia="Times New Roman" w:cs="Arial"/>
                <w:color w:val="000000"/>
                <w:sz w:val="18"/>
                <w:szCs w:val="18"/>
                <w:lang w:eastAsia="pt-BR"/>
              </w:rPr>
            </w:pPr>
          </w:p>
          <w:p w14:paraId="19A95E92">
            <w:pPr>
              <w:spacing w:after="0" w:line="240" w:lineRule="auto"/>
              <w:jc w:val="center"/>
              <w:rPr>
                <w:rFonts w:ascii="Arial" w:hAnsi="Arial" w:eastAsia="Times New Roman" w:cs="Arial"/>
                <w:color w:val="000000"/>
                <w:sz w:val="18"/>
                <w:szCs w:val="18"/>
                <w:lang w:eastAsia="pt-BR"/>
              </w:rPr>
            </w:pPr>
          </w:p>
          <w:p w14:paraId="119DB845">
            <w:pPr>
              <w:spacing w:after="0" w:line="240" w:lineRule="auto"/>
              <w:jc w:val="center"/>
              <w:rPr>
                <w:rFonts w:ascii="Arial" w:hAnsi="Arial" w:eastAsia="Times New Roman" w:cs="Arial"/>
                <w:color w:val="000000"/>
                <w:sz w:val="18"/>
                <w:szCs w:val="18"/>
                <w:lang w:eastAsia="pt-BR"/>
              </w:rPr>
            </w:pPr>
          </w:p>
          <w:p w14:paraId="23CB738C">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40</w:t>
            </w:r>
          </w:p>
        </w:tc>
        <w:tc>
          <w:tcPr>
            <w:tcW w:w="1134" w:type="dxa"/>
            <w:tcBorders>
              <w:top w:val="nil"/>
              <w:left w:val="nil"/>
              <w:bottom w:val="single" w:color="auto" w:sz="4" w:space="0"/>
              <w:right w:val="single" w:color="auto" w:sz="4" w:space="0"/>
            </w:tcBorders>
            <w:shd w:val="clear" w:color="auto" w:fill="FFFFFF" w:themeFill="background1"/>
          </w:tcPr>
          <w:p w14:paraId="4F1C79D5">
            <w:pPr>
              <w:spacing w:after="0" w:line="240" w:lineRule="auto"/>
              <w:jc w:val="center"/>
              <w:rPr>
                <w:rFonts w:ascii="Arial" w:hAnsi="Arial" w:eastAsia="Times New Roman" w:cs="Arial"/>
                <w:color w:val="000000"/>
                <w:sz w:val="18"/>
                <w:szCs w:val="18"/>
                <w:lang w:eastAsia="pt-BR"/>
              </w:rPr>
            </w:pPr>
          </w:p>
          <w:p w14:paraId="127AAE28">
            <w:pPr>
              <w:spacing w:after="0" w:line="240" w:lineRule="auto"/>
              <w:jc w:val="center"/>
              <w:rPr>
                <w:rFonts w:ascii="Arial" w:hAnsi="Arial" w:eastAsia="Times New Roman" w:cs="Arial"/>
                <w:color w:val="000000"/>
                <w:sz w:val="18"/>
                <w:szCs w:val="18"/>
                <w:lang w:eastAsia="pt-BR"/>
              </w:rPr>
            </w:pPr>
          </w:p>
          <w:p w14:paraId="0777FCD7">
            <w:pPr>
              <w:spacing w:after="0" w:line="240" w:lineRule="auto"/>
              <w:jc w:val="center"/>
              <w:rPr>
                <w:rFonts w:ascii="Arial" w:hAnsi="Arial" w:eastAsia="Times New Roman" w:cs="Arial"/>
                <w:color w:val="000000"/>
                <w:sz w:val="18"/>
                <w:szCs w:val="18"/>
                <w:lang w:eastAsia="pt-BR"/>
              </w:rPr>
            </w:pPr>
          </w:p>
          <w:p w14:paraId="212B8273">
            <w:pPr>
              <w:spacing w:after="0" w:line="240" w:lineRule="auto"/>
              <w:jc w:val="center"/>
              <w:rPr>
                <w:rFonts w:ascii="Arial" w:hAnsi="Arial" w:eastAsia="Times New Roman" w:cs="Arial"/>
                <w:color w:val="000000"/>
                <w:sz w:val="18"/>
                <w:szCs w:val="18"/>
                <w:lang w:eastAsia="pt-BR"/>
              </w:rPr>
            </w:pPr>
          </w:p>
          <w:p w14:paraId="1D382E0D">
            <w:pPr>
              <w:spacing w:after="0" w:line="240" w:lineRule="auto"/>
              <w:jc w:val="center"/>
              <w:rPr>
                <w:rFonts w:ascii="Arial" w:hAnsi="Arial" w:eastAsia="Times New Roman" w:cs="Arial"/>
                <w:color w:val="000000"/>
                <w:sz w:val="18"/>
                <w:szCs w:val="18"/>
                <w:lang w:eastAsia="pt-BR"/>
              </w:rPr>
            </w:pPr>
          </w:p>
          <w:p w14:paraId="0F4B6C03">
            <w:pPr>
              <w:spacing w:after="0" w:line="240" w:lineRule="auto"/>
              <w:jc w:val="center"/>
              <w:rPr>
                <w:rFonts w:ascii="Arial" w:hAnsi="Arial" w:eastAsia="Times New Roman" w:cs="Arial"/>
                <w:color w:val="000000"/>
                <w:sz w:val="18"/>
                <w:szCs w:val="18"/>
                <w:lang w:eastAsia="pt-BR"/>
              </w:rPr>
            </w:pPr>
          </w:p>
          <w:p w14:paraId="4D649C31">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50</w:t>
            </w:r>
          </w:p>
        </w:tc>
      </w:tr>
      <w:tr w14:paraId="78B8803F">
        <w:tblPrEx>
          <w:shd w:val="clear" w:color="auto" w:fill="FFFFFF" w:themeFill="background1"/>
          <w:tblCellMar>
            <w:top w:w="0" w:type="dxa"/>
            <w:left w:w="70" w:type="dxa"/>
            <w:bottom w:w="0" w:type="dxa"/>
            <w:right w:w="70" w:type="dxa"/>
          </w:tblCellMar>
        </w:tblPrEx>
        <w:trPr>
          <w:trHeight w:val="2970" w:hRule="atLeast"/>
        </w:trPr>
        <w:tc>
          <w:tcPr>
            <w:tcW w:w="988" w:type="dxa"/>
            <w:tcBorders>
              <w:top w:val="nil"/>
              <w:left w:val="single" w:color="auto" w:sz="4" w:space="0"/>
              <w:bottom w:val="single" w:color="auto" w:sz="4" w:space="0"/>
              <w:right w:val="single" w:color="auto" w:sz="4" w:space="0"/>
            </w:tcBorders>
            <w:shd w:val="clear" w:color="auto" w:fill="FFFFFF" w:themeFill="background1"/>
            <w:noWrap/>
            <w:vAlign w:val="center"/>
          </w:tcPr>
          <w:p w14:paraId="61B1D9D1">
            <w:pPr>
              <w:spacing w:after="0" w:line="240" w:lineRule="auto"/>
              <w:jc w:val="center"/>
              <w:rPr>
                <w:rFonts w:ascii="Arial" w:hAnsi="Arial" w:eastAsia="Times New Roman" w:cs="Arial"/>
                <w:color w:val="000000"/>
                <w:sz w:val="18"/>
                <w:szCs w:val="18"/>
                <w:lang w:val="en-US" w:eastAsia="pt-BR"/>
              </w:rPr>
            </w:pPr>
            <w:r>
              <w:rPr>
                <w:rFonts w:ascii="Arial" w:hAnsi="Arial" w:eastAsia="Times New Roman" w:cs="Arial"/>
                <w:color w:val="000000"/>
                <w:sz w:val="18"/>
                <w:szCs w:val="18"/>
                <w:lang w:val="en-US" w:eastAsia="pt-BR"/>
              </w:rPr>
              <w:t>12</w:t>
            </w:r>
          </w:p>
        </w:tc>
        <w:tc>
          <w:tcPr>
            <w:tcW w:w="3104" w:type="dxa"/>
            <w:tcBorders>
              <w:top w:val="nil"/>
              <w:left w:val="nil"/>
              <w:bottom w:val="single" w:color="auto" w:sz="4" w:space="0"/>
              <w:right w:val="single" w:color="auto" w:sz="4" w:space="0"/>
            </w:tcBorders>
            <w:shd w:val="clear" w:color="auto" w:fill="FFFFFF" w:themeFill="background1"/>
          </w:tcPr>
          <w:p w14:paraId="71872FD6">
            <w:pPr>
              <w:spacing w:after="0" w:line="240" w:lineRule="auto"/>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SCALP/ESCALPE - PARA COLETA SANGUE A VACUO COM DISPOSITIVO DE SEGURANCA, O ESCALPE INTRAVENOSO DE COLETA MÚLTIPLA, SENDO COMPOSTA POR UMA AGULHA EM AÇO INOXIDÁVEL, SUA PONTA TRIFACETADA ELETRONICAMENTE, REVESTIDA POR DE UMA CAPA PROTETORA EM POLIETILENO PARA MAIOR SEGURANÇA. A AGULHA COLADA A BORBOLETA/ASA EM TUBO PVC, COM EXTENSÃO DE 20 CM, UNIDO A SUA PONTA DISTAL, COM ADAPTADOR LUER, PARA CONEXÃO DO CONJUNTO DE COLETA DE SANGUE. CALIBRE 23G X 3/4 .</w:t>
            </w:r>
          </w:p>
        </w:tc>
        <w:tc>
          <w:tcPr>
            <w:tcW w:w="1167" w:type="dxa"/>
            <w:tcBorders>
              <w:top w:val="nil"/>
              <w:left w:val="nil"/>
              <w:bottom w:val="single" w:color="auto" w:sz="4" w:space="0"/>
              <w:right w:val="single" w:color="auto" w:sz="4" w:space="0"/>
            </w:tcBorders>
            <w:shd w:val="clear" w:color="auto" w:fill="FFFFFF" w:themeFill="background1"/>
            <w:vAlign w:val="center"/>
          </w:tcPr>
          <w:p w14:paraId="6A432A0A">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UNID.</w:t>
            </w:r>
          </w:p>
        </w:tc>
        <w:tc>
          <w:tcPr>
            <w:tcW w:w="832" w:type="dxa"/>
            <w:tcBorders>
              <w:top w:val="nil"/>
              <w:left w:val="nil"/>
              <w:bottom w:val="single" w:color="auto" w:sz="4" w:space="0"/>
              <w:right w:val="single" w:color="auto" w:sz="4" w:space="0"/>
            </w:tcBorders>
            <w:shd w:val="clear" w:color="auto" w:fill="FFFFFF" w:themeFill="background1"/>
            <w:vAlign w:val="center"/>
          </w:tcPr>
          <w:p w14:paraId="2DB0A0DE">
            <w:pPr>
              <w:spacing w:after="0" w:line="240" w:lineRule="auto"/>
              <w:jc w:val="center"/>
              <w:rPr>
                <w:rFonts w:ascii="Arial" w:hAnsi="Arial" w:eastAsia="Times New Roman" w:cs="Arial"/>
                <w:sz w:val="18"/>
                <w:szCs w:val="18"/>
                <w:lang w:eastAsia="pt-BR"/>
              </w:rPr>
            </w:pPr>
            <w:r>
              <w:rPr>
                <w:rFonts w:ascii="Arial" w:hAnsi="Arial" w:eastAsia="Times New Roman" w:cs="Arial"/>
                <w:sz w:val="18"/>
                <w:szCs w:val="18"/>
                <w:lang w:eastAsia="pt-BR"/>
              </w:rPr>
              <w:t>2500</w:t>
            </w:r>
          </w:p>
        </w:tc>
        <w:tc>
          <w:tcPr>
            <w:tcW w:w="1134" w:type="dxa"/>
            <w:tcBorders>
              <w:top w:val="nil"/>
              <w:left w:val="nil"/>
              <w:bottom w:val="single" w:color="auto" w:sz="4" w:space="0"/>
              <w:right w:val="single" w:color="auto" w:sz="4" w:space="0"/>
            </w:tcBorders>
            <w:shd w:val="clear" w:color="auto" w:fill="FFFFFF" w:themeFill="background1"/>
          </w:tcPr>
          <w:p w14:paraId="6C183951">
            <w:pPr>
              <w:spacing w:after="0" w:line="240" w:lineRule="auto"/>
              <w:jc w:val="center"/>
              <w:rPr>
                <w:rFonts w:ascii="Arial" w:hAnsi="Arial" w:eastAsia="Times New Roman" w:cs="Arial"/>
                <w:color w:val="000000"/>
                <w:sz w:val="18"/>
                <w:szCs w:val="18"/>
                <w:lang w:eastAsia="pt-BR"/>
              </w:rPr>
            </w:pPr>
          </w:p>
          <w:p w14:paraId="785BBC01">
            <w:pPr>
              <w:spacing w:after="0" w:line="240" w:lineRule="auto"/>
              <w:jc w:val="center"/>
              <w:rPr>
                <w:rFonts w:ascii="Arial" w:hAnsi="Arial" w:eastAsia="Times New Roman" w:cs="Arial"/>
                <w:color w:val="000000"/>
                <w:sz w:val="18"/>
                <w:szCs w:val="18"/>
                <w:lang w:eastAsia="pt-BR"/>
              </w:rPr>
            </w:pPr>
          </w:p>
          <w:p w14:paraId="72485BA3">
            <w:pPr>
              <w:spacing w:after="0" w:line="240" w:lineRule="auto"/>
              <w:jc w:val="center"/>
              <w:rPr>
                <w:rFonts w:ascii="Arial" w:hAnsi="Arial" w:eastAsia="Times New Roman" w:cs="Arial"/>
                <w:color w:val="000000"/>
                <w:sz w:val="18"/>
                <w:szCs w:val="18"/>
                <w:lang w:eastAsia="pt-BR"/>
              </w:rPr>
            </w:pPr>
          </w:p>
          <w:p w14:paraId="5CF05DFF">
            <w:pPr>
              <w:spacing w:after="0" w:line="240" w:lineRule="auto"/>
              <w:jc w:val="center"/>
              <w:rPr>
                <w:rFonts w:ascii="Arial" w:hAnsi="Arial" w:eastAsia="Times New Roman" w:cs="Arial"/>
                <w:color w:val="000000"/>
                <w:sz w:val="18"/>
                <w:szCs w:val="18"/>
                <w:lang w:eastAsia="pt-BR"/>
              </w:rPr>
            </w:pPr>
          </w:p>
          <w:p w14:paraId="0C52DB21">
            <w:pPr>
              <w:spacing w:after="0" w:line="240" w:lineRule="auto"/>
              <w:jc w:val="center"/>
              <w:rPr>
                <w:rFonts w:ascii="Arial" w:hAnsi="Arial" w:eastAsia="Times New Roman" w:cs="Arial"/>
                <w:color w:val="000000"/>
                <w:sz w:val="18"/>
                <w:szCs w:val="18"/>
                <w:lang w:eastAsia="pt-BR"/>
              </w:rPr>
            </w:pPr>
          </w:p>
          <w:p w14:paraId="61AD2C25">
            <w:pPr>
              <w:spacing w:after="0" w:line="240" w:lineRule="auto"/>
              <w:jc w:val="center"/>
              <w:rPr>
                <w:rFonts w:ascii="Arial" w:hAnsi="Arial" w:eastAsia="Times New Roman" w:cs="Arial"/>
                <w:color w:val="000000"/>
                <w:sz w:val="18"/>
                <w:szCs w:val="18"/>
                <w:lang w:eastAsia="pt-BR"/>
              </w:rPr>
            </w:pPr>
          </w:p>
          <w:p w14:paraId="4B837942">
            <w:pPr>
              <w:spacing w:after="0" w:line="240" w:lineRule="auto"/>
              <w:jc w:val="center"/>
              <w:rPr>
                <w:rFonts w:ascii="Arial" w:hAnsi="Arial" w:eastAsia="Times New Roman" w:cs="Arial"/>
                <w:color w:val="000000"/>
                <w:sz w:val="18"/>
                <w:szCs w:val="18"/>
                <w:lang w:eastAsia="pt-BR"/>
              </w:rPr>
            </w:pPr>
          </w:p>
          <w:p w14:paraId="0DCFAF72">
            <w:pPr>
              <w:spacing w:after="0" w:line="240" w:lineRule="auto"/>
              <w:jc w:val="center"/>
              <w:rPr>
                <w:rFonts w:ascii="Arial" w:hAnsi="Arial" w:eastAsia="Times New Roman" w:cs="Arial"/>
                <w:color w:val="000000"/>
                <w:sz w:val="18"/>
                <w:szCs w:val="18"/>
                <w:lang w:eastAsia="pt-BR"/>
              </w:rPr>
            </w:pPr>
          </w:p>
          <w:p w14:paraId="738A736A">
            <w:pPr>
              <w:spacing w:after="0" w:line="240" w:lineRule="auto"/>
              <w:jc w:val="center"/>
              <w:rPr>
                <w:rFonts w:ascii="Arial" w:hAnsi="Arial" w:eastAsia="Times New Roman" w:cs="Arial"/>
                <w:color w:val="000000"/>
                <w:sz w:val="18"/>
                <w:szCs w:val="18"/>
                <w:lang w:eastAsia="pt-BR"/>
              </w:rPr>
            </w:pPr>
          </w:p>
          <w:p w14:paraId="217AA2E5">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2000</w:t>
            </w:r>
          </w:p>
        </w:tc>
        <w:tc>
          <w:tcPr>
            <w:tcW w:w="1134" w:type="dxa"/>
            <w:tcBorders>
              <w:top w:val="nil"/>
              <w:left w:val="nil"/>
              <w:bottom w:val="single" w:color="auto" w:sz="4" w:space="0"/>
              <w:right w:val="single" w:color="auto" w:sz="4" w:space="0"/>
            </w:tcBorders>
            <w:shd w:val="clear" w:color="auto" w:fill="FFFFFF" w:themeFill="background1"/>
          </w:tcPr>
          <w:p w14:paraId="78C7E88E">
            <w:pPr>
              <w:spacing w:after="0" w:line="240" w:lineRule="auto"/>
              <w:jc w:val="center"/>
              <w:rPr>
                <w:rFonts w:ascii="Arial" w:hAnsi="Arial" w:eastAsia="Times New Roman" w:cs="Arial"/>
                <w:color w:val="000000"/>
                <w:sz w:val="18"/>
                <w:szCs w:val="18"/>
                <w:lang w:eastAsia="pt-BR"/>
              </w:rPr>
            </w:pPr>
          </w:p>
          <w:p w14:paraId="283186B9">
            <w:pPr>
              <w:spacing w:after="0" w:line="240" w:lineRule="auto"/>
              <w:jc w:val="center"/>
              <w:rPr>
                <w:rFonts w:ascii="Arial" w:hAnsi="Arial" w:eastAsia="Times New Roman" w:cs="Arial"/>
                <w:color w:val="000000"/>
                <w:sz w:val="18"/>
                <w:szCs w:val="18"/>
                <w:lang w:eastAsia="pt-BR"/>
              </w:rPr>
            </w:pPr>
          </w:p>
          <w:p w14:paraId="0F0A39DB">
            <w:pPr>
              <w:spacing w:after="0" w:line="240" w:lineRule="auto"/>
              <w:jc w:val="center"/>
              <w:rPr>
                <w:rFonts w:ascii="Arial" w:hAnsi="Arial" w:eastAsia="Times New Roman" w:cs="Arial"/>
                <w:color w:val="000000"/>
                <w:sz w:val="18"/>
                <w:szCs w:val="18"/>
                <w:lang w:eastAsia="pt-BR"/>
              </w:rPr>
            </w:pPr>
          </w:p>
          <w:p w14:paraId="165A4773">
            <w:pPr>
              <w:spacing w:after="0" w:line="240" w:lineRule="auto"/>
              <w:jc w:val="center"/>
              <w:rPr>
                <w:rFonts w:ascii="Arial" w:hAnsi="Arial" w:eastAsia="Times New Roman" w:cs="Arial"/>
                <w:color w:val="000000"/>
                <w:sz w:val="18"/>
                <w:szCs w:val="18"/>
                <w:lang w:eastAsia="pt-BR"/>
              </w:rPr>
            </w:pPr>
          </w:p>
          <w:p w14:paraId="2073C5CB">
            <w:pPr>
              <w:spacing w:after="0" w:line="240" w:lineRule="auto"/>
              <w:jc w:val="center"/>
              <w:rPr>
                <w:rFonts w:ascii="Arial" w:hAnsi="Arial" w:eastAsia="Times New Roman" w:cs="Arial"/>
                <w:color w:val="000000"/>
                <w:sz w:val="18"/>
                <w:szCs w:val="18"/>
                <w:lang w:eastAsia="pt-BR"/>
              </w:rPr>
            </w:pPr>
          </w:p>
          <w:p w14:paraId="1477CD5F">
            <w:pPr>
              <w:spacing w:after="0" w:line="240" w:lineRule="auto"/>
              <w:jc w:val="center"/>
              <w:rPr>
                <w:rFonts w:ascii="Arial" w:hAnsi="Arial" w:eastAsia="Times New Roman" w:cs="Arial"/>
                <w:color w:val="000000"/>
                <w:sz w:val="18"/>
                <w:szCs w:val="18"/>
                <w:lang w:eastAsia="pt-BR"/>
              </w:rPr>
            </w:pPr>
          </w:p>
          <w:p w14:paraId="530E7A12">
            <w:pPr>
              <w:spacing w:after="0" w:line="240" w:lineRule="auto"/>
              <w:jc w:val="center"/>
              <w:rPr>
                <w:rFonts w:ascii="Arial" w:hAnsi="Arial" w:eastAsia="Times New Roman" w:cs="Arial"/>
                <w:color w:val="000000"/>
                <w:sz w:val="18"/>
                <w:szCs w:val="18"/>
                <w:lang w:eastAsia="pt-BR"/>
              </w:rPr>
            </w:pPr>
          </w:p>
          <w:p w14:paraId="6D6DE618">
            <w:pPr>
              <w:spacing w:after="0" w:line="240" w:lineRule="auto"/>
              <w:jc w:val="center"/>
              <w:rPr>
                <w:rFonts w:ascii="Arial" w:hAnsi="Arial" w:eastAsia="Times New Roman" w:cs="Arial"/>
                <w:color w:val="000000"/>
                <w:sz w:val="18"/>
                <w:szCs w:val="18"/>
                <w:lang w:eastAsia="pt-BR"/>
              </w:rPr>
            </w:pPr>
          </w:p>
          <w:p w14:paraId="2C211397">
            <w:pPr>
              <w:spacing w:after="0" w:line="240" w:lineRule="auto"/>
              <w:jc w:val="center"/>
              <w:rPr>
                <w:rFonts w:ascii="Arial" w:hAnsi="Arial" w:eastAsia="Times New Roman" w:cs="Arial"/>
                <w:color w:val="000000"/>
                <w:sz w:val="18"/>
                <w:szCs w:val="18"/>
                <w:lang w:eastAsia="pt-BR"/>
              </w:rPr>
            </w:pPr>
          </w:p>
          <w:p w14:paraId="0BF95EDA">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2500</w:t>
            </w:r>
          </w:p>
        </w:tc>
      </w:tr>
      <w:tr w14:paraId="0BD6E136">
        <w:tblPrEx>
          <w:shd w:val="clear" w:color="auto" w:fill="FFFFFF" w:themeFill="background1"/>
          <w:tblCellMar>
            <w:top w:w="0" w:type="dxa"/>
            <w:left w:w="70" w:type="dxa"/>
            <w:bottom w:w="0" w:type="dxa"/>
            <w:right w:w="70" w:type="dxa"/>
          </w:tblCellMar>
        </w:tblPrEx>
        <w:trPr>
          <w:trHeight w:val="2953" w:hRule="atLeast"/>
        </w:trPr>
        <w:tc>
          <w:tcPr>
            <w:tcW w:w="988" w:type="dxa"/>
            <w:tcBorders>
              <w:top w:val="nil"/>
              <w:left w:val="single" w:color="auto" w:sz="4" w:space="0"/>
              <w:bottom w:val="single" w:color="auto" w:sz="4" w:space="0"/>
              <w:right w:val="single" w:color="auto" w:sz="4" w:space="0"/>
            </w:tcBorders>
            <w:shd w:val="clear" w:color="auto" w:fill="FFFFFF" w:themeFill="background1"/>
            <w:noWrap/>
            <w:vAlign w:val="center"/>
          </w:tcPr>
          <w:p w14:paraId="591CF3C9">
            <w:pPr>
              <w:spacing w:after="0" w:line="240" w:lineRule="auto"/>
              <w:jc w:val="center"/>
              <w:rPr>
                <w:rFonts w:ascii="Arial" w:hAnsi="Arial" w:eastAsia="Times New Roman" w:cs="Arial"/>
                <w:color w:val="000000"/>
                <w:sz w:val="18"/>
                <w:szCs w:val="18"/>
                <w:lang w:val="en-US" w:eastAsia="pt-BR"/>
              </w:rPr>
            </w:pPr>
            <w:r>
              <w:rPr>
                <w:rFonts w:ascii="Arial" w:hAnsi="Arial" w:eastAsia="Times New Roman" w:cs="Arial"/>
                <w:color w:val="000000"/>
                <w:sz w:val="18"/>
                <w:szCs w:val="18"/>
                <w:lang w:val="en-US" w:eastAsia="pt-BR"/>
              </w:rPr>
              <w:t>13</w:t>
            </w:r>
          </w:p>
        </w:tc>
        <w:tc>
          <w:tcPr>
            <w:tcW w:w="3104" w:type="dxa"/>
            <w:tcBorders>
              <w:top w:val="nil"/>
              <w:left w:val="nil"/>
              <w:bottom w:val="single" w:color="auto" w:sz="4" w:space="0"/>
              <w:right w:val="single" w:color="auto" w:sz="4" w:space="0"/>
            </w:tcBorders>
            <w:shd w:val="clear" w:color="auto" w:fill="FFFFFF" w:themeFill="background1"/>
          </w:tcPr>
          <w:p w14:paraId="009E96DF">
            <w:pPr>
              <w:spacing w:after="0" w:line="240" w:lineRule="auto"/>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 xml:space="preserve">SCALP/ESCALPE - PARA COLETA SANGUE A VACUO COM DISPOSITIVO DE SEGURANCA, O ESCALPE INTRAVENOSO DE COLETA MÚLTIPLA, SENDO COMPOSTA POR UMA AGULHA EM AÇO INOXIDÁVEL, SUA PONTA TRIFACETADA ELETRONICAMENTE, REVESTIDA POR DE UMA CAPA PROTETORA EM POLIETILENO PARA MAIOR SEGURANÇA. A AGULHA COLADA A BORBOLETA/ASA EM TUBO PVC, COM EXTENSÃO DE 20 CM, UNIDO A SUA PONTA DISTAL, COM ADAPTADOR LUER, PARA CONEXÃO DO CONJUNTO DE COLETA DE SANGUE. </w:t>
            </w:r>
            <w:r>
              <w:rPr>
                <w:rFonts w:ascii="Arial" w:hAnsi="Arial" w:eastAsia="Times New Roman" w:cs="Arial"/>
                <w:color w:val="000000"/>
                <w:sz w:val="18"/>
                <w:szCs w:val="18"/>
                <w:lang w:eastAsia="pt-BR"/>
              </w:rPr>
              <w:br w:type="page"/>
            </w:r>
            <w:r>
              <w:rPr>
                <w:rFonts w:ascii="Arial" w:hAnsi="Arial" w:eastAsia="Times New Roman" w:cs="Arial"/>
                <w:color w:val="000000"/>
                <w:sz w:val="18"/>
                <w:szCs w:val="18"/>
                <w:lang w:eastAsia="pt-BR"/>
              </w:rPr>
              <w:t>CALIBRE 25G X 7.</w:t>
            </w:r>
          </w:p>
        </w:tc>
        <w:tc>
          <w:tcPr>
            <w:tcW w:w="1167" w:type="dxa"/>
            <w:tcBorders>
              <w:top w:val="nil"/>
              <w:left w:val="nil"/>
              <w:bottom w:val="single" w:color="auto" w:sz="4" w:space="0"/>
              <w:right w:val="single" w:color="auto" w:sz="4" w:space="0"/>
            </w:tcBorders>
            <w:shd w:val="clear" w:color="auto" w:fill="FFFFFF" w:themeFill="background1"/>
            <w:vAlign w:val="center"/>
          </w:tcPr>
          <w:p w14:paraId="5F0E9A3D">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UNID.</w:t>
            </w:r>
          </w:p>
        </w:tc>
        <w:tc>
          <w:tcPr>
            <w:tcW w:w="832" w:type="dxa"/>
            <w:tcBorders>
              <w:top w:val="nil"/>
              <w:left w:val="nil"/>
              <w:bottom w:val="single" w:color="auto" w:sz="4" w:space="0"/>
              <w:right w:val="single" w:color="auto" w:sz="4" w:space="0"/>
            </w:tcBorders>
            <w:shd w:val="clear" w:color="auto" w:fill="FFFFFF" w:themeFill="background1"/>
            <w:vAlign w:val="center"/>
          </w:tcPr>
          <w:p w14:paraId="4E3FFCF6">
            <w:pPr>
              <w:spacing w:after="0" w:line="240" w:lineRule="auto"/>
              <w:jc w:val="center"/>
              <w:rPr>
                <w:rFonts w:ascii="Arial" w:hAnsi="Arial" w:eastAsia="Times New Roman" w:cs="Arial"/>
                <w:sz w:val="18"/>
                <w:szCs w:val="18"/>
                <w:lang w:eastAsia="pt-BR"/>
              </w:rPr>
            </w:pPr>
            <w:r>
              <w:rPr>
                <w:rFonts w:ascii="Arial" w:hAnsi="Arial" w:eastAsia="Times New Roman" w:cs="Arial"/>
                <w:sz w:val="18"/>
                <w:szCs w:val="18"/>
                <w:lang w:eastAsia="pt-BR"/>
              </w:rPr>
              <w:t>2500</w:t>
            </w:r>
          </w:p>
        </w:tc>
        <w:tc>
          <w:tcPr>
            <w:tcW w:w="1134" w:type="dxa"/>
            <w:tcBorders>
              <w:top w:val="nil"/>
              <w:left w:val="nil"/>
              <w:bottom w:val="single" w:color="auto" w:sz="4" w:space="0"/>
              <w:right w:val="single" w:color="auto" w:sz="4" w:space="0"/>
            </w:tcBorders>
            <w:shd w:val="clear" w:color="auto" w:fill="FFFFFF" w:themeFill="background1"/>
          </w:tcPr>
          <w:p w14:paraId="07D856C4">
            <w:pPr>
              <w:spacing w:after="0" w:line="240" w:lineRule="auto"/>
              <w:jc w:val="center"/>
              <w:rPr>
                <w:rFonts w:ascii="Arial" w:hAnsi="Arial" w:eastAsia="Times New Roman" w:cs="Arial"/>
                <w:color w:val="000000"/>
                <w:sz w:val="18"/>
                <w:szCs w:val="18"/>
                <w:lang w:eastAsia="pt-BR"/>
              </w:rPr>
            </w:pPr>
          </w:p>
          <w:p w14:paraId="1185582D">
            <w:pPr>
              <w:spacing w:after="0" w:line="240" w:lineRule="auto"/>
              <w:jc w:val="center"/>
              <w:rPr>
                <w:rFonts w:ascii="Arial" w:hAnsi="Arial" w:eastAsia="Times New Roman" w:cs="Arial"/>
                <w:color w:val="000000"/>
                <w:sz w:val="18"/>
                <w:szCs w:val="18"/>
                <w:lang w:eastAsia="pt-BR"/>
              </w:rPr>
            </w:pPr>
          </w:p>
          <w:p w14:paraId="439467F3">
            <w:pPr>
              <w:spacing w:after="0" w:line="240" w:lineRule="auto"/>
              <w:jc w:val="center"/>
              <w:rPr>
                <w:rFonts w:ascii="Arial" w:hAnsi="Arial" w:eastAsia="Times New Roman" w:cs="Arial"/>
                <w:color w:val="000000"/>
                <w:sz w:val="18"/>
                <w:szCs w:val="18"/>
                <w:lang w:eastAsia="pt-BR"/>
              </w:rPr>
            </w:pPr>
          </w:p>
          <w:p w14:paraId="2F64B88F">
            <w:pPr>
              <w:spacing w:after="0" w:line="240" w:lineRule="auto"/>
              <w:jc w:val="center"/>
              <w:rPr>
                <w:rFonts w:ascii="Arial" w:hAnsi="Arial" w:eastAsia="Times New Roman" w:cs="Arial"/>
                <w:color w:val="000000"/>
                <w:sz w:val="18"/>
                <w:szCs w:val="18"/>
                <w:lang w:eastAsia="pt-BR"/>
              </w:rPr>
            </w:pPr>
          </w:p>
          <w:p w14:paraId="46091346">
            <w:pPr>
              <w:spacing w:after="0" w:line="240" w:lineRule="auto"/>
              <w:jc w:val="center"/>
              <w:rPr>
                <w:rFonts w:ascii="Arial" w:hAnsi="Arial" w:eastAsia="Times New Roman" w:cs="Arial"/>
                <w:color w:val="000000"/>
                <w:sz w:val="18"/>
                <w:szCs w:val="18"/>
                <w:lang w:eastAsia="pt-BR"/>
              </w:rPr>
            </w:pPr>
          </w:p>
          <w:p w14:paraId="65354FA6">
            <w:pPr>
              <w:spacing w:after="0" w:line="240" w:lineRule="auto"/>
              <w:jc w:val="center"/>
              <w:rPr>
                <w:rFonts w:ascii="Arial" w:hAnsi="Arial" w:eastAsia="Times New Roman" w:cs="Arial"/>
                <w:color w:val="000000"/>
                <w:sz w:val="18"/>
                <w:szCs w:val="18"/>
                <w:lang w:eastAsia="pt-BR"/>
              </w:rPr>
            </w:pPr>
          </w:p>
          <w:p w14:paraId="493D90BC">
            <w:pPr>
              <w:spacing w:after="0" w:line="240" w:lineRule="auto"/>
              <w:jc w:val="center"/>
              <w:rPr>
                <w:rFonts w:ascii="Arial" w:hAnsi="Arial" w:eastAsia="Times New Roman" w:cs="Arial"/>
                <w:color w:val="000000"/>
                <w:sz w:val="18"/>
                <w:szCs w:val="18"/>
                <w:lang w:eastAsia="pt-BR"/>
              </w:rPr>
            </w:pPr>
          </w:p>
          <w:p w14:paraId="59E658AF">
            <w:pPr>
              <w:spacing w:after="0" w:line="240" w:lineRule="auto"/>
              <w:jc w:val="center"/>
              <w:rPr>
                <w:rFonts w:ascii="Arial" w:hAnsi="Arial" w:eastAsia="Times New Roman" w:cs="Arial"/>
                <w:color w:val="000000"/>
                <w:sz w:val="18"/>
                <w:szCs w:val="18"/>
                <w:lang w:eastAsia="pt-BR"/>
              </w:rPr>
            </w:pPr>
          </w:p>
          <w:p w14:paraId="74E509FD">
            <w:pPr>
              <w:spacing w:after="0" w:line="240" w:lineRule="auto"/>
              <w:jc w:val="center"/>
              <w:rPr>
                <w:rFonts w:ascii="Arial" w:hAnsi="Arial" w:eastAsia="Times New Roman" w:cs="Arial"/>
                <w:color w:val="000000"/>
                <w:sz w:val="18"/>
                <w:szCs w:val="18"/>
                <w:lang w:eastAsia="pt-BR"/>
              </w:rPr>
            </w:pPr>
          </w:p>
          <w:p w14:paraId="3980B41E">
            <w:pPr>
              <w:tabs>
                <w:tab w:val="left" w:pos="840"/>
              </w:tabs>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2000</w:t>
            </w:r>
          </w:p>
        </w:tc>
        <w:tc>
          <w:tcPr>
            <w:tcW w:w="1134" w:type="dxa"/>
            <w:tcBorders>
              <w:top w:val="nil"/>
              <w:left w:val="nil"/>
              <w:bottom w:val="single" w:color="auto" w:sz="4" w:space="0"/>
              <w:right w:val="single" w:color="auto" w:sz="4" w:space="0"/>
            </w:tcBorders>
            <w:shd w:val="clear" w:color="auto" w:fill="FFFFFF" w:themeFill="background1"/>
          </w:tcPr>
          <w:p w14:paraId="198AB71F">
            <w:pPr>
              <w:spacing w:after="0" w:line="240" w:lineRule="auto"/>
              <w:jc w:val="center"/>
              <w:rPr>
                <w:rFonts w:ascii="Arial" w:hAnsi="Arial" w:eastAsia="Times New Roman" w:cs="Arial"/>
                <w:color w:val="000000"/>
                <w:sz w:val="18"/>
                <w:szCs w:val="18"/>
                <w:lang w:eastAsia="pt-BR"/>
              </w:rPr>
            </w:pPr>
          </w:p>
          <w:p w14:paraId="799FDA07">
            <w:pPr>
              <w:spacing w:after="0" w:line="240" w:lineRule="auto"/>
              <w:jc w:val="center"/>
              <w:rPr>
                <w:rFonts w:ascii="Arial" w:hAnsi="Arial" w:eastAsia="Times New Roman" w:cs="Arial"/>
                <w:color w:val="000000"/>
                <w:sz w:val="18"/>
                <w:szCs w:val="18"/>
                <w:lang w:eastAsia="pt-BR"/>
              </w:rPr>
            </w:pPr>
          </w:p>
          <w:p w14:paraId="047C4079">
            <w:pPr>
              <w:spacing w:after="0" w:line="240" w:lineRule="auto"/>
              <w:jc w:val="center"/>
              <w:rPr>
                <w:rFonts w:ascii="Arial" w:hAnsi="Arial" w:eastAsia="Times New Roman" w:cs="Arial"/>
                <w:color w:val="000000"/>
                <w:sz w:val="18"/>
                <w:szCs w:val="18"/>
                <w:lang w:eastAsia="pt-BR"/>
              </w:rPr>
            </w:pPr>
          </w:p>
          <w:p w14:paraId="2DC2143C">
            <w:pPr>
              <w:spacing w:after="0" w:line="240" w:lineRule="auto"/>
              <w:jc w:val="center"/>
              <w:rPr>
                <w:rFonts w:ascii="Arial" w:hAnsi="Arial" w:eastAsia="Times New Roman" w:cs="Arial"/>
                <w:color w:val="000000"/>
                <w:sz w:val="18"/>
                <w:szCs w:val="18"/>
                <w:lang w:eastAsia="pt-BR"/>
              </w:rPr>
            </w:pPr>
          </w:p>
          <w:p w14:paraId="098F1712">
            <w:pPr>
              <w:spacing w:after="0" w:line="240" w:lineRule="auto"/>
              <w:jc w:val="center"/>
              <w:rPr>
                <w:rFonts w:ascii="Arial" w:hAnsi="Arial" w:eastAsia="Times New Roman" w:cs="Arial"/>
                <w:color w:val="000000"/>
                <w:sz w:val="18"/>
                <w:szCs w:val="18"/>
                <w:lang w:eastAsia="pt-BR"/>
              </w:rPr>
            </w:pPr>
          </w:p>
          <w:p w14:paraId="5174B5C6">
            <w:pPr>
              <w:spacing w:after="0" w:line="240" w:lineRule="auto"/>
              <w:jc w:val="center"/>
              <w:rPr>
                <w:rFonts w:ascii="Arial" w:hAnsi="Arial" w:eastAsia="Times New Roman" w:cs="Arial"/>
                <w:color w:val="000000"/>
                <w:sz w:val="18"/>
                <w:szCs w:val="18"/>
                <w:lang w:eastAsia="pt-BR"/>
              </w:rPr>
            </w:pPr>
          </w:p>
          <w:p w14:paraId="056E5B87">
            <w:pPr>
              <w:spacing w:after="0" w:line="240" w:lineRule="auto"/>
              <w:jc w:val="center"/>
              <w:rPr>
                <w:rFonts w:ascii="Arial" w:hAnsi="Arial" w:eastAsia="Times New Roman" w:cs="Arial"/>
                <w:color w:val="000000"/>
                <w:sz w:val="18"/>
                <w:szCs w:val="18"/>
                <w:lang w:eastAsia="pt-BR"/>
              </w:rPr>
            </w:pPr>
          </w:p>
          <w:p w14:paraId="75BA0169">
            <w:pPr>
              <w:spacing w:after="0" w:line="240" w:lineRule="auto"/>
              <w:jc w:val="center"/>
              <w:rPr>
                <w:rFonts w:ascii="Arial" w:hAnsi="Arial" w:eastAsia="Times New Roman" w:cs="Arial"/>
                <w:color w:val="000000"/>
                <w:sz w:val="18"/>
                <w:szCs w:val="18"/>
                <w:lang w:eastAsia="pt-BR"/>
              </w:rPr>
            </w:pPr>
          </w:p>
          <w:p w14:paraId="7BD52243">
            <w:pPr>
              <w:spacing w:after="0" w:line="240" w:lineRule="auto"/>
              <w:jc w:val="center"/>
              <w:rPr>
                <w:rFonts w:ascii="Arial" w:hAnsi="Arial" w:eastAsia="Times New Roman" w:cs="Arial"/>
                <w:color w:val="000000"/>
                <w:sz w:val="18"/>
                <w:szCs w:val="18"/>
                <w:lang w:eastAsia="pt-BR"/>
              </w:rPr>
            </w:pPr>
          </w:p>
          <w:p w14:paraId="2FC3F691">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2500</w:t>
            </w:r>
          </w:p>
        </w:tc>
      </w:tr>
      <w:tr w14:paraId="60301306">
        <w:tblPrEx>
          <w:shd w:val="clear" w:color="auto" w:fill="FFFFFF" w:themeFill="background1"/>
          <w:tblCellMar>
            <w:top w:w="0" w:type="dxa"/>
            <w:left w:w="70" w:type="dxa"/>
            <w:bottom w:w="0" w:type="dxa"/>
            <w:right w:w="70" w:type="dxa"/>
          </w:tblCellMar>
        </w:tblPrEx>
        <w:trPr>
          <w:trHeight w:val="836" w:hRule="atLeast"/>
        </w:trPr>
        <w:tc>
          <w:tcPr>
            <w:tcW w:w="988" w:type="dxa"/>
            <w:tcBorders>
              <w:top w:val="nil"/>
              <w:left w:val="single" w:color="auto" w:sz="4" w:space="0"/>
              <w:bottom w:val="single" w:color="auto" w:sz="4" w:space="0"/>
              <w:right w:val="single" w:color="auto" w:sz="4" w:space="0"/>
            </w:tcBorders>
            <w:shd w:val="clear" w:color="auto" w:fill="FFFFFF" w:themeFill="background1"/>
            <w:noWrap/>
            <w:vAlign w:val="center"/>
          </w:tcPr>
          <w:p w14:paraId="4D8A8180">
            <w:pPr>
              <w:spacing w:after="0" w:line="240" w:lineRule="auto"/>
              <w:jc w:val="center"/>
              <w:rPr>
                <w:rFonts w:ascii="Arial" w:hAnsi="Arial" w:eastAsia="Times New Roman" w:cs="Arial"/>
                <w:color w:val="000000"/>
                <w:sz w:val="18"/>
                <w:szCs w:val="18"/>
                <w:lang w:val="en-US" w:eastAsia="pt-BR"/>
              </w:rPr>
            </w:pPr>
            <w:r>
              <w:rPr>
                <w:rFonts w:ascii="Arial" w:hAnsi="Arial" w:eastAsia="Times New Roman" w:cs="Arial"/>
                <w:color w:val="000000"/>
                <w:sz w:val="18"/>
                <w:szCs w:val="18"/>
                <w:lang w:val="en-US" w:eastAsia="pt-BR"/>
              </w:rPr>
              <w:t>14</w:t>
            </w:r>
          </w:p>
        </w:tc>
        <w:tc>
          <w:tcPr>
            <w:tcW w:w="3104" w:type="dxa"/>
            <w:tcBorders>
              <w:top w:val="single" w:color="auto" w:sz="4" w:space="0"/>
              <w:left w:val="single" w:color="auto" w:sz="4" w:space="0"/>
              <w:bottom w:val="single" w:color="auto" w:sz="4" w:space="0"/>
              <w:right w:val="single" w:color="auto" w:sz="4" w:space="0"/>
            </w:tcBorders>
            <w:shd w:val="clear" w:color="auto" w:fill="FFFFFF" w:themeFill="background1"/>
          </w:tcPr>
          <w:p w14:paraId="17C6B958">
            <w:pPr>
              <w:spacing w:after="0" w:line="240" w:lineRule="auto"/>
              <w:jc w:val="both"/>
              <w:rPr>
                <w:rFonts w:ascii="Arial" w:hAnsi="Arial" w:eastAsia="Times New Roman" w:cs="Arial"/>
                <w:color w:val="000000"/>
                <w:sz w:val="18"/>
                <w:szCs w:val="18"/>
                <w:lang w:val="en-US" w:eastAsia="pt-BR"/>
              </w:rPr>
            </w:pPr>
            <w:r>
              <w:rPr>
                <w:rFonts w:ascii="Arial" w:hAnsi="Arial" w:eastAsia="Times New Roman" w:cs="Arial"/>
                <w:color w:val="000000"/>
                <w:sz w:val="18"/>
                <w:szCs w:val="18"/>
                <w:lang w:eastAsia="pt-BR"/>
              </w:rPr>
              <w:t xml:space="preserve">TESTE RAPIDO IMUNOCROMATOGRAFICO PARA A DETECCAO E DIFERENCIACAO SIMULTANEA DOS ANTICORPOS IGG E IGM CHIKUNGUNYA A EM AMOSTRAS HUMANAS DE SORO, PLASMA OU SANGUE TOTAL. E DESTINADO PARA A TRIAGEM NO AUXILIO DO DIAGNOSTICO DE INFECCOES PELO VIRUS DA CHIKUNGUNYA. METODOLOGIA: IMUNOCROMATOGRAFIA LINEARIDADE: IGM - SENSIBILIDADE ≥ 94% E ESPECIFICIDADE ≥ 97% E IGG SENSIBILIDADE ≥ 97% E ESPECIFICIDADE ≥ 97%. KIT PARA OS TESTES CONTENDO: DISPOSITIVOS TESTES EMBALADOS INDIVIDUALMENTE COM 1 PIPETA /1 FRASCO DE TAMPAO DILUENTE / INSTRUCOES DE USO. </w:t>
            </w:r>
          </w:p>
        </w:tc>
        <w:tc>
          <w:tcPr>
            <w:tcW w:w="1167"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3DC1123A">
            <w:pPr>
              <w:spacing w:after="0" w:line="240" w:lineRule="auto"/>
              <w:jc w:val="center"/>
              <w:rPr>
                <w:rFonts w:ascii="Arial" w:hAnsi="Arial" w:eastAsia="Times New Roman" w:cs="Arial"/>
                <w:color w:val="000000"/>
                <w:sz w:val="18"/>
                <w:szCs w:val="18"/>
                <w:lang w:val="en-US" w:eastAsia="pt-BR"/>
              </w:rPr>
            </w:pPr>
            <w:r>
              <w:rPr>
                <w:rFonts w:ascii="Arial" w:hAnsi="Arial" w:eastAsia="Times New Roman" w:cs="Arial"/>
                <w:color w:val="000000"/>
                <w:sz w:val="18"/>
                <w:szCs w:val="18"/>
                <w:lang w:val="en-US" w:eastAsia="pt-BR"/>
              </w:rPr>
              <w:t>UNID</w:t>
            </w:r>
          </w:p>
        </w:tc>
        <w:tc>
          <w:tcPr>
            <w:tcW w:w="8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2E509D2">
            <w:pPr>
              <w:spacing w:after="0" w:line="240" w:lineRule="auto"/>
              <w:jc w:val="center"/>
              <w:rPr>
                <w:rFonts w:ascii="Arial" w:hAnsi="Arial" w:eastAsia="Times New Roman" w:cs="Arial"/>
                <w:sz w:val="18"/>
                <w:szCs w:val="18"/>
                <w:lang w:eastAsia="pt-BR"/>
              </w:rPr>
            </w:pPr>
            <w:r>
              <w:rPr>
                <w:rFonts w:ascii="Arial" w:hAnsi="Arial" w:eastAsia="Times New Roman" w:cs="Arial"/>
                <w:sz w:val="18"/>
                <w:szCs w:val="18"/>
                <w:lang w:eastAsia="pt-BR"/>
              </w:rPr>
              <w:t>4000</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Pr>
          <w:p w14:paraId="17B69376">
            <w:pPr>
              <w:spacing w:after="0" w:line="240" w:lineRule="auto"/>
              <w:jc w:val="center"/>
              <w:rPr>
                <w:rFonts w:ascii="Arial" w:hAnsi="Arial" w:eastAsia="Times New Roman" w:cs="Arial"/>
                <w:color w:val="000000"/>
                <w:sz w:val="18"/>
                <w:szCs w:val="18"/>
                <w:lang w:eastAsia="pt-BR"/>
              </w:rPr>
            </w:pPr>
          </w:p>
          <w:p w14:paraId="5243C4FF">
            <w:pPr>
              <w:spacing w:after="0" w:line="240" w:lineRule="auto"/>
              <w:jc w:val="center"/>
              <w:rPr>
                <w:rFonts w:ascii="Arial" w:hAnsi="Arial" w:eastAsia="Times New Roman" w:cs="Arial"/>
                <w:color w:val="000000"/>
                <w:sz w:val="18"/>
                <w:szCs w:val="18"/>
                <w:lang w:eastAsia="pt-BR"/>
              </w:rPr>
            </w:pPr>
          </w:p>
          <w:p w14:paraId="0CE94E25">
            <w:pPr>
              <w:spacing w:after="0" w:line="240" w:lineRule="auto"/>
              <w:jc w:val="center"/>
              <w:rPr>
                <w:rFonts w:ascii="Arial" w:hAnsi="Arial" w:eastAsia="Times New Roman" w:cs="Arial"/>
                <w:color w:val="000000"/>
                <w:sz w:val="18"/>
                <w:szCs w:val="18"/>
                <w:lang w:eastAsia="pt-BR"/>
              </w:rPr>
            </w:pPr>
          </w:p>
          <w:p w14:paraId="6D679D4F">
            <w:pPr>
              <w:spacing w:after="0" w:line="240" w:lineRule="auto"/>
              <w:jc w:val="center"/>
              <w:rPr>
                <w:rFonts w:ascii="Arial" w:hAnsi="Arial" w:eastAsia="Times New Roman" w:cs="Arial"/>
                <w:color w:val="000000"/>
                <w:sz w:val="18"/>
                <w:szCs w:val="18"/>
                <w:lang w:eastAsia="pt-BR"/>
              </w:rPr>
            </w:pPr>
          </w:p>
          <w:p w14:paraId="3B0ABE8F">
            <w:pPr>
              <w:spacing w:after="0" w:line="240" w:lineRule="auto"/>
              <w:jc w:val="center"/>
              <w:rPr>
                <w:rFonts w:ascii="Arial" w:hAnsi="Arial" w:eastAsia="Times New Roman" w:cs="Arial"/>
                <w:color w:val="000000"/>
                <w:sz w:val="18"/>
                <w:szCs w:val="18"/>
                <w:lang w:eastAsia="pt-BR"/>
              </w:rPr>
            </w:pPr>
          </w:p>
          <w:p w14:paraId="263D4C4B">
            <w:pPr>
              <w:spacing w:after="0" w:line="240" w:lineRule="auto"/>
              <w:jc w:val="center"/>
              <w:rPr>
                <w:rFonts w:ascii="Arial" w:hAnsi="Arial" w:eastAsia="Times New Roman" w:cs="Arial"/>
                <w:color w:val="000000"/>
                <w:sz w:val="18"/>
                <w:szCs w:val="18"/>
                <w:lang w:eastAsia="pt-BR"/>
              </w:rPr>
            </w:pPr>
          </w:p>
          <w:p w14:paraId="18A492A5">
            <w:pPr>
              <w:spacing w:after="0" w:line="240" w:lineRule="auto"/>
              <w:jc w:val="center"/>
              <w:rPr>
                <w:rFonts w:ascii="Arial" w:hAnsi="Arial" w:eastAsia="Times New Roman" w:cs="Arial"/>
                <w:color w:val="000000"/>
                <w:sz w:val="18"/>
                <w:szCs w:val="18"/>
                <w:lang w:eastAsia="pt-BR"/>
              </w:rPr>
            </w:pPr>
          </w:p>
          <w:p w14:paraId="7C9A7CA9">
            <w:pPr>
              <w:spacing w:after="0" w:line="240" w:lineRule="auto"/>
              <w:jc w:val="center"/>
              <w:rPr>
                <w:rFonts w:ascii="Arial" w:hAnsi="Arial" w:eastAsia="Times New Roman" w:cs="Arial"/>
                <w:color w:val="000000"/>
                <w:sz w:val="18"/>
                <w:szCs w:val="18"/>
                <w:lang w:eastAsia="pt-BR"/>
              </w:rPr>
            </w:pPr>
          </w:p>
          <w:p w14:paraId="112DC5D9">
            <w:pPr>
              <w:spacing w:after="0" w:line="240" w:lineRule="auto"/>
              <w:jc w:val="center"/>
              <w:rPr>
                <w:rFonts w:ascii="Arial" w:hAnsi="Arial" w:eastAsia="Times New Roman" w:cs="Arial"/>
                <w:color w:val="000000"/>
                <w:sz w:val="18"/>
                <w:szCs w:val="18"/>
                <w:lang w:eastAsia="pt-BR"/>
              </w:rPr>
            </w:pPr>
          </w:p>
          <w:p w14:paraId="4DAD4C7D">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3000</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Pr>
          <w:p w14:paraId="0C5C433C">
            <w:pPr>
              <w:spacing w:after="0" w:line="240" w:lineRule="auto"/>
              <w:jc w:val="center"/>
              <w:rPr>
                <w:rFonts w:ascii="Arial" w:hAnsi="Arial" w:eastAsia="Times New Roman" w:cs="Arial"/>
                <w:color w:val="000000"/>
                <w:sz w:val="18"/>
                <w:szCs w:val="18"/>
                <w:lang w:eastAsia="pt-BR"/>
              </w:rPr>
            </w:pPr>
          </w:p>
          <w:p w14:paraId="4A8C16E2">
            <w:pPr>
              <w:spacing w:after="0" w:line="240" w:lineRule="auto"/>
              <w:jc w:val="center"/>
              <w:rPr>
                <w:rFonts w:ascii="Arial" w:hAnsi="Arial" w:eastAsia="Times New Roman" w:cs="Arial"/>
                <w:color w:val="000000"/>
                <w:sz w:val="18"/>
                <w:szCs w:val="18"/>
                <w:lang w:eastAsia="pt-BR"/>
              </w:rPr>
            </w:pPr>
          </w:p>
          <w:p w14:paraId="7B56BDE1">
            <w:pPr>
              <w:spacing w:after="0" w:line="240" w:lineRule="auto"/>
              <w:jc w:val="center"/>
              <w:rPr>
                <w:rFonts w:ascii="Arial" w:hAnsi="Arial" w:eastAsia="Times New Roman" w:cs="Arial"/>
                <w:color w:val="000000"/>
                <w:sz w:val="18"/>
                <w:szCs w:val="18"/>
                <w:lang w:eastAsia="pt-BR"/>
              </w:rPr>
            </w:pPr>
          </w:p>
          <w:p w14:paraId="49BF6284">
            <w:pPr>
              <w:spacing w:after="0" w:line="240" w:lineRule="auto"/>
              <w:jc w:val="center"/>
              <w:rPr>
                <w:rFonts w:ascii="Arial" w:hAnsi="Arial" w:eastAsia="Times New Roman" w:cs="Arial"/>
                <w:color w:val="000000"/>
                <w:sz w:val="18"/>
                <w:szCs w:val="18"/>
                <w:lang w:eastAsia="pt-BR"/>
              </w:rPr>
            </w:pPr>
          </w:p>
          <w:p w14:paraId="4E332C82">
            <w:pPr>
              <w:spacing w:after="0" w:line="240" w:lineRule="auto"/>
              <w:jc w:val="center"/>
              <w:rPr>
                <w:rFonts w:ascii="Arial" w:hAnsi="Arial" w:eastAsia="Times New Roman" w:cs="Arial"/>
                <w:color w:val="000000"/>
                <w:sz w:val="18"/>
                <w:szCs w:val="18"/>
                <w:lang w:eastAsia="pt-BR"/>
              </w:rPr>
            </w:pPr>
          </w:p>
          <w:p w14:paraId="1C3F46CE">
            <w:pPr>
              <w:spacing w:after="0" w:line="240" w:lineRule="auto"/>
              <w:jc w:val="center"/>
              <w:rPr>
                <w:rFonts w:ascii="Arial" w:hAnsi="Arial" w:eastAsia="Times New Roman" w:cs="Arial"/>
                <w:color w:val="000000"/>
                <w:sz w:val="18"/>
                <w:szCs w:val="18"/>
                <w:lang w:eastAsia="pt-BR"/>
              </w:rPr>
            </w:pPr>
          </w:p>
          <w:p w14:paraId="428BFC91">
            <w:pPr>
              <w:spacing w:after="0" w:line="240" w:lineRule="auto"/>
              <w:jc w:val="center"/>
              <w:rPr>
                <w:rFonts w:ascii="Arial" w:hAnsi="Arial" w:eastAsia="Times New Roman" w:cs="Arial"/>
                <w:color w:val="000000"/>
                <w:sz w:val="18"/>
                <w:szCs w:val="18"/>
                <w:lang w:eastAsia="pt-BR"/>
              </w:rPr>
            </w:pPr>
          </w:p>
          <w:p w14:paraId="0F651534">
            <w:pPr>
              <w:spacing w:after="0" w:line="240" w:lineRule="auto"/>
              <w:jc w:val="center"/>
              <w:rPr>
                <w:rFonts w:ascii="Arial" w:hAnsi="Arial" w:eastAsia="Times New Roman" w:cs="Arial"/>
                <w:color w:val="000000"/>
                <w:sz w:val="18"/>
                <w:szCs w:val="18"/>
                <w:lang w:eastAsia="pt-BR"/>
              </w:rPr>
            </w:pPr>
          </w:p>
          <w:p w14:paraId="119FEDBC">
            <w:pPr>
              <w:spacing w:after="0" w:line="240" w:lineRule="auto"/>
              <w:jc w:val="center"/>
              <w:rPr>
                <w:rFonts w:ascii="Arial" w:hAnsi="Arial" w:eastAsia="Times New Roman" w:cs="Arial"/>
                <w:color w:val="000000"/>
                <w:sz w:val="18"/>
                <w:szCs w:val="18"/>
                <w:lang w:eastAsia="pt-BR"/>
              </w:rPr>
            </w:pPr>
          </w:p>
          <w:p w14:paraId="33EB2D27">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4000</w:t>
            </w:r>
          </w:p>
        </w:tc>
      </w:tr>
      <w:tr w14:paraId="1FBD80E6">
        <w:tblPrEx>
          <w:shd w:val="clear" w:color="auto" w:fill="FFFFFF" w:themeFill="background1"/>
          <w:tblCellMar>
            <w:top w:w="0" w:type="dxa"/>
            <w:left w:w="70" w:type="dxa"/>
            <w:bottom w:w="0" w:type="dxa"/>
            <w:right w:w="70" w:type="dxa"/>
          </w:tblCellMar>
        </w:tblPrEx>
        <w:trPr>
          <w:trHeight w:val="788" w:hRule="atLeast"/>
        </w:trPr>
        <w:tc>
          <w:tcPr>
            <w:tcW w:w="988" w:type="dxa"/>
            <w:tcBorders>
              <w:top w:val="nil"/>
              <w:left w:val="single" w:color="auto" w:sz="4" w:space="0"/>
              <w:bottom w:val="single" w:color="auto" w:sz="4" w:space="0"/>
              <w:right w:val="single" w:color="auto" w:sz="4" w:space="0"/>
            </w:tcBorders>
            <w:shd w:val="clear" w:color="auto" w:fill="FFFFFF" w:themeFill="background1"/>
            <w:noWrap/>
            <w:vAlign w:val="center"/>
          </w:tcPr>
          <w:p w14:paraId="2F56AF90">
            <w:pPr>
              <w:spacing w:after="0" w:line="240" w:lineRule="auto"/>
              <w:jc w:val="center"/>
              <w:rPr>
                <w:rFonts w:ascii="Arial" w:hAnsi="Arial" w:eastAsia="Times New Roman" w:cs="Arial"/>
                <w:color w:val="000000"/>
                <w:sz w:val="18"/>
                <w:szCs w:val="18"/>
                <w:lang w:val="en-US" w:eastAsia="pt-BR"/>
              </w:rPr>
            </w:pPr>
            <w:r>
              <w:rPr>
                <w:rFonts w:ascii="Arial" w:hAnsi="Arial" w:eastAsia="Times New Roman" w:cs="Arial"/>
                <w:color w:val="000000"/>
                <w:sz w:val="18"/>
                <w:szCs w:val="18"/>
                <w:lang w:val="en-US" w:eastAsia="pt-BR"/>
              </w:rPr>
              <w:t>15</w:t>
            </w:r>
          </w:p>
        </w:tc>
        <w:tc>
          <w:tcPr>
            <w:tcW w:w="3104" w:type="dxa"/>
            <w:tcBorders>
              <w:top w:val="single" w:color="auto" w:sz="4" w:space="0"/>
              <w:left w:val="single" w:color="auto" w:sz="4" w:space="0"/>
              <w:bottom w:val="single" w:color="auto" w:sz="4" w:space="0"/>
              <w:right w:val="single" w:color="auto" w:sz="4" w:space="0"/>
            </w:tcBorders>
            <w:shd w:val="clear" w:color="auto" w:fill="FFFFFF" w:themeFill="background1"/>
          </w:tcPr>
          <w:p w14:paraId="4B428856">
            <w:pPr>
              <w:spacing w:after="0" w:line="240" w:lineRule="auto"/>
              <w:jc w:val="both"/>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 xml:space="preserve">TESTE RAPIDO IMUNOCROMATOGRAFICO PARA A DETECCAO E DIFERENCIACAO SIMULTANEA DOS ANTICORPOS IGG E IGM ANTI-ZIKA EM AMOSTRAS HUMANAS DE SORO, PLASMA OU SANGUE TOTAL. E DESTINADO PARA A TRIAGEM NO AUXILIO DO DIAGNOSTICO DE INFECCOES PELO VIRUS DA ZIKA. METODOLOGIA: IMUNOCROMATOGRAFIA LINEARIDADE: IGM - SENSIBILIDADE ≥ 94% E ESPECIFICIDADE ≥ 97% E IGG SENSIBILIDADE ≥ 94% E ESPECIFICIDADE ≥ 96%. KIT PARA OS TESTES CONTENDO:  DISPOSITIVOS TESTES EMBALADOS INDIVIDUALMENTE COM 1 PIPETA PASTEUR / 1 FRASCO DE TAMPAO DILUENTE / INSTRUCOES DE USO. </w:t>
            </w:r>
          </w:p>
        </w:tc>
        <w:tc>
          <w:tcPr>
            <w:tcW w:w="1167"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52751DD0">
            <w:pPr>
              <w:spacing w:after="0" w:line="240" w:lineRule="auto"/>
              <w:jc w:val="center"/>
              <w:rPr>
                <w:rFonts w:ascii="Arial" w:hAnsi="Arial" w:eastAsia="Times New Roman" w:cs="Arial"/>
                <w:color w:val="000000"/>
                <w:sz w:val="18"/>
                <w:szCs w:val="18"/>
                <w:lang w:val="en-US" w:eastAsia="pt-BR"/>
              </w:rPr>
            </w:pPr>
            <w:r>
              <w:rPr>
                <w:rFonts w:ascii="Arial" w:hAnsi="Arial" w:eastAsia="Times New Roman" w:cs="Arial"/>
                <w:color w:val="000000"/>
                <w:sz w:val="18"/>
                <w:szCs w:val="18"/>
                <w:lang w:val="en-US" w:eastAsia="pt-BR"/>
              </w:rPr>
              <w:t>UNID</w:t>
            </w:r>
          </w:p>
        </w:tc>
        <w:tc>
          <w:tcPr>
            <w:tcW w:w="8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20594D8">
            <w:pPr>
              <w:spacing w:after="0" w:line="240" w:lineRule="auto"/>
              <w:jc w:val="center"/>
              <w:rPr>
                <w:rFonts w:ascii="Arial" w:hAnsi="Arial" w:eastAsia="Times New Roman" w:cs="Arial"/>
                <w:sz w:val="18"/>
                <w:szCs w:val="18"/>
                <w:lang w:eastAsia="pt-BR"/>
              </w:rPr>
            </w:pPr>
            <w:r>
              <w:rPr>
                <w:rFonts w:ascii="Arial" w:hAnsi="Arial" w:eastAsia="Times New Roman" w:cs="Arial"/>
                <w:sz w:val="18"/>
                <w:szCs w:val="18"/>
                <w:lang w:eastAsia="pt-BR"/>
              </w:rPr>
              <w:t>1000</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Pr>
          <w:p w14:paraId="5B2C0BF7">
            <w:pPr>
              <w:spacing w:after="0" w:line="240" w:lineRule="auto"/>
              <w:jc w:val="center"/>
              <w:rPr>
                <w:rFonts w:ascii="Arial" w:hAnsi="Arial" w:eastAsia="Times New Roman" w:cs="Arial"/>
                <w:color w:val="000000"/>
                <w:sz w:val="18"/>
                <w:szCs w:val="18"/>
                <w:lang w:val="en-US" w:eastAsia="pt-BR"/>
              </w:rPr>
            </w:pPr>
          </w:p>
          <w:p w14:paraId="43D3F958">
            <w:pPr>
              <w:spacing w:after="0" w:line="240" w:lineRule="auto"/>
              <w:jc w:val="center"/>
              <w:rPr>
                <w:rFonts w:ascii="Arial" w:hAnsi="Arial" w:eastAsia="Times New Roman" w:cs="Arial"/>
                <w:color w:val="000000"/>
                <w:sz w:val="18"/>
                <w:szCs w:val="18"/>
                <w:lang w:val="en-US" w:eastAsia="pt-BR"/>
              </w:rPr>
            </w:pPr>
          </w:p>
          <w:p w14:paraId="36116D0D">
            <w:pPr>
              <w:spacing w:after="0" w:line="240" w:lineRule="auto"/>
              <w:jc w:val="center"/>
              <w:rPr>
                <w:rFonts w:ascii="Arial" w:hAnsi="Arial" w:eastAsia="Times New Roman" w:cs="Arial"/>
                <w:color w:val="000000"/>
                <w:sz w:val="18"/>
                <w:szCs w:val="18"/>
                <w:lang w:val="en-US" w:eastAsia="pt-BR"/>
              </w:rPr>
            </w:pPr>
          </w:p>
          <w:p w14:paraId="55915B85">
            <w:pPr>
              <w:spacing w:after="0" w:line="240" w:lineRule="auto"/>
              <w:jc w:val="center"/>
              <w:rPr>
                <w:rFonts w:ascii="Arial" w:hAnsi="Arial" w:eastAsia="Times New Roman" w:cs="Arial"/>
                <w:color w:val="000000"/>
                <w:sz w:val="18"/>
                <w:szCs w:val="18"/>
                <w:lang w:val="en-US" w:eastAsia="pt-BR"/>
              </w:rPr>
            </w:pPr>
          </w:p>
          <w:p w14:paraId="4470E850">
            <w:pPr>
              <w:spacing w:after="0" w:line="240" w:lineRule="auto"/>
              <w:jc w:val="center"/>
              <w:rPr>
                <w:rFonts w:ascii="Arial" w:hAnsi="Arial" w:eastAsia="Times New Roman" w:cs="Arial"/>
                <w:color w:val="000000"/>
                <w:sz w:val="18"/>
                <w:szCs w:val="18"/>
                <w:lang w:val="en-US" w:eastAsia="pt-BR"/>
              </w:rPr>
            </w:pPr>
          </w:p>
          <w:p w14:paraId="3A8D2D97">
            <w:pPr>
              <w:spacing w:after="0" w:line="240" w:lineRule="auto"/>
              <w:jc w:val="center"/>
              <w:rPr>
                <w:rFonts w:ascii="Arial" w:hAnsi="Arial" w:eastAsia="Times New Roman" w:cs="Arial"/>
                <w:color w:val="000000"/>
                <w:sz w:val="18"/>
                <w:szCs w:val="18"/>
                <w:lang w:val="en-US" w:eastAsia="pt-BR"/>
              </w:rPr>
            </w:pPr>
          </w:p>
          <w:p w14:paraId="551ABC3E">
            <w:pPr>
              <w:spacing w:after="0" w:line="240" w:lineRule="auto"/>
              <w:jc w:val="center"/>
              <w:rPr>
                <w:rFonts w:ascii="Arial" w:hAnsi="Arial" w:eastAsia="Times New Roman" w:cs="Arial"/>
                <w:color w:val="000000"/>
                <w:sz w:val="18"/>
                <w:szCs w:val="18"/>
                <w:lang w:val="en-US" w:eastAsia="pt-BR"/>
              </w:rPr>
            </w:pPr>
          </w:p>
          <w:p w14:paraId="7DB46DD0">
            <w:pPr>
              <w:spacing w:after="0" w:line="240" w:lineRule="auto"/>
              <w:jc w:val="center"/>
              <w:rPr>
                <w:rFonts w:ascii="Arial" w:hAnsi="Arial" w:eastAsia="Times New Roman" w:cs="Arial"/>
                <w:color w:val="000000"/>
                <w:sz w:val="18"/>
                <w:szCs w:val="18"/>
                <w:lang w:val="en-US" w:eastAsia="pt-BR"/>
              </w:rPr>
            </w:pPr>
          </w:p>
          <w:p w14:paraId="0DE5B5DC">
            <w:pPr>
              <w:spacing w:after="0" w:line="240" w:lineRule="auto"/>
              <w:jc w:val="center"/>
              <w:rPr>
                <w:rFonts w:ascii="Arial" w:hAnsi="Arial" w:eastAsia="Times New Roman" w:cs="Arial"/>
                <w:color w:val="000000"/>
                <w:sz w:val="18"/>
                <w:szCs w:val="18"/>
                <w:lang w:val="en-US" w:eastAsia="pt-BR"/>
              </w:rPr>
            </w:pPr>
          </w:p>
          <w:p w14:paraId="407E5E9C">
            <w:pPr>
              <w:spacing w:after="0" w:line="240" w:lineRule="auto"/>
              <w:jc w:val="center"/>
              <w:rPr>
                <w:rFonts w:ascii="Arial" w:hAnsi="Arial" w:eastAsia="Times New Roman" w:cs="Arial"/>
                <w:color w:val="000000"/>
                <w:sz w:val="18"/>
                <w:szCs w:val="18"/>
                <w:lang w:val="en-US" w:eastAsia="pt-BR"/>
              </w:rPr>
            </w:pPr>
          </w:p>
          <w:p w14:paraId="4B006E86">
            <w:pPr>
              <w:spacing w:after="0" w:line="240" w:lineRule="auto"/>
              <w:jc w:val="center"/>
              <w:rPr>
                <w:rFonts w:ascii="Arial" w:hAnsi="Arial" w:eastAsia="Times New Roman" w:cs="Arial"/>
                <w:color w:val="000000"/>
                <w:sz w:val="18"/>
                <w:szCs w:val="18"/>
                <w:lang w:val="en-US" w:eastAsia="pt-BR"/>
              </w:rPr>
            </w:pPr>
          </w:p>
          <w:p w14:paraId="314D0C14">
            <w:pPr>
              <w:spacing w:after="0" w:line="240" w:lineRule="auto"/>
              <w:jc w:val="center"/>
              <w:rPr>
                <w:rFonts w:ascii="Arial" w:hAnsi="Arial" w:eastAsia="Times New Roman" w:cs="Arial"/>
                <w:color w:val="000000"/>
                <w:sz w:val="18"/>
                <w:szCs w:val="18"/>
                <w:lang w:val="en-US" w:eastAsia="pt-BR"/>
              </w:rPr>
            </w:pPr>
            <w:r>
              <w:rPr>
                <w:rFonts w:ascii="Arial" w:hAnsi="Arial" w:eastAsia="Times New Roman" w:cs="Arial"/>
                <w:color w:val="000000"/>
                <w:sz w:val="18"/>
                <w:szCs w:val="18"/>
                <w:lang w:val="en-US" w:eastAsia="pt-BR"/>
              </w:rPr>
              <w:t>700</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Pr>
          <w:p w14:paraId="73D520A5">
            <w:pPr>
              <w:spacing w:after="0" w:line="240" w:lineRule="auto"/>
              <w:jc w:val="center"/>
              <w:rPr>
                <w:rFonts w:ascii="Arial" w:hAnsi="Arial" w:eastAsia="Times New Roman" w:cs="Arial"/>
                <w:color w:val="000000"/>
                <w:sz w:val="18"/>
                <w:szCs w:val="18"/>
                <w:lang w:val="en-US" w:eastAsia="pt-BR"/>
              </w:rPr>
            </w:pPr>
          </w:p>
          <w:p w14:paraId="525261C9">
            <w:pPr>
              <w:spacing w:after="0" w:line="240" w:lineRule="auto"/>
              <w:jc w:val="center"/>
              <w:rPr>
                <w:rFonts w:ascii="Arial" w:hAnsi="Arial" w:eastAsia="Times New Roman" w:cs="Arial"/>
                <w:color w:val="000000"/>
                <w:sz w:val="18"/>
                <w:szCs w:val="18"/>
                <w:lang w:val="en-US" w:eastAsia="pt-BR"/>
              </w:rPr>
            </w:pPr>
          </w:p>
          <w:p w14:paraId="3D7E41FF">
            <w:pPr>
              <w:spacing w:after="0" w:line="240" w:lineRule="auto"/>
              <w:jc w:val="center"/>
              <w:rPr>
                <w:rFonts w:ascii="Arial" w:hAnsi="Arial" w:eastAsia="Times New Roman" w:cs="Arial"/>
                <w:color w:val="000000"/>
                <w:sz w:val="18"/>
                <w:szCs w:val="18"/>
                <w:lang w:val="en-US" w:eastAsia="pt-BR"/>
              </w:rPr>
            </w:pPr>
          </w:p>
          <w:p w14:paraId="2FB6B5A5">
            <w:pPr>
              <w:spacing w:after="0" w:line="240" w:lineRule="auto"/>
              <w:jc w:val="center"/>
              <w:rPr>
                <w:rFonts w:ascii="Arial" w:hAnsi="Arial" w:eastAsia="Times New Roman" w:cs="Arial"/>
                <w:color w:val="000000"/>
                <w:sz w:val="18"/>
                <w:szCs w:val="18"/>
                <w:lang w:val="en-US" w:eastAsia="pt-BR"/>
              </w:rPr>
            </w:pPr>
          </w:p>
          <w:p w14:paraId="0F6344E6">
            <w:pPr>
              <w:spacing w:after="0" w:line="240" w:lineRule="auto"/>
              <w:jc w:val="center"/>
              <w:rPr>
                <w:rFonts w:ascii="Arial" w:hAnsi="Arial" w:eastAsia="Times New Roman" w:cs="Arial"/>
                <w:color w:val="000000"/>
                <w:sz w:val="18"/>
                <w:szCs w:val="18"/>
                <w:lang w:val="en-US" w:eastAsia="pt-BR"/>
              </w:rPr>
            </w:pPr>
          </w:p>
          <w:p w14:paraId="6E56E9BE">
            <w:pPr>
              <w:spacing w:after="0" w:line="240" w:lineRule="auto"/>
              <w:jc w:val="center"/>
              <w:rPr>
                <w:rFonts w:ascii="Arial" w:hAnsi="Arial" w:eastAsia="Times New Roman" w:cs="Arial"/>
                <w:color w:val="000000"/>
                <w:sz w:val="18"/>
                <w:szCs w:val="18"/>
                <w:lang w:val="en-US" w:eastAsia="pt-BR"/>
              </w:rPr>
            </w:pPr>
          </w:p>
          <w:p w14:paraId="17521516">
            <w:pPr>
              <w:spacing w:after="0" w:line="240" w:lineRule="auto"/>
              <w:jc w:val="center"/>
              <w:rPr>
                <w:rFonts w:ascii="Arial" w:hAnsi="Arial" w:eastAsia="Times New Roman" w:cs="Arial"/>
                <w:color w:val="000000"/>
                <w:sz w:val="18"/>
                <w:szCs w:val="18"/>
                <w:lang w:val="en-US" w:eastAsia="pt-BR"/>
              </w:rPr>
            </w:pPr>
          </w:p>
          <w:p w14:paraId="42FFB898">
            <w:pPr>
              <w:spacing w:after="0" w:line="240" w:lineRule="auto"/>
              <w:jc w:val="center"/>
              <w:rPr>
                <w:rFonts w:ascii="Arial" w:hAnsi="Arial" w:eastAsia="Times New Roman" w:cs="Arial"/>
                <w:color w:val="000000"/>
                <w:sz w:val="18"/>
                <w:szCs w:val="18"/>
                <w:lang w:val="en-US" w:eastAsia="pt-BR"/>
              </w:rPr>
            </w:pPr>
          </w:p>
          <w:p w14:paraId="6759839F">
            <w:pPr>
              <w:spacing w:after="0" w:line="240" w:lineRule="auto"/>
              <w:jc w:val="center"/>
              <w:rPr>
                <w:rFonts w:ascii="Arial" w:hAnsi="Arial" w:eastAsia="Times New Roman" w:cs="Arial"/>
                <w:color w:val="000000"/>
                <w:sz w:val="18"/>
                <w:szCs w:val="18"/>
                <w:lang w:val="en-US" w:eastAsia="pt-BR"/>
              </w:rPr>
            </w:pPr>
          </w:p>
          <w:p w14:paraId="701B53E2">
            <w:pPr>
              <w:spacing w:after="0" w:line="240" w:lineRule="auto"/>
              <w:jc w:val="center"/>
              <w:rPr>
                <w:rFonts w:ascii="Arial" w:hAnsi="Arial" w:eastAsia="Times New Roman" w:cs="Arial"/>
                <w:color w:val="000000"/>
                <w:sz w:val="18"/>
                <w:szCs w:val="18"/>
                <w:lang w:val="en-US" w:eastAsia="pt-BR"/>
              </w:rPr>
            </w:pPr>
          </w:p>
          <w:p w14:paraId="636DFF3C">
            <w:pPr>
              <w:spacing w:after="0" w:line="240" w:lineRule="auto"/>
              <w:jc w:val="center"/>
              <w:rPr>
                <w:rFonts w:ascii="Arial" w:hAnsi="Arial" w:eastAsia="Times New Roman" w:cs="Arial"/>
                <w:color w:val="000000"/>
                <w:sz w:val="18"/>
                <w:szCs w:val="18"/>
                <w:lang w:val="en-US" w:eastAsia="pt-BR"/>
              </w:rPr>
            </w:pPr>
          </w:p>
          <w:p w14:paraId="1429B97C">
            <w:pPr>
              <w:spacing w:after="0" w:line="240" w:lineRule="auto"/>
              <w:jc w:val="center"/>
              <w:rPr>
                <w:rFonts w:ascii="Arial" w:hAnsi="Arial" w:eastAsia="Times New Roman" w:cs="Arial"/>
                <w:color w:val="000000"/>
                <w:sz w:val="18"/>
                <w:szCs w:val="18"/>
                <w:lang w:val="en-US" w:eastAsia="pt-BR"/>
              </w:rPr>
            </w:pPr>
            <w:r>
              <w:rPr>
                <w:rFonts w:ascii="Arial" w:hAnsi="Arial" w:eastAsia="Times New Roman" w:cs="Arial"/>
                <w:color w:val="000000"/>
                <w:sz w:val="18"/>
                <w:szCs w:val="18"/>
                <w:lang w:val="en-US" w:eastAsia="pt-BR"/>
              </w:rPr>
              <w:t>1000</w:t>
            </w:r>
          </w:p>
        </w:tc>
      </w:tr>
      <w:tr w14:paraId="36BBC2B0">
        <w:tblPrEx>
          <w:shd w:val="clear" w:color="auto" w:fill="FFFFFF" w:themeFill="background1"/>
          <w:tblCellMar>
            <w:top w:w="0" w:type="dxa"/>
            <w:left w:w="70" w:type="dxa"/>
            <w:bottom w:w="0" w:type="dxa"/>
            <w:right w:w="70" w:type="dxa"/>
          </w:tblCellMar>
        </w:tblPrEx>
        <w:trPr>
          <w:trHeight w:val="2537" w:hRule="atLeast"/>
        </w:trPr>
        <w:tc>
          <w:tcPr>
            <w:tcW w:w="988"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4406A988">
            <w:pPr>
              <w:spacing w:after="0" w:line="240" w:lineRule="auto"/>
              <w:jc w:val="center"/>
              <w:rPr>
                <w:rFonts w:ascii="Arial" w:hAnsi="Arial" w:eastAsia="Times New Roman" w:cs="Arial"/>
                <w:color w:val="000000"/>
                <w:sz w:val="18"/>
                <w:szCs w:val="18"/>
                <w:lang w:val="en-US" w:eastAsia="pt-BR"/>
              </w:rPr>
            </w:pPr>
            <w:r>
              <w:rPr>
                <w:rFonts w:ascii="Arial" w:hAnsi="Arial" w:eastAsia="Times New Roman" w:cs="Arial"/>
                <w:color w:val="000000"/>
                <w:sz w:val="18"/>
                <w:szCs w:val="18"/>
                <w:shd w:val="clear" w:color="auto" w:fill="FFFFFF" w:themeFill="background1"/>
                <w:lang w:val="en-US" w:eastAsia="pt-BR"/>
              </w:rPr>
              <w:t>16</w:t>
            </w:r>
          </w:p>
        </w:tc>
        <w:tc>
          <w:tcPr>
            <w:tcW w:w="3104" w:type="dxa"/>
            <w:tcBorders>
              <w:top w:val="single" w:color="auto" w:sz="4" w:space="0"/>
              <w:left w:val="single" w:color="auto" w:sz="4" w:space="0"/>
              <w:bottom w:val="single" w:color="auto" w:sz="4" w:space="0"/>
              <w:right w:val="single" w:color="auto" w:sz="4" w:space="0"/>
            </w:tcBorders>
            <w:shd w:val="clear" w:color="auto" w:fill="FFFFFF" w:themeFill="background1"/>
          </w:tcPr>
          <w:p w14:paraId="50CD7857">
            <w:pPr>
              <w:spacing w:after="0" w:line="240" w:lineRule="auto"/>
              <w:rPr>
                <w:rFonts w:ascii="Arial" w:hAnsi="Arial" w:eastAsia="Times New Roman" w:cs="Arial"/>
                <w:color w:val="000000"/>
                <w:sz w:val="18"/>
                <w:szCs w:val="18"/>
                <w:lang w:eastAsia="pt-BR"/>
              </w:rPr>
            </w:pPr>
            <w:r>
              <w:rPr>
                <w:rFonts w:ascii="Arial" w:hAnsi="Arial" w:eastAsia="Times New Roman" w:cs="Arial"/>
                <w:sz w:val="18"/>
                <w:szCs w:val="18"/>
                <w:lang w:eastAsia="pt-BR"/>
              </w:rPr>
              <w:t>TUBO - A VACUO PARA COLETA DE SANGUE- EM PLASTICO COM CAPA PROTETORA, TUBO A VACUO COM EDTA K2 + GEL SEPARADOR DE 5 ML DE ASPIRACAO (13X75), TAMPA ROXA COM ANEL AMARELO, USO PARA COLETA DE SANGUE NA HEMATOLOGIA, CARACTERISTICA ADICIONAL A VACUO, ESTERILIDADE ESTERIL, DESCARTAVEL</w:t>
            </w:r>
          </w:p>
        </w:tc>
        <w:tc>
          <w:tcPr>
            <w:tcW w:w="116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58E8EB3">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PACOTE</w:t>
            </w:r>
          </w:p>
        </w:tc>
        <w:tc>
          <w:tcPr>
            <w:tcW w:w="8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90554D9">
            <w:pPr>
              <w:spacing w:after="0" w:line="240" w:lineRule="auto"/>
              <w:jc w:val="center"/>
              <w:rPr>
                <w:rFonts w:ascii="Arial" w:hAnsi="Arial" w:eastAsia="Times New Roman" w:cs="Arial"/>
                <w:sz w:val="18"/>
                <w:szCs w:val="18"/>
                <w:lang w:eastAsia="pt-BR"/>
              </w:rPr>
            </w:pPr>
            <w:r>
              <w:rPr>
                <w:rFonts w:ascii="Arial" w:hAnsi="Arial" w:eastAsia="Times New Roman" w:cs="Arial"/>
                <w:sz w:val="18"/>
                <w:szCs w:val="18"/>
                <w:lang w:eastAsia="pt-BR"/>
              </w:rPr>
              <w:t>500</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Pr>
          <w:p w14:paraId="5C94F15B">
            <w:pPr>
              <w:spacing w:after="0" w:line="240" w:lineRule="auto"/>
              <w:jc w:val="center"/>
              <w:rPr>
                <w:rFonts w:ascii="Arial" w:hAnsi="Arial" w:eastAsia="Times New Roman" w:cs="Arial"/>
                <w:color w:val="000000"/>
                <w:sz w:val="18"/>
                <w:szCs w:val="18"/>
                <w:lang w:eastAsia="pt-BR"/>
              </w:rPr>
            </w:pPr>
          </w:p>
          <w:p w14:paraId="58FC18E2">
            <w:pPr>
              <w:spacing w:after="0" w:line="240" w:lineRule="auto"/>
              <w:jc w:val="center"/>
              <w:rPr>
                <w:rFonts w:ascii="Arial" w:hAnsi="Arial" w:eastAsia="Times New Roman" w:cs="Arial"/>
                <w:color w:val="000000"/>
                <w:sz w:val="18"/>
                <w:szCs w:val="18"/>
                <w:lang w:eastAsia="pt-BR"/>
              </w:rPr>
            </w:pPr>
          </w:p>
          <w:p w14:paraId="5A53745C">
            <w:pPr>
              <w:spacing w:after="0" w:line="240" w:lineRule="auto"/>
              <w:jc w:val="center"/>
              <w:rPr>
                <w:rFonts w:ascii="Arial" w:hAnsi="Arial" w:eastAsia="Times New Roman" w:cs="Arial"/>
                <w:color w:val="000000"/>
                <w:sz w:val="18"/>
                <w:szCs w:val="18"/>
                <w:lang w:eastAsia="pt-BR"/>
              </w:rPr>
            </w:pPr>
          </w:p>
          <w:p w14:paraId="4EA3DA98">
            <w:pPr>
              <w:spacing w:after="0" w:line="240" w:lineRule="auto"/>
              <w:jc w:val="center"/>
              <w:rPr>
                <w:rFonts w:ascii="Arial" w:hAnsi="Arial" w:eastAsia="Times New Roman" w:cs="Arial"/>
                <w:color w:val="000000"/>
                <w:sz w:val="18"/>
                <w:szCs w:val="18"/>
                <w:lang w:eastAsia="pt-BR"/>
              </w:rPr>
            </w:pPr>
          </w:p>
          <w:p w14:paraId="7F05C5A4">
            <w:pPr>
              <w:spacing w:after="0" w:line="240" w:lineRule="auto"/>
              <w:jc w:val="center"/>
              <w:rPr>
                <w:rFonts w:ascii="Arial" w:hAnsi="Arial" w:eastAsia="Times New Roman" w:cs="Arial"/>
                <w:color w:val="000000"/>
                <w:sz w:val="18"/>
                <w:szCs w:val="18"/>
                <w:lang w:eastAsia="pt-BR"/>
              </w:rPr>
            </w:pPr>
          </w:p>
          <w:p w14:paraId="1B7C2F46">
            <w:pPr>
              <w:spacing w:after="0" w:line="240" w:lineRule="auto"/>
              <w:jc w:val="center"/>
              <w:rPr>
                <w:rFonts w:ascii="Arial" w:hAnsi="Arial" w:eastAsia="Times New Roman" w:cs="Arial"/>
                <w:color w:val="000000"/>
                <w:sz w:val="18"/>
                <w:szCs w:val="18"/>
                <w:lang w:eastAsia="pt-BR"/>
              </w:rPr>
            </w:pPr>
          </w:p>
          <w:p w14:paraId="062E4C4D">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300</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Pr>
          <w:p w14:paraId="3931DE78">
            <w:pPr>
              <w:spacing w:after="0" w:line="240" w:lineRule="auto"/>
              <w:jc w:val="center"/>
              <w:rPr>
                <w:rFonts w:ascii="Arial" w:hAnsi="Arial" w:eastAsia="Times New Roman" w:cs="Arial"/>
                <w:color w:val="000000"/>
                <w:sz w:val="18"/>
                <w:szCs w:val="18"/>
                <w:lang w:eastAsia="pt-BR"/>
              </w:rPr>
            </w:pPr>
          </w:p>
          <w:p w14:paraId="493079C9">
            <w:pPr>
              <w:spacing w:after="0" w:line="240" w:lineRule="auto"/>
              <w:jc w:val="center"/>
              <w:rPr>
                <w:rFonts w:ascii="Arial" w:hAnsi="Arial" w:eastAsia="Times New Roman" w:cs="Arial"/>
                <w:color w:val="000000"/>
                <w:sz w:val="18"/>
                <w:szCs w:val="18"/>
                <w:lang w:eastAsia="pt-BR"/>
              </w:rPr>
            </w:pPr>
          </w:p>
          <w:p w14:paraId="63BCE5D7">
            <w:pPr>
              <w:spacing w:after="0" w:line="240" w:lineRule="auto"/>
              <w:jc w:val="center"/>
              <w:rPr>
                <w:rFonts w:ascii="Arial" w:hAnsi="Arial" w:eastAsia="Times New Roman" w:cs="Arial"/>
                <w:color w:val="000000"/>
                <w:sz w:val="18"/>
                <w:szCs w:val="18"/>
                <w:lang w:eastAsia="pt-BR"/>
              </w:rPr>
            </w:pPr>
          </w:p>
          <w:p w14:paraId="60CA506E">
            <w:pPr>
              <w:spacing w:after="0" w:line="240" w:lineRule="auto"/>
              <w:jc w:val="center"/>
              <w:rPr>
                <w:rFonts w:ascii="Arial" w:hAnsi="Arial" w:eastAsia="Times New Roman" w:cs="Arial"/>
                <w:color w:val="000000"/>
                <w:sz w:val="18"/>
                <w:szCs w:val="18"/>
                <w:lang w:eastAsia="pt-BR"/>
              </w:rPr>
            </w:pPr>
          </w:p>
          <w:p w14:paraId="4C7C784F">
            <w:pPr>
              <w:spacing w:after="0" w:line="240" w:lineRule="auto"/>
              <w:jc w:val="center"/>
              <w:rPr>
                <w:rFonts w:ascii="Arial" w:hAnsi="Arial" w:eastAsia="Times New Roman" w:cs="Arial"/>
                <w:color w:val="000000"/>
                <w:sz w:val="18"/>
                <w:szCs w:val="18"/>
                <w:lang w:eastAsia="pt-BR"/>
              </w:rPr>
            </w:pPr>
          </w:p>
          <w:p w14:paraId="5E203B33">
            <w:pPr>
              <w:spacing w:after="0" w:line="240" w:lineRule="auto"/>
              <w:jc w:val="center"/>
              <w:rPr>
                <w:rFonts w:ascii="Arial" w:hAnsi="Arial" w:eastAsia="Times New Roman" w:cs="Arial"/>
                <w:color w:val="000000"/>
                <w:sz w:val="18"/>
                <w:szCs w:val="18"/>
                <w:lang w:eastAsia="pt-BR"/>
              </w:rPr>
            </w:pPr>
          </w:p>
          <w:p w14:paraId="158BFED4">
            <w:pPr>
              <w:spacing w:after="0" w:line="240" w:lineRule="auto"/>
              <w:jc w:val="center"/>
              <w:rPr>
                <w:rFonts w:ascii="Arial" w:hAnsi="Arial" w:eastAsia="Times New Roman" w:cs="Arial"/>
                <w:color w:val="000000"/>
                <w:sz w:val="18"/>
                <w:szCs w:val="18"/>
                <w:lang w:eastAsia="pt-BR"/>
              </w:rPr>
            </w:pPr>
            <w:r>
              <w:rPr>
                <w:rFonts w:ascii="Arial" w:hAnsi="Arial" w:eastAsia="Times New Roman" w:cs="Arial"/>
                <w:color w:val="000000"/>
                <w:sz w:val="18"/>
                <w:szCs w:val="18"/>
                <w:lang w:eastAsia="pt-BR"/>
              </w:rPr>
              <w:t>500</w:t>
            </w:r>
          </w:p>
        </w:tc>
      </w:tr>
      <w:tr w14:paraId="2320ED75">
        <w:tblPrEx>
          <w:shd w:val="clear" w:color="auto" w:fill="FFFFFF" w:themeFill="background1"/>
          <w:tblCellMar>
            <w:top w:w="0" w:type="dxa"/>
            <w:left w:w="70" w:type="dxa"/>
            <w:bottom w:w="0" w:type="dxa"/>
            <w:right w:w="70" w:type="dxa"/>
          </w:tblCellMar>
        </w:tblPrEx>
        <w:trPr>
          <w:trHeight w:val="1745" w:hRule="atLeast"/>
        </w:trPr>
        <w:tc>
          <w:tcPr>
            <w:tcW w:w="988"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5C28B234">
            <w:pPr>
              <w:spacing w:after="0" w:line="240" w:lineRule="auto"/>
              <w:jc w:val="center"/>
              <w:rPr>
                <w:rFonts w:ascii="Arial" w:hAnsi="Arial" w:eastAsia="Times New Roman" w:cs="Arial"/>
                <w:color w:val="000000"/>
                <w:sz w:val="18"/>
                <w:szCs w:val="18"/>
                <w:shd w:val="clear" w:color="auto" w:fill="FFFFFF" w:themeFill="background1"/>
                <w:lang w:val="en-US" w:eastAsia="pt-BR"/>
              </w:rPr>
            </w:pPr>
            <w:r>
              <w:rPr>
                <w:rFonts w:ascii="Arial" w:hAnsi="Arial" w:eastAsia="Times New Roman" w:cs="Arial"/>
                <w:color w:val="000000"/>
                <w:sz w:val="18"/>
                <w:szCs w:val="18"/>
                <w:shd w:val="clear" w:color="auto" w:fill="FFFFFF" w:themeFill="background1"/>
                <w:lang w:val="en-US" w:eastAsia="pt-BR"/>
              </w:rPr>
              <w:t>17</w:t>
            </w:r>
          </w:p>
        </w:tc>
        <w:tc>
          <w:tcPr>
            <w:tcW w:w="3104" w:type="dxa"/>
            <w:tcBorders>
              <w:top w:val="single" w:color="auto" w:sz="4" w:space="0"/>
              <w:left w:val="single" w:color="auto" w:sz="4" w:space="0"/>
              <w:bottom w:val="single" w:color="auto" w:sz="4" w:space="0"/>
              <w:right w:val="single" w:color="auto" w:sz="4" w:space="0"/>
            </w:tcBorders>
            <w:shd w:val="clear" w:color="auto" w:fill="FFFFFF" w:themeFill="background1"/>
          </w:tcPr>
          <w:p w14:paraId="666E3A33">
            <w:pPr>
              <w:textAlignment w:val="top"/>
              <w:rPr>
                <w:rStyle w:val="160"/>
                <w:rFonts w:ascii="Arial" w:hAnsi="Arial" w:eastAsia="SimSun" w:cs="Arial"/>
                <w:color w:val="000000" w:themeColor="text1"/>
                <w:sz w:val="18"/>
                <w:szCs w:val="18"/>
                <w:lang w:val="en-US" w:eastAsia="zh-CN" w:bidi="ar"/>
                <w14:textFill>
                  <w14:solidFill>
                    <w14:schemeClr w14:val="tx1"/>
                  </w14:solidFill>
                </w14:textFill>
              </w:rPr>
            </w:pPr>
            <w:r>
              <w:rPr>
                <w:rStyle w:val="164"/>
                <w:rFonts w:ascii="Arial" w:hAnsi="Arial" w:eastAsia="SimSun" w:cs="Arial"/>
                <w:color w:val="000000" w:themeColor="text1"/>
                <w:sz w:val="18"/>
                <w:szCs w:val="18"/>
                <w:lang w:val="en-US" w:eastAsia="zh-CN" w:bidi="ar"/>
                <w14:textFill>
                  <w14:solidFill>
                    <w14:schemeClr w14:val="tx1"/>
                  </w14:solidFill>
                </w14:textFill>
              </w:rPr>
              <w:t xml:space="preserve">TUBO A VACUO PARA COLETA DE SANGUE - TUBOS PARA COLETA DE SANGUE, MICROTUBOS COM EDTA K2, SEM CAPILAR VOLUME: 2,0 ML TAMANHO DO TUBO: 10 X 45 MM. </w:t>
            </w:r>
            <w:r>
              <w:rPr>
                <w:rStyle w:val="164"/>
                <w:rFonts w:ascii="Arial" w:hAnsi="Arial" w:eastAsia="SimSun" w:cs="Arial"/>
                <w:color w:val="000000" w:themeColor="text1"/>
                <w:sz w:val="18"/>
                <w:szCs w:val="18"/>
                <w:lang w:eastAsia="zh-CN" w:bidi="ar"/>
                <w14:textFill>
                  <w14:solidFill>
                    <w14:schemeClr w14:val="tx1"/>
                  </w14:solidFill>
                </w14:textFill>
              </w:rPr>
              <w:t xml:space="preserve">PACOTE COM 100 UNIDADE </w:t>
            </w:r>
          </w:p>
          <w:p w14:paraId="3735EF6B">
            <w:pPr>
              <w:textAlignment w:val="top"/>
              <w:rPr>
                <w:rFonts w:ascii="Arial" w:hAnsi="Arial" w:cs="Arial"/>
                <w:color w:val="000000" w:themeColor="text1"/>
                <w:sz w:val="18"/>
                <w:szCs w:val="18"/>
                <w:lang w:eastAsia="pt-BR"/>
                <w14:textFill>
                  <w14:solidFill>
                    <w14:schemeClr w14:val="tx1"/>
                  </w14:solidFill>
                </w14:textFill>
              </w:rPr>
            </w:pPr>
          </w:p>
        </w:tc>
        <w:tc>
          <w:tcPr>
            <w:tcW w:w="116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B2EA23B">
            <w:pPr>
              <w:spacing w:after="0" w:line="240" w:lineRule="auto"/>
              <w:jc w:val="center"/>
              <w:rPr>
                <w:rFonts w:ascii="Arial" w:hAnsi="Arial" w:eastAsia="Times New Roman" w:cs="Arial"/>
                <w:color w:val="000000" w:themeColor="text1"/>
                <w:sz w:val="18"/>
                <w:szCs w:val="18"/>
                <w:lang w:val="en-US" w:eastAsia="pt-BR"/>
                <w14:textFill>
                  <w14:solidFill>
                    <w14:schemeClr w14:val="tx1"/>
                  </w14:solidFill>
                </w14:textFill>
              </w:rPr>
            </w:pPr>
            <w:r>
              <w:rPr>
                <w:rFonts w:ascii="Arial" w:hAnsi="Arial" w:eastAsia="Times New Roman" w:cs="Arial"/>
                <w:color w:val="000000" w:themeColor="text1"/>
                <w:sz w:val="18"/>
                <w:szCs w:val="18"/>
                <w:lang w:val="en-US" w:eastAsia="pt-BR"/>
                <w14:textFill>
                  <w14:solidFill>
                    <w14:schemeClr w14:val="tx1"/>
                  </w14:solidFill>
                </w14:textFill>
              </w:rPr>
              <w:t>PACOTE</w:t>
            </w:r>
          </w:p>
        </w:tc>
        <w:tc>
          <w:tcPr>
            <w:tcW w:w="8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7127A6A">
            <w:pPr>
              <w:spacing w:after="0" w:line="240" w:lineRule="auto"/>
              <w:jc w:val="center"/>
              <w:rPr>
                <w:rFonts w:ascii="Arial" w:hAnsi="Arial" w:eastAsia="Times New Roman" w:cs="Arial"/>
                <w:color w:val="000000" w:themeColor="text1"/>
                <w:sz w:val="18"/>
                <w:szCs w:val="18"/>
                <w:lang w:val="en-US" w:eastAsia="pt-BR"/>
                <w14:textFill>
                  <w14:solidFill>
                    <w14:schemeClr w14:val="tx1"/>
                  </w14:solidFill>
                </w14:textFill>
              </w:rPr>
            </w:pPr>
            <w:r>
              <w:rPr>
                <w:rFonts w:ascii="Arial" w:hAnsi="Arial" w:eastAsia="Times New Roman" w:cs="Arial"/>
                <w:color w:val="000000" w:themeColor="text1"/>
                <w:sz w:val="18"/>
                <w:szCs w:val="18"/>
                <w:lang w:val="en-US" w:eastAsia="pt-BR"/>
                <w14:textFill>
                  <w14:solidFill>
                    <w14:schemeClr w14:val="tx1"/>
                  </w14:solidFill>
                </w14:textFill>
              </w:rPr>
              <w:t>200</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Pr>
          <w:p w14:paraId="5AEF0B33">
            <w:pPr>
              <w:spacing w:after="0" w:line="240" w:lineRule="auto"/>
              <w:jc w:val="center"/>
              <w:rPr>
                <w:rFonts w:ascii="Arial" w:hAnsi="Arial" w:eastAsia="Times New Roman" w:cs="Arial"/>
                <w:color w:val="000000" w:themeColor="text1"/>
                <w:sz w:val="18"/>
                <w:szCs w:val="18"/>
                <w:lang w:eastAsia="pt-BR"/>
                <w14:textFill>
                  <w14:solidFill>
                    <w14:schemeClr w14:val="tx1"/>
                  </w14:solidFill>
                </w14:textFill>
              </w:rPr>
            </w:pPr>
          </w:p>
          <w:p w14:paraId="1F8D8370">
            <w:pPr>
              <w:spacing w:after="0" w:line="240" w:lineRule="auto"/>
              <w:jc w:val="center"/>
              <w:rPr>
                <w:rFonts w:ascii="Arial" w:hAnsi="Arial" w:eastAsia="Times New Roman" w:cs="Arial"/>
                <w:color w:val="000000" w:themeColor="text1"/>
                <w:sz w:val="18"/>
                <w:szCs w:val="18"/>
                <w:lang w:eastAsia="pt-BR"/>
                <w14:textFill>
                  <w14:solidFill>
                    <w14:schemeClr w14:val="tx1"/>
                  </w14:solidFill>
                </w14:textFill>
              </w:rPr>
            </w:pPr>
          </w:p>
          <w:p w14:paraId="12F82659">
            <w:pPr>
              <w:spacing w:after="0" w:line="240" w:lineRule="auto"/>
              <w:jc w:val="center"/>
              <w:rPr>
                <w:rFonts w:ascii="Arial" w:hAnsi="Arial" w:eastAsia="Times New Roman" w:cs="Arial"/>
                <w:color w:val="000000" w:themeColor="text1"/>
                <w:sz w:val="18"/>
                <w:szCs w:val="18"/>
                <w:lang w:eastAsia="pt-BR"/>
                <w14:textFill>
                  <w14:solidFill>
                    <w14:schemeClr w14:val="tx1"/>
                  </w14:solidFill>
                </w14:textFill>
              </w:rPr>
            </w:pPr>
          </w:p>
          <w:p w14:paraId="54E3E2D2">
            <w:pPr>
              <w:spacing w:after="0" w:line="240" w:lineRule="auto"/>
              <w:jc w:val="center"/>
              <w:rPr>
                <w:rFonts w:ascii="Arial" w:hAnsi="Arial" w:eastAsia="Times New Roman" w:cs="Arial"/>
                <w:color w:val="000000" w:themeColor="text1"/>
                <w:sz w:val="18"/>
                <w:szCs w:val="18"/>
                <w:lang w:eastAsia="pt-BR"/>
                <w14:textFill>
                  <w14:solidFill>
                    <w14:schemeClr w14:val="tx1"/>
                  </w14:solidFill>
                </w14:textFill>
              </w:rPr>
            </w:pPr>
          </w:p>
          <w:p w14:paraId="45817EDC">
            <w:pPr>
              <w:spacing w:after="0" w:line="240" w:lineRule="auto"/>
              <w:jc w:val="center"/>
              <w:rPr>
                <w:rFonts w:ascii="Arial" w:hAnsi="Arial" w:eastAsia="Times New Roman" w:cs="Arial"/>
                <w:color w:val="000000" w:themeColor="text1"/>
                <w:sz w:val="18"/>
                <w:szCs w:val="18"/>
                <w:lang w:eastAsia="pt-BR"/>
                <w14:textFill>
                  <w14:solidFill>
                    <w14:schemeClr w14:val="tx1"/>
                  </w14:solidFill>
                </w14:textFill>
              </w:rPr>
            </w:pPr>
          </w:p>
          <w:p w14:paraId="13EC9F55">
            <w:pPr>
              <w:spacing w:after="0" w:line="240" w:lineRule="auto"/>
              <w:rPr>
                <w:rFonts w:ascii="Arial" w:hAnsi="Arial" w:eastAsia="Times New Roman" w:cs="Arial"/>
                <w:color w:val="000000" w:themeColor="text1"/>
                <w:sz w:val="18"/>
                <w:szCs w:val="18"/>
                <w:lang w:eastAsia="pt-BR"/>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      150</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Pr>
          <w:p w14:paraId="77A93872">
            <w:pPr>
              <w:spacing w:after="0" w:line="240" w:lineRule="auto"/>
              <w:jc w:val="center"/>
              <w:rPr>
                <w:rFonts w:ascii="Arial" w:hAnsi="Arial" w:eastAsia="Times New Roman" w:cs="Arial"/>
                <w:color w:val="000000" w:themeColor="text1"/>
                <w:sz w:val="18"/>
                <w:szCs w:val="18"/>
                <w:lang w:eastAsia="pt-BR"/>
                <w14:textFill>
                  <w14:solidFill>
                    <w14:schemeClr w14:val="tx1"/>
                  </w14:solidFill>
                </w14:textFill>
              </w:rPr>
            </w:pPr>
          </w:p>
          <w:p w14:paraId="31E772F0">
            <w:pPr>
              <w:spacing w:after="0" w:line="240" w:lineRule="auto"/>
              <w:jc w:val="center"/>
              <w:rPr>
                <w:rFonts w:ascii="Arial" w:hAnsi="Arial" w:eastAsia="Times New Roman" w:cs="Arial"/>
                <w:color w:val="000000" w:themeColor="text1"/>
                <w:sz w:val="18"/>
                <w:szCs w:val="18"/>
                <w:lang w:eastAsia="pt-BR"/>
                <w14:textFill>
                  <w14:solidFill>
                    <w14:schemeClr w14:val="tx1"/>
                  </w14:solidFill>
                </w14:textFill>
              </w:rPr>
            </w:pPr>
          </w:p>
          <w:p w14:paraId="17312F0A">
            <w:pPr>
              <w:spacing w:after="0" w:line="240" w:lineRule="auto"/>
              <w:jc w:val="center"/>
              <w:rPr>
                <w:rFonts w:ascii="Arial" w:hAnsi="Arial" w:eastAsia="Times New Roman" w:cs="Arial"/>
                <w:color w:val="000000" w:themeColor="text1"/>
                <w:sz w:val="18"/>
                <w:szCs w:val="18"/>
                <w:lang w:eastAsia="pt-BR"/>
                <w14:textFill>
                  <w14:solidFill>
                    <w14:schemeClr w14:val="tx1"/>
                  </w14:solidFill>
                </w14:textFill>
              </w:rPr>
            </w:pPr>
          </w:p>
          <w:p w14:paraId="54E661E8">
            <w:pPr>
              <w:spacing w:after="0" w:line="240" w:lineRule="auto"/>
              <w:jc w:val="center"/>
              <w:rPr>
                <w:rFonts w:ascii="Arial" w:hAnsi="Arial" w:eastAsia="Times New Roman" w:cs="Arial"/>
                <w:color w:val="000000" w:themeColor="text1"/>
                <w:sz w:val="18"/>
                <w:szCs w:val="18"/>
                <w:lang w:eastAsia="pt-BR"/>
                <w14:textFill>
                  <w14:solidFill>
                    <w14:schemeClr w14:val="tx1"/>
                  </w14:solidFill>
                </w14:textFill>
              </w:rPr>
            </w:pPr>
          </w:p>
          <w:p w14:paraId="2546E1DE">
            <w:pPr>
              <w:spacing w:after="0" w:line="240" w:lineRule="auto"/>
              <w:jc w:val="center"/>
              <w:rPr>
                <w:rFonts w:ascii="Arial" w:hAnsi="Arial" w:eastAsia="Times New Roman" w:cs="Arial"/>
                <w:color w:val="000000" w:themeColor="text1"/>
                <w:sz w:val="18"/>
                <w:szCs w:val="18"/>
                <w:lang w:eastAsia="pt-BR"/>
                <w14:textFill>
                  <w14:solidFill>
                    <w14:schemeClr w14:val="tx1"/>
                  </w14:solidFill>
                </w14:textFill>
              </w:rPr>
            </w:pPr>
          </w:p>
          <w:p w14:paraId="2B53BA4C">
            <w:pPr>
              <w:spacing w:after="0" w:line="240" w:lineRule="auto"/>
              <w:rPr>
                <w:rFonts w:ascii="Arial" w:hAnsi="Arial" w:eastAsia="Times New Roman" w:cs="Arial"/>
                <w:color w:val="000000" w:themeColor="text1"/>
                <w:sz w:val="18"/>
                <w:szCs w:val="18"/>
                <w:lang w:eastAsia="pt-BR"/>
                <w14:textFill>
                  <w14:solidFill>
                    <w14:schemeClr w14:val="tx1"/>
                  </w14:solidFill>
                </w14:textFill>
              </w:rPr>
            </w:pPr>
            <w:r>
              <w:rPr>
                <w:rFonts w:ascii="Arial" w:hAnsi="Arial" w:eastAsia="Times New Roman" w:cs="Arial"/>
                <w:color w:val="000000" w:themeColor="text1"/>
                <w:sz w:val="18"/>
                <w:szCs w:val="18"/>
                <w:lang w:eastAsia="pt-BR"/>
                <w14:textFill>
                  <w14:solidFill>
                    <w14:schemeClr w14:val="tx1"/>
                  </w14:solidFill>
                </w14:textFill>
              </w:rPr>
              <w:t xml:space="preserve">     200</w:t>
            </w:r>
          </w:p>
          <w:p w14:paraId="461EB560">
            <w:pPr>
              <w:spacing w:after="0" w:line="240" w:lineRule="auto"/>
              <w:jc w:val="center"/>
              <w:rPr>
                <w:rFonts w:ascii="Arial" w:hAnsi="Arial" w:eastAsia="Times New Roman" w:cs="Arial"/>
                <w:color w:val="000000" w:themeColor="text1"/>
                <w:sz w:val="18"/>
                <w:szCs w:val="18"/>
                <w:lang w:eastAsia="pt-BR"/>
                <w14:textFill>
                  <w14:solidFill>
                    <w14:schemeClr w14:val="tx1"/>
                  </w14:solidFill>
                </w14:textFill>
              </w:rPr>
            </w:pPr>
          </w:p>
        </w:tc>
      </w:tr>
    </w:tbl>
    <w:p w14:paraId="13F4CC45">
      <w:pPr>
        <w:pStyle w:val="16"/>
        <w:spacing w:before="240" w:after="240"/>
        <w:ind w:left="96"/>
        <w:jc w:val="both"/>
        <w:rPr>
          <w:rFonts w:ascii="Times New Roman" w:hAnsi="Times New Roman" w:cs="Times New Roman"/>
          <w:sz w:val="24"/>
          <w:szCs w:val="24"/>
        </w:rPr>
      </w:pPr>
      <w:r>
        <w:rPr>
          <w:rFonts w:ascii="Times New Roman" w:hAnsi="Times New Roman" w:cs="Times New Roman"/>
          <w:sz w:val="24"/>
          <w:szCs w:val="24"/>
          <w:lang w:val="pt-BR" w:eastAsia="pt-BR"/>
        </w:rPr>
        <mc:AlternateContent>
          <mc:Choice Requires="wps">
            <w:drawing>
              <wp:inline distT="0" distB="0" distL="0" distR="0">
                <wp:extent cx="5556250" cy="226060"/>
                <wp:effectExtent l="4445" t="4445" r="20955" b="17145"/>
                <wp:docPr id="8" name="Textbox 3"/>
                <wp:cNvGraphicFramePr/>
                <a:graphic xmlns:a="http://schemas.openxmlformats.org/drawingml/2006/main">
                  <a:graphicData uri="http://schemas.microsoft.com/office/word/2010/wordprocessingShape">
                    <wps:wsp>
                      <wps:cNvSpPr txBox="1"/>
                      <wps:spPr>
                        <a:xfrm>
                          <a:off x="0" y="0"/>
                          <a:ext cx="5556250" cy="226243"/>
                        </a:xfrm>
                        <a:prstGeom prst="rect">
                          <a:avLst/>
                        </a:prstGeom>
                        <a:solidFill>
                          <a:srgbClr val="D6D6D6"/>
                        </a:solidFill>
                        <a:ln w="6096">
                          <a:solidFill>
                            <a:srgbClr val="000000"/>
                          </a:solidFill>
                          <a:prstDash val="solid"/>
                        </a:ln>
                      </wps:spPr>
                      <wps:txbx>
                        <w:txbxContent>
                          <w:p w14:paraId="15A24DE9">
                            <w:pPr>
                              <w:spacing w:before="61"/>
                              <w:ind w:left="16"/>
                              <w:jc w:val="center"/>
                              <w:rPr>
                                <w:rFonts w:ascii="Arial" w:hAnsi="Arial" w:cs="Arial"/>
                                <w:b/>
                                <w:color w:val="000000"/>
                              </w:rPr>
                            </w:pPr>
                            <w:r>
                              <w:rPr>
                                <w:rFonts w:ascii="Arial" w:hAnsi="Arial" w:cs="Arial"/>
                                <w:b/>
                                <w:color w:val="000000"/>
                              </w:rPr>
                              <w:t>3. JUSTIFICATIVA/ NECESSIDADE DA CONTRATAÇÃO</w:t>
                            </w:r>
                          </w:p>
                        </w:txbxContent>
                      </wps:txbx>
                      <wps:bodyPr wrap="square" lIns="0" tIns="0" rIns="0" bIns="0" rtlCol="0">
                        <a:noAutofit/>
                      </wps:bodyPr>
                    </wps:wsp>
                  </a:graphicData>
                </a:graphic>
              </wp:inline>
            </w:drawing>
          </mc:Choice>
          <mc:Fallback>
            <w:pict>
              <v:shape id="Textbox 3" o:spid="_x0000_s1026" o:spt="202" type="#_x0000_t202" style="height:17.8pt;width:437.5pt;" fillcolor="#D6D6D6" filled="t" stroked="t" coordsize="21600,21600" o:gfxdata="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Ew+t&#10;fNQAAAAEAQAADwAAAAAAAAABACAAAAAiAAAAZHJzL2Rvd25yZXYueG1sUEsBAhQAFAAAAAgAh07i&#10;QJL1zjDtAQAACwQAAA4AAAAAAAAAAQAgAAAAIwEAAGRycy9lMm9Eb2MueG1sUEsFBgAAAAAGAAYA&#10;WQEAAIIFAAAAAA==&#10;">
                <v:fill on="t" focussize="0,0"/>
                <v:stroke weight="0.48pt" color="#000000" joinstyle="round"/>
                <v:imagedata o:title=""/>
                <o:lock v:ext="edit" aspectratio="f"/>
                <v:textbox inset="0mm,0mm,0mm,0mm">
                  <w:txbxContent>
                    <w:p w14:paraId="15A24DE9">
                      <w:pPr>
                        <w:spacing w:before="61"/>
                        <w:ind w:left="16"/>
                        <w:jc w:val="center"/>
                        <w:rPr>
                          <w:rFonts w:ascii="Arial" w:hAnsi="Arial" w:cs="Arial"/>
                          <w:b/>
                          <w:color w:val="000000"/>
                        </w:rPr>
                      </w:pPr>
                      <w:r>
                        <w:rPr>
                          <w:rFonts w:ascii="Arial" w:hAnsi="Arial" w:cs="Arial"/>
                          <w:b/>
                          <w:color w:val="000000"/>
                        </w:rPr>
                        <w:t>3. JUSTIFICATIVA/ NECESSIDADE DA CONTRATAÇÃO</w:t>
                      </w:r>
                    </w:p>
                  </w:txbxContent>
                </v:textbox>
                <w10:wrap type="none"/>
                <w10:anchorlock/>
              </v:shape>
            </w:pict>
          </mc:Fallback>
        </mc:AlternateContent>
      </w:r>
    </w:p>
    <w:p w14:paraId="6C87088E">
      <w:pPr>
        <w:pStyle w:val="20"/>
        <w:shd w:val="clear" w:color="auto" w:fill="FFFFFF"/>
        <w:spacing w:line="360" w:lineRule="auto"/>
        <w:jc w:val="both"/>
        <w:rPr>
          <w:rFonts w:ascii="Arial" w:hAnsi="Arial" w:cs="Arial"/>
          <w:b/>
          <w:bCs/>
        </w:rPr>
      </w:pPr>
      <w:r>
        <w:rPr>
          <w:rFonts w:ascii="Arial" w:hAnsi="Arial" w:cs="Arial"/>
          <w:b/>
          <w:bCs/>
        </w:rPr>
        <w:t xml:space="preserve">3.1. </w:t>
      </w:r>
      <w:bookmarkStart w:id="66" w:name="_Hlk188872205"/>
      <w:r>
        <w:rPr>
          <w:rFonts w:ascii="Arial" w:hAnsi="Arial" w:cs="Arial"/>
          <w:b/>
          <w:bCs/>
        </w:rPr>
        <w:t>JUSTIFICATIVA:</w:t>
      </w:r>
    </w:p>
    <w:p w14:paraId="369216E1">
      <w:pPr>
        <w:pStyle w:val="20"/>
        <w:shd w:val="clear" w:color="auto" w:fill="FFFFFF"/>
        <w:spacing w:line="360" w:lineRule="auto"/>
        <w:jc w:val="both"/>
        <w:rPr>
          <w:rFonts w:ascii="Arial" w:hAnsi="Arial" w:cs="Arial"/>
          <w:b/>
          <w:sz w:val="22"/>
          <w:szCs w:val="22"/>
        </w:rPr>
      </w:pPr>
      <w:r>
        <w:rPr>
          <w:rFonts w:ascii="Arial" w:hAnsi="Arial" w:cs="Arial"/>
          <w:b/>
          <w:sz w:val="22"/>
          <w:szCs w:val="22"/>
        </w:rPr>
        <w:t xml:space="preserve"> </w:t>
      </w:r>
      <w:bookmarkStart w:id="67" w:name="_Hlk189584038"/>
      <w:r>
        <w:rPr>
          <w:rFonts w:ascii="Arial" w:hAnsi="Arial" w:cs="Arial"/>
          <w:sz w:val="22"/>
          <w:szCs w:val="22"/>
        </w:rPr>
        <w:t>O presente processo justifica-se pelo fato que esses itens foram fracassado e ou cancelados no processo 54/2024, itens necessários para continuidade da prestação dos serviços de assistência laboratoriais, é imprescindível que seja realizado esse processo com os itens apresentados na tabela.</w:t>
      </w:r>
      <w:bookmarkEnd w:id="67"/>
    </w:p>
    <w:p w14:paraId="1D848205">
      <w:pPr>
        <w:pStyle w:val="20"/>
        <w:shd w:val="clear" w:color="auto" w:fill="FFFFFF"/>
        <w:spacing w:line="360" w:lineRule="auto"/>
        <w:jc w:val="both"/>
        <w:rPr>
          <w:rFonts w:ascii="Arial" w:hAnsi="Arial" w:cs="Arial"/>
          <w:sz w:val="22"/>
          <w:szCs w:val="22"/>
        </w:rPr>
      </w:pPr>
      <w:r>
        <w:rPr>
          <w:rFonts w:ascii="Arial" w:hAnsi="Arial" w:cs="Arial"/>
          <w:b/>
          <w:bCs/>
          <w:sz w:val="22"/>
          <w:szCs w:val="22"/>
        </w:rPr>
        <w:t xml:space="preserve"> </w:t>
      </w:r>
      <w:r>
        <w:rPr>
          <w:rFonts w:ascii="Arial" w:hAnsi="Arial" w:cs="Arial"/>
          <w:sz w:val="22"/>
          <w:szCs w:val="22"/>
        </w:rPr>
        <w:t>Faz-se necessária a aquisição de materiais e insumos para atender o Laboratório Municipal de Análises Clínicas, a fim de proporcionar a realização de exames conforme demanda dos usuários que procuram o Sistema Único de Saúde do município de Sinop/MT. Sabendo-se que esses itens são de extrema importância para o bom andamento das atividades laboratoriais e detecção de patologias, solicitamos os mesmos.</w:t>
      </w:r>
    </w:p>
    <w:p w14:paraId="7F7CA9D8">
      <w:pPr>
        <w:pStyle w:val="20"/>
        <w:shd w:val="clear" w:color="auto" w:fill="FFFFFF"/>
        <w:spacing w:line="360" w:lineRule="auto"/>
        <w:jc w:val="both"/>
        <w:rPr>
          <w:rFonts w:ascii="Arial" w:hAnsi="Arial" w:cs="Arial"/>
          <w:sz w:val="22"/>
          <w:szCs w:val="22"/>
        </w:rPr>
      </w:pPr>
      <w:r>
        <w:rPr>
          <w:rFonts w:ascii="Arial" w:hAnsi="Arial" w:cs="Arial"/>
          <w:sz w:val="22"/>
          <w:szCs w:val="22"/>
        </w:rPr>
        <w:t xml:space="preserve"> Manutenção dos setores no Laboratório Municipal de Análises Clínicas, como setor de microbiologia na confecção das placas de meios de cultura para semeadura e kits para identificação das bactérias dos exames de urocultura e antibiogramas.</w:t>
      </w:r>
    </w:p>
    <w:p w14:paraId="6C8CADDD">
      <w:pPr>
        <w:pStyle w:val="20"/>
        <w:shd w:val="clear" w:color="auto" w:fill="FFFFFF"/>
        <w:spacing w:line="360" w:lineRule="auto"/>
        <w:jc w:val="both"/>
        <w:rPr>
          <w:rFonts w:ascii="Arial" w:hAnsi="Arial" w:cs="Arial"/>
          <w:sz w:val="22"/>
          <w:szCs w:val="22"/>
        </w:rPr>
      </w:pPr>
      <w:r>
        <w:rPr>
          <w:rFonts w:ascii="Arial" w:hAnsi="Arial" w:cs="Arial"/>
          <w:sz w:val="22"/>
          <w:szCs w:val="22"/>
        </w:rPr>
        <w:t xml:space="preserve"> Atender a necessidade da Atenção Básica de Saúde no que tange à realização dos exames de dengue, zika, chikungunya, sendo de grande importância principalmente nas gestantes.</w:t>
      </w:r>
    </w:p>
    <w:p w14:paraId="6BF6F4CA">
      <w:pPr>
        <w:pStyle w:val="20"/>
        <w:shd w:val="clear" w:color="auto" w:fill="FFFFFF"/>
        <w:spacing w:line="360" w:lineRule="auto"/>
        <w:jc w:val="both"/>
        <w:rPr>
          <w:rFonts w:ascii="Arial" w:hAnsi="Arial" w:cs="Arial"/>
          <w:sz w:val="22"/>
          <w:szCs w:val="22"/>
        </w:rPr>
      </w:pPr>
      <w:r>
        <w:rPr>
          <w:rFonts w:ascii="Arial" w:hAnsi="Arial" w:cs="Arial"/>
          <w:sz w:val="22"/>
          <w:szCs w:val="22"/>
        </w:rPr>
        <w:t xml:space="preserve"> Atender demanda do setor de carga viral de HIV, hepatite C e hepatite B, quanto aos EPI’s adequados, luvas de nitrila/vinil e máscara N95.</w:t>
      </w:r>
    </w:p>
    <w:bookmarkEnd w:id="66"/>
    <w:p w14:paraId="4860360C">
      <w:pPr>
        <w:spacing w:before="240"/>
        <w:ind w:left="108"/>
        <w:rPr>
          <w:rFonts w:ascii="Arial" w:hAnsi="Arial" w:cs="Arial"/>
          <w:b/>
          <w:bCs/>
          <w:sz w:val="22"/>
          <w:szCs w:val="22"/>
        </w:rPr>
      </w:pPr>
      <w:r>
        <w:rPr>
          <w:rFonts w:ascii="Arial" w:hAnsi="Arial" w:cs="Arial"/>
          <w:b/>
          <w:bCs/>
          <w:sz w:val="22"/>
          <w:szCs w:val="22"/>
        </w:rPr>
        <w:t>3.2. MATRIZ</w:t>
      </w:r>
      <w:r>
        <w:rPr>
          <w:rFonts w:ascii="Arial" w:hAnsi="Arial" w:cs="Arial"/>
          <w:b/>
          <w:bCs/>
          <w:spacing w:val="-6"/>
          <w:sz w:val="22"/>
          <w:szCs w:val="22"/>
        </w:rPr>
        <w:t xml:space="preserve"> </w:t>
      </w:r>
      <w:r>
        <w:rPr>
          <w:rFonts w:ascii="Arial" w:hAnsi="Arial" w:cs="Arial"/>
          <w:b/>
          <w:bCs/>
          <w:sz w:val="22"/>
          <w:szCs w:val="22"/>
        </w:rPr>
        <w:t>DE</w:t>
      </w:r>
      <w:r>
        <w:rPr>
          <w:rFonts w:ascii="Arial" w:hAnsi="Arial" w:cs="Arial"/>
          <w:b/>
          <w:bCs/>
          <w:spacing w:val="-6"/>
          <w:sz w:val="22"/>
          <w:szCs w:val="22"/>
        </w:rPr>
        <w:t xml:space="preserve"> </w:t>
      </w:r>
      <w:r>
        <w:rPr>
          <w:rFonts w:ascii="Arial" w:hAnsi="Arial" w:cs="Arial"/>
          <w:b/>
          <w:bCs/>
          <w:spacing w:val="-4"/>
          <w:sz w:val="22"/>
          <w:szCs w:val="22"/>
        </w:rPr>
        <w:t>RISCO</w:t>
      </w:r>
    </w:p>
    <w:p w14:paraId="61D79B4B">
      <w:pPr>
        <w:pStyle w:val="16"/>
        <w:spacing w:before="240" w:after="240" w:line="360" w:lineRule="auto"/>
        <w:ind w:left="108"/>
        <w:jc w:val="both"/>
        <w:rPr>
          <w:rFonts w:ascii="Arial" w:hAnsi="Arial" w:cs="Arial"/>
          <w:sz w:val="22"/>
          <w:szCs w:val="22"/>
        </w:rPr>
      </w:pPr>
      <w:bookmarkStart w:id="68" w:name="_Hlk188610871"/>
      <w:r>
        <w:rPr>
          <w:rFonts w:ascii="Arial" w:hAnsi="Arial" w:cs="Arial"/>
          <w:sz w:val="22"/>
          <w:szCs w:val="22"/>
        </w:rPr>
        <w:t xml:space="preserve">A matriz de risco para esta processo licitatório não foi adotada, disposto expressamente no inciso XXVII do art. 6° da </w:t>
      </w:r>
      <w:r>
        <w:rPr>
          <w:rFonts w:ascii="Arial" w:hAnsi="Arial" w:cs="Arial"/>
          <w:b/>
          <w:sz w:val="22"/>
          <w:szCs w:val="22"/>
        </w:rPr>
        <w:t xml:space="preserve">Lei 14.133/2021 </w:t>
      </w:r>
      <w:r>
        <w:rPr>
          <w:rFonts w:ascii="Arial" w:hAnsi="Arial" w:cs="Arial"/>
          <w:sz w:val="22"/>
          <w:szCs w:val="22"/>
        </w:rPr>
        <w:t>como cláusula necessária dos contratos administrativos, quando couber de acordo com o art. 92, inciso IX. Em regra, a adoção de matriz de risco é facultativa, levando em consideração que em determinadas contratações, notadamente comuns e simples, não</w:t>
      </w:r>
      <w:r>
        <w:rPr>
          <w:rFonts w:ascii="Arial" w:hAnsi="Arial" w:cs="Arial"/>
          <w:spacing w:val="-2"/>
          <w:sz w:val="22"/>
          <w:szCs w:val="22"/>
        </w:rPr>
        <w:t xml:space="preserve"> </w:t>
      </w:r>
      <w:r>
        <w:rPr>
          <w:rFonts w:ascii="Arial" w:hAnsi="Arial" w:cs="Arial"/>
          <w:sz w:val="22"/>
          <w:szCs w:val="22"/>
        </w:rPr>
        <w:t>seria</w:t>
      </w:r>
      <w:r>
        <w:rPr>
          <w:rFonts w:ascii="Arial" w:hAnsi="Arial" w:cs="Arial"/>
          <w:spacing w:val="-4"/>
          <w:sz w:val="22"/>
          <w:szCs w:val="22"/>
        </w:rPr>
        <w:t xml:space="preserve"> </w:t>
      </w:r>
      <w:r>
        <w:rPr>
          <w:rFonts w:ascii="Arial" w:hAnsi="Arial" w:cs="Arial"/>
          <w:sz w:val="22"/>
          <w:szCs w:val="22"/>
        </w:rPr>
        <w:t>adequada,</w:t>
      </w:r>
      <w:r>
        <w:rPr>
          <w:rFonts w:ascii="Arial" w:hAnsi="Arial" w:cs="Arial"/>
          <w:spacing w:val="-3"/>
          <w:sz w:val="22"/>
          <w:szCs w:val="22"/>
        </w:rPr>
        <w:t xml:space="preserve"> </w:t>
      </w:r>
      <w:r>
        <w:rPr>
          <w:rFonts w:ascii="Arial" w:hAnsi="Arial" w:cs="Arial"/>
          <w:sz w:val="22"/>
          <w:szCs w:val="22"/>
        </w:rPr>
        <w:t>sendo</w:t>
      </w:r>
      <w:r>
        <w:rPr>
          <w:rFonts w:ascii="Arial" w:hAnsi="Arial" w:cs="Arial"/>
          <w:spacing w:val="-4"/>
          <w:sz w:val="22"/>
          <w:szCs w:val="22"/>
        </w:rPr>
        <w:t xml:space="preserve"> </w:t>
      </w:r>
      <w:r>
        <w:rPr>
          <w:rFonts w:ascii="Arial" w:hAnsi="Arial" w:cs="Arial"/>
          <w:sz w:val="22"/>
          <w:szCs w:val="22"/>
        </w:rPr>
        <w:t>assim</w:t>
      </w:r>
      <w:r>
        <w:rPr>
          <w:rFonts w:ascii="Arial" w:hAnsi="Arial" w:cs="Arial"/>
          <w:spacing w:val="-3"/>
          <w:sz w:val="22"/>
          <w:szCs w:val="22"/>
        </w:rPr>
        <w:t xml:space="preserve"> </w:t>
      </w:r>
      <w:r>
        <w:rPr>
          <w:rFonts w:ascii="Arial" w:hAnsi="Arial" w:cs="Arial"/>
          <w:sz w:val="22"/>
          <w:szCs w:val="22"/>
        </w:rPr>
        <w:t>obrigatória</w:t>
      </w:r>
      <w:r>
        <w:rPr>
          <w:rFonts w:ascii="Arial" w:hAnsi="Arial" w:cs="Arial"/>
          <w:spacing w:val="-4"/>
          <w:sz w:val="22"/>
          <w:szCs w:val="22"/>
        </w:rPr>
        <w:t xml:space="preserve"> </w:t>
      </w:r>
      <w:r>
        <w:rPr>
          <w:rFonts w:ascii="Arial" w:hAnsi="Arial" w:cs="Arial"/>
          <w:sz w:val="22"/>
          <w:szCs w:val="22"/>
        </w:rPr>
        <w:t>em</w:t>
      </w:r>
      <w:r>
        <w:rPr>
          <w:rFonts w:ascii="Arial" w:hAnsi="Arial" w:cs="Arial"/>
          <w:spacing w:val="-3"/>
          <w:sz w:val="22"/>
          <w:szCs w:val="22"/>
        </w:rPr>
        <w:t xml:space="preserve"> </w:t>
      </w:r>
      <w:r>
        <w:rPr>
          <w:rFonts w:ascii="Arial" w:hAnsi="Arial" w:cs="Arial"/>
          <w:sz w:val="22"/>
          <w:szCs w:val="22"/>
        </w:rPr>
        <w:t>obras,</w:t>
      </w:r>
      <w:r>
        <w:rPr>
          <w:rFonts w:ascii="Arial" w:hAnsi="Arial" w:cs="Arial"/>
          <w:spacing w:val="-5"/>
          <w:sz w:val="22"/>
          <w:szCs w:val="22"/>
        </w:rPr>
        <w:t xml:space="preserve"> </w:t>
      </w:r>
      <w:r>
        <w:rPr>
          <w:rFonts w:ascii="Arial" w:hAnsi="Arial" w:cs="Arial"/>
          <w:sz w:val="22"/>
          <w:szCs w:val="22"/>
        </w:rPr>
        <w:t>serviços</w:t>
      </w:r>
      <w:r>
        <w:rPr>
          <w:rFonts w:ascii="Arial" w:hAnsi="Arial" w:cs="Arial"/>
          <w:spacing w:val="-1"/>
          <w:sz w:val="22"/>
          <w:szCs w:val="22"/>
        </w:rPr>
        <w:t xml:space="preserve"> </w:t>
      </w:r>
      <w:r>
        <w:rPr>
          <w:rFonts w:ascii="Arial" w:hAnsi="Arial" w:cs="Arial"/>
          <w:sz w:val="22"/>
          <w:szCs w:val="22"/>
        </w:rPr>
        <w:t>e</w:t>
      </w:r>
      <w:r>
        <w:rPr>
          <w:rFonts w:ascii="Arial" w:hAnsi="Arial" w:cs="Arial"/>
          <w:spacing w:val="-4"/>
          <w:sz w:val="22"/>
          <w:szCs w:val="22"/>
        </w:rPr>
        <w:t xml:space="preserve"> </w:t>
      </w:r>
      <w:r>
        <w:rPr>
          <w:rFonts w:ascii="Arial" w:hAnsi="Arial" w:cs="Arial"/>
          <w:sz w:val="22"/>
          <w:szCs w:val="22"/>
        </w:rPr>
        <w:t>fornecimentos</w:t>
      </w:r>
      <w:r>
        <w:rPr>
          <w:rFonts w:ascii="Arial" w:hAnsi="Arial" w:cs="Arial"/>
          <w:spacing w:val="-4"/>
          <w:sz w:val="22"/>
          <w:szCs w:val="22"/>
        </w:rPr>
        <w:t xml:space="preserve"> </w:t>
      </w:r>
      <w:r>
        <w:rPr>
          <w:rFonts w:ascii="Arial" w:hAnsi="Arial" w:cs="Arial"/>
          <w:sz w:val="22"/>
          <w:szCs w:val="22"/>
        </w:rPr>
        <w:t>de grande vulto, sendo aquelas cujo o seu valor estimado seja superior a R$</w:t>
      </w:r>
      <w:r>
        <w:rPr>
          <w:rFonts w:ascii="Arial" w:hAnsi="Arial" w:cs="Arial"/>
          <w:spacing w:val="-6"/>
          <w:sz w:val="22"/>
          <w:szCs w:val="22"/>
        </w:rPr>
        <w:t xml:space="preserve"> </w:t>
      </w:r>
      <w:r>
        <w:rPr>
          <w:rFonts w:ascii="Arial" w:hAnsi="Arial" w:cs="Arial"/>
          <w:sz w:val="22"/>
          <w:szCs w:val="22"/>
        </w:rPr>
        <w:t>200.000.000,00</w:t>
      </w:r>
      <w:r>
        <w:rPr>
          <w:rFonts w:ascii="Arial" w:hAnsi="Arial" w:cs="Arial"/>
          <w:spacing w:val="-10"/>
          <w:sz w:val="22"/>
          <w:szCs w:val="22"/>
        </w:rPr>
        <w:t xml:space="preserve"> </w:t>
      </w:r>
      <w:r>
        <w:rPr>
          <w:rFonts w:ascii="Arial" w:hAnsi="Arial" w:cs="Arial"/>
          <w:sz w:val="22"/>
          <w:szCs w:val="22"/>
        </w:rPr>
        <w:t>(duzentos</w:t>
      </w:r>
      <w:r>
        <w:rPr>
          <w:rFonts w:ascii="Arial" w:hAnsi="Arial" w:cs="Arial"/>
          <w:spacing w:val="-5"/>
          <w:sz w:val="22"/>
          <w:szCs w:val="22"/>
        </w:rPr>
        <w:t xml:space="preserve"> </w:t>
      </w:r>
      <w:r>
        <w:rPr>
          <w:rFonts w:ascii="Arial" w:hAnsi="Arial" w:cs="Arial"/>
          <w:sz w:val="22"/>
          <w:szCs w:val="22"/>
        </w:rPr>
        <w:t>milhões</w:t>
      </w:r>
      <w:r>
        <w:rPr>
          <w:rFonts w:ascii="Arial" w:hAnsi="Arial" w:cs="Arial"/>
          <w:spacing w:val="-4"/>
          <w:sz w:val="22"/>
          <w:szCs w:val="22"/>
        </w:rPr>
        <w:t xml:space="preserve"> </w:t>
      </w:r>
      <w:r>
        <w:rPr>
          <w:rFonts w:ascii="Arial" w:hAnsi="Arial" w:cs="Arial"/>
          <w:sz w:val="22"/>
          <w:szCs w:val="22"/>
        </w:rPr>
        <w:t>de</w:t>
      </w:r>
      <w:r>
        <w:rPr>
          <w:rFonts w:ascii="Arial" w:hAnsi="Arial" w:cs="Arial"/>
          <w:spacing w:val="-8"/>
          <w:sz w:val="22"/>
          <w:szCs w:val="22"/>
        </w:rPr>
        <w:t xml:space="preserve"> </w:t>
      </w:r>
      <w:r>
        <w:rPr>
          <w:rFonts w:ascii="Arial" w:hAnsi="Arial" w:cs="Arial"/>
          <w:sz w:val="22"/>
          <w:szCs w:val="22"/>
        </w:rPr>
        <w:t>reais),</w:t>
      </w:r>
      <w:r>
        <w:rPr>
          <w:rFonts w:ascii="Arial" w:hAnsi="Arial" w:cs="Arial"/>
          <w:spacing w:val="-8"/>
          <w:sz w:val="22"/>
          <w:szCs w:val="22"/>
        </w:rPr>
        <w:t xml:space="preserve"> </w:t>
      </w:r>
      <w:r>
        <w:rPr>
          <w:rFonts w:ascii="Arial" w:hAnsi="Arial" w:cs="Arial"/>
          <w:spacing w:val="-2"/>
          <w:sz w:val="22"/>
          <w:szCs w:val="22"/>
        </w:rPr>
        <w:t>vejamos:</w:t>
      </w:r>
    </w:p>
    <w:p w14:paraId="276D7094">
      <w:pPr>
        <w:spacing w:after="0" w:line="240" w:lineRule="auto"/>
        <w:ind w:left="2268"/>
        <w:jc w:val="both"/>
        <w:rPr>
          <w:rFonts w:ascii="Arial" w:hAnsi="Arial" w:cs="Arial"/>
          <w:iCs/>
          <w:sz w:val="20"/>
          <w:szCs w:val="20"/>
        </w:rPr>
      </w:pPr>
      <w:r>
        <w:rPr>
          <w:rFonts w:ascii="Arial" w:hAnsi="Arial" w:cs="Arial"/>
          <w:b/>
          <w:iCs/>
          <w:sz w:val="20"/>
          <w:szCs w:val="20"/>
        </w:rPr>
        <w:t>Art.</w:t>
      </w:r>
      <w:r>
        <w:rPr>
          <w:rFonts w:ascii="Arial" w:hAnsi="Arial" w:cs="Arial"/>
          <w:b/>
          <w:iCs/>
          <w:spacing w:val="-4"/>
          <w:sz w:val="20"/>
          <w:szCs w:val="20"/>
        </w:rPr>
        <w:t xml:space="preserve"> </w:t>
      </w:r>
      <w:r>
        <w:rPr>
          <w:rFonts w:ascii="Arial" w:hAnsi="Arial" w:cs="Arial"/>
          <w:b/>
          <w:iCs/>
          <w:sz w:val="20"/>
          <w:szCs w:val="20"/>
        </w:rPr>
        <w:t>22,</w:t>
      </w:r>
      <w:r>
        <w:rPr>
          <w:rFonts w:ascii="Arial" w:hAnsi="Arial" w:cs="Arial"/>
          <w:b/>
          <w:iCs/>
          <w:spacing w:val="-1"/>
          <w:sz w:val="20"/>
          <w:szCs w:val="20"/>
        </w:rPr>
        <w:t xml:space="preserve"> </w:t>
      </w:r>
      <w:r>
        <w:rPr>
          <w:rFonts w:ascii="Arial" w:hAnsi="Arial" w:cs="Arial"/>
          <w:b/>
          <w:iCs/>
          <w:sz w:val="20"/>
          <w:szCs w:val="20"/>
        </w:rPr>
        <w:t>§</w:t>
      </w:r>
      <w:r>
        <w:rPr>
          <w:rFonts w:ascii="Arial" w:hAnsi="Arial" w:cs="Arial"/>
          <w:b/>
          <w:iCs/>
          <w:spacing w:val="-4"/>
          <w:sz w:val="20"/>
          <w:szCs w:val="20"/>
        </w:rPr>
        <w:t xml:space="preserve"> </w:t>
      </w:r>
      <w:r>
        <w:rPr>
          <w:rFonts w:ascii="Arial" w:hAnsi="Arial" w:cs="Arial"/>
          <w:b/>
          <w:iCs/>
          <w:sz w:val="20"/>
          <w:szCs w:val="20"/>
        </w:rPr>
        <w:t>3°</w:t>
      </w:r>
      <w:r>
        <w:rPr>
          <w:rFonts w:ascii="Arial" w:hAnsi="Arial" w:cs="Arial"/>
          <w:b/>
          <w:iCs/>
          <w:spacing w:val="40"/>
          <w:sz w:val="20"/>
          <w:szCs w:val="20"/>
        </w:rPr>
        <w:t xml:space="preserve"> </w:t>
      </w:r>
      <w:r>
        <w:rPr>
          <w:rFonts w:ascii="Arial" w:hAnsi="Arial" w:cs="Arial"/>
          <w:iCs/>
          <w:sz w:val="20"/>
          <w:szCs w:val="20"/>
        </w:rPr>
        <w:t>Quando</w:t>
      </w:r>
      <w:r>
        <w:rPr>
          <w:rFonts w:ascii="Arial" w:hAnsi="Arial" w:cs="Arial"/>
          <w:iCs/>
          <w:spacing w:val="-4"/>
          <w:sz w:val="20"/>
          <w:szCs w:val="20"/>
        </w:rPr>
        <w:t xml:space="preserve"> </w:t>
      </w:r>
      <w:r>
        <w:rPr>
          <w:rFonts w:ascii="Arial" w:hAnsi="Arial" w:cs="Arial"/>
          <w:iCs/>
          <w:sz w:val="20"/>
          <w:szCs w:val="20"/>
        </w:rPr>
        <w:t>a</w:t>
      </w:r>
      <w:r>
        <w:rPr>
          <w:rFonts w:ascii="Arial" w:hAnsi="Arial" w:cs="Arial"/>
          <w:iCs/>
          <w:spacing w:val="-1"/>
          <w:sz w:val="20"/>
          <w:szCs w:val="20"/>
        </w:rPr>
        <w:t xml:space="preserve"> </w:t>
      </w:r>
      <w:r>
        <w:rPr>
          <w:rFonts w:ascii="Arial" w:hAnsi="Arial" w:cs="Arial"/>
          <w:iCs/>
          <w:sz w:val="20"/>
          <w:szCs w:val="20"/>
        </w:rPr>
        <w:t>contração</w:t>
      </w:r>
      <w:r>
        <w:rPr>
          <w:rFonts w:ascii="Arial" w:hAnsi="Arial" w:cs="Arial"/>
          <w:iCs/>
          <w:spacing w:val="-4"/>
          <w:sz w:val="20"/>
          <w:szCs w:val="20"/>
        </w:rPr>
        <w:t xml:space="preserve"> </w:t>
      </w:r>
      <w:r>
        <w:rPr>
          <w:rFonts w:ascii="Arial" w:hAnsi="Arial" w:cs="Arial"/>
          <w:iCs/>
          <w:sz w:val="20"/>
          <w:szCs w:val="20"/>
        </w:rPr>
        <w:t>se</w:t>
      </w:r>
      <w:r>
        <w:rPr>
          <w:rFonts w:ascii="Arial" w:hAnsi="Arial" w:cs="Arial"/>
          <w:iCs/>
          <w:spacing w:val="-1"/>
          <w:sz w:val="20"/>
          <w:szCs w:val="20"/>
        </w:rPr>
        <w:t xml:space="preserve"> </w:t>
      </w:r>
      <w:r>
        <w:rPr>
          <w:rFonts w:ascii="Arial" w:hAnsi="Arial" w:cs="Arial"/>
          <w:iCs/>
          <w:sz w:val="20"/>
          <w:szCs w:val="20"/>
        </w:rPr>
        <w:t>referir</w:t>
      </w:r>
      <w:r>
        <w:rPr>
          <w:rFonts w:ascii="Arial" w:hAnsi="Arial" w:cs="Arial"/>
          <w:iCs/>
          <w:spacing w:val="-3"/>
          <w:sz w:val="20"/>
          <w:szCs w:val="20"/>
        </w:rPr>
        <w:t xml:space="preserve"> </w:t>
      </w:r>
      <w:r>
        <w:rPr>
          <w:rFonts w:ascii="Arial" w:hAnsi="Arial" w:cs="Arial"/>
          <w:iCs/>
          <w:sz w:val="20"/>
          <w:szCs w:val="20"/>
        </w:rPr>
        <w:t>a</w:t>
      </w:r>
      <w:r>
        <w:rPr>
          <w:rFonts w:ascii="Arial" w:hAnsi="Arial" w:cs="Arial"/>
          <w:iCs/>
          <w:spacing w:val="-1"/>
          <w:sz w:val="20"/>
          <w:szCs w:val="20"/>
        </w:rPr>
        <w:t xml:space="preserve"> </w:t>
      </w:r>
      <w:r>
        <w:rPr>
          <w:rFonts w:ascii="Arial" w:hAnsi="Arial" w:cs="Arial"/>
          <w:iCs/>
          <w:sz w:val="20"/>
          <w:szCs w:val="20"/>
        </w:rPr>
        <w:t>obras</w:t>
      </w:r>
      <w:r>
        <w:rPr>
          <w:rFonts w:ascii="Arial" w:hAnsi="Arial" w:cs="Arial"/>
          <w:iCs/>
          <w:spacing w:val="-3"/>
          <w:sz w:val="20"/>
          <w:szCs w:val="20"/>
        </w:rPr>
        <w:t xml:space="preserve"> </w:t>
      </w:r>
      <w:r>
        <w:rPr>
          <w:rFonts w:ascii="Arial" w:hAnsi="Arial" w:cs="Arial"/>
          <w:iCs/>
          <w:sz w:val="20"/>
          <w:szCs w:val="20"/>
        </w:rPr>
        <w:t>e</w:t>
      </w:r>
      <w:r>
        <w:rPr>
          <w:rFonts w:ascii="Arial" w:hAnsi="Arial" w:cs="Arial"/>
          <w:iCs/>
          <w:spacing w:val="-3"/>
          <w:sz w:val="20"/>
          <w:szCs w:val="20"/>
        </w:rPr>
        <w:t xml:space="preserve"> </w:t>
      </w:r>
      <w:r>
        <w:rPr>
          <w:rFonts w:ascii="Arial" w:hAnsi="Arial" w:cs="Arial"/>
          <w:iCs/>
          <w:sz w:val="20"/>
          <w:szCs w:val="20"/>
        </w:rPr>
        <w:t>serviços</w:t>
      </w:r>
      <w:r>
        <w:rPr>
          <w:rFonts w:ascii="Arial" w:hAnsi="Arial" w:cs="Arial"/>
          <w:iCs/>
          <w:spacing w:val="-3"/>
          <w:sz w:val="20"/>
          <w:szCs w:val="20"/>
        </w:rPr>
        <w:t xml:space="preserve"> </w:t>
      </w:r>
      <w:r>
        <w:rPr>
          <w:rFonts w:ascii="Arial" w:hAnsi="Arial" w:cs="Arial"/>
          <w:iCs/>
          <w:sz w:val="20"/>
          <w:szCs w:val="20"/>
        </w:rPr>
        <w:t xml:space="preserve">de grande vulto ou forem adotados os regimes de contratação integrada e semi-integrada, o edital obrigatoriamente contemplará matriz de alocação de riscos entre o contratante e o </w:t>
      </w:r>
      <w:r>
        <w:rPr>
          <w:rFonts w:ascii="Arial" w:hAnsi="Arial" w:cs="Arial"/>
          <w:iCs/>
          <w:spacing w:val="-2"/>
          <w:sz w:val="20"/>
          <w:szCs w:val="20"/>
        </w:rPr>
        <w:t>contratado.</w:t>
      </w:r>
    </w:p>
    <w:p w14:paraId="2C84998F">
      <w:pPr>
        <w:pStyle w:val="16"/>
        <w:ind w:left="2268"/>
        <w:jc w:val="both"/>
        <w:rPr>
          <w:rFonts w:ascii="Arial" w:hAnsi="Arial" w:cs="Arial"/>
          <w:iCs/>
          <w:sz w:val="20"/>
          <w:szCs w:val="20"/>
        </w:rPr>
      </w:pPr>
    </w:p>
    <w:p w14:paraId="7603DAD6">
      <w:pPr>
        <w:spacing w:after="0" w:line="240" w:lineRule="auto"/>
        <w:ind w:left="2268"/>
        <w:jc w:val="both"/>
        <w:rPr>
          <w:rFonts w:ascii="Arial" w:hAnsi="Arial" w:cs="Arial"/>
          <w:iCs/>
          <w:sz w:val="20"/>
          <w:szCs w:val="20"/>
        </w:rPr>
      </w:pPr>
      <w:r>
        <w:rPr>
          <w:rFonts w:ascii="Arial" w:hAnsi="Arial" w:cs="Arial"/>
          <w:b/>
          <w:iCs/>
          <w:sz w:val="20"/>
          <w:szCs w:val="20"/>
        </w:rPr>
        <w:t>Art.</w:t>
      </w:r>
      <w:r>
        <w:rPr>
          <w:rFonts w:ascii="Arial" w:hAnsi="Arial" w:cs="Arial"/>
          <w:b/>
          <w:iCs/>
          <w:spacing w:val="-2"/>
          <w:sz w:val="20"/>
          <w:szCs w:val="20"/>
        </w:rPr>
        <w:t xml:space="preserve"> </w:t>
      </w:r>
      <w:r>
        <w:rPr>
          <w:rFonts w:ascii="Arial" w:hAnsi="Arial" w:cs="Arial"/>
          <w:b/>
          <w:iCs/>
          <w:sz w:val="20"/>
          <w:szCs w:val="20"/>
        </w:rPr>
        <w:t>6°,</w:t>
      </w:r>
      <w:r>
        <w:rPr>
          <w:rFonts w:ascii="Arial" w:hAnsi="Arial" w:cs="Arial"/>
          <w:b/>
          <w:iCs/>
          <w:spacing w:val="-5"/>
          <w:sz w:val="20"/>
          <w:szCs w:val="20"/>
        </w:rPr>
        <w:t xml:space="preserve"> </w:t>
      </w:r>
      <w:r>
        <w:rPr>
          <w:rFonts w:ascii="Arial" w:hAnsi="Arial" w:cs="Arial"/>
          <w:b/>
          <w:iCs/>
          <w:sz w:val="20"/>
          <w:szCs w:val="20"/>
        </w:rPr>
        <w:t>Inciso</w:t>
      </w:r>
      <w:r>
        <w:rPr>
          <w:rFonts w:ascii="Arial" w:hAnsi="Arial" w:cs="Arial"/>
          <w:b/>
          <w:iCs/>
          <w:spacing w:val="-3"/>
          <w:sz w:val="20"/>
          <w:szCs w:val="20"/>
        </w:rPr>
        <w:t xml:space="preserve"> </w:t>
      </w:r>
      <w:r>
        <w:rPr>
          <w:rFonts w:ascii="Arial" w:hAnsi="Arial" w:cs="Arial"/>
          <w:b/>
          <w:iCs/>
          <w:sz w:val="20"/>
          <w:szCs w:val="20"/>
        </w:rPr>
        <w:t>XXII</w:t>
      </w:r>
      <w:r>
        <w:rPr>
          <w:rFonts w:ascii="Arial" w:hAnsi="Arial" w:cs="Arial"/>
          <w:b/>
          <w:iCs/>
          <w:spacing w:val="-2"/>
          <w:sz w:val="20"/>
          <w:szCs w:val="20"/>
        </w:rPr>
        <w:t xml:space="preserve"> </w:t>
      </w:r>
      <w:r>
        <w:rPr>
          <w:rFonts w:ascii="Arial" w:hAnsi="Arial" w:cs="Arial"/>
          <w:iCs/>
          <w:sz w:val="20"/>
          <w:szCs w:val="20"/>
        </w:rPr>
        <w:t>-</w:t>
      </w:r>
      <w:r>
        <w:rPr>
          <w:rFonts w:ascii="Arial" w:hAnsi="Arial" w:cs="Arial"/>
          <w:iCs/>
          <w:spacing w:val="-5"/>
          <w:sz w:val="20"/>
          <w:szCs w:val="20"/>
        </w:rPr>
        <w:t xml:space="preserve"> </w:t>
      </w:r>
      <w:r>
        <w:rPr>
          <w:rFonts w:ascii="Arial" w:hAnsi="Arial" w:cs="Arial"/>
          <w:iCs/>
          <w:sz w:val="20"/>
          <w:szCs w:val="20"/>
        </w:rPr>
        <w:t>obras,</w:t>
      </w:r>
      <w:r>
        <w:rPr>
          <w:rFonts w:ascii="Arial" w:hAnsi="Arial" w:cs="Arial"/>
          <w:iCs/>
          <w:spacing w:val="-3"/>
          <w:sz w:val="20"/>
          <w:szCs w:val="20"/>
        </w:rPr>
        <w:t xml:space="preserve"> </w:t>
      </w:r>
      <w:r>
        <w:rPr>
          <w:rFonts w:ascii="Arial" w:hAnsi="Arial" w:cs="Arial"/>
          <w:iCs/>
          <w:sz w:val="20"/>
          <w:szCs w:val="20"/>
        </w:rPr>
        <w:t>serviços</w:t>
      </w:r>
      <w:r>
        <w:rPr>
          <w:rFonts w:ascii="Arial" w:hAnsi="Arial" w:cs="Arial"/>
          <w:iCs/>
          <w:spacing w:val="-5"/>
          <w:sz w:val="20"/>
          <w:szCs w:val="20"/>
        </w:rPr>
        <w:t xml:space="preserve"> </w:t>
      </w:r>
      <w:r>
        <w:rPr>
          <w:rFonts w:ascii="Arial" w:hAnsi="Arial" w:cs="Arial"/>
          <w:iCs/>
          <w:sz w:val="20"/>
          <w:szCs w:val="20"/>
        </w:rPr>
        <w:t>e</w:t>
      </w:r>
      <w:r>
        <w:rPr>
          <w:rFonts w:ascii="Arial" w:hAnsi="Arial" w:cs="Arial"/>
          <w:iCs/>
          <w:spacing w:val="-6"/>
          <w:sz w:val="20"/>
          <w:szCs w:val="20"/>
        </w:rPr>
        <w:t xml:space="preserve"> </w:t>
      </w:r>
      <w:r>
        <w:rPr>
          <w:rFonts w:ascii="Arial" w:hAnsi="Arial" w:cs="Arial"/>
          <w:iCs/>
          <w:sz w:val="20"/>
          <w:szCs w:val="20"/>
        </w:rPr>
        <w:t>fornecimentos</w:t>
      </w:r>
      <w:r>
        <w:rPr>
          <w:rFonts w:ascii="Arial" w:hAnsi="Arial" w:cs="Arial"/>
          <w:iCs/>
          <w:spacing w:val="-5"/>
          <w:sz w:val="20"/>
          <w:szCs w:val="20"/>
        </w:rPr>
        <w:t xml:space="preserve"> </w:t>
      </w:r>
      <w:r>
        <w:rPr>
          <w:rFonts w:ascii="Arial" w:hAnsi="Arial" w:cs="Arial"/>
          <w:iCs/>
          <w:sz w:val="20"/>
          <w:szCs w:val="20"/>
        </w:rPr>
        <w:t>de</w:t>
      </w:r>
      <w:r>
        <w:rPr>
          <w:rFonts w:ascii="Arial" w:hAnsi="Arial" w:cs="Arial"/>
          <w:iCs/>
          <w:spacing w:val="-3"/>
          <w:sz w:val="20"/>
          <w:szCs w:val="20"/>
        </w:rPr>
        <w:t xml:space="preserve"> </w:t>
      </w:r>
      <w:r>
        <w:rPr>
          <w:rFonts w:ascii="Arial" w:hAnsi="Arial" w:cs="Arial"/>
          <w:iCs/>
          <w:sz w:val="20"/>
          <w:szCs w:val="20"/>
        </w:rPr>
        <w:t>grande</w:t>
      </w:r>
      <w:r>
        <w:rPr>
          <w:rFonts w:ascii="Arial" w:hAnsi="Arial" w:cs="Arial"/>
          <w:iCs/>
          <w:spacing w:val="-5"/>
          <w:sz w:val="20"/>
          <w:szCs w:val="20"/>
        </w:rPr>
        <w:t xml:space="preserve"> </w:t>
      </w:r>
      <w:r>
        <w:rPr>
          <w:rFonts w:ascii="Arial" w:hAnsi="Arial" w:cs="Arial"/>
          <w:iCs/>
          <w:sz w:val="20"/>
          <w:szCs w:val="20"/>
        </w:rPr>
        <w:t>vulto: aqueles cujo valor estimado supera R$ 200.000.000,00 (duzentos milhões de reais).</w:t>
      </w:r>
    </w:p>
    <w:p w14:paraId="14E98CE8">
      <w:pPr>
        <w:spacing w:before="240" w:after="240" w:line="360" w:lineRule="auto"/>
        <w:ind w:left="108"/>
        <w:jc w:val="both"/>
        <w:rPr>
          <w:rFonts w:ascii="Arial" w:hAnsi="Arial" w:cs="Arial"/>
          <w:b/>
          <w:bCs/>
          <w:sz w:val="22"/>
          <w:szCs w:val="22"/>
        </w:rPr>
      </w:pPr>
      <w:bookmarkStart w:id="69" w:name="_Hlk167274215"/>
      <w:r>
        <w:rPr>
          <w:rFonts w:ascii="Arial" w:hAnsi="Arial" w:cs="Arial"/>
          <w:b/>
          <w:bCs/>
          <w:spacing w:val="-4"/>
          <w:sz w:val="22"/>
          <w:szCs w:val="22"/>
        </w:rPr>
        <w:t xml:space="preserve">3.3. </w:t>
      </w:r>
      <w:r>
        <w:rPr>
          <w:rFonts w:ascii="Arial" w:hAnsi="Arial" w:cs="Arial"/>
          <w:b/>
          <w:bCs/>
          <w:sz w:val="22"/>
          <w:szCs w:val="22"/>
        </w:rPr>
        <w:t>MAPA /GERENCIAMENTO DE RISCO</w:t>
      </w:r>
    </w:p>
    <w:p w14:paraId="5ECF6417">
      <w:pPr>
        <w:spacing w:before="240" w:after="240" w:line="360" w:lineRule="auto"/>
        <w:ind w:left="108"/>
        <w:jc w:val="both"/>
        <w:rPr>
          <w:rFonts w:ascii="Arial" w:hAnsi="Arial" w:cs="Arial"/>
          <w:sz w:val="22"/>
          <w:szCs w:val="22"/>
        </w:rPr>
      </w:pPr>
      <w:r>
        <w:rPr>
          <w:rFonts w:ascii="Arial" w:hAnsi="Arial" w:cs="Arial"/>
          <w:sz w:val="22"/>
          <w:szCs w:val="22"/>
        </w:rPr>
        <w:t>O gerenciamento de riscos permite ações contínuas de planejamento, organização e controle dos recursos relacionados aos riscos que possam comprometer o sucesso da contratação, da execução do objeto e da gestão contratual. Identificar os riscos, analisá-los e propor estratégias de mitigação é fundamental para garantir a eficácia e a segurança contratual. A comunicação transparente com as partes interessadas também é essencial para manter todos informados e engajados. Muito embora o gerenciamento de risco seja um dos requisitos primordiais para elaboração do Estudo Técnico Preliminar, o art. 521, §2° disposto no Decreto Municipal nº 359/2023 traz hipóteses de dispensa deste:</w:t>
      </w:r>
    </w:p>
    <w:p w14:paraId="553FAEF4">
      <w:pPr>
        <w:spacing w:line="360" w:lineRule="auto"/>
        <w:ind w:left="2268"/>
        <w:jc w:val="both"/>
        <w:rPr>
          <w:rFonts w:ascii="Arial" w:hAnsi="Arial" w:cs="Arial"/>
          <w:i/>
          <w:iCs/>
          <w:sz w:val="20"/>
          <w:szCs w:val="20"/>
        </w:rPr>
      </w:pPr>
      <w:r>
        <w:rPr>
          <w:rFonts w:ascii="Arial" w:hAnsi="Arial" w:cs="Arial"/>
          <w:b/>
          <w:bCs/>
          <w:i/>
          <w:iCs/>
          <w:sz w:val="20"/>
          <w:szCs w:val="20"/>
        </w:rPr>
        <w:t xml:space="preserve">Art. 521, </w:t>
      </w:r>
      <w:bookmarkStart w:id="70" w:name="_Hlk166218260"/>
      <w:r>
        <w:rPr>
          <w:rFonts w:ascii="Arial" w:hAnsi="Arial" w:cs="Arial"/>
          <w:b/>
          <w:bCs/>
          <w:i/>
          <w:iCs/>
          <w:sz w:val="20"/>
          <w:szCs w:val="20"/>
        </w:rPr>
        <w:t>§2°.</w:t>
      </w:r>
      <w:r>
        <w:rPr>
          <w:rFonts w:ascii="Arial" w:hAnsi="Arial" w:cs="Arial"/>
          <w:i/>
          <w:iCs/>
          <w:sz w:val="20"/>
          <w:szCs w:val="20"/>
        </w:rPr>
        <w:t xml:space="preserve"> </w:t>
      </w:r>
      <w:bookmarkEnd w:id="70"/>
      <w:r>
        <w:rPr>
          <w:rFonts w:ascii="Arial" w:hAnsi="Arial" w:cs="Arial"/>
          <w:i/>
          <w:iCs/>
          <w:sz w:val="20"/>
          <w:szCs w:val="20"/>
        </w:rPr>
        <w:t>O gerenciamento dos riscos poderá ser dispensado, nos casos envolvendo contratação de objetos de baixo valor, baixa complexidade e contratações de fornecimento e serviços normalmente utilizados pela Administração Pública com potencial de risco raro ou pouco provável ou de escala muito baixa ou baixa.</w:t>
      </w:r>
    </w:p>
    <w:p w14:paraId="0727B65D">
      <w:pPr>
        <w:spacing w:before="240" w:after="240" w:line="360" w:lineRule="auto"/>
        <w:ind w:left="108"/>
        <w:jc w:val="both"/>
        <w:rPr>
          <w:rFonts w:ascii="Arial" w:hAnsi="Arial" w:cs="Arial"/>
          <w:sz w:val="22"/>
          <w:szCs w:val="22"/>
        </w:rPr>
      </w:pPr>
      <w:r>
        <w:rPr>
          <w:rFonts w:ascii="Arial" w:hAnsi="Arial" w:cs="Arial"/>
          <w:sz w:val="22"/>
          <w:szCs w:val="22"/>
        </w:rPr>
        <w:t xml:space="preserve">É importante esclarecer que o objeto deste processo é de baixa complexidade e trata-se de contratação de empresa </w:t>
      </w:r>
      <w:r>
        <w:rPr>
          <w:rFonts w:ascii="Arial" w:hAnsi="Arial" w:cs="Arial"/>
          <w:color w:val="000000" w:themeColor="text1"/>
          <w:sz w:val="22"/>
          <w:szCs w:val="22"/>
          <w:lang w:eastAsia="pt-BR"/>
          <w14:textFill>
            <w14:solidFill>
              <w14:schemeClr w14:val="tx1"/>
            </w14:solidFill>
          </w14:textFill>
        </w:rPr>
        <w:t xml:space="preserve">especializada na aquisição de bens e serviços comuns, </w:t>
      </w:r>
      <w:r>
        <w:rPr>
          <w:rFonts w:ascii="Arial" w:hAnsi="Arial" w:cs="Arial"/>
          <w:sz w:val="22"/>
          <w:szCs w:val="22"/>
        </w:rPr>
        <w:t>que é normalmente utilizado pela Administração Pública. Desta forma venho justificar a dispensa do mapa/gerenciamento de riscos, ausente.</w:t>
      </w:r>
      <w:bookmarkEnd w:id="69"/>
    </w:p>
    <w:bookmarkEnd w:id="68"/>
    <w:p w14:paraId="05750E8F">
      <w:pPr>
        <w:spacing w:after="0" w:line="240" w:lineRule="auto"/>
        <w:jc w:val="both"/>
        <w:rPr>
          <w:rFonts w:ascii="Times New Roman" w:hAnsi="Times New Roman" w:cs="Times New Roman"/>
          <w:iCs/>
          <w:sz w:val="22"/>
          <w:szCs w:val="22"/>
        </w:rPr>
      </w:pPr>
    </w:p>
    <w:p w14:paraId="30FBDF9E">
      <w:pPr>
        <w:pStyle w:val="16"/>
        <w:ind w:left="96"/>
        <w:jc w:val="both"/>
        <w:rPr>
          <w:rFonts w:ascii="Times New Roman" w:hAnsi="Times New Roman" w:cs="Times New Roman"/>
          <w:sz w:val="22"/>
          <w:szCs w:val="22"/>
        </w:rPr>
      </w:pPr>
      <w:r>
        <w:rPr>
          <w:rFonts w:ascii="Times New Roman" w:hAnsi="Times New Roman" w:cs="Times New Roman"/>
          <w:sz w:val="22"/>
          <w:szCs w:val="22"/>
          <w:lang w:val="pt-BR" w:eastAsia="pt-BR"/>
        </w:rPr>
        <mc:AlternateContent>
          <mc:Choice Requires="wps">
            <w:drawing>
              <wp:inline distT="0" distB="0" distL="0" distR="0">
                <wp:extent cx="5556250" cy="282575"/>
                <wp:effectExtent l="4445" t="4445" r="20955" b="17780"/>
                <wp:docPr id="9" name="Textbox 3"/>
                <wp:cNvGraphicFramePr/>
                <a:graphic xmlns:a="http://schemas.openxmlformats.org/drawingml/2006/main">
                  <a:graphicData uri="http://schemas.microsoft.com/office/word/2010/wordprocessingShape">
                    <wps:wsp>
                      <wps:cNvSpPr txBox="1"/>
                      <wps:spPr>
                        <a:xfrm>
                          <a:off x="0" y="0"/>
                          <a:ext cx="5556250" cy="282804"/>
                        </a:xfrm>
                        <a:prstGeom prst="rect">
                          <a:avLst/>
                        </a:prstGeom>
                        <a:solidFill>
                          <a:srgbClr val="D6D6D6"/>
                        </a:solidFill>
                        <a:ln w="6096">
                          <a:solidFill>
                            <a:srgbClr val="000000"/>
                          </a:solidFill>
                          <a:prstDash val="solid"/>
                        </a:ln>
                      </wps:spPr>
                      <wps:txbx>
                        <w:txbxContent>
                          <w:p w14:paraId="5329E31E">
                            <w:pPr>
                              <w:spacing w:before="61"/>
                              <w:ind w:left="16"/>
                              <w:jc w:val="center"/>
                              <w:rPr>
                                <w:rFonts w:ascii="Arial" w:hAnsi="Arial" w:cs="Arial"/>
                                <w:b/>
                                <w:color w:val="000000"/>
                              </w:rPr>
                            </w:pPr>
                            <w:r>
                              <w:rPr>
                                <w:rFonts w:ascii="Arial" w:hAnsi="Arial" w:cs="Arial"/>
                                <w:b/>
                                <w:color w:val="000000"/>
                              </w:rPr>
                              <w:t>4. DESCRIÇÃO DA SOLUÇÃO (QUANDO APLICAVÉL)</w:t>
                            </w:r>
                          </w:p>
                        </w:txbxContent>
                      </wps:txbx>
                      <wps:bodyPr wrap="square" lIns="0" tIns="0" rIns="0" bIns="0" rtlCol="0">
                        <a:noAutofit/>
                      </wps:bodyPr>
                    </wps:wsp>
                  </a:graphicData>
                </a:graphic>
              </wp:inline>
            </w:drawing>
          </mc:Choice>
          <mc:Fallback>
            <w:pict>
              <v:shape id="Textbox 3" o:spid="_x0000_s1026" o:spt="202" type="#_x0000_t202" style="height:22.25pt;width:437.5pt;" fillcolor="#D6D6D6" filled="t" stroked="t" coordsize="21600,21600" o:gfxdata="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pDR709MA&#10;AAAEAQAADwAAAAAAAAABACAAAAAiAAAAZHJzL2Rvd25yZXYueG1sUEsBAhQAFAAAAAgAh07iQMM6&#10;rkDrAQAACwQAAA4AAAAAAAAAAQAgAAAAIgEAAGRycy9lMm9Eb2MueG1sUEsFBgAAAAAGAAYAWQEA&#10;AH8FAAAAAA==&#10;">
                <v:fill on="t" focussize="0,0"/>
                <v:stroke weight="0.48pt" color="#000000" joinstyle="round"/>
                <v:imagedata o:title=""/>
                <o:lock v:ext="edit" aspectratio="f"/>
                <v:textbox inset="0mm,0mm,0mm,0mm">
                  <w:txbxContent>
                    <w:p w14:paraId="5329E31E">
                      <w:pPr>
                        <w:spacing w:before="61"/>
                        <w:ind w:left="16"/>
                        <w:jc w:val="center"/>
                        <w:rPr>
                          <w:rFonts w:ascii="Arial" w:hAnsi="Arial" w:cs="Arial"/>
                          <w:b/>
                          <w:color w:val="000000"/>
                        </w:rPr>
                      </w:pPr>
                      <w:r>
                        <w:rPr>
                          <w:rFonts w:ascii="Arial" w:hAnsi="Arial" w:cs="Arial"/>
                          <w:b/>
                          <w:color w:val="000000"/>
                        </w:rPr>
                        <w:t>4. DESCRIÇÃO DA SOLUÇÃO (QUANDO APLICAVÉL)</w:t>
                      </w:r>
                    </w:p>
                  </w:txbxContent>
                </v:textbox>
                <w10:wrap type="none"/>
                <w10:anchorlock/>
              </v:shape>
            </w:pict>
          </mc:Fallback>
        </mc:AlternateContent>
      </w:r>
    </w:p>
    <w:p w14:paraId="7BFD7236">
      <w:pPr>
        <w:pStyle w:val="127"/>
        <w:suppressAutoHyphens/>
        <w:spacing w:before="240" w:after="240" w:line="360" w:lineRule="auto"/>
        <w:ind w:left="0"/>
        <w:jc w:val="both"/>
        <w:rPr>
          <w:rFonts w:ascii="Arial" w:hAnsi="Arial" w:cs="Arial"/>
          <w:sz w:val="22"/>
          <w:szCs w:val="22"/>
        </w:rPr>
      </w:pPr>
      <w:r>
        <w:rPr>
          <w:rFonts w:ascii="Arial" w:hAnsi="Arial" w:cs="Arial"/>
          <w:b/>
          <w:bCs/>
          <w:spacing w:val="-2"/>
          <w:sz w:val="22"/>
          <w:szCs w:val="22"/>
        </w:rPr>
        <w:t>4.1</w:t>
      </w:r>
      <w:r>
        <w:rPr>
          <w:rFonts w:ascii="Arial" w:hAnsi="Arial" w:cs="Arial"/>
          <w:bCs/>
          <w:spacing w:val="-2"/>
          <w:sz w:val="22"/>
          <w:szCs w:val="22"/>
        </w:rPr>
        <w:tab/>
      </w:r>
      <w:r>
        <w:rPr>
          <w:rFonts w:ascii="Arial" w:hAnsi="Arial" w:eastAsia="SimSun" w:cs="Arial"/>
          <w:sz w:val="22"/>
          <w:szCs w:val="22"/>
        </w:rPr>
        <w:t xml:space="preserve">O fornecimento de material/insumo de laboratório será realizado de forma parcelada conforme as necessidades da Administração, mediante pedido de fornecimento formulado e enviado à licitante contratada com as respectivas quantidades. A entrega dos itens solicitados na forma do subitem anterior deverá ser cumprida no prazo máximo de até 10 (dez) dias contados da data de envio da NAD. (Nota de Autorização de Despesas), acondicionados em suas embalagens originais ou adequadas, sem avarias, dentro das condições de armazenamento e transporte exigidas e entregues no </w:t>
      </w:r>
      <w:r>
        <w:rPr>
          <w:rFonts w:ascii="Arial" w:hAnsi="Arial" w:cs="Arial"/>
          <w:b/>
          <w:sz w:val="22"/>
          <w:szCs w:val="22"/>
        </w:rPr>
        <w:t>Laboratório Municipal da Análises Clínicas</w:t>
      </w:r>
      <w:r>
        <w:rPr>
          <w:rFonts w:ascii="Arial" w:hAnsi="Arial" w:cs="Arial"/>
          <w:sz w:val="22"/>
          <w:szCs w:val="22"/>
        </w:rPr>
        <w:t>, localizado na Rua das Primaveras, Nº 1270 esquina com Pitombeiras, Jardim Jacarandás, na cidade de Sinop/MT, o</w:t>
      </w:r>
      <w:r>
        <w:rPr>
          <w:rFonts w:ascii="Arial" w:hAnsi="Arial" w:eastAsia="Calibri" w:cs="Arial"/>
          <w:sz w:val="22"/>
          <w:szCs w:val="22"/>
        </w:rPr>
        <w:t xml:space="preserve">s materiais deveram ser entregues </w:t>
      </w:r>
      <w:r>
        <w:rPr>
          <w:rFonts w:ascii="Arial" w:hAnsi="Arial" w:cs="Arial"/>
          <w:sz w:val="22"/>
          <w:szCs w:val="22"/>
        </w:rPr>
        <w:t xml:space="preserve">de segunda a sexta-feira, das 08h00min às 20h00min (horário de Brasília/DF), </w:t>
      </w:r>
    </w:p>
    <w:p w14:paraId="45138770">
      <w:pPr>
        <w:pStyle w:val="127"/>
        <w:suppressAutoHyphens/>
        <w:spacing w:before="240" w:after="240" w:line="360" w:lineRule="auto"/>
        <w:ind w:left="0"/>
        <w:jc w:val="both"/>
        <w:rPr>
          <w:rFonts w:ascii="Arial" w:hAnsi="Arial" w:eastAsia="Calibri" w:cs="Arial"/>
          <w:sz w:val="22"/>
          <w:szCs w:val="22"/>
        </w:rPr>
      </w:pPr>
      <w:r>
        <w:rPr>
          <w:rFonts w:ascii="Arial" w:hAnsi="Arial" w:eastAsia="SimSun" w:cs="Arial"/>
          <w:b/>
          <w:sz w:val="22"/>
          <w:szCs w:val="22"/>
        </w:rPr>
        <w:t>4.2.</w:t>
      </w:r>
      <w:r>
        <w:rPr>
          <w:rFonts w:ascii="Arial" w:hAnsi="Arial" w:eastAsia="SimSun" w:cs="Arial"/>
          <w:sz w:val="22"/>
          <w:szCs w:val="22"/>
        </w:rPr>
        <w:t xml:space="preserve">   No preço do item cotado deverá estar incluso todos os custos, tais como mão-de-obra, transporte, equipamentos, materiais e insumos necessários.</w:t>
      </w:r>
    </w:p>
    <w:p w14:paraId="193FBD6A">
      <w:pPr>
        <w:spacing w:line="360" w:lineRule="auto"/>
        <w:jc w:val="both"/>
        <w:rPr>
          <w:rFonts w:ascii="Arial" w:hAnsi="Arial" w:eastAsia="SimSun" w:cs="Arial"/>
          <w:sz w:val="22"/>
          <w:szCs w:val="22"/>
        </w:rPr>
      </w:pPr>
      <w:r>
        <w:rPr>
          <w:rFonts w:ascii="Arial" w:hAnsi="Arial" w:eastAsia="SimSun" w:cs="Arial"/>
          <w:b/>
          <w:sz w:val="22"/>
          <w:szCs w:val="22"/>
        </w:rPr>
        <w:t>4.3</w:t>
      </w:r>
      <w:r>
        <w:rPr>
          <w:rFonts w:ascii="Arial" w:hAnsi="Arial" w:eastAsia="SimSun" w:cs="Arial"/>
          <w:sz w:val="22"/>
          <w:szCs w:val="22"/>
        </w:rPr>
        <w:t>.  Os proponentes deverão computar no valor da aquisição os custos diretos e indiretos, os insumos (taxas, impostos, fretes, etc.), e todos os gastos que advenham do fornecimento e instalação dos produtos, evitando assim a cobrança de qualquer outro valor além dos aferidos na licitação.</w:t>
      </w:r>
    </w:p>
    <w:p w14:paraId="3D524A4C">
      <w:pPr>
        <w:spacing w:line="360" w:lineRule="auto"/>
        <w:jc w:val="both"/>
        <w:rPr>
          <w:rFonts w:ascii="Arial" w:hAnsi="Arial" w:eastAsia="SimSun" w:cs="Arial"/>
          <w:sz w:val="22"/>
          <w:szCs w:val="22"/>
        </w:rPr>
      </w:pPr>
      <w:r>
        <w:rPr>
          <w:rFonts w:ascii="Arial" w:hAnsi="Arial" w:eastAsia="SimSun" w:cs="Arial"/>
          <w:b/>
          <w:sz w:val="22"/>
          <w:szCs w:val="22"/>
        </w:rPr>
        <w:t>4.4.</w:t>
      </w:r>
      <w:r>
        <w:rPr>
          <w:rFonts w:ascii="Arial" w:hAnsi="Arial" w:eastAsia="SimSun" w:cs="Arial"/>
          <w:sz w:val="22"/>
          <w:szCs w:val="22"/>
        </w:rPr>
        <w:t xml:space="preserve">   Os materiais/insumos de laboratório fornecidos poderão ser rejeitados, no todo ou em parte, quando em desacordo com as especificações constantes neste Termo de Referência e na proposta, devendo ser substituídos no prazo de 24 (vinte e quatro) horas, a contar da notificação da contratada, às suas custas, sem prejuízo da aplicação das penalidades. </w:t>
      </w:r>
    </w:p>
    <w:p w14:paraId="18F927B1">
      <w:pPr>
        <w:spacing w:line="360" w:lineRule="auto"/>
        <w:jc w:val="both"/>
        <w:rPr>
          <w:rFonts w:ascii="Arial" w:hAnsi="Arial" w:eastAsia="SimSun" w:cs="Arial"/>
          <w:sz w:val="22"/>
          <w:szCs w:val="22"/>
        </w:rPr>
      </w:pPr>
      <w:r>
        <w:rPr>
          <w:rFonts w:ascii="Arial" w:hAnsi="Arial" w:eastAsia="SimSun" w:cs="Arial"/>
          <w:b/>
          <w:sz w:val="22"/>
          <w:szCs w:val="22"/>
        </w:rPr>
        <w:t>4.5.</w:t>
      </w:r>
      <w:r>
        <w:rPr>
          <w:rFonts w:ascii="Arial" w:hAnsi="Arial" w:eastAsia="SimSun" w:cs="Arial"/>
          <w:sz w:val="22"/>
          <w:szCs w:val="22"/>
        </w:rPr>
        <w:t xml:space="preserve">  Os materiais serão recebidos provisoriamente, pelo (a) responsável pelo acompanhamento e fiscalização do contrato, para efeito de posterior verificação de sua conformidade com as especificações exigidas pela Administração.</w:t>
      </w:r>
    </w:p>
    <w:p w14:paraId="2974823A">
      <w:pPr>
        <w:spacing w:line="360" w:lineRule="auto"/>
        <w:jc w:val="both"/>
        <w:rPr>
          <w:rFonts w:ascii="Arial" w:hAnsi="Arial" w:eastAsia="SimSun" w:cs="Arial"/>
          <w:sz w:val="22"/>
          <w:szCs w:val="22"/>
        </w:rPr>
      </w:pPr>
      <w:r>
        <w:rPr>
          <w:rFonts w:ascii="Arial" w:hAnsi="Arial" w:eastAsia="SimSun" w:cs="Arial"/>
          <w:b/>
          <w:sz w:val="22"/>
          <w:szCs w:val="22"/>
        </w:rPr>
        <w:t>4.6.</w:t>
      </w:r>
      <w:r>
        <w:rPr>
          <w:rFonts w:ascii="Arial" w:hAnsi="Arial" w:eastAsia="SimSun" w:cs="Arial"/>
          <w:sz w:val="22"/>
          <w:szCs w:val="22"/>
        </w:rPr>
        <w:t xml:space="preserve">   Na hipótese de a verificação a que se refere o subitem anterior não ser procedida dentro do prazo fixado, reputar-se-á como realizada, consumando-se o recebimento definitivo no dia do esgotamento do prazo. </w:t>
      </w:r>
    </w:p>
    <w:p w14:paraId="75B4A523">
      <w:pPr>
        <w:spacing w:line="360" w:lineRule="auto"/>
        <w:jc w:val="both"/>
        <w:rPr>
          <w:rFonts w:ascii="Arial" w:hAnsi="Arial" w:eastAsia="SimSun" w:cs="Arial"/>
          <w:sz w:val="22"/>
          <w:szCs w:val="22"/>
        </w:rPr>
      </w:pPr>
      <w:r>
        <w:rPr>
          <w:rFonts w:ascii="Arial" w:hAnsi="Arial" w:eastAsia="SimSun" w:cs="Arial"/>
          <w:b/>
          <w:sz w:val="22"/>
          <w:szCs w:val="22"/>
        </w:rPr>
        <w:t>4.7.</w:t>
      </w:r>
      <w:r>
        <w:rPr>
          <w:rFonts w:ascii="Arial" w:hAnsi="Arial" w:eastAsia="SimSun" w:cs="Arial"/>
          <w:sz w:val="22"/>
          <w:szCs w:val="22"/>
        </w:rPr>
        <w:t xml:space="preserve">   O recebimento provisório ou definitivo do objeto não exclui a responsabilidade da Fornecedora pelos prejuízos resultantes da incorreta execução do contrato, e viabilidade dos KITS dentro do prazo de validade.</w:t>
      </w:r>
    </w:p>
    <w:p w14:paraId="2E302727">
      <w:pPr>
        <w:spacing w:line="360" w:lineRule="auto"/>
        <w:jc w:val="both"/>
        <w:rPr>
          <w:rFonts w:ascii="Arial" w:hAnsi="Arial" w:eastAsia="SimSun" w:cs="Arial"/>
          <w:sz w:val="22"/>
          <w:szCs w:val="22"/>
        </w:rPr>
      </w:pPr>
      <w:r>
        <w:rPr>
          <w:rFonts w:ascii="Arial" w:hAnsi="Arial" w:eastAsia="SimSun" w:cs="Arial"/>
          <w:b/>
          <w:sz w:val="22"/>
          <w:szCs w:val="22"/>
        </w:rPr>
        <w:t>4.8.</w:t>
      </w:r>
      <w:r>
        <w:rPr>
          <w:rFonts w:ascii="Arial" w:hAnsi="Arial" w:eastAsia="SimSun" w:cs="Arial"/>
          <w:color w:val="0000FF"/>
          <w:sz w:val="22"/>
          <w:szCs w:val="22"/>
        </w:rPr>
        <w:t xml:space="preserve"> </w:t>
      </w:r>
      <w:r>
        <w:rPr>
          <w:rFonts w:ascii="Arial" w:hAnsi="Arial" w:eastAsia="SimSun" w:cs="Arial"/>
          <w:sz w:val="22"/>
          <w:szCs w:val="22"/>
        </w:rPr>
        <w:t xml:space="preserve"> Não se configura necessária a elaboração de cronograma para adequação de ambientes visando o início da execução do objeto; </w:t>
      </w:r>
    </w:p>
    <w:p w14:paraId="085ACB54">
      <w:pPr>
        <w:spacing w:line="360" w:lineRule="auto"/>
        <w:jc w:val="both"/>
        <w:rPr>
          <w:rFonts w:ascii="Arial" w:hAnsi="Arial" w:eastAsia="SimSun" w:cs="Arial"/>
          <w:sz w:val="22"/>
          <w:szCs w:val="22"/>
        </w:rPr>
      </w:pPr>
      <w:r>
        <w:rPr>
          <w:rFonts w:ascii="Arial" w:hAnsi="Arial" w:eastAsia="SimSun" w:cs="Arial"/>
          <w:b/>
          <w:sz w:val="22"/>
          <w:szCs w:val="22"/>
        </w:rPr>
        <w:t>4.9.</w:t>
      </w:r>
      <w:r>
        <w:rPr>
          <w:rFonts w:ascii="Arial" w:hAnsi="Arial" w:eastAsia="SimSun" w:cs="Arial"/>
          <w:sz w:val="22"/>
          <w:szCs w:val="22"/>
        </w:rPr>
        <w:t xml:space="preserve">  O objeto da presente contratação não apresenta peculiaridades que justifiquem a necessidade de capacitação constante de servidores; </w:t>
      </w:r>
    </w:p>
    <w:p w14:paraId="1E3705EC">
      <w:pPr>
        <w:pStyle w:val="16"/>
        <w:spacing w:before="240" w:after="240" w:line="360" w:lineRule="auto"/>
        <w:jc w:val="both"/>
        <w:rPr>
          <w:rFonts w:ascii="Arial" w:hAnsi="Arial" w:eastAsia="SimSun" w:cs="Arial"/>
          <w:sz w:val="22"/>
          <w:szCs w:val="22"/>
        </w:rPr>
      </w:pPr>
      <w:r>
        <w:rPr>
          <w:rFonts w:ascii="Arial" w:hAnsi="Arial" w:eastAsia="SimSun" w:cs="Arial"/>
          <w:b/>
          <w:sz w:val="22"/>
          <w:szCs w:val="22"/>
        </w:rPr>
        <w:t>4.10</w:t>
      </w:r>
      <w:r>
        <w:rPr>
          <w:rFonts w:ascii="Arial" w:hAnsi="Arial" w:eastAsia="SimSun" w:cs="Arial"/>
          <w:sz w:val="22"/>
          <w:szCs w:val="22"/>
        </w:rPr>
        <w:t>. Considerando todo o exposto, não há risco de falhas na contratação face adequação do ambiente da organização, não sendo necessário adequações.</w:t>
      </w:r>
    </w:p>
    <w:p w14:paraId="4DB77A31">
      <w:pPr>
        <w:spacing w:line="360" w:lineRule="auto"/>
        <w:jc w:val="both"/>
        <w:rPr>
          <w:rFonts w:ascii="Arial" w:hAnsi="Arial" w:cs="Arial"/>
          <w:b/>
          <w:sz w:val="22"/>
          <w:szCs w:val="22"/>
        </w:rPr>
      </w:pPr>
      <w:r>
        <w:rPr>
          <w:rFonts w:ascii="Arial" w:hAnsi="Arial" w:cs="Arial"/>
          <w:b/>
          <w:sz w:val="22"/>
          <w:szCs w:val="22"/>
        </w:rPr>
        <w:t xml:space="preserve">4.11. SOBRE AS MARCAS ELENCADAS CORRESPONDENTES AOS ITENS: </w:t>
      </w:r>
    </w:p>
    <w:p w14:paraId="591DFBF2">
      <w:pPr>
        <w:spacing w:line="360" w:lineRule="auto"/>
        <w:jc w:val="both"/>
        <w:rPr>
          <w:rFonts w:ascii="Arial" w:hAnsi="Arial" w:cs="Arial"/>
          <w:b/>
          <w:color w:val="000000"/>
          <w:sz w:val="22"/>
          <w:szCs w:val="22"/>
        </w:rPr>
      </w:pPr>
      <w:r>
        <w:rPr>
          <w:rFonts w:ascii="Arial" w:hAnsi="Arial" w:cs="Arial"/>
          <w:b/>
          <w:sz w:val="22"/>
          <w:szCs w:val="22"/>
        </w:rPr>
        <w:t xml:space="preserve">1,2 e 7 (referente ao meios de culturas solicitamos que seja das marcas </w:t>
      </w:r>
      <w:r>
        <w:rPr>
          <w:rFonts w:ascii="Arial" w:hAnsi="Arial" w:cs="Arial"/>
          <w:b/>
          <w:color w:val="000000"/>
          <w:sz w:val="22"/>
          <w:szCs w:val="22"/>
          <w:lang w:val="en-US"/>
        </w:rPr>
        <w:t>MARCAS</w:t>
      </w:r>
      <w:r>
        <w:rPr>
          <w:rFonts w:ascii="Arial" w:hAnsi="Arial" w:cs="Arial"/>
          <w:b/>
          <w:color w:val="000000"/>
          <w:sz w:val="22"/>
          <w:szCs w:val="22"/>
        </w:rPr>
        <w:t xml:space="preserve">: </w:t>
      </w:r>
      <w:r>
        <w:rPr>
          <w:rFonts w:ascii="Arial" w:hAnsi="Arial" w:cs="Arial"/>
          <w:b/>
          <w:color w:val="000000"/>
          <w:sz w:val="22"/>
          <w:szCs w:val="22"/>
          <w:lang w:val="en-US"/>
        </w:rPr>
        <w:t>KASVI</w:t>
      </w:r>
      <w:r>
        <w:rPr>
          <w:rFonts w:ascii="Arial" w:hAnsi="Arial" w:cs="Arial"/>
          <w:b/>
          <w:color w:val="000000"/>
          <w:sz w:val="22"/>
          <w:szCs w:val="22"/>
        </w:rPr>
        <w:t xml:space="preserve">, </w:t>
      </w:r>
      <w:r>
        <w:rPr>
          <w:rFonts w:ascii="Arial" w:hAnsi="Arial" w:cs="Arial"/>
          <w:b/>
          <w:color w:val="000000"/>
          <w:sz w:val="22"/>
          <w:szCs w:val="22"/>
          <w:lang w:val="en-US"/>
        </w:rPr>
        <w:t>SIGMA-ALDRICH</w:t>
      </w:r>
      <w:r>
        <w:rPr>
          <w:rFonts w:ascii="Arial" w:hAnsi="Arial" w:cs="Arial"/>
          <w:b/>
          <w:color w:val="000000"/>
          <w:sz w:val="22"/>
          <w:szCs w:val="22"/>
        </w:rPr>
        <w:t xml:space="preserve"> ou </w:t>
      </w:r>
      <w:r>
        <w:rPr>
          <w:rFonts w:ascii="Arial" w:hAnsi="Arial" w:cs="Arial"/>
          <w:b/>
          <w:color w:val="000000"/>
          <w:sz w:val="22"/>
          <w:szCs w:val="22"/>
          <w:lang w:val="en-US"/>
        </w:rPr>
        <w:t>MERCK</w:t>
      </w:r>
      <w:r>
        <w:rPr>
          <w:rFonts w:ascii="Arial" w:hAnsi="Arial" w:cs="Arial"/>
          <w:b/>
          <w:color w:val="000000"/>
          <w:sz w:val="22"/>
          <w:szCs w:val="22"/>
        </w:rPr>
        <w:t>)</w:t>
      </w:r>
    </w:p>
    <w:p w14:paraId="66E0518D">
      <w:pPr>
        <w:spacing w:line="360" w:lineRule="auto"/>
        <w:jc w:val="both"/>
        <w:rPr>
          <w:rFonts w:ascii="Arial" w:hAnsi="Arial" w:cs="Arial"/>
          <w:sz w:val="22"/>
          <w:szCs w:val="22"/>
        </w:rPr>
      </w:pPr>
      <w:r>
        <w:rPr>
          <w:rFonts w:ascii="Arial" w:hAnsi="Arial" w:cs="Arial"/>
          <w:sz w:val="22"/>
          <w:szCs w:val="22"/>
        </w:rPr>
        <w:t>Existem diversas marcar disponíveis no mercado, porém as marcas citadas, são marcas conhecidas que já são usadas no laboratório, pois permite isolamento rápido de microrganismo, apresenta morfologia e cores características das colônias de cada microrganismo, ajudando na identificação dos mesmos, garantindo bom desempenho e confiabilidade nos resultados apresentados, além de serem meios recomendados pela CLSI Clinical and Laboratory Standar e Brcast, onde cada meio tem características e padrão de halos de inibição dentro dos intervalos de CQ do BrCAST/EUCAST.</w:t>
      </w:r>
    </w:p>
    <w:p w14:paraId="6FB77B56">
      <w:pPr>
        <w:spacing w:line="360" w:lineRule="auto"/>
        <w:jc w:val="both"/>
        <w:rPr>
          <w:rFonts w:ascii="Arial" w:hAnsi="Arial" w:cs="Arial"/>
          <w:sz w:val="22"/>
          <w:szCs w:val="22"/>
        </w:rPr>
      </w:pPr>
      <w:r>
        <w:rPr>
          <w:rFonts w:ascii="Arial" w:hAnsi="Arial" w:cs="Arial"/>
          <w:sz w:val="22"/>
          <w:szCs w:val="22"/>
        </w:rPr>
        <w:t xml:space="preserve">A utilização desses meios contribui para a melhoria dos processos laboratoriais e a atualização dos métodos de análise. A reputação consolidada das marcas é um indicativo de sua confiabilidade e desempenho superiores no mercado de insumos para microbiologia.                                                      </w:t>
      </w:r>
    </w:p>
    <w:p w14:paraId="0FB11885">
      <w:pPr>
        <w:spacing w:line="360" w:lineRule="auto"/>
        <w:jc w:val="both"/>
        <w:textAlignment w:val="center"/>
        <w:rPr>
          <w:rFonts w:ascii="Arial" w:hAnsi="Arial" w:cs="Arial"/>
          <w:b/>
          <w:bCs/>
          <w:sz w:val="22"/>
          <w:szCs w:val="22"/>
        </w:rPr>
      </w:pPr>
      <w:r>
        <w:rPr>
          <w:rFonts w:ascii="Arial" w:hAnsi="Arial" w:cs="Arial"/>
          <w:b/>
          <w:bCs/>
          <w:sz w:val="22"/>
          <w:szCs w:val="22"/>
        </w:rPr>
        <w:t>ITENS  8 e 9 (referente as micropipetas solicitamos que seja das marcas)</w:t>
      </w:r>
    </w:p>
    <w:p w14:paraId="11020CB9">
      <w:pPr>
        <w:spacing w:line="360" w:lineRule="auto"/>
        <w:jc w:val="both"/>
        <w:rPr>
          <w:rFonts w:ascii="Arial" w:hAnsi="Arial" w:cs="Arial"/>
          <w:b/>
          <w:bCs/>
          <w:color w:val="000000"/>
          <w:sz w:val="22"/>
          <w:szCs w:val="22"/>
          <w:lang w:val="en-US"/>
        </w:rPr>
      </w:pPr>
      <w:r>
        <w:rPr>
          <w:rFonts w:ascii="Arial" w:hAnsi="Arial" w:cs="Arial"/>
          <w:b/>
          <w:bCs/>
          <w:color w:val="000000"/>
          <w:sz w:val="22"/>
          <w:szCs w:val="22"/>
          <w:lang w:val="en-US"/>
        </w:rPr>
        <w:t>MARCA</w:t>
      </w:r>
      <w:r>
        <w:rPr>
          <w:rFonts w:ascii="Arial" w:hAnsi="Arial" w:cs="Arial"/>
          <w:b/>
          <w:bCs/>
          <w:color w:val="000000"/>
          <w:sz w:val="22"/>
          <w:szCs w:val="22"/>
        </w:rPr>
        <w:t xml:space="preserve">: </w:t>
      </w:r>
      <w:r>
        <w:rPr>
          <w:rFonts w:ascii="Arial" w:hAnsi="Arial" w:cs="Arial"/>
          <w:b/>
          <w:bCs/>
          <w:color w:val="000000"/>
          <w:sz w:val="22"/>
          <w:szCs w:val="22"/>
          <w:lang w:val="en-US"/>
        </w:rPr>
        <w:t xml:space="preserve"> KASVI </w:t>
      </w:r>
      <w:r>
        <w:rPr>
          <w:rFonts w:ascii="Arial" w:hAnsi="Arial" w:cs="Arial"/>
          <w:b/>
          <w:bCs/>
          <w:color w:val="000000"/>
          <w:sz w:val="22"/>
          <w:szCs w:val="22"/>
        </w:rPr>
        <w:t xml:space="preserve">ou </w:t>
      </w:r>
      <w:r>
        <w:rPr>
          <w:rFonts w:ascii="Arial" w:hAnsi="Arial" w:cs="Arial"/>
          <w:b/>
          <w:bCs/>
          <w:color w:val="000000"/>
          <w:sz w:val="22"/>
          <w:szCs w:val="22"/>
          <w:lang w:val="en-US"/>
        </w:rPr>
        <w:t>KACIL-</w:t>
      </w:r>
      <w:r>
        <w:rPr>
          <w:rFonts w:ascii="Arial" w:hAnsi="Arial" w:cs="Arial"/>
          <w:b/>
          <w:bCs/>
          <w:color w:val="000000"/>
          <w:sz w:val="22"/>
          <w:szCs w:val="22"/>
        </w:rPr>
        <w:t xml:space="preserve"> </w:t>
      </w:r>
      <w:r>
        <w:rPr>
          <w:rFonts w:ascii="Arial" w:hAnsi="Arial" w:cs="Arial"/>
          <w:b/>
          <w:bCs/>
          <w:color w:val="000000"/>
          <w:sz w:val="22"/>
          <w:szCs w:val="22"/>
          <w:lang w:val="en-US"/>
        </w:rPr>
        <w:t>MICROPIPET</w:t>
      </w:r>
    </w:p>
    <w:p w14:paraId="29206058">
      <w:pPr>
        <w:spacing w:line="360" w:lineRule="auto"/>
        <w:jc w:val="both"/>
        <w:rPr>
          <w:rFonts w:ascii="Arial" w:hAnsi="Arial" w:cs="Arial"/>
          <w:sz w:val="22"/>
          <w:szCs w:val="22"/>
        </w:rPr>
      </w:pPr>
      <w:r>
        <w:rPr>
          <w:rFonts w:ascii="Arial" w:hAnsi="Arial" w:cs="Arial"/>
          <w:sz w:val="22"/>
          <w:szCs w:val="22"/>
        </w:rPr>
        <w:t>As marcas dos pipetadores citadas são modelos que possuem a extremidade do bico em aço inoxidável, permitindo maior precisão e exatidão nos mais diversos volumes ajustado para uso laboratorial. Outras marcas não apresentam os bicos de aço inoxidáveis, diminuído a vida útil dos pipetadores, ocasionando mais custos com as aquisições, desses itens.</w:t>
      </w:r>
    </w:p>
    <w:p w14:paraId="2B8E1192">
      <w:pPr>
        <w:pStyle w:val="16"/>
        <w:spacing w:line="360" w:lineRule="auto"/>
        <w:ind w:left="108"/>
        <w:jc w:val="both"/>
        <w:rPr>
          <w:rFonts w:ascii="Times New Roman" w:hAnsi="Times New Roman" w:cs="Times New Roman"/>
          <w:sz w:val="22"/>
          <w:szCs w:val="22"/>
        </w:rPr>
      </w:pPr>
      <w:r>
        <w:rPr>
          <w:rFonts w:ascii="Times New Roman" w:hAnsi="Times New Roman" w:cs="Times New Roman"/>
          <w:sz w:val="22"/>
          <w:szCs w:val="22"/>
          <w:lang w:val="pt-BR" w:eastAsia="pt-BR"/>
        </w:rPr>
        <mc:AlternateContent>
          <mc:Choice Requires="wps">
            <w:drawing>
              <wp:inline distT="0" distB="0" distL="0" distR="0">
                <wp:extent cx="5556250" cy="263525"/>
                <wp:effectExtent l="4445" t="4445" r="20955" b="17780"/>
                <wp:docPr id="10" name="Textbox 3"/>
                <wp:cNvGraphicFramePr/>
                <a:graphic xmlns:a="http://schemas.openxmlformats.org/drawingml/2006/main">
                  <a:graphicData uri="http://schemas.microsoft.com/office/word/2010/wordprocessingShape">
                    <wps:wsp>
                      <wps:cNvSpPr txBox="1"/>
                      <wps:spPr>
                        <a:xfrm>
                          <a:off x="0" y="0"/>
                          <a:ext cx="5556250" cy="263951"/>
                        </a:xfrm>
                        <a:prstGeom prst="rect">
                          <a:avLst/>
                        </a:prstGeom>
                        <a:solidFill>
                          <a:srgbClr val="D6D6D6"/>
                        </a:solidFill>
                        <a:ln w="6096">
                          <a:solidFill>
                            <a:srgbClr val="000000"/>
                          </a:solidFill>
                          <a:prstDash val="solid"/>
                        </a:ln>
                      </wps:spPr>
                      <wps:txbx>
                        <w:txbxContent>
                          <w:p w14:paraId="1995D09C">
                            <w:pPr>
                              <w:spacing w:before="61"/>
                              <w:ind w:left="16"/>
                              <w:jc w:val="center"/>
                              <w:rPr>
                                <w:rFonts w:ascii="Arial" w:hAnsi="Arial" w:cs="Arial"/>
                                <w:b/>
                                <w:color w:val="000000"/>
                              </w:rPr>
                            </w:pPr>
                            <w:r>
                              <w:rPr>
                                <w:rFonts w:ascii="Arial" w:hAnsi="Arial" w:cs="Arial"/>
                                <w:b/>
                                <w:color w:val="000000"/>
                              </w:rPr>
                              <w:t>5. REQUISITOS DO OBJETO DA CONTRATAÇÃO</w:t>
                            </w:r>
                          </w:p>
                        </w:txbxContent>
                      </wps:txbx>
                      <wps:bodyPr wrap="square" lIns="0" tIns="0" rIns="0" bIns="0" rtlCol="0">
                        <a:noAutofit/>
                      </wps:bodyPr>
                    </wps:wsp>
                  </a:graphicData>
                </a:graphic>
              </wp:inline>
            </w:drawing>
          </mc:Choice>
          <mc:Fallback>
            <w:pict>
              <v:shape id="Textbox 3" o:spid="_x0000_s1026" o:spt="202" type="#_x0000_t202" style="height:20.75pt;width:437.5pt;" fillcolor="#D6D6D6" filled="t" stroked="t" coordsize="21600,21600" o:gfxdata="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75PH4&#10;0wAAAAQBAAAPAAAAAAAAAAEAIAAAACIAAABkcnMvZG93bnJldi54bWxQSwECFAAUAAAACACHTuJA&#10;0rOTi+0BAAAMBAAADgAAAAAAAAABACAAAAAiAQAAZHJzL2Uyb0RvYy54bWxQSwUGAAAAAAYABgBZ&#10;AQAAgQUAAAAA&#10;">
                <v:fill on="t" focussize="0,0"/>
                <v:stroke weight="0.48pt" color="#000000" joinstyle="round"/>
                <v:imagedata o:title=""/>
                <o:lock v:ext="edit" aspectratio="f"/>
                <v:textbox inset="0mm,0mm,0mm,0mm">
                  <w:txbxContent>
                    <w:p w14:paraId="1995D09C">
                      <w:pPr>
                        <w:spacing w:before="61"/>
                        <w:ind w:left="16"/>
                        <w:jc w:val="center"/>
                        <w:rPr>
                          <w:rFonts w:ascii="Arial" w:hAnsi="Arial" w:cs="Arial"/>
                          <w:b/>
                          <w:color w:val="000000"/>
                        </w:rPr>
                      </w:pPr>
                      <w:r>
                        <w:rPr>
                          <w:rFonts w:ascii="Arial" w:hAnsi="Arial" w:cs="Arial"/>
                          <w:b/>
                          <w:color w:val="000000"/>
                        </w:rPr>
                        <w:t>5. REQUISITOS DO OBJETO DA CONTRATAÇÃO</w:t>
                      </w:r>
                    </w:p>
                  </w:txbxContent>
                </v:textbox>
                <w10:wrap type="none"/>
                <w10:anchorlock/>
              </v:shape>
            </w:pict>
          </mc:Fallback>
        </mc:AlternateContent>
      </w:r>
    </w:p>
    <w:p w14:paraId="197F5ADB">
      <w:pPr>
        <w:spacing w:before="240" w:after="240" w:line="360" w:lineRule="auto"/>
        <w:jc w:val="both"/>
        <w:rPr>
          <w:rFonts w:ascii="Arial" w:hAnsi="Arial" w:cs="Arial"/>
          <w:sz w:val="22"/>
          <w:szCs w:val="22"/>
          <w:lang w:eastAsia="pt-BR"/>
        </w:rPr>
      </w:pPr>
      <w:r>
        <w:rPr>
          <w:rFonts w:ascii="Arial" w:hAnsi="Arial" w:cs="Arial"/>
          <w:sz w:val="22"/>
          <w:szCs w:val="22"/>
          <w:lang w:eastAsia="pt-BR"/>
        </w:rPr>
        <w:t xml:space="preserve"> De acordo com que determina o dispositivo que trata dos requisitos necessários e suficientes à escolha da solução positivado no inciso III do § 1° do art. 18 da Lei nº 14.133/2021, destacamos que, amparados na justificativa da contratação: para que o serviço seja contratado e corretamente prestado, existem requisitos mínimos a exigir, tais como a comprovação por parte das empresas de capacitação técnica na execução de serviços de grau de complexidade similar à do presente objeto.</w:t>
      </w:r>
    </w:p>
    <w:p w14:paraId="45CD4FE9">
      <w:pPr>
        <w:pStyle w:val="127"/>
        <w:widowControl w:val="0"/>
        <w:numPr>
          <w:ilvl w:val="0"/>
          <w:numId w:val="12"/>
        </w:numPr>
        <w:tabs>
          <w:tab w:val="left" w:pos="0"/>
          <w:tab w:val="left" w:pos="709"/>
        </w:tabs>
        <w:autoSpaceDE w:val="0"/>
        <w:autoSpaceDN w:val="0"/>
        <w:spacing w:before="240" w:after="240" w:line="360" w:lineRule="auto"/>
        <w:ind w:left="142" w:firstLine="0"/>
        <w:contextualSpacing w:val="0"/>
        <w:jc w:val="both"/>
        <w:rPr>
          <w:rFonts w:ascii="Arial" w:hAnsi="Arial" w:cs="Arial"/>
          <w:sz w:val="22"/>
          <w:szCs w:val="22"/>
        </w:rPr>
      </w:pPr>
      <w:r>
        <w:rPr>
          <w:rFonts w:ascii="Arial" w:hAnsi="Arial" w:eastAsia="Times New Roman" w:cs="Arial"/>
          <w:sz w:val="22"/>
          <w:szCs w:val="22"/>
        </w:rPr>
        <w:t xml:space="preserve">Os itens devem ser entregues em embalagens originais, contendo informações quando as suas características, </w:t>
      </w:r>
      <w:r>
        <w:rPr>
          <w:rFonts w:ascii="Arial" w:hAnsi="Arial" w:eastAsia="Times New Roman" w:cs="Arial"/>
          <w:b/>
          <w:bCs/>
          <w:sz w:val="22"/>
          <w:szCs w:val="22"/>
        </w:rPr>
        <w:t>tais como: marca, número de referência, número de lote da fabricação, registro na ANVISA (quando for o caso),</w:t>
      </w:r>
      <w:r>
        <w:rPr>
          <w:rFonts w:ascii="Arial" w:hAnsi="Arial" w:eastAsia="Times New Roman" w:cs="Arial"/>
          <w:sz w:val="22"/>
          <w:szCs w:val="22"/>
        </w:rPr>
        <w:t xml:space="preserve"> prazo de </w:t>
      </w:r>
      <w:r>
        <w:rPr>
          <w:rFonts w:ascii="Arial" w:hAnsi="Arial" w:eastAsia="Times New Roman" w:cs="Arial"/>
          <w:b/>
          <w:bCs/>
          <w:sz w:val="22"/>
          <w:szCs w:val="22"/>
          <w:u w:val="single"/>
        </w:rPr>
        <w:t>validade mínimo 18 meses</w:t>
      </w:r>
      <w:r>
        <w:rPr>
          <w:rFonts w:ascii="Arial" w:hAnsi="Arial" w:eastAsia="Times New Roman" w:cs="Arial"/>
          <w:sz w:val="22"/>
          <w:szCs w:val="22"/>
        </w:rPr>
        <w:t xml:space="preserve"> e outras informações de acordo com a legislação pertinente.  </w:t>
      </w:r>
    </w:p>
    <w:p w14:paraId="707F7B01">
      <w:pPr>
        <w:pStyle w:val="16"/>
        <w:numPr>
          <w:ilvl w:val="0"/>
          <w:numId w:val="12"/>
        </w:numPr>
        <w:tabs>
          <w:tab w:val="left" w:pos="0"/>
        </w:tabs>
        <w:adjustRightInd w:val="0"/>
        <w:spacing w:before="240" w:after="240" w:line="360" w:lineRule="auto"/>
        <w:ind w:left="142" w:firstLine="0"/>
        <w:jc w:val="both"/>
        <w:textAlignment w:val="baseline"/>
        <w:rPr>
          <w:rFonts w:ascii="Arial" w:hAnsi="Arial" w:eastAsia="Calibri" w:cs="Arial"/>
          <w:sz w:val="22"/>
          <w:szCs w:val="22"/>
        </w:rPr>
      </w:pPr>
      <w:r>
        <w:rPr>
          <w:rFonts w:ascii="Arial" w:hAnsi="Arial" w:cs="Arial"/>
          <w:sz w:val="22"/>
          <w:szCs w:val="22"/>
        </w:rPr>
        <w:t xml:space="preserve">Todo produto que apresente má qualidade, prazo de validade inferior a 18 meses, ou 80% de sua validade, contados da data de recebimento, deverá ser substituído imediatamente pelo fornecedor. </w:t>
      </w:r>
    </w:p>
    <w:p w14:paraId="659EBBA3">
      <w:pPr>
        <w:pStyle w:val="16"/>
        <w:numPr>
          <w:ilvl w:val="0"/>
          <w:numId w:val="12"/>
        </w:numPr>
        <w:spacing w:before="240" w:after="240" w:line="360" w:lineRule="auto"/>
        <w:ind w:left="142" w:hanging="76"/>
        <w:jc w:val="both"/>
        <w:rPr>
          <w:rFonts w:ascii="Arial" w:hAnsi="Arial" w:cs="Arial"/>
          <w:b/>
          <w:bCs/>
          <w:sz w:val="22"/>
          <w:szCs w:val="22"/>
        </w:rPr>
      </w:pPr>
      <w:r>
        <w:rPr>
          <w:rFonts w:ascii="Arial" w:hAnsi="Arial" w:cs="Arial"/>
          <w:b/>
          <w:bCs/>
          <w:sz w:val="22"/>
          <w:szCs w:val="22"/>
        </w:rPr>
        <w:t>Contratação de caráter não continuado. A ata de  registro</w:t>
      </w:r>
      <w:r>
        <w:rPr>
          <w:rFonts w:ascii="Arial" w:hAnsi="Arial" w:cs="Arial"/>
          <w:b/>
          <w:bCs/>
          <w:spacing w:val="-2"/>
          <w:sz w:val="22"/>
          <w:szCs w:val="22"/>
        </w:rPr>
        <w:t xml:space="preserve"> </w:t>
      </w:r>
      <w:r>
        <w:rPr>
          <w:rFonts w:ascii="Arial" w:hAnsi="Arial" w:cs="Arial"/>
          <w:b/>
          <w:bCs/>
          <w:sz w:val="22"/>
          <w:szCs w:val="22"/>
        </w:rPr>
        <w:t>de preço</w:t>
      </w:r>
      <w:r>
        <w:rPr>
          <w:rFonts w:ascii="Arial" w:hAnsi="Arial" w:cs="Arial"/>
          <w:b/>
          <w:bCs/>
          <w:spacing w:val="-1"/>
          <w:sz w:val="22"/>
          <w:szCs w:val="22"/>
        </w:rPr>
        <w:t xml:space="preserve"> </w:t>
      </w:r>
      <w:r>
        <w:rPr>
          <w:rFonts w:ascii="Arial" w:hAnsi="Arial" w:cs="Arial"/>
          <w:b/>
          <w:bCs/>
          <w:sz w:val="22"/>
          <w:szCs w:val="22"/>
        </w:rPr>
        <w:t>terá prazo de</w:t>
      </w:r>
      <w:r>
        <w:rPr>
          <w:rFonts w:ascii="Arial" w:hAnsi="Arial" w:cs="Arial"/>
          <w:b/>
          <w:bCs/>
          <w:spacing w:val="-2"/>
          <w:sz w:val="22"/>
          <w:szCs w:val="22"/>
        </w:rPr>
        <w:t xml:space="preserve"> </w:t>
      </w:r>
      <w:r>
        <w:rPr>
          <w:rFonts w:ascii="Arial" w:hAnsi="Arial" w:cs="Arial"/>
          <w:b/>
          <w:bCs/>
          <w:sz w:val="22"/>
          <w:szCs w:val="22"/>
        </w:rPr>
        <w:t>vigência de 12 (doze) meses, a contar da data</w:t>
      </w:r>
      <w:r>
        <w:rPr>
          <w:rFonts w:ascii="Arial" w:hAnsi="Arial" w:cs="Arial"/>
          <w:b/>
          <w:bCs/>
          <w:spacing w:val="-4"/>
          <w:sz w:val="22"/>
          <w:szCs w:val="22"/>
        </w:rPr>
        <w:t xml:space="preserve"> </w:t>
      </w:r>
      <w:r>
        <w:rPr>
          <w:rFonts w:ascii="Arial" w:hAnsi="Arial" w:cs="Arial"/>
          <w:b/>
          <w:bCs/>
          <w:sz w:val="22"/>
          <w:szCs w:val="22"/>
        </w:rPr>
        <w:t>de sua assinatura, podendo ser prorrogado, conforme o Art.105 a107 da Lei nº14.133/2021.</w:t>
      </w:r>
    </w:p>
    <w:p w14:paraId="15915A2C">
      <w:pPr>
        <w:pStyle w:val="16"/>
        <w:numPr>
          <w:ilvl w:val="0"/>
          <w:numId w:val="12"/>
        </w:numPr>
        <w:tabs>
          <w:tab w:val="left" w:pos="0"/>
        </w:tabs>
        <w:adjustRightInd w:val="0"/>
        <w:spacing w:before="240" w:after="240" w:line="360" w:lineRule="auto"/>
        <w:ind w:left="142" w:firstLine="0"/>
        <w:jc w:val="both"/>
        <w:textAlignment w:val="baseline"/>
        <w:rPr>
          <w:rFonts w:ascii="Arial" w:hAnsi="Arial" w:eastAsia="Calibri" w:cs="Arial"/>
          <w:sz w:val="22"/>
          <w:szCs w:val="22"/>
        </w:rPr>
      </w:pPr>
      <w:r>
        <w:rPr>
          <w:rFonts w:ascii="Arial" w:hAnsi="Arial" w:eastAsia="Times New Roman" w:cs="Arial"/>
          <w:sz w:val="22"/>
          <w:szCs w:val="22"/>
        </w:rPr>
        <w:t>A licitante vencedora se obriga a entregar os materiais objetos desta licitação de forma parcelada mediante a emissão de ordem de fornecimento pela Secretaria Municipal de Saúde, a partir da data da assinatura da Ata de Registro de Preços.</w:t>
      </w:r>
    </w:p>
    <w:p w14:paraId="043D0A6D">
      <w:pPr>
        <w:pStyle w:val="16"/>
        <w:numPr>
          <w:ilvl w:val="0"/>
          <w:numId w:val="12"/>
        </w:numPr>
        <w:tabs>
          <w:tab w:val="left" w:pos="0"/>
        </w:tabs>
        <w:adjustRightInd w:val="0"/>
        <w:spacing w:before="240" w:after="240" w:line="360" w:lineRule="auto"/>
        <w:ind w:left="142" w:firstLine="0"/>
        <w:jc w:val="both"/>
        <w:textAlignment w:val="baseline"/>
        <w:rPr>
          <w:rFonts w:ascii="Arial" w:hAnsi="Arial" w:eastAsia="Calibri" w:cs="Arial"/>
          <w:sz w:val="22"/>
          <w:szCs w:val="22"/>
        </w:rPr>
      </w:pPr>
      <w:r>
        <w:rPr>
          <w:rFonts w:ascii="Arial" w:hAnsi="Arial" w:cs="Arial"/>
          <w:sz w:val="22"/>
          <w:szCs w:val="22"/>
          <w:shd w:val="clear" w:color="auto" w:fill="FFFFFF"/>
        </w:rPr>
        <w:t>A CONTRATADA fica obrigada, durante o período de validade e em caso de necessidade de substituição de reagentes que não mais existam no mercado, ou que estejam fora de linha de fabricação, em razão de evolução tecnológica ou que, por qualquer outro motivo o fabricante não mais o produza, a proceder à substituição por produto equivalente ou superior.</w:t>
      </w:r>
    </w:p>
    <w:p w14:paraId="34C5B32B">
      <w:pPr>
        <w:pStyle w:val="16"/>
        <w:numPr>
          <w:ilvl w:val="0"/>
          <w:numId w:val="12"/>
        </w:numPr>
        <w:tabs>
          <w:tab w:val="left" w:pos="0"/>
          <w:tab w:val="left" w:pos="709"/>
          <w:tab w:val="left" w:pos="993"/>
        </w:tabs>
        <w:adjustRightInd w:val="0"/>
        <w:spacing w:before="240" w:after="240" w:line="360" w:lineRule="auto"/>
        <w:ind w:left="142" w:firstLine="0"/>
        <w:jc w:val="both"/>
        <w:textAlignment w:val="baseline"/>
        <w:rPr>
          <w:rFonts w:ascii="Arial" w:hAnsi="Arial" w:cs="Arial"/>
          <w:b/>
          <w:bCs/>
          <w:sz w:val="22"/>
          <w:szCs w:val="22"/>
        </w:rPr>
      </w:pPr>
      <w:r>
        <w:rPr>
          <w:rFonts w:ascii="Arial" w:hAnsi="Arial" w:eastAsia="Times New Roman" w:cs="Arial"/>
          <w:sz w:val="22"/>
          <w:szCs w:val="22"/>
        </w:rPr>
        <w:t xml:space="preserve">A entrega dos materiais deverá ocorrer em até </w:t>
      </w:r>
      <w:r>
        <w:rPr>
          <w:rFonts w:ascii="Arial" w:hAnsi="Arial" w:eastAsia="Times New Roman" w:cs="Arial"/>
          <w:b/>
          <w:sz w:val="22"/>
          <w:szCs w:val="22"/>
        </w:rPr>
        <w:t>10 (dez) dias</w:t>
      </w:r>
      <w:r>
        <w:rPr>
          <w:rFonts w:ascii="Arial" w:hAnsi="Arial" w:eastAsia="Times New Roman" w:cs="Arial"/>
          <w:sz w:val="22"/>
          <w:szCs w:val="22"/>
        </w:rPr>
        <w:t xml:space="preserve"> contados a partir da data de envio da nota de empenho ou da requisição. </w:t>
      </w:r>
    </w:p>
    <w:p w14:paraId="1F773B9C">
      <w:pPr>
        <w:pStyle w:val="127"/>
        <w:widowControl w:val="0"/>
        <w:numPr>
          <w:ilvl w:val="0"/>
          <w:numId w:val="12"/>
        </w:numPr>
        <w:tabs>
          <w:tab w:val="left" w:pos="1276"/>
        </w:tabs>
        <w:autoSpaceDE w:val="0"/>
        <w:autoSpaceDN w:val="0"/>
        <w:spacing w:before="120" w:beforeLines="50" w:after="120" w:afterLines="50" w:line="360" w:lineRule="auto"/>
        <w:contextualSpacing w:val="0"/>
        <w:jc w:val="both"/>
        <w:outlineLvl w:val="1"/>
        <w:rPr>
          <w:rFonts w:ascii="Arial" w:hAnsi="Arial" w:cs="Arial"/>
          <w:sz w:val="22"/>
          <w:szCs w:val="22"/>
        </w:rPr>
      </w:pPr>
      <w:r>
        <w:rPr>
          <w:rFonts w:ascii="Arial" w:hAnsi="Arial" w:cs="Arial"/>
          <w:sz w:val="22"/>
          <w:szCs w:val="22"/>
        </w:rPr>
        <w:t>Manter, durante a validade da Ata, as mesmas condições de habilitação.</w:t>
      </w:r>
    </w:p>
    <w:p w14:paraId="3C3691FC">
      <w:pPr>
        <w:pStyle w:val="127"/>
        <w:widowControl w:val="0"/>
        <w:numPr>
          <w:ilvl w:val="0"/>
          <w:numId w:val="12"/>
        </w:numPr>
        <w:tabs>
          <w:tab w:val="left" w:pos="1276"/>
        </w:tabs>
        <w:autoSpaceDE w:val="0"/>
        <w:autoSpaceDN w:val="0"/>
        <w:spacing w:before="120" w:beforeLines="50" w:after="120" w:afterLines="50" w:line="360" w:lineRule="auto"/>
        <w:contextualSpacing w:val="0"/>
        <w:jc w:val="both"/>
        <w:rPr>
          <w:rFonts w:ascii="Arial" w:hAnsi="Arial" w:cs="Arial"/>
          <w:sz w:val="22"/>
          <w:szCs w:val="22"/>
        </w:rPr>
      </w:pPr>
      <w:r>
        <w:rPr>
          <w:rFonts w:ascii="Arial" w:hAnsi="Arial" w:cs="Arial"/>
          <w:sz w:val="22"/>
          <w:szCs w:val="22"/>
        </w:rPr>
        <w:t>Fornecer o objeto licitado, no preço, prazo e forma estipulados na proposta.</w:t>
      </w:r>
    </w:p>
    <w:p w14:paraId="1863EF18">
      <w:pPr>
        <w:pStyle w:val="16"/>
        <w:spacing w:line="360" w:lineRule="auto"/>
        <w:jc w:val="both"/>
        <w:rPr>
          <w:rFonts w:ascii="Times New Roman" w:hAnsi="Times New Roman" w:cs="Times New Roman"/>
          <w:sz w:val="22"/>
          <w:szCs w:val="22"/>
        </w:rPr>
      </w:pPr>
    </w:p>
    <w:p w14:paraId="06F9CDF8">
      <w:pPr>
        <w:numPr>
          <w:ilvl w:val="1"/>
          <w:numId w:val="13"/>
        </w:numPr>
        <w:tabs>
          <w:tab w:val="left" w:pos="426"/>
        </w:tabs>
        <w:spacing w:after="0" w:line="360" w:lineRule="auto"/>
        <w:ind w:hanging="218"/>
        <w:contextualSpacing/>
        <w:jc w:val="both"/>
        <w:rPr>
          <w:rFonts w:ascii="Arial" w:hAnsi="Arial" w:cs="Arial"/>
          <w:b/>
          <w:bCs/>
          <w:sz w:val="22"/>
          <w:szCs w:val="22"/>
          <w:lang w:eastAsia="pt-BR"/>
        </w:rPr>
      </w:pPr>
      <w:r>
        <w:rPr>
          <w:rFonts w:ascii="Arial" w:hAnsi="Arial" w:cs="Arial"/>
          <w:b/>
          <w:bCs/>
          <w:sz w:val="22"/>
          <w:szCs w:val="22"/>
          <w:lang w:eastAsia="pt-BR"/>
        </w:rPr>
        <w:t>DAS AMOSTRAS:</w:t>
      </w:r>
    </w:p>
    <w:p w14:paraId="4D961D0B">
      <w:pPr>
        <w:pStyle w:val="127"/>
        <w:widowControl w:val="0"/>
        <w:tabs>
          <w:tab w:val="left" w:pos="284"/>
        </w:tabs>
        <w:autoSpaceDE w:val="0"/>
        <w:autoSpaceDN w:val="0"/>
        <w:spacing w:before="240" w:after="240" w:line="360" w:lineRule="auto"/>
        <w:ind w:left="360" w:hanging="76"/>
        <w:contextualSpacing w:val="0"/>
        <w:jc w:val="both"/>
        <w:rPr>
          <w:rFonts w:ascii="Arial" w:hAnsi="Arial" w:cs="Arial"/>
          <w:color w:val="000000" w:themeColor="text1"/>
          <w:sz w:val="22"/>
          <w:szCs w:val="22"/>
          <w14:textFill>
            <w14:solidFill>
              <w14:schemeClr w14:val="tx1"/>
            </w14:solidFill>
          </w14:textFill>
        </w:rPr>
      </w:pPr>
      <w:r>
        <w:rPr>
          <w:rFonts w:ascii="Arial" w:hAnsi="Arial" w:eastAsia="Times New Roman" w:cs="Arial"/>
          <w:color w:val="000000" w:themeColor="text1"/>
          <w:sz w:val="22"/>
          <w:szCs w:val="22"/>
          <w14:textFill>
            <w14:solidFill>
              <w14:schemeClr w14:val="tx1"/>
            </w14:solidFill>
          </w14:textFill>
        </w:rPr>
        <w:t xml:space="preserve">5.1.1.Todas as empresas “vencedoras” deverão apresentar </w:t>
      </w:r>
      <w:r>
        <w:rPr>
          <w:rFonts w:ascii="Arial" w:hAnsi="Arial" w:eastAsia="Times New Roman" w:cs="Arial"/>
          <w:b/>
          <w:color w:val="000000" w:themeColor="text1"/>
          <w:sz w:val="22"/>
          <w:szCs w:val="22"/>
          <w:shd w:val="clear" w:color="auto" w:fill="FFFFFF" w:themeFill="background1"/>
          <w14:textFill>
            <w14:solidFill>
              <w14:schemeClr w14:val="tx1"/>
            </w14:solidFill>
          </w14:textFill>
        </w:rPr>
        <w:t>folders</w:t>
      </w:r>
      <w:r>
        <w:rPr>
          <w:rFonts w:ascii="Arial" w:hAnsi="Arial" w:eastAsia="Times New Roman" w:cs="Arial"/>
          <w:color w:val="000000" w:themeColor="text1"/>
          <w:sz w:val="22"/>
          <w:szCs w:val="22"/>
          <w:shd w:val="clear" w:color="auto" w:fill="FFFFFF" w:themeFill="background1"/>
          <w14:textFill>
            <w14:solidFill>
              <w14:schemeClr w14:val="tx1"/>
            </w14:solidFill>
          </w14:textFill>
        </w:rPr>
        <w:t xml:space="preserve"> de todos os itens</w:t>
      </w:r>
      <w:r>
        <w:rPr>
          <w:rFonts w:ascii="Arial" w:hAnsi="Arial" w:eastAsia="Times New Roman" w:cs="Arial"/>
          <w:color w:val="000000" w:themeColor="text1"/>
          <w:sz w:val="22"/>
          <w:szCs w:val="22"/>
          <w14:textFill>
            <w14:solidFill>
              <w14:schemeClr w14:val="tx1"/>
            </w14:solidFill>
          </w14:textFill>
        </w:rPr>
        <w:t xml:space="preserve"> descritos no termo de referência e conforme as descrições dos objetos, para fins de análise de pré-qualificação relativos aos produtos abaixo:</w:t>
      </w:r>
    </w:p>
    <w:p w14:paraId="12E4FB5A">
      <w:pPr>
        <w:pStyle w:val="127"/>
        <w:widowControl w:val="0"/>
        <w:tabs>
          <w:tab w:val="left" w:pos="284"/>
          <w:tab w:val="left" w:pos="426"/>
          <w:tab w:val="left" w:pos="1134"/>
        </w:tabs>
        <w:autoSpaceDE w:val="0"/>
        <w:autoSpaceDN w:val="0"/>
        <w:spacing w:before="240" w:after="240" w:line="360" w:lineRule="auto"/>
        <w:ind w:left="360" w:hanging="76"/>
        <w:contextualSpacing w:val="0"/>
        <w:jc w:val="both"/>
        <w:rPr>
          <w:rFonts w:ascii="Arial" w:hAnsi="Arial" w:eastAsia="Times New Roman" w:cs="Arial"/>
          <w:b/>
          <w:color w:val="000000" w:themeColor="text1"/>
          <w:sz w:val="22"/>
          <w:szCs w:val="22"/>
          <w14:textFill>
            <w14:solidFill>
              <w14:schemeClr w14:val="tx1"/>
            </w14:solidFill>
          </w14:textFill>
        </w:rPr>
      </w:pPr>
      <w:r>
        <w:rPr>
          <w:rFonts w:ascii="Arial" w:hAnsi="Arial" w:eastAsia="Times New Roman" w:cs="Arial"/>
          <w:color w:val="000000" w:themeColor="text1"/>
          <w:sz w:val="22"/>
          <w:szCs w:val="22"/>
          <w14:textFill>
            <w14:solidFill>
              <w14:schemeClr w14:val="tx1"/>
            </w14:solidFill>
          </w14:textFill>
        </w:rPr>
        <w:t>5.1.2. Vir acompanhadas dos dados da empresa licitante (Razão Social da Empresa, número do processo licitatório e número do item);</w:t>
      </w:r>
    </w:p>
    <w:p w14:paraId="758B62B1">
      <w:pPr>
        <w:pStyle w:val="127"/>
        <w:widowControl w:val="0"/>
        <w:tabs>
          <w:tab w:val="left" w:pos="284"/>
          <w:tab w:val="left" w:pos="426"/>
          <w:tab w:val="left" w:pos="1134"/>
        </w:tabs>
        <w:autoSpaceDE w:val="0"/>
        <w:autoSpaceDN w:val="0"/>
        <w:spacing w:before="240" w:after="240" w:line="360" w:lineRule="auto"/>
        <w:ind w:left="360" w:hanging="76"/>
        <w:contextualSpacing w:val="0"/>
        <w:jc w:val="both"/>
        <w:rPr>
          <w:rFonts w:ascii="Arial" w:hAnsi="Arial" w:cs="Arial"/>
          <w:color w:val="000000" w:themeColor="text1"/>
          <w:sz w:val="22"/>
          <w:szCs w:val="22"/>
          <w14:textFill>
            <w14:solidFill>
              <w14:schemeClr w14:val="tx1"/>
            </w14:solidFill>
          </w14:textFill>
        </w:rPr>
      </w:pPr>
      <w:r>
        <w:rPr>
          <w:rFonts w:ascii="Arial" w:hAnsi="Arial" w:eastAsia="Times New Roman" w:cs="Arial"/>
          <w:color w:val="000000" w:themeColor="text1"/>
          <w:sz w:val="22"/>
          <w:szCs w:val="22"/>
          <w14:textFill>
            <w14:solidFill>
              <w14:schemeClr w14:val="tx1"/>
            </w14:solidFill>
          </w14:textFill>
        </w:rPr>
        <w:t>5.1.3. O pregoeiro poderá solicitar parecer de técnicos pertencentes ao quadro de pessoal da Prefeitura Municipal ou, ainda de pessoas físicas ou jurídicas estranhas a ele, para orientar a sua decisão;</w:t>
      </w:r>
    </w:p>
    <w:p w14:paraId="5D6CDF22">
      <w:pPr>
        <w:tabs>
          <w:tab w:val="left" w:pos="284"/>
          <w:tab w:val="left" w:pos="426"/>
        </w:tabs>
        <w:spacing w:after="0" w:line="360" w:lineRule="auto"/>
        <w:ind w:left="502" w:hanging="76"/>
        <w:contextualSpacing/>
        <w:jc w:val="both"/>
        <w:rPr>
          <w:rFonts w:ascii="Arial" w:hAnsi="Arial" w:cs="Arial"/>
          <w:b/>
          <w:bCs/>
          <w:sz w:val="22"/>
          <w:szCs w:val="22"/>
          <w:lang w:eastAsia="pt-BR"/>
        </w:rPr>
      </w:pPr>
    </w:p>
    <w:p w14:paraId="3AB185EC">
      <w:pPr>
        <w:numPr>
          <w:ilvl w:val="1"/>
          <w:numId w:val="13"/>
        </w:numPr>
        <w:tabs>
          <w:tab w:val="left" w:pos="426"/>
        </w:tabs>
        <w:spacing w:before="240" w:line="360" w:lineRule="auto"/>
        <w:ind w:hanging="218"/>
        <w:contextualSpacing/>
        <w:jc w:val="both"/>
        <w:rPr>
          <w:rFonts w:ascii="Arial" w:hAnsi="Arial" w:cs="Arial"/>
          <w:b/>
          <w:bCs/>
          <w:sz w:val="22"/>
          <w:szCs w:val="22"/>
          <w:lang w:eastAsia="pt-BR"/>
        </w:rPr>
      </w:pPr>
      <w:r>
        <w:rPr>
          <w:rFonts w:ascii="Arial" w:hAnsi="Arial" w:cs="Arial"/>
          <w:b/>
          <w:bCs/>
          <w:sz w:val="22"/>
          <w:szCs w:val="22"/>
          <w:lang w:eastAsia="pt-BR"/>
        </w:rPr>
        <w:t>DA HABILITAÇÃO:</w:t>
      </w:r>
    </w:p>
    <w:p w14:paraId="476B7970">
      <w:pPr>
        <w:numPr>
          <w:ilvl w:val="2"/>
          <w:numId w:val="13"/>
        </w:numPr>
        <w:tabs>
          <w:tab w:val="left" w:pos="426"/>
        </w:tabs>
        <w:spacing w:before="240" w:line="360" w:lineRule="auto"/>
        <w:ind w:left="851" w:hanging="567"/>
        <w:contextualSpacing/>
        <w:jc w:val="both"/>
        <w:rPr>
          <w:rFonts w:ascii="Arial" w:hAnsi="Arial" w:cs="Arial"/>
          <w:b/>
          <w:bCs/>
          <w:sz w:val="22"/>
          <w:szCs w:val="22"/>
          <w:lang w:eastAsia="pt-BR"/>
        </w:rPr>
      </w:pPr>
      <w:r>
        <w:rPr>
          <w:rFonts w:ascii="Arial" w:hAnsi="Arial" w:cs="Arial"/>
          <w:b/>
          <w:bCs/>
          <w:sz w:val="22"/>
          <w:szCs w:val="22"/>
          <w:lang w:eastAsia="pt-BR"/>
        </w:rPr>
        <w:t xml:space="preserve"> Habilitação jurídica:</w:t>
      </w:r>
    </w:p>
    <w:p w14:paraId="011E9B34">
      <w:pPr>
        <w:numPr>
          <w:ilvl w:val="3"/>
          <w:numId w:val="13"/>
        </w:numPr>
        <w:tabs>
          <w:tab w:val="left" w:pos="993"/>
        </w:tabs>
        <w:spacing w:before="240" w:line="360" w:lineRule="auto"/>
        <w:ind w:left="284" w:firstLine="0"/>
        <w:contextualSpacing/>
        <w:jc w:val="both"/>
        <w:rPr>
          <w:rFonts w:ascii="Arial" w:hAnsi="Arial" w:cs="Arial"/>
          <w:b/>
          <w:bCs/>
          <w:sz w:val="22"/>
          <w:szCs w:val="22"/>
          <w:lang w:eastAsia="pt-BR"/>
        </w:rPr>
      </w:pPr>
      <w:r>
        <w:rPr>
          <w:rFonts w:ascii="Arial" w:hAnsi="Arial" w:cs="Arial"/>
          <w:sz w:val="22"/>
          <w:szCs w:val="22"/>
          <w:lang w:eastAsia="pt-BR"/>
        </w:rPr>
        <w:t>Empresário Individual: inscrição de Registro Público de Empresas Mercantis, a cargo da Junta Comercial da respectiva sede;</w:t>
      </w:r>
    </w:p>
    <w:p w14:paraId="0E34C162">
      <w:pPr>
        <w:numPr>
          <w:ilvl w:val="3"/>
          <w:numId w:val="13"/>
        </w:numPr>
        <w:tabs>
          <w:tab w:val="left" w:pos="993"/>
        </w:tabs>
        <w:spacing w:before="240" w:line="360" w:lineRule="auto"/>
        <w:ind w:left="284" w:firstLine="0"/>
        <w:jc w:val="both"/>
        <w:rPr>
          <w:rFonts w:ascii="Arial" w:hAnsi="Arial" w:cs="Arial"/>
          <w:b/>
          <w:bCs/>
          <w:sz w:val="22"/>
          <w:szCs w:val="22"/>
          <w:lang w:eastAsia="pt-BR"/>
        </w:rPr>
      </w:pPr>
      <w:r>
        <w:rPr>
          <w:rFonts w:ascii="Arial" w:hAnsi="Arial" w:cs="Arial"/>
          <w:sz w:val="22"/>
          <w:szCs w:val="22"/>
          <w:lang w:eastAsia="pt-BR"/>
        </w:rPr>
        <w:t xml:space="preserve">Microempreendedor Individual – MEI: Certificado da Condição de Microempreendedor Individual (CCMEI), cuja aceitação ficará condicionada à verificação da autenticidade no sítio </w:t>
      </w:r>
      <w:r>
        <w:rPr>
          <w:sz w:val="22"/>
          <w:szCs w:val="22"/>
        </w:rPr>
        <w:fldChar w:fldCharType="begin"/>
      </w:r>
      <w:r>
        <w:rPr>
          <w:sz w:val="22"/>
          <w:szCs w:val="22"/>
        </w:rPr>
        <w:instrText xml:space="preserve"> HYPERLINK "https://www.gov/empresas-e-negocios/pt-br/empreendedor" </w:instrText>
      </w:r>
      <w:r>
        <w:rPr>
          <w:sz w:val="22"/>
          <w:szCs w:val="22"/>
        </w:rPr>
        <w:fldChar w:fldCharType="separate"/>
      </w:r>
      <w:r>
        <w:rPr>
          <w:rFonts w:ascii="Arial" w:hAnsi="Arial" w:cs="Arial"/>
          <w:color w:val="0000FF" w:themeColor="hyperlink"/>
          <w:sz w:val="22"/>
          <w:szCs w:val="22"/>
          <w:u w:val="single"/>
          <w:lang w:eastAsia="pt-BR"/>
          <w14:textFill>
            <w14:solidFill>
              <w14:schemeClr w14:val="hlink"/>
            </w14:solidFill>
          </w14:textFill>
        </w:rPr>
        <w:t>https:www.gov/empresas-e-negocios/pt-br/empreendedor</w:t>
      </w:r>
      <w:r>
        <w:rPr>
          <w:rFonts w:ascii="Arial" w:hAnsi="Arial" w:cs="Arial"/>
          <w:color w:val="0000FF" w:themeColor="hyperlink"/>
          <w:sz w:val="22"/>
          <w:szCs w:val="22"/>
          <w:u w:val="single"/>
          <w:lang w:eastAsia="pt-BR"/>
          <w14:textFill>
            <w14:solidFill>
              <w14:schemeClr w14:val="hlink"/>
            </w14:solidFill>
          </w14:textFill>
        </w:rPr>
        <w:fldChar w:fldCharType="end"/>
      </w:r>
      <w:r>
        <w:rPr>
          <w:rFonts w:ascii="Arial" w:hAnsi="Arial" w:cs="Arial"/>
          <w:sz w:val="22"/>
          <w:szCs w:val="22"/>
          <w:lang w:eastAsia="pt-BR"/>
        </w:rPr>
        <w:t>;</w:t>
      </w:r>
    </w:p>
    <w:p w14:paraId="18EB7584">
      <w:pPr>
        <w:numPr>
          <w:ilvl w:val="3"/>
          <w:numId w:val="13"/>
        </w:numPr>
        <w:tabs>
          <w:tab w:val="left" w:pos="993"/>
        </w:tabs>
        <w:spacing w:before="240" w:line="360" w:lineRule="auto"/>
        <w:ind w:left="142" w:firstLine="0"/>
        <w:jc w:val="both"/>
        <w:rPr>
          <w:rFonts w:ascii="Arial" w:hAnsi="Arial" w:cs="Arial"/>
          <w:b/>
          <w:bCs/>
          <w:sz w:val="22"/>
          <w:szCs w:val="22"/>
          <w:lang w:eastAsia="pt-BR"/>
        </w:rPr>
      </w:pPr>
      <w:r>
        <w:rPr>
          <w:rFonts w:ascii="Arial" w:hAnsi="Arial" w:cs="Arial"/>
          <w:sz w:val="22"/>
          <w:szCs w:val="22"/>
          <w:lang w:eastAsia="pt-BR"/>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C080EAD">
      <w:pPr>
        <w:numPr>
          <w:ilvl w:val="3"/>
          <w:numId w:val="13"/>
        </w:numPr>
        <w:tabs>
          <w:tab w:val="left" w:pos="993"/>
        </w:tabs>
        <w:spacing w:before="240" w:line="360" w:lineRule="auto"/>
        <w:ind w:left="142" w:firstLine="0"/>
        <w:jc w:val="both"/>
        <w:rPr>
          <w:rFonts w:ascii="Arial" w:hAnsi="Arial" w:cs="Arial"/>
          <w:b/>
          <w:bCs/>
          <w:sz w:val="22"/>
          <w:szCs w:val="22"/>
          <w:lang w:eastAsia="pt-BR"/>
        </w:rPr>
      </w:pPr>
      <w:r>
        <w:rPr>
          <w:rFonts w:ascii="Arial" w:hAnsi="Arial" w:cs="Arial"/>
          <w:sz w:val="22"/>
          <w:szCs w:val="22"/>
          <w:lang w:eastAsia="pt-BR"/>
        </w:rPr>
        <w:t>Sociedade empresária Estrangeira com atuação permanente no País: portaria de autorização de funcionamento no Brasil, publicada no Diário Oficial da União e arquivada na Junta Comercia da unidade federativa onde se localizar a filial, agência, sucursal ou estabelecida, a qual será considerada como sua sede, conforme Instrução Normativa DREI/ME nº 77, de 18 de março de 2020;</w:t>
      </w:r>
    </w:p>
    <w:p w14:paraId="7C27CA23">
      <w:pPr>
        <w:numPr>
          <w:ilvl w:val="3"/>
          <w:numId w:val="13"/>
        </w:numPr>
        <w:tabs>
          <w:tab w:val="left" w:pos="993"/>
        </w:tabs>
        <w:spacing w:before="240" w:line="360" w:lineRule="auto"/>
        <w:ind w:left="142" w:firstLine="0"/>
        <w:jc w:val="both"/>
        <w:rPr>
          <w:rFonts w:ascii="Arial" w:hAnsi="Arial" w:cs="Arial"/>
          <w:b/>
          <w:bCs/>
          <w:sz w:val="22"/>
          <w:szCs w:val="22"/>
          <w:lang w:eastAsia="pt-BR"/>
        </w:rPr>
      </w:pPr>
      <w:r>
        <w:rPr>
          <w:rFonts w:ascii="Arial" w:hAnsi="Arial" w:cs="Arial"/>
          <w:sz w:val="22"/>
          <w:szCs w:val="22"/>
          <w:lang w:eastAsia="pt-BR"/>
        </w:rPr>
        <w:t>Sociedade simples: inscrição do ato constitutivo no Registro Civil de Pessoas Jurídicas do local de sua sede, acompanhada de documento comprobatório de seus administradores;</w:t>
      </w:r>
    </w:p>
    <w:p w14:paraId="1D82AD9F">
      <w:pPr>
        <w:numPr>
          <w:ilvl w:val="3"/>
          <w:numId w:val="13"/>
        </w:numPr>
        <w:tabs>
          <w:tab w:val="left" w:pos="993"/>
        </w:tabs>
        <w:spacing w:before="240" w:line="360" w:lineRule="auto"/>
        <w:ind w:left="142" w:firstLine="0"/>
        <w:jc w:val="both"/>
        <w:rPr>
          <w:rFonts w:ascii="Arial" w:hAnsi="Arial" w:cs="Arial"/>
          <w:b/>
          <w:bCs/>
          <w:sz w:val="22"/>
          <w:szCs w:val="22"/>
          <w:lang w:eastAsia="pt-BR"/>
        </w:rPr>
      </w:pPr>
      <w:r>
        <w:rPr>
          <w:rFonts w:ascii="Arial" w:hAnsi="Arial" w:cs="Arial"/>
          <w:sz w:val="22"/>
          <w:szCs w:val="22"/>
          <w:lang w:eastAsia="pt-BR"/>
        </w:rPr>
        <w:t>Filial, sucursal ou agência de sociedade simples ou empresária: inscrição do ato constitutivo da filial, sucursal ou agência de sociedade simples ou empresária, respectivamente, no Registro Civil das Pessoas Jurídicas ou no Registro Público de Empresas Mercantis onde opera, com averbação no Registro onde tem sede a matriz;</w:t>
      </w:r>
    </w:p>
    <w:p w14:paraId="394B633C">
      <w:pPr>
        <w:numPr>
          <w:ilvl w:val="3"/>
          <w:numId w:val="13"/>
        </w:numPr>
        <w:tabs>
          <w:tab w:val="left" w:pos="993"/>
        </w:tabs>
        <w:spacing w:before="240" w:line="360" w:lineRule="auto"/>
        <w:ind w:left="142" w:firstLine="0"/>
        <w:jc w:val="both"/>
        <w:rPr>
          <w:rFonts w:ascii="Arial" w:hAnsi="Arial" w:cs="Arial"/>
          <w:b/>
          <w:bCs/>
          <w:sz w:val="22"/>
          <w:szCs w:val="22"/>
          <w:lang w:eastAsia="pt-BR"/>
        </w:rPr>
      </w:pPr>
      <w:r>
        <w:rPr>
          <w:rFonts w:ascii="Arial" w:hAnsi="Arial" w:cs="Arial"/>
          <w:sz w:val="22"/>
          <w:szCs w:val="22"/>
          <w:lang w:eastAsia="pt-BR"/>
        </w:rPr>
        <w:t>No caso do item 4.1.1.3,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1C2AD0A9">
      <w:pPr>
        <w:numPr>
          <w:ilvl w:val="3"/>
          <w:numId w:val="13"/>
        </w:numPr>
        <w:tabs>
          <w:tab w:val="left" w:pos="993"/>
        </w:tabs>
        <w:spacing w:before="240" w:line="360" w:lineRule="auto"/>
        <w:ind w:left="142" w:firstLine="0"/>
        <w:jc w:val="both"/>
        <w:rPr>
          <w:rFonts w:ascii="Arial" w:hAnsi="Arial" w:cs="Arial"/>
          <w:b/>
          <w:bCs/>
          <w:sz w:val="22"/>
          <w:szCs w:val="22"/>
          <w:lang w:eastAsia="pt-BR"/>
        </w:rPr>
      </w:pPr>
      <w:r>
        <w:rPr>
          <w:rFonts w:ascii="Arial" w:hAnsi="Arial" w:cs="Arial"/>
          <w:sz w:val="22"/>
          <w:szCs w:val="22"/>
          <w:lang w:eastAsia="pt-BR"/>
        </w:rPr>
        <w:t>Quaisquer atos constitutivos elencados acima deverão ser apresentados juntamente com a Consulta ao Quadro de Sócios e Administradores – QSA;</w:t>
      </w:r>
    </w:p>
    <w:p w14:paraId="3193B165">
      <w:pPr>
        <w:numPr>
          <w:ilvl w:val="3"/>
          <w:numId w:val="13"/>
        </w:numPr>
        <w:tabs>
          <w:tab w:val="left" w:pos="993"/>
        </w:tabs>
        <w:spacing w:before="240" w:line="360" w:lineRule="auto"/>
        <w:ind w:left="142" w:firstLine="0"/>
        <w:jc w:val="both"/>
        <w:rPr>
          <w:rFonts w:ascii="Arial" w:hAnsi="Arial" w:cs="Arial"/>
          <w:b/>
          <w:bCs/>
          <w:sz w:val="22"/>
          <w:szCs w:val="22"/>
          <w:lang w:eastAsia="pt-BR"/>
        </w:rPr>
      </w:pPr>
      <w:r>
        <w:rPr>
          <w:rFonts w:ascii="Arial" w:hAnsi="Arial" w:cs="Arial"/>
          <w:sz w:val="22"/>
          <w:szCs w:val="22"/>
          <w:lang w:eastAsia="pt-BR"/>
        </w:rPr>
        <w:t>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certame.</w:t>
      </w:r>
    </w:p>
    <w:p w14:paraId="0A094CE8">
      <w:pPr>
        <w:numPr>
          <w:ilvl w:val="2"/>
          <w:numId w:val="13"/>
        </w:numPr>
        <w:spacing w:before="240" w:line="360" w:lineRule="auto"/>
        <w:ind w:left="142" w:firstLine="0"/>
        <w:contextualSpacing/>
        <w:jc w:val="both"/>
        <w:rPr>
          <w:rFonts w:ascii="Arial" w:hAnsi="Arial" w:cs="Arial"/>
          <w:b/>
          <w:bCs/>
          <w:sz w:val="22"/>
          <w:szCs w:val="22"/>
          <w:lang w:eastAsia="pt-BR"/>
        </w:rPr>
      </w:pPr>
      <w:r>
        <w:rPr>
          <w:rFonts w:ascii="Arial" w:hAnsi="Arial" w:cs="Arial"/>
          <w:b/>
          <w:bCs/>
          <w:sz w:val="22"/>
          <w:szCs w:val="22"/>
          <w:lang w:eastAsia="pt-BR"/>
        </w:rPr>
        <w:t>Habilitação Fiscal, Social e Trabalhista:</w:t>
      </w:r>
    </w:p>
    <w:p w14:paraId="21D81243">
      <w:pPr>
        <w:numPr>
          <w:ilvl w:val="3"/>
          <w:numId w:val="13"/>
        </w:numPr>
        <w:tabs>
          <w:tab w:val="left" w:pos="993"/>
        </w:tabs>
        <w:spacing w:before="240" w:line="360" w:lineRule="auto"/>
        <w:ind w:left="142" w:firstLine="0"/>
        <w:jc w:val="both"/>
        <w:rPr>
          <w:rFonts w:ascii="Arial" w:hAnsi="Arial" w:cs="Arial"/>
          <w:b/>
          <w:bCs/>
          <w:sz w:val="22"/>
          <w:szCs w:val="22"/>
          <w:lang w:eastAsia="pt-BR"/>
        </w:rPr>
      </w:pPr>
      <w:r>
        <w:rPr>
          <w:rFonts w:ascii="Arial" w:hAnsi="Arial" w:cs="Arial"/>
          <w:sz w:val="22"/>
          <w:szCs w:val="22"/>
          <w:lang w:eastAsia="pt-BR"/>
        </w:rPr>
        <w:t>Inscrição no Cadastro Nacional de Pessoas Jurídicas CNPJ;</w:t>
      </w:r>
    </w:p>
    <w:p w14:paraId="79414DBB">
      <w:pPr>
        <w:numPr>
          <w:ilvl w:val="3"/>
          <w:numId w:val="13"/>
        </w:numPr>
        <w:tabs>
          <w:tab w:val="left" w:pos="993"/>
        </w:tabs>
        <w:spacing w:before="240" w:line="360" w:lineRule="auto"/>
        <w:ind w:left="142" w:firstLine="0"/>
        <w:jc w:val="both"/>
        <w:rPr>
          <w:rFonts w:ascii="Arial" w:hAnsi="Arial" w:cs="Arial"/>
          <w:b/>
          <w:bCs/>
          <w:sz w:val="22"/>
          <w:szCs w:val="22"/>
          <w:lang w:eastAsia="pt-BR"/>
        </w:rPr>
      </w:pPr>
      <w:r>
        <w:rPr>
          <w:rFonts w:ascii="Arial" w:hAnsi="Arial" w:cs="Arial"/>
          <w:sz w:val="22"/>
          <w:szCs w:val="22"/>
          <w:lang w:eastAsia="pt-BR"/>
        </w:rPr>
        <w:t xml:space="preserve">Inscrição no cadastro de contribuintes estadual ou municipal, relativo ao domicílio ou sede do licitante, pertinente ao seu ramo de atividade e compatível com o objeto contratual; </w:t>
      </w:r>
    </w:p>
    <w:p w14:paraId="59500461">
      <w:pPr>
        <w:numPr>
          <w:ilvl w:val="3"/>
          <w:numId w:val="13"/>
        </w:numPr>
        <w:tabs>
          <w:tab w:val="left" w:pos="993"/>
        </w:tabs>
        <w:spacing w:before="240" w:line="360" w:lineRule="auto"/>
        <w:ind w:left="142" w:firstLine="0"/>
        <w:jc w:val="both"/>
        <w:rPr>
          <w:rFonts w:ascii="Arial" w:hAnsi="Arial" w:cs="Arial"/>
          <w:b/>
          <w:bCs/>
          <w:sz w:val="22"/>
          <w:szCs w:val="22"/>
          <w:lang w:eastAsia="pt-BR"/>
        </w:rPr>
      </w:pPr>
      <w:r>
        <w:rPr>
          <w:rFonts w:ascii="Arial" w:hAnsi="Arial" w:cs="Arial"/>
          <w:sz w:val="22"/>
          <w:szCs w:val="22"/>
          <w:lang w:eastAsia="pt-BR"/>
        </w:rPr>
        <w:t>Regularidade perante a Fazenda Federal (incluindo seguridade social), estadual e Municipal ou sede do licitante, ou outra equivalente, na forma da lei;</w:t>
      </w:r>
    </w:p>
    <w:p w14:paraId="6DC4EA68">
      <w:pPr>
        <w:numPr>
          <w:ilvl w:val="3"/>
          <w:numId w:val="13"/>
        </w:numPr>
        <w:tabs>
          <w:tab w:val="left" w:pos="993"/>
        </w:tabs>
        <w:spacing w:before="240" w:line="360" w:lineRule="auto"/>
        <w:ind w:left="142" w:firstLine="0"/>
        <w:jc w:val="both"/>
        <w:rPr>
          <w:rFonts w:ascii="Arial" w:hAnsi="Arial" w:cs="Arial"/>
          <w:b/>
          <w:bCs/>
          <w:sz w:val="22"/>
          <w:szCs w:val="22"/>
          <w:lang w:eastAsia="pt-BR"/>
        </w:rPr>
      </w:pPr>
      <w:r>
        <w:rPr>
          <w:rFonts w:ascii="Arial" w:hAnsi="Arial" w:cs="Arial"/>
          <w:sz w:val="22"/>
          <w:szCs w:val="22"/>
          <w:lang w:eastAsia="pt-BR"/>
        </w:rPr>
        <w:t>Regularidade relativa ao Fundo de Garantia por Tempo de Serviço – FGTS, que demonstre cumprimento dos encargos sociais instituídos por lei;</w:t>
      </w:r>
    </w:p>
    <w:p w14:paraId="36618A93">
      <w:pPr>
        <w:numPr>
          <w:ilvl w:val="3"/>
          <w:numId w:val="13"/>
        </w:numPr>
        <w:tabs>
          <w:tab w:val="left" w:pos="993"/>
        </w:tabs>
        <w:spacing w:before="240" w:line="360" w:lineRule="auto"/>
        <w:ind w:left="142" w:firstLine="0"/>
        <w:jc w:val="both"/>
        <w:rPr>
          <w:rFonts w:ascii="Arial" w:hAnsi="Arial" w:cs="Arial"/>
          <w:b/>
          <w:bCs/>
          <w:sz w:val="22"/>
          <w:szCs w:val="22"/>
          <w:lang w:eastAsia="pt-BR"/>
        </w:rPr>
      </w:pPr>
      <w:r>
        <w:rPr>
          <w:rFonts w:ascii="Arial" w:hAnsi="Arial" w:cs="Arial"/>
          <w:sz w:val="22"/>
          <w:szCs w:val="22"/>
          <w:lang w:eastAsia="pt-BR"/>
        </w:rPr>
        <w:t xml:space="preserve">Regularidade perante a Justiça do Trabalho, mediante a apresentação de Certidão Negativa de Débitos Trabalhistas (CNDT); </w:t>
      </w:r>
    </w:p>
    <w:p w14:paraId="570DE75E">
      <w:pPr>
        <w:numPr>
          <w:ilvl w:val="3"/>
          <w:numId w:val="13"/>
        </w:numPr>
        <w:tabs>
          <w:tab w:val="left" w:pos="993"/>
        </w:tabs>
        <w:spacing w:before="240" w:line="360" w:lineRule="auto"/>
        <w:ind w:left="142" w:firstLine="0"/>
        <w:jc w:val="both"/>
        <w:rPr>
          <w:rFonts w:ascii="Arial" w:hAnsi="Arial" w:cs="Arial"/>
          <w:b/>
          <w:bCs/>
          <w:sz w:val="22"/>
          <w:szCs w:val="22"/>
          <w:lang w:eastAsia="pt-BR"/>
        </w:rPr>
      </w:pPr>
      <w:r>
        <w:rPr>
          <w:rFonts w:ascii="Arial" w:hAnsi="Arial" w:cs="Arial"/>
          <w:sz w:val="22"/>
          <w:szCs w:val="22"/>
          <w:lang w:eastAsia="pt-BR"/>
        </w:rPr>
        <w:t xml:space="preserve">Cumprimento do disposto no art.º 7º, XXXIII, da Constituição Federal, declarando que não emprega menor de 18 (dezoito) anos em trabalho noturno, perigoso ou insalubre e não emprega menor de 16 (dezesseis) anos em qualquer trabalho, salvo na condição de aprendiz, a partir de 14 (quatorze) anos. </w:t>
      </w:r>
    </w:p>
    <w:p w14:paraId="4B71E34E">
      <w:pPr>
        <w:numPr>
          <w:ilvl w:val="2"/>
          <w:numId w:val="13"/>
        </w:numPr>
        <w:tabs>
          <w:tab w:val="left" w:pos="709"/>
        </w:tabs>
        <w:spacing w:before="240" w:line="360" w:lineRule="auto"/>
        <w:ind w:left="142" w:firstLine="0"/>
        <w:jc w:val="both"/>
        <w:rPr>
          <w:rFonts w:ascii="Arial" w:hAnsi="Arial" w:cs="Arial"/>
          <w:b/>
          <w:bCs/>
          <w:sz w:val="22"/>
          <w:szCs w:val="22"/>
          <w:lang w:eastAsia="pt-BR"/>
        </w:rPr>
      </w:pPr>
      <w:r>
        <w:rPr>
          <w:rFonts w:ascii="Arial" w:hAnsi="Arial" w:cs="Arial"/>
          <w:b/>
          <w:bCs/>
          <w:sz w:val="22"/>
          <w:szCs w:val="22"/>
          <w:lang w:eastAsia="pt-BR"/>
        </w:rPr>
        <w:t>Qualificação Econômico – Financeira:</w:t>
      </w:r>
    </w:p>
    <w:p w14:paraId="6B29FF39">
      <w:pPr>
        <w:numPr>
          <w:ilvl w:val="3"/>
          <w:numId w:val="13"/>
        </w:numPr>
        <w:tabs>
          <w:tab w:val="left" w:pos="993"/>
        </w:tabs>
        <w:spacing w:before="240" w:line="360" w:lineRule="auto"/>
        <w:ind w:left="142" w:firstLine="0"/>
        <w:jc w:val="both"/>
        <w:rPr>
          <w:rFonts w:ascii="Arial" w:hAnsi="Arial" w:cs="Arial"/>
          <w:b/>
          <w:bCs/>
          <w:sz w:val="22"/>
          <w:szCs w:val="22"/>
          <w:lang w:eastAsia="pt-BR"/>
        </w:rPr>
      </w:pPr>
      <w:r>
        <w:rPr>
          <w:rFonts w:ascii="Arial" w:hAnsi="Arial" w:cs="Arial"/>
          <w:sz w:val="22"/>
          <w:szCs w:val="22"/>
          <w:lang w:eastAsia="pt-BR"/>
        </w:rPr>
        <w:t>Certidão Negativa de Falência ou Recuperação Judicial, expedida pelo distribuidor da sede do licitante, no prazo de 30 dias antecedentes à realização do certame;</w:t>
      </w:r>
    </w:p>
    <w:p w14:paraId="45313062">
      <w:pPr>
        <w:numPr>
          <w:ilvl w:val="3"/>
          <w:numId w:val="13"/>
        </w:numPr>
        <w:tabs>
          <w:tab w:val="left" w:pos="993"/>
        </w:tabs>
        <w:spacing w:before="240" w:line="360" w:lineRule="auto"/>
        <w:ind w:left="142" w:firstLine="0"/>
        <w:jc w:val="both"/>
        <w:rPr>
          <w:rFonts w:ascii="Arial" w:hAnsi="Arial" w:cs="Arial"/>
          <w:b/>
          <w:bCs/>
          <w:sz w:val="22"/>
          <w:szCs w:val="22"/>
          <w:lang w:eastAsia="pt-BR"/>
        </w:rPr>
      </w:pPr>
      <w:r>
        <w:rPr>
          <w:rFonts w:ascii="Arial" w:hAnsi="Arial" w:cs="Arial"/>
          <w:sz w:val="22"/>
          <w:szCs w:val="22"/>
          <w:lang w:eastAsia="pt-BR"/>
        </w:rPr>
        <w:t>Admite-se a participação em licitações de empresas em recuperação judicial, desde que amparadas em certidão entidade pela instância judicial competente afirmando que a interessa está apta econômica e financeiramente a participar de procedimento licitatório (Acórdão 1201/2020, TCU, Plenário, Representação, Relator, Ministro Vital do Rêgo)</w:t>
      </w:r>
    </w:p>
    <w:p w14:paraId="0B19F10D">
      <w:pPr>
        <w:numPr>
          <w:ilvl w:val="3"/>
          <w:numId w:val="13"/>
        </w:numPr>
        <w:tabs>
          <w:tab w:val="left" w:pos="993"/>
        </w:tabs>
        <w:spacing w:before="240" w:line="360" w:lineRule="auto"/>
        <w:ind w:left="142" w:firstLine="0"/>
        <w:jc w:val="both"/>
        <w:rPr>
          <w:rFonts w:ascii="Arial" w:hAnsi="Arial" w:cs="Arial"/>
          <w:b/>
          <w:bCs/>
          <w:sz w:val="22"/>
          <w:szCs w:val="22"/>
          <w:lang w:eastAsia="pt-BR"/>
        </w:rPr>
      </w:pPr>
      <w:r>
        <w:rPr>
          <w:rFonts w:ascii="Arial" w:hAnsi="Arial" w:cs="Arial"/>
          <w:sz w:val="22"/>
          <w:szCs w:val="22"/>
          <w:lang w:eastAsia="pt-BR"/>
        </w:rPr>
        <w:t>No caso de certidão positiva de recuperação judicial ou extrajudicial, a licitante deverá apresentar a comprovação de que o respectivo plano de recuperação foi acolhido judicialmente, a forma do art. 58, da Lei nº 11.101/2005, sob pena de inabilitação, devendo, ainda, comprovar todos os demais requisitos de habilitação.</w:t>
      </w:r>
    </w:p>
    <w:p w14:paraId="7D414434">
      <w:pPr>
        <w:numPr>
          <w:ilvl w:val="2"/>
          <w:numId w:val="13"/>
        </w:numPr>
        <w:tabs>
          <w:tab w:val="left" w:pos="709"/>
        </w:tabs>
        <w:spacing w:before="240" w:line="360" w:lineRule="auto"/>
        <w:ind w:left="142" w:firstLine="0"/>
        <w:jc w:val="both"/>
        <w:rPr>
          <w:rFonts w:ascii="Arial" w:hAnsi="Arial" w:cs="Arial"/>
          <w:b/>
          <w:bCs/>
          <w:sz w:val="22"/>
          <w:szCs w:val="22"/>
          <w:lang w:eastAsia="pt-BR"/>
        </w:rPr>
      </w:pPr>
      <w:r>
        <w:rPr>
          <w:rFonts w:ascii="Arial" w:hAnsi="Arial" w:cs="Arial"/>
          <w:b/>
          <w:bCs/>
          <w:sz w:val="22"/>
          <w:szCs w:val="22"/>
          <w:lang w:eastAsia="pt-BR"/>
        </w:rPr>
        <w:t>Qualificação Técnica:</w:t>
      </w:r>
    </w:p>
    <w:p w14:paraId="53BBEABA">
      <w:pPr>
        <w:pStyle w:val="127"/>
        <w:numPr>
          <w:ilvl w:val="3"/>
          <w:numId w:val="14"/>
        </w:numPr>
        <w:autoSpaceDN w:val="0"/>
        <w:spacing w:before="240" w:after="240" w:line="360" w:lineRule="auto"/>
        <w:ind w:left="142" w:firstLine="0"/>
        <w:jc w:val="both"/>
        <w:rPr>
          <w:rFonts w:ascii="Arial" w:hAnsi="Arial" w:cs="Arial"/>
          <w:sz w:val="22"/>
          <w:szCs w:val="22"/>
          <w:lang w:eastAsia="pt-BR"/>
        </w:rPr>
      </w:pPr>
      <w:r>
        <w:rPr>
          <w:rFonts w:ascii="Arial" w:hAnsi="Arial" w:cs="Arial"/>
          <w:sz w:val="22"/>
          <w:szCs w:val="22"/>
        </w:rPr>
        <w:t>Como se trata de aquisição de insumos e reagentes químicos, será exigido o comprovante de registro do medicamento na ANVISA, de acordo com a Lei nº 6.360/76 e portaria conjunta nº 1/96 ANVISA.</w:t>
      </w:r>
    </w:p>
    <w:p w14:paraId="3A5706A4">
      <w:pPr>
        <w:pStyle w:val="127"/>
        <w:numPr>
          <w:ilvl w:val="3"/>
          <w:numId w:val="14"/>
        </w:numPr>
        <w:autoSpaceDN w:val="0"/>
        <w:spacing w:before="240" w:after="240" w:line="360" w:lineRule="auto"/>
        <w:ind w:left="142" w:firstLine="0"/>
        <w:contextualSpacing w:val="0"/>
        <w:jc w:val="both"/>
        <w:rPr>
          <w:rFonts w:ascii="Arial" w:hAnsi="Arial" w:cs="Arial"/>
          <w:sz w:val="22"/>
          <w:szCs w:val="22"/>
          <w:lang w:eastAsia="pt-BR"/>
        </w:rPr>
      </w:pPr>
      <w:r>
        <w:rPr>
          <w:rFonts w:ascii="Arial" w:hAnsi="Arial" w:cs="Arial"/>
          <w:sz w:val="22"/>
          <w:szCs w:val="22"/>
          <w:lang w:eastAsia="pt-BR"/>
        </w:rPr>
        <w:t>Juntamente com as propostas de preço, as empresas vencedoras devem apresentar folder ou catálogo descritivo do material, para melhor análise de informações técnicas.</w:t>
      </w:r>
    </w:p>
    <w:p w14:paraId="16B5A548">
      <w:pPr>
        <w:pStyle w:val="127"/>
        <w:widowControl w:val="0"/>
        <w:numPr>
          <w:ilvl w:val="3"/>
          <w:numId w:val="15"/>
        </w:numPr>
        <w:tabs>
          <w:tab w:val="left" w:pos="0"/>
          <w:tab w:val="left" w:pos="851"/>
        </w:tabs>
        <w:autoSpaceDE w:val="0"/>
        <w:autoSpaceDN w:val="0"/>
        <w:spacing w:before="240" w:after="240" w:line="360" w:lineRule="auto"/>
        <w:ind w:left="142" w:firstLine="0"/>
        <w:jc w:val="both"/>
        <w:rPr>
          <w:rFonts w:ascii="Arial" w:hAnsi="Arial" w:eastAsia="Times New Roman" w:cs="Arial"/>
          <w:sz w:val="22"/>
          <w:szCs w:val="22"/>
        </w:rPr>
      </w:pPr>
      <w:r>
        <w:rPr>
          <w:rFonts w:ascii="Arial" w:hAnsi="Arial" w:eastAsia="Times New Roman" w:cs="Arial"/>
          <w:sz w:val="22"/>
          <w:szCs w:val="22"/>
        </w:rPr>
        <w:t>Os pareceres técnicos elaborados a partir dos documentos enviados serão arquivados no Departamento de Licitação/Compras e subsidiarão as avaliações dos materiais. O pregoeiro poderá solicitar parecer de técnicos pertencentes ao quadro de pessoal da Prefeitura Municipal ou, ainda de pessoas físicas ou jurídicas estranhas a ele, para orientar a sua decisão;</w:t>
      </w:r>
    </w:p>
    <w:p w14:paraId="51927F6A">
      <w:pPr>
        <w:pStyle w:val="127"/>
        <w:numPr>
          <w:ilvl w:val="3"/>
          <w:numId w:val="15"/>
        </w:numPr>
        <w:autoSpaceDN w:val="0"/>
        <w:spacing w:before="240" w:after="240" w:line="360" w:lineRule="auto"/>
        <w:ind w:left="142" w:firstLine="0"/>
        <w:jc w:val="both"/>
        <w:rPr>
          <w:rFonts w:ascii="Arial" w:hAnsi="Arial" w:cs="Arial"/>
          <w:sz w:val="22"/>
          <w:szCs w:val="22"/>
          <w:lang w:eastAsia="pt-BR"/>
        </w:rPr>
      </w:pPr>
      <w:r>
        <w:rPr>
          <w:rFonts w:ascii="Arial" w:hAnsi="Arial" w:cs="Arial"/>
          <w:sz w:val="22"/>
          <w:szCs w:val="22"/>
        </w:rPr>
        <w:t>Fornecer o objeto nas especificações e com a qualidade exigida dentro das normas da OMS.</w:t>
      </w:r>
    </w:p>
    <w:p w14:paraId="7C2EF18D">
      <w:pPr>
        <w:pStyle w:val="127"/>
        <w:numPr>
          <w:ilvl w:val="3"/>
          <w:numId w:val="15"/>
        </w:numPr>
        <w:autoSpaceDN w:val="0"/>
        <w:spacing w:before="240" w:after="240" w:line="360" w:lineRule="auto"/>
        <w:ind w:left="142" w:firstLine="0"/>
        <w:contextualSpacing w:val="0"/>
        <w:jc w:val="both"/>
        <w:rPr>
          <w:rFonts w:ascii="Arial" w:hAnsi="Arial" w:cs="Arial"/>
          <w:sz w:val="22"/>
          <w:szCs w:val="22"/>
          <w:lang w:eastAsia="pt-BR"/>
        </w:rPr>
      </w:pPr>
      <w:r>
        <w:rPr>
          <w:rFonts w:ascii="Arial" w:hAnsi="Arial" w:cs="Arial"/>
          <w:sz w:val="22"/>
          <w:szCs w:val="22"/>
          <w:lang w:eastAsia="pt-BR"/>
        </w:rPr>
        <w:t>Apresentar Alvará de Licença Sanitária Estadual ou Municipal;</w:t>
      </w:r>
    </w:p>
    <w:p w14:paraId="37C9D521">
      <w:pPr>
        <w:pStyle w:val="127"/>
        <w:numPr>
          <w:ilvl w:val="3"/>
          <w:numId w:val="15"/>
        </w:numPr>
        <w:autoSpaceDN w:val="0"/>
        <w:spacing w:before="240" w:after="240" w:line="360" w:lineRule="auto"/>
        <w:ind w:left="142" w:firstLine="0"/>
        <w:contextualSpacing w:val="0"/>
        <w:jc w:val="both"/>
        <w:rPr>
          <w:rFonts w:ascii="Arial" w:hAnsi="Arial" w:cs="Arial"/>
          <w:lang w:eastAsia="pt-BR"/>
        </w:rPr>
      </w:pPr>
      <w:r>
        <w:rPr>
          <w:rFonts w:ascii="Arial" w:hAnsi="Arial" w:cs="Arial"/>
          <w:sz w:val="22"/>
          <w:szCs w:val="22"/>
          <w:lang w:eastAsia="pt-BR"/>
        </w:rPr>
        <w:t>Apresentar Certificado de regularidade junto ao Conselho Federal de Farmácia – CRF;</w:t>
      </w:r>
    </w:p>
    <w:p w14:paraId="5B914305">
      <w:pPr>
        <w:tabs>
          <w:tab w:val="left" w:pos="426"/>
          <w:tab w:val="left" w:pos="993"/>
          <w:tab w:val="left" w:pos="1276"/>
        </w:tabs>
        <w:spacing w:before="240" w:after="0" w:line="360" w:lineRule="auto"/>
        <w:jc w:val="both"/>
        <w:rPr>
          <w:rFonts w:ascii="Arial" w:hAnsi="Arial" w:eastAsia="Times New Roman" w:cs="Arial"/>
          <w:sz w:val="22"/>
          <w:szCs w:val="22"/>
          <w:lang w:eastAsia="pt-BR"/>
        </w:rPr>
      </w:pPr>
      <w:r>
        <w:rPr>
          <w:rFonts w:ascii="Times New Roman" w:hAnsi="Times New Roman" w:cs="Times New Roman"/>
          <w:sz w:val="22"/>
          <w:szCs w:val="22"/>
          <w:lang w:eastAsia="pt-BR"/>
        </w:rPr>
        <mc:AlternateContent>
          <mc:Choice Requires="wps">
            <w:drawing>
              <wp:inline distT="0" distB="0" distL="0" distR="0">
                <wp:extent cx="5556250" cy="282575"/>
                <wp:effectExtent l="4445" t="4445" r="20955" b="17780"/>
                <wp:docPr id="11" name="Textbox 3"/>
                <wp:cNvGraphicFramePr/>
                <a:graphic xmlns:a="http://schemas.openxmlformats.org/drawingml/2006/main">
                  <a:graphicData uri="http://schemas.microsoft.com/office/word/2010/wordprocessingShape">
                    <wps:wsp>
                      <wps:cNvSpPr txBox="1"/>
                      <wps:spPr>
                        <a:xfrm>
                          <a:off x="0" y="0"/>
                          <a:ext cx="5556250" cy="282804"/>
                        </a:xfrm>
                        <a:prstGeom prst="rect">
                          <a:avLst/>
                        </a:prstGeom>
                        <a:solidFill>
                          <a:srgbClr val="D6D6D6"/>
                        </a:solidFill>
                        <a:ln w="6096">
                          <a:solidFill>
                            <a:srgbClr val="000000"/>
                          </a:solidFill>
                          <a:prstDash val="solid"/>
                        </a:ln>
                      </wps:spPr>
                      <wps:txbx>
                        <w:txbxContent>
                          <w:p w14:paraId="35A63CD6">
                            <w:pPr>
                              <w:spacing w:before="61"/>
                              <w:ind w:left="16"/>
                              <w:jc w:val="center"/>
                              <w:rPr>
                                <w:rFonts w:ascii="Arial" w:hAnsi="Arial" w:cs="Arial"/>
                                <w:b/>
                                <w:color w:val="000000"/>
                              </w:rPr>
                            </w:pPr>
                            <w:r>
                              <w:rPr>
                                <w:rFonts w:ascii="Arial" w:hAnsi="Arial" w:cs="Arial"/>
                                <w:b/>
                                <w:color w:val="000000"/>
                              </w:rPr>
                              <w:t>6. EXECUÇÃO DO OBJETO DO CONTRATO</w:t>
                            </w:r>
                          </w:p>
                        </w:txbxContent>
                      </wps:txbx>
                      <wps:bodyPr wrap="square" lIns="0" tIns="0" rIns="0" bIns="0" rtlCol="0">
                        <a:noAutofit/>
                      </wps:bodyPr>
                    </wps:wsp>
                  </a:graphicData>
                </a:graphic>
              </wp:inline>
            </w:drawing>
          </mc:Choice>
          <mc:Fallback>
            <w:pict>
              <v:shape id="Textbox 3" o:spid="_x0000_s1026" o:spt="202" type="#_x0000_t202" style="height:22.25pt;width:437.5pt;" fillcolor="#D6D6D6" filled="t" stroked="t" coordsize="21600,21600" o:gfxdata="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pDR709MA&#10;AAAEAQAADwAAAAAAAAABACAAAAAiAAAAZHJzL2Rvd25yZXYueG1sUEsBAhQAFAAAAAgAh07iQNPb&#10;867rAQAADAQAAA4AAAAAAAAAAQAgAAAAIgEAAGRycy9lMm9Eb2MueG1sUEsFBgAAAAAGAAYAWQEA&#10;AH8FAAAAAA==&#10;">
                <v:fill on="t" focussize="0,0"/>
                <v:stroke weight="0.48pt" color="#000000" joinstyle="round"/>
                <v:imagedata o:title=""/>
                <o:lock v:ext="edit" aspectratio="f"/>
                <v:textbox inset="0mm,0mm,0mm,0mm">
                  <w:txbxContent>
                    <w:p w14:paraId="35A63CD6">
                      <w:pPr>
                        <w:spacing w:before="61"/>
                        <w:ind w:left="16"/>
                        <w:jc w:val="center"/>
                        <w:rPr>
                          <w:rFonts w:ascii="Arial" w:hAnsi="Arial" w:cs="Arial"/>
                          <w:b/>
                          <w:color w:val="000000"/>
                        </w:rPr>
                      </w:pPr>
                      <w:r>
                        <w:rPr>
                          <w:rFonts w:ascii="Arial" w:hAnsi="Arial" w:cs="Arial"/>
                          <w:b/>
                          <w:color w:val="000000"/>
                        </w:rPr>
                        <w:t>6. EXECUÇÃO DO OBJETO DO CONTRATO</w:t>
                      </w:r>
                    </w:p>
                  </w:txbxContent>
                </v:textbox>
                <w10:wrap type="none"/>
                <w10:anchorlock/>
              </v:shape>
            </w:pict>
          </mc:Fallback>
        </mc:AlternateContent>
      </w:r>
      <w:r>
        <w:rPr>
          <w:rFonts w:ascii="Times New Roman" w:hAnsi="Times New Roman" w:eastAsia="Times New Roman" w:cs="Times New Roman"/>
          <w:sz w:val="22"/>
          <w:szCs w:val="22"/>
          <w:lang w:eastAsia="pt-BR"/>
        </w:rPr>
        <w:t xml:space="preserve"> </w:t>
      </w:r>
      <w:bookmarkStart w:id="71" w:name="_Hlk188613683"/>
      <w:r>
        <w:rPr>
          <w:rFonts w:ascii="Arial" w:hAnsi="Arial" w:eastAsia="Times New Roman" w:cs="Arial"/>
          <w:b/>
          <w:sz w:val="22"/>
          <w:szCs w:val="22"/>
          <w:lang w:eastAsia="pt-BR"/>
        </w:rPr>
        <w:t>6.1</w:t>
      </w:r>
      <w:r>
        <w:rPr>
          <w:rFonts w:ascii="Arial" w:hAnsi="Arial" w:eastAsia="Times New Roman" w:cs="Arial"/>
          <w:sz w:val="22"/>
          <w:szCs w:val="22"/>
          <w:lang w:eastAsia="pt-BR"/>
        </w:rPr>
        <w:tab/>
      </w:r>
      <w:r>
        <w:rPr>
          <w:rFonts w:ascii="Arial" w:hAnsi="Arial" w:eastAsia="Times New Roman" w:cs="Arial"/>
          <w:sz w:val="22"/>
          <w:szCs w:val="22"/>
          <w:lang w:eastAsia="pt-BR"/>
        </w:rPr>
        <w:t>A forma de execução do objeto visa assegurar que todos os itens atendam às especificações técnicas, padrões de qualidade e requisitos de segurança exigidos. Para isso, a contratada deverá seguir as condições e procedimentos estabelecidos para a entrega dos insumos, conforme descrito neste Termo de Referência.</w:t>
      </w:r>
    </w:p>
    <w:p w14:paraId="7812AB4F">
      <w:pPr>
        <w:tabs>
          <w:tab w:val="left" w:pos="660"/>
        </w:tabs>
        <w:suppressAutoHyphens/>
        <w:spacing w:before="240" w:after="240" w:line="360" w:lineRule="auto"/>
        <w:ind w:left="108"/>
        <w:jc w:val="both"/>
        <w:rPr>
          <w:rFonts w:ascii="Arial" w:hAnsi="Arial" w:cs="Arial"/>
          <w:b/>
          <w:bCs/>
          <w:sz w:val="22"/>
          <w:szCs w:val="22"/>
        </w:rPr>
      </w:pPr>
      <w:r>
        <w:rPr>
          <w:rFonts w:ascii="Arial" w:hAnsi="Arial" w:eastAsia="Times New Roman" w:cs="Arial"/>
          <w:sz w:val="22"/>
          <w:szCs w:val="22"/>
          <w:lang w:eastAsia="pt-BR"/>
        </w:rPr>
        <w:t>6.1.1.</w:t>
      </w:r>
      <w:r>
        <w:rPr>
          <w:rFonts w:ascii="Arial" w:hAnsi="Arial" w:cs="Arial"/>
          <w:b/>
          <w:bCs/>
          <w:sz w:val="22"/>
          <w:szCs w:val="22"/>
        </w:rPr>
        <w:t xml:space="preserve"> DIREITOS E DEVERES DA CONTRATADA </w:t>
      </w:r>
    </w:p>
    <w:p w14:paraId="7F42F2D3">
      <w:pPr>
        <w:pStyle w:val="127"/>
        <w:numPr>
          <w:ilvl w:val="0"/>
          <w:numId w:val="16"/>
        </w:numPr>
        <w:tabs>
          <w:tab w:val="left" w:pos="357"/>
        </w:tabs>
        <w:suppressAutoHyphens/>
        <w:spacing w:before="240" w:after="240" w:line="360" w:lineRule="auto"/>
        <w:ind w:left="357" w:firstLine="0"/>
        <w:contextualSpacing w:val="0"/>
        <w:jc w:val="both"/>
        <w:rPr>
          <w:rFonts w:ascii="Arial" w:hAnsi="Arial" w:cs="Arial"/>
          <w:b/>
          <w:sz w:val="22"/>
          <w:szCs w:val="22"/>
        </w:rPr>
      </w:pPr>
      <w:bookmarkStart w:id="72" w:name="_Hlk161131910"/>
      <w:r>
        <w:rPr>
          <w:rFonts w:ascii="Arial" w:hAnsi="Arial" w:cs="Arial"/>
          <w:sz w:val="22"/>
          <w:szCs w:val="22"/>
        </w:rPr>
        <w:t>Fornecer os produtos nas especificações e com a qualidade exigida;</w:t>
      </w:r>
    </w:p>
    <w:p w14:paraId="466A960B">
      <w:pPr>
        <w:pStyle w:val="127"/>
        <w:numPr>
          <w:ilvl w:val="0"/>
          <w:numId w:val="16"/>
        </w:numPr>
        <w:suppressAutoHyphens/>
        <w:spacing w:before="240" w:after="240" w:line="360" w:lineRule="auto"/>
        <w:ind w:left="357" w:firstLine="0"/>
        <w:contextualSpacing w:val="0"/>
        <w:jc w:val="both"/>
        <w:rPr>
          <w:rFonts w:ascii="Arial" w:hAnsi="Arial" w:cs="Arial"/>
          <w:bCs/>
          <w:sz w:val="22"/>
          <w:szCs w:val="22"/>
        </w:rPr>
      </w:pPr>
      <w:r>
        <w:rPr>
          <w:rFonts w:ascii="Arial" w:hAnsi="Arial" w:cs="Arial"/>
          <w:bCs/>
          <w:sz w:val="22"/>
          <w:szCs w:val="22"/>
        </w:rPr>
        <w:t xml:space="preserve"> A(s) licitante(s) vencedora(s) se obriga(m) a entregar os materiais objetos desta licitação, mediante a emissão de ordem de fornecimento pelas Secretarias Municipais, a partir da data da assinatura da Ata de Registro de Preços;</w:t>
      </w:r>
    </w:p>
    <w:p w14:paraId="020AF48C">
      <w:pPr>
        <w:pStyle w:val="127"/>
        <w:numPr>
          <w:ilvl w:val="0"/>
          <w:numId w:val="16"/>
        </w:numPr>
        <w:suppressAutoHyphens/>
        <w:spacing w:before="240" w:after="240" w:line="360" w:lineRule="auto"/>
        <w:ind w:left="357" w:firstLine="0"/>
        <w:contextualSpacing w:val="0"/>
        <w:jc w:val="both"/>
        <w:rPr>
          <w:rFonts w:ascii="Arial" w:hAnsi="Arial" w:cs="Arial"/>
          <w:bCs/>
          <w:sz w:val="22"/>
          <w:szCs w:val="22"/>
        </w:rPr>
      </w:pPr>
      <w:r>
        <w:rPr>
          <w:rFonts w:ascii="Arial" w:hAnsi="Arial" w:cs="Arial"/>
          <w:bCs/>
          <w:sz w:val="22"/>
          <w:szCs w:val="22"/>
        </w:rPr>
        <w:t xml:space="preserve">As notas fiscais não poderão ter rasuras e deverão descrever corretamente o item; número de empenho, o número do processo de compras, dados bancários para depósito; deverão ser encaminhadas à Prefeitura de Sinop, por meio do Portal do Fornecedor, disponível no endereço eletrônico: </w:t>
      </w:r>
      <w:r>
        <w:rPr>
          <w:sz w:val="22"/>
          <w:szCs w:val="22"/>
        </w:rPr>
        <w:fldChar w:fldCharType="begin"/>
      </w:r>
      <w:r>
        <w:rPr>
          <w:sz w:val="22"/>
          <w:szCs w:val="22"/>
        </w:rPr>
        <w:instrText xml:space="preserve"> HYPERLINK "https://www.gp.srv.br/portalfornecedor_sinop/servlet/home" </w:instrText>
      </w:r>
      <w:r>
        <w:rPr>
          <w:sz w:val="22"/>
          <w:szCs w:val="22"/>
        </w:rPr>
        <w:fldChar w:fldCharType="separate"/>
      </w:r>
      <w:r>
        <w:rPr>
          <w:rStyle w:val="14"/>
          <w:rFonts w:ascii="Arial" w:hAnsi="Arial" w:cs="Arial"/>
          <w:bCs/>
          <w:sz w:val="22"/>
          <w:szCs w:val="22"/>
        </w:rPr>
        <w:t>https://www.gp.srv.br/portalfornecedor_sinop/servlet/home</w:t>
      </w:r>
      <w:r>
        <w:rPr>
          <w:rStyle w:val="14"/>
          <w:rFonts w:ascii="Arial" w:hAnsi="Arial" w:cs="Arial"/>
          <w:bCs/>
          <w:sz w:val="22"/>
          <w:szCs w:val="22"/>
        </w:rPr>
        <w:fldChar w:fldCharType="end"/>
      </w:r>
      <w:r>
        <w:rPr>
          <w:rFonts w:ascii="Arial" w:hAnsi="Arial" w:cs="Arial"/>
          <w:bCs/>
          <w:sz w:val="22"/>
          <w:szCs w:val="22"/>
        </w:rPr>
        <w:t xml:space="preserve"> , conforme Decreto nº 230/2023 de 06 de setembro de 2023;</w:t>
      </w:r>
    </w:p>
    <w:p w14:paraId="79545C72">
      <w:pPr>
        <w:pStyle w:val="127"/>
        <w:numPr>
          <w:ilvl w:val="0"/>
          <w:numId w:val="16"/>
        </w:numPr>
        <w:suppressAutoHyphens/>
        <w:spacing w:before="240" w:after="240" w:line="360" w:lineRule="auto"/>
        <w:ind w:left="357" w:firstLine="0"/>
        <w:contextualSpacing w:val="0"/>
        <w:jc w:val="both"/>
        <w:rPr>
          <w:rFonts w:ascii="Arial" w:hAnsi="Arial" w:cs="Arial"/>
          <w:b/>
          <w:sz w:val="22"/>
          <w:szCs w:val="22"/>
        </w:rPr>
      </w:pPr>
      <w:r>
        <w:rPr>
          <w:rFonts w:ascii="Arial" w:hAnsi="Arial" w:cs="Arial"/>
          <w:sz w:val="22"/>
          <w:szCs w:val="22"/>
        </w:rPr>
        <w:t>As notas fiscais serão liberadas para pagamento somente quando acompanhadas do relatório de recebimento, devidamente assinado e carimbado pelo funcionário responsável.</w:t>
      </w:r>
    </w:p>
    <w:p w14:paraId="346B8D75">
      <w:pPr>
        <w:pStyle w:val="127"/>
        <w:numPr>
          <w:ilvl w:val="0"/>
          <w:numId w:val="16"/>
        </w:numPr>
        <w:suppressAutoHyphens/>
        <w:spacing w:before="240" w:after="240" w:line="360" w:lineRule="auto"/>
        <w:ind w:left="357" w:firstLine="0"/>
        <w:contextualSpacing w:val="0"/>
        <w:jc w:val="both"/>
        <w:rPr>
          <w:rFonts w:ascii="Arial" w:hAnsi="Arial" w:cs="Arial"/>
          <w:b/>
          <w:sz w:val="22"/>
          <w:szCs w:val="22"/>
        </w:rPr>
      </w:pPr>
      <w:r>
        <w:rPr>
          <w:rFonts w:ascii="Arial" w:hAnsi="Arial" w:cs="Arial"/>
          <w:sz w:val="22"/>
          <w:szCs w:val="22"/>
        </w:rPr>
        <w:t>Pagar todos os tributos, encargos, custos e despesas, dentre outros, que incidam ou</w:t>
      </w:r>
      <w:r>
        <w:rPr>
          <w:rFonts w:ascii="Arial" w:hAnsi="Arial" w:cs="Arial"/>
          <w:b/>
          <w:sz w:val="22"/>
          <w:szCs w:val="22"/>
        </w:rPr>
        <w:t xml:space="preserve"> </w:t>
      </w:r>
      <w:r>
        <w:rPr>
          <w:rFonts w:ascii="Arial" w:hAnsi="Arial" w:cs="Arial"/>
          <w:sz w:val="22"/>
          <w:szCs w:val="22"/>
        </w:rPr>
        <w:t>venham a incidir, direta ou indiretamente, sobre os serviços fornecidos;</w:t>
      </w:r>
    </w:p>
    <w:p w14:paraId="1D1E9EA4">
      <w:pPr>
        <w:pStyle w:val="127"/>
        <w:numPr>
          <w:ilvl w:val="0"/>
          <w:numId w:val="16"/>
        </w:numPr>
        <w:suppressAutoHyphens/>
        <w:spacing w:before="240" w:after="240" w:line="360" w:lineRule="auto"/>
        <w:ind w:left="357" w:firstLine="0"/>
        <w:contextualSpacing w:val="0"/>
        <w:jc w:val="both"/>
        <w:rPr>
          <w:rFonts w:ascii="Arial" w:hAnsi="Arial" w:cs="Arial"/>
          <w:b/>
          <w:sz w:val="22"/>
          <w:szCs w:val="22"/>
        </w:rPr>
      </w:pPr>
      <w:r>
        <w:rPr>
          <w:rFonts w:ascii="Arial" w:hAnsi="Arial" w:cs="Arial"/>
          <w:sz w:val="22"/>
          <w:szCs w:val="22"/>
        </w:rPr>
        <w:t>Manter, durante a validade da Ata, as mesmas condições de habilitação;</w:t>
      </w:r>
    </w:p>
    <w:p w14:paraId="3AB8CAF3">
      <w:pPr>
        <w:pStyle w:val="127"/>
        <w:numPr>
          <w:ilvl w:val="0"/>
          <w:numId w:val="16"/>
        </w:numPr>
        <w:suppressAutoHyphens/>
        <w:spacing w:before="240" w:after="240" w:line="360" w:lineRule="auto"/>
        <w:ind w:left="357" w:firstLine="0"/>
        <w:contextualSpacing w:val="0"/>
        <w:jc w:val="both"/>
        <w:rPr>
          <w:rFonts w:ascii="Arial" w:hAnsi="Arial" w:cs="Arial"/>
          <w:sz w:val="22"/>
          <w:szCs w:val="22"/>
        </w:rPr>
      </w:pPr>
      <w:r>
        <w:rPr>
          <w:rFonts w:ascii="Arial" w:hAnsi="Arial" w:cs="Arial"/>
          <w:sz w:val="22"/>
          <w:szCs w:val="22"/>
        </w:rPr>
        <w:t>Fornecer o objeto licitado, no preço, prazo e forma estipulados na proposta.</w:t>
      </w:r>
      <w:bookmarkEnd w:id="72"/>
    </w:p>
    <w:p w14:paraId="5E4EB028">
      <w:pPr>
        <w:pStyle w:val="127"/>
        <w:numPr>
          <w:ilvl w:val="0"/>
          <w:numId w:val="16"/>
        </w:numPr>
        <w:suppressAutoHyphens/>
        <w:spacing w:before="240" w:after="240" w:line="360" w:lineRule="auto"/>
        <w:ind w:left="357" w:firstLine="0"/>
        <w:contextualSpacing w:val="0"/>
        <w:jc w:val="both"/>
        <w:rPr>
          <w:rFonts w:ascii="Arial" w:hAnsi="Arial" w:cs="Arial"/>
          <w:sz w:val="22"/>
          <w:szCs w:val="22"/>
        </w:rPr>
      </w:pPr>
      <w:r>
        <w:rPr>
          <w:rFonts w:ascii="Arial" w:hAnsi="Arial" w:cs="Arial"/>
          <w:sz w:val="22"/>
          <w:szCs w:val="22"/>
        </w:rPr>
        <w:t xml:space="preserve">Os produtos deverão ser entregues no </w:t>
      </w:r>
      <w:bookmarkStart w:id="73" w:name="_Hlk161905680"/>
      <w:r>
        <w:rPr>
          <w:rFonts w:ascii="Arial" w:hAnsi="Arial" w:cs="Arial"/>
          <w:b/>
          <w:sz w:val="22"/>
          <w:szCs w:val="22"/>
        </w:rPr>
        <w:t>Laboratório Municipal da Análises Clínicas</w:t>
      </w:r>
      <w:r>
        <w:rPr>
          <w:rFonts w:ascii="Arial" w:hAnsi="Arial" w:cs="Arial"/>
          <w:sz w:val="22"/>
          <w:szCs w:val="22"/>
        </w:rPr>
        <w:t>, localizado na Rua das Primaveras, Nº 1270 esquina com Pitombeiras, Jardim Jacarandás, na cidade de Sinop/MT, o</w:t>
      </w:r>
      <w:r>
        <w:rPr>
          <w:rFonts w:ascii="Arial" w:hAnsi="Arial" w:eastAsia="Calibri" w:cs="Arial"/>
          <w:sz w:val="22"/>
          <w:szCs w:val="22"/>
        </w:rPr>
        <w:t xml:space="preserve">s materiais deveram ser entregues </w:t>
      </w:r>
      <w:r>
        <w:rPr>
          <w:rFonts w:ascii="Arial" w:hAnsi="Arial" w:cs="Arial"/>
          <w:sz w:val="22"/>
          <w:szCs w:val="22"/>
        </w:rPr>
        <w:t>de segunda a sexta-feira, das 08h00min às 20h00min (horário de Brasília/DF).</w:t>
      </w:r>
    </w:p>
    <w:p w14:paraId="0BC8CD3E">
      <w:pPr>
        <w:pStyle w:val="127"/>
        <w:numPr>
          <w:ilvl w:val="0"/>
          <w:numId w:val="16"/>
        </w:numPr>
        <w:tabs>
          <w:tab w:val="left" w:pos="284"/>
          <w:tab w:val="left" w:pos="425"/>
        </w:tabs>
        <w:suppressAutoHyphens/>
        <w:spacing w:before="240" w:after="240" w:line="360" w:lineRule="auto"/>
        <w:ind w:left="426" w:firstLine="0"/>
        <w:contextualSpacing w:val="0"/>
        <w:jc w:val="both"/>
        <w:rPr>
          <w:rFonts w:ascii="Arial" w:hAnsi="Arial" w:cs="Arial"/>
          <w:sz w:val="22"/>
          <w:szCs w:val="22"/>
        </w:rPr>
      </w:pPr>
      <w:r>
        <w:rPr>
          <w:rFonts w:ascii="Arial" w:hAnsi="Arial" w:cs="Arial"/>
          <w:sz w:val="22"/>
          <w:szCs w:val="22"/>
        </w:rPr>
        <w:t xml:space="preserve">O prazo para entrega será obrigatoriamente de </w:t>
      </w:r>
      <w:r>
        <w:rPr>
          <w:rFonts w:ascii="Arial" w:hAnsi="Arial" w:cs="Arial"/>
          <w:b/>
          <w:sz w:val="22"/>
          <w:szCs w:val="22"/>
        </w:rPr>
        <w:t>10 (dez) dias</w:t>
      </w:r>
      <w:r>
        <w:rPr>
          <w:rFonts w:ascii="Arial" w:hAnsi="Arial" w:cs="Arial"/>
          <w:sz w:val="22"/>
          <w:szCs w:val="22"/>
        </w:rPr>
        <w:t xml:space="preserve"> a contar do recebimento da requisição, estando sujeito a conferencia e aceite pelo funcionário responsável.</w:t>
      </w:r>
    </w:p>
    <w:p w14:paraId="31768DC7">
      <w:pPr>
        <w:pStyle w:val="127"/>
        <w:numPr>
          <w:ilvl w:val="0"/>
          <w:numId w:val="16"/>
        </w:numPr>
        <w:tabs>
          <w:tab w:val="left" w:pos="284"/>
          <w:tab w:val="left" w:pos="425"/>
        </w:tabs>
        <w:suppressAutoHyphens/>
        <w:spacing w:before="240" w:after="240" w:line="360" w:lineRule="auto"/>
        <w:ind w:hanging="141"/>
        <w:contextualSpacing w:val="0"/>
        <w:jc w:val="both"/>
        <w:rPr>
          <w:rFonts w:ascii="Arial" w:hAnsi="Arial" w:cs="Arial"/>
          <w:sz w:val="22"/>
          <w:szCs w:val="22"/>
        </w:rPr>
      </w:pPr>
      <w:r>
        <w:rPr>
          <w:rFonts w:ascii="Arial" w:hAnsi="Arial" w:cs="Arial"/>
          <w:sz w:val="22"/>
          <w:szCs w:val="22"/>
        </w:rPr>
        <w:t>Os materiais em desconformidade serão rejeitados no ato da entrega, devendo a empresa sanar o problema imediato, sob pena de cancelamento da compra.</w:t>
      </w:r>
    </w:p>
    <w:p w14:paraId="2C29E55C">
      <w:pPr>
        <w:pStyle w:val="127"/>
        <w:numPr>
          <w:ilvl w:val="0"/>
          <w:numId w:val="16"/>
        </w:numPr>
        <w:tabs>
          <w:tab w:val="left" w:pos="284"/>
          <w:tab w:val="left" w:pos="425"/>
        </w:tabs>
        <w:suppressAutoHyphens/>
        <w:spacing w:before="240" w:after="240" w:line="360" w:lineRule="auto"/>
        <w:ind w:hanging="141"/>
        <w:contextualSpacing w:val="0"/>
        <w:jc w:val="both"/>
        <w:rPr>
          <w:rFonts w:ascii="Arial" w:hAnsi="Arial" w:cs="Arial"/>
          <w:sz w:val="22"/>
          <w:szCs w:val="22"/>
        </w:rPr>
      </w:pPr>
      <w:r>
        <w:rPr>
          <w:rFonts w:ascii="Arial" w:hAnsi="Arial" w:cs="Arial"/>
          <w:sz w:val="22"/>
          <w:szCs w:val="22"/>
        </w:rPr>
        <w:t>Imediatamente após a entrega dos materiais, objetos desta Licitação, os mesmos serão devidamente inspecionados pelo setor responsável. No caso de se constatar qualquer irregularidade ou incompatibilidade nos itens fornecidos em relação à proposta comercial da contratada ou em relação às condições expressa neste Edital, os mesmos serão sumariamente rejeitados, sujeitando-se a contratada às penalidades;</w:t>
      </w:r>
    </w:p>
    <w:p w14:paraId="5E50BAA2">
      <w:pPr>
        <w:pStyle w:val="127"/>
        <w:numPr>
          <w:ilvl w:val="0"/>
          <w:numId w:val="16"/>
        </w:numPr>
        <w:tabs>
          <w:tab w:val="left" w:pos="284"/>
          <w:tab w:val="left" w:pos="425"/>
        </w:tabs>
        <w:suppressAutoHyphens/>
        <w:spacing w:before="240" w:after="240" w:line="360" w:lineRule="auto"/>
        <w:ind w:hanging="141"/>
        <w:contextualSpacing w:val="0"/>
        <w:jc w:val="both"/>
        <w:rPr>
          <w:rFonts w:ascii="Arial" w:hAnsi="Arial" w:cs="Arial"/>
          <w:sz w:val="22"/>
          <w:szCs w:val="22"/>
        </w:rPr>
      </w:pPr>
      <w:r>
        <w:rPr>
          <w:rFonts w:ascii="Arial" w:hAnsi="Arial" w:cs="Arial"/>
          <w:sz w:val="22"/>
          <w:szCs w:val="22"/>
          <w:shd w:val="clear" w:color="auto" w:fill="FFFFFF"/>
        </w:rPr>
        <w:t>Os materiais deverão estar embalados de forma a não serem danificados durante as operações de transporte, carga e descarga assinalando-se nas unidades e em suas respectivas notas fiscais a origem e numeração do pedido;</w:t>
      </w:r>
    </w:p>
    <w:p w14:paraId="5A14CC3D">
      <w:pPr>
        <w:pStyle w:val="127"/>
        <w:numPr>
          <w:ilvl w:val="0"/>
          <w:numId w:val="16"/>
        </w:numPr>
        <w:tabs>
          <w:tab w:val="left" w:pos="284"/>
          <w:tab w:val="left" w:pos="425"/>
        </w:tabs>
        <w:suppressAutoHyphens/>
        <w:spacing w:before="240" w:after="240" w:line="360" w:lineRule="auto"/>
        <w:ind w:hanging="141"/>
        <w:contextualSpacing w:val="0"/>
        <w:jc w:val="both"/>
        <w:rPr>
          <w:rFonts w:ascii="Arial" w:hAnsi="Arial" w:cs="Arial"/>
          <w:sz w:val="22"/>
          <w:szCs w:val="22"/>
        </w:rPr>
      </w:pPr>
      <w:r>
        <w:rPr>
          <w:rFonts w:ascii="Arial" w:hAnsi="Arial" w:cs="Arial"/>
          <w:sz w:val="22"/>
          <w:szCs w:val="22"/>
          <w:shd w:val="clear" w:color="auto" w:fill="FFFFFF"/>
        </w:rPr>
        <w:t>Os materiais deverão ser entregues em embalagens originais para comercialização contendo a data e o nº do lote de fabricação, o prazo de validade, nº de registro na ANVISA e nº de série (quando se aplicar), sempre acompanhados da nota fiscal, identificados quanto ao número da licitação, nome da empresa, número do item a que se refere e outras informações de acordo com a legislação pertinente;</w:t>
      </w:r>
    </w:p>
    <w:p w14:paraId="6AEC35DF">
      <w:pPr>
        <w:pStyle w:val="127"/>
        <w:numPr>
          <w:ilvl w:val="0"/>
          <w:numId w:val="16"/>
        </w:numPr>
        <w:tabs>
          <w:tab w:val="left" w:pos="284"/>
          <w:tab w:val="left" w:pos="425"/>
        </w:tabs>
        <w:suppressAutoHyphens/>
        <w:spacing w:before="240" w:after="240" w:line="360" w:lineRule="auto"/>
        <w:ind w:hanging="141"/>
        <w:contextualSpacing w:val="0"/>
        <w:jc w:val="both"/>
        <w:rPr>
          <w:rFonts w:ascii="Arial" w:hAnsi="Arial" w:cs="Arial"/>
          <w:sz w:val="22"/>
          <w:szCs w:val="22"/>
        </w:rPr>
      </w:pPr>
      <w:r>
        <w:rPr>
          <w:rFonts w:ascii="Arial" w:hAnsi="Arial" w:cs="Arial"/>
          <w:sz w:val="22"/>
          <w:szCs w:val="22"/>
          <w:shd w:val="clear" w:color="auto" w:fill="FFFFFF"/>
        </w:rPr>
        <w:t xml:space="preserve">O recebimento dos produtos da presente licitação será feito de forma provisória no prazo de 05 (cinco) dias úteis a partir das datas de entrega para avaliação da comissão de recebimento ou fiscal da ata. Caso o produto seja rejeitado, no todo ou em parte quando em desacordo com as especificações constantes no Termo de Referência e na proposta, fica a CONTRATADA obrigada a efetuar a troca dos mesmos nas quantidades e qualidades relativas, no prazo de </w:t>
      </w:r>
      <w:r>
        <w:rPr>
          <w:rFonts w:ascii="Arial" w:hAnsi="Arial" w:cs="Arial"/>
          <w:b/>
          <w:bCs/>
          <w:sz w:val="22"/>
          <w:szCs w:val="22"/>
          <w:shd w:val="clear" w:color="auto" w:fill="FFFFFF"/>
        </w:rPr>
        <w:t>05 (cinco)</w:t>
      </w:r>
      <w:r>
        <w:rPr>
          <w:rFonts w:ascii="Arial" w:hAnsi="Arial" w:cs="Arial"/>
          <w:sz w:val="22"/>
          <w:szCs w:val="22"/>
          <w:shd w:val="clear" w:color="auto" w:fill="FFFFFF"/>
        </w:rPr>
        <w:t xml:space="preserve"> dias úteis a partir da notificação da contratada, às suas custas, sem prejuízo da aplicação das penalidades;</w:t>
      </w:r>
    </w:p>
    <w:p w14:paraId="02DB9391">
      <w:pPr>
        <w:pStyle w:val="127"/>
        <w:numPr>
          <w:ilvl w:val="0"/>
          <w:numId w:val="16"/>
        </w:numPr>
        <w:tabs>
          <w:tab w:val="left" w:pos="284"/>
          <w:tab w:val="left" w:pos="425"/>
        </w:tabs>
        <w:suppressAutoHyphens/>
        <w:spacing w:before="240" w:after="240" w:line="360" w:lineRule="auto"/>
        <w:ind w:hanging="141"/>
        <w:contextualSpacing w:val="0"/>
        <w:jc w:val="both"/>
        <w:rPr>
          <w:rFonts w:ascii="Arial" w:hAnsi="Arial" w:cs="Arial"/>
          <w:sz w:val="22"/>
          <w:szCs w:val="22"/>
        </w:rPr>
      </w:pPr>
      <w:r>
        <w:rPr>
          <w:rFonts w:ascii="Arial" w:hAnsi="Arial" w:cs="Arial"/>
          <w:sz w:val="22"/>
          <w:szCs w:val="22"/>
          <w:shd w:val="clear" w:color="auto" w:fill="FFFFFF"/>
        </w:rPr>
        <w:t xml:space="preserve">Caso os produtos/equipamentos venham a sofrer alterações que impliquem em perda de qualidade no prazo de sua validade, fica a CONTRATADA obrigada a efetuar a troca dos mesmos nas qualidades e quantidades relativas, sem ônus para a Administração Pública, no prazo de </w:t>
      </w:r>
      <w:r>
        <w:rPr>
          <w:rFonts w:ascii="Arial" w:hAnsi="Arial" w:cs="Arial"/>
          <w:b/>
          <w:bCs/>
          <w:sz w:val="22"/>
          <w:szCs w:val="22"/>
          <w:shd w:val="clear" w:color="auto" w:fill="FFFFFF"/>
        </w:rPr>
        <w:t>05 (cinco)</w:t>
      </w:r>
      <w:r>
        <w:rPr>
          <w:rFonts w:ascii="Arial" w:hAnsi="Arial" w:cs="Arial"/>
          <w:sz w:val="22"/>
          <w:szCs w:val="22"/>
          <w:shd w:val="clear" w:color="auto" w:fill="FFFFFF"/>
        </w:rPr>
        <w:t xml:space="preserve"> dias úteis do prazo da notificação;</w:t>
      </w:r>
    </w:p>
    <w:p w14:paraId="3CB8D65A">
      <w:pPr>
        <w:pStyle w:val="127"/>
        <w:numPr>
          <w:ilvl w:val="0"/>
          <w:numId w:val="16"/>
        </w:numPr>
        <w:tabs>
          <w:tab w:val="left" w:pos="284"/>
          <w:tab w:val="left" w:pos="425"/>
        </w:tabs>
        <w:suppressAutoHyphens/>
        <w:spacing w:before="240" w:after="240" w:line="360" w:lineRule="auto"/>
        <w:ind w:hanging="141"/>
        <w:contextualSpacing w:val="0"/>
        <w:jc w:val="both"/>
        <w:rPr>
          <w:rFonts w:ascii="Arial" w:hAnsi="Arial" w:cs="Arial"/>
          <w:sz w:val="22"/>
          <w:szCs w:val="22"/>
        </w:rPr>
      </w:pPr>
      <w:r>
        <w:rPr>
          <w:rFonts w:ascii="Arial" w:hAnsi="Arial" w:cs="Arial"/>
          <w:sz w:val="22"/>
          <w:szCs w:val="22"/>
          <w:shd w:val="clear" w:color="auto" w:fill="FFFFFF"/>
        </w:rPr>
        <w:t>Caso os produtos percam suas características ou deteriorem-se, e, estando estes dentro do prazo de validade ou tempo de vida útil, assim como em condições normais de estocagem, uso e manuseio, deverão ser trocados no prazo máximo a ser determinado pelo Fiscal do Contrato, contados a partir da comunicação formal, ficando por conta e ônus da CONTRATADA todas as despesas decorrentes para a efetivação da troca;</w:t>
      </w:r>
    </w:p>
    <w:p w14:paraId="1A0408C7">
      <w:pPr>
        <w:pStyle w:val="127"/>
        <w:numPr>
          <w:ilvl w:val="0"/>
          <w:numId w:val="16"/>
        </w:numPr>
        <w:tabs>
          <w:tab w:val="left" w:pos="284"/>
          <w:tab w:val="left" w:pos="425"/>
        </w:tabs>
        <w:suppressAutoHyphens/>
        <w:spacing w:before="240" w:after="240" w:line="360" w:lineRule="auto"/>
        <w:ind w:hanging="141"/>
        <w:contextualSpacing w:val="0"/>
        <w:jc w:val="both"/>
        <w:rPr>
          <w:rFonts w:ascii="Arial" w:hAnsi="Arial" w:cs="Arial"/>
          <w:sz w:val="22"/>
          <w:szCs w:val="22"/>
        </w:rPr>
      </w:pPr>
      <w:r>
        <w:rPr>
          <w:rFonts w:ascii="Arial" w:hAnsi="Arial" w:cs="Arial"/>
          <w:sz w:val="22"/>
          <w:szCs w:val="22"/>
          <w:shd w:val="clear" w:color="auto" w:fill="FFFFFF"/>
        </w:rPr>
        <w:t>O período de validade será oferecido pela CONTRATADA em sua proposta comercial, observado o prazo mínimo exigido no Termo de Referência;</w:t>
      </w:r>
    </w:p>
    <w:p w14:paraId="27D168C0">
      <w:pPr>
        <w:pStyle w:val="127"/>
        <w:numPr>
          <w:ilvl w:val="0"/>
          <w:numId w:val="16"/>
        </w:numPr>
        <w:tabs>
          <w:tab w:val="left" w:pos="284"/>
        </w:tabs>
        <w:suppressAutoHyphens/>
        <w:spacing w:before="240" w:after="240" w:line="360" w:lineRule="auto"/>
        <w:ind w:hanging="141"/>
        <w:contextualSpacing w:val="0"/>
        <w:jc w:val="both"/>
        <w:rPr>
          <w:rFonts w:ascii="Arial" w:hAnsi="Arial" w:cs="Arial"/>
          <w:sz w:val="22"/>
          <w:szCs w:val="22"/>
        </w:rPr>
      </w:pPr>
      <w:r>
        <w:rPr>
          <w:rFonts w:ascii="Arial" w:hAnsi="Arial" w:cs="Arial"/>
          <w:sz w:val="22"/>
          <w:szCs w:val="22"/>
        </w:rPr>
        <w:t>Comunicar ao Fiscal do contrato, por escrito e tão logo constatado problema ou a impossibilidade de execução de qualquer obrigação contratual, para a adoção das providências cabíveis;</w:t>
      </w:r>
    </w:p>
    <w:p w14:paraId="27AC58E8">
      <w:pPr>
        <w:pStyle w:val="127"/>
        <w:numPr>
          <w:ilvl w:val="0"/>
          <w:numId w:val="16"/>
        </w:numPr>
        <w:tabs>
          <w:tab w:val="left" w:pos="284"/>
        </w:tabs>
        <w:suppressAutoHyphens/>
        <w:spacing w:before="240" w:after="240" w:line="360" w:lineRule="auto"/>
        <w:ind w:hanging="141"/>
        <w:contextualSpacing w:val="0"/>
        <w:jc w:val="both"/>
        <w:rPr>
          <w:rFonts w:ascii="Arial" w:hAnsi="Arial" w:cs="Arial"/>
          <w:sz w:val="22"/>
          <w:szCs w:val="22"/>
        </w:rPr>
      </w:pPr>
      <w:r>
        <w:rPr>
          <w:rFonts w:ascii="Arial" w:hAnsi="Arial" w:cs="Arial"/>
          <w:sz w:val="22"/>
          <w:szCs w:val="22"/>
        </w:rPr>
        <w:t>Indenizar todo e qualquer dano e prejuízo pessoal e/ou material que possa advir, direta ou indiretamente, do exercício de suas atividades ou serem causados por seus prepostos à CONTRATANTE ou terceiros.</w:t>
      </w:r>
    </w:p>
    <w:p w14:paraId="19DB76E1">
      <w:pPr>
        <w:pStyle w:val="127"/>
        <w:numPr>
          <w:ilvl w:val="0"/>
          <w:numId w:val="16"/>
        </w:numPr>
        <w:tabs>
          <w:tab w:val="left" w:pos="284"/>
        </w:tabs>
        <w:suppressAutoHyphens/>
        <w:spacing w:before="240" w:after="240" w:line="360" w:lineRule="auto"/>
        <w:ind w:hanging="141"/>
        <w:contextualSpacing w:val="0"/>
        <w:jc w:val="both"/>
        <w:rPr>
          <w:rFonts w:ascii="Arial" w:hAnsi="Arial" w:cs="Arial"/>
          <w:sz w:val="22"/>
          <w:szCs w:val="22"/>
        </w:rPr>
      </w:pPr>
      <w:r>
        <w:rPr>
          <w:rFonts w:ascii="Arial" w:hAnsi="Arial" w:cs="Arial"/>
          <w:sz w:val="22"/>
          <w:szCs w:val="22"/>
        </w:rPr>
        <w:t>Deverão estar inclusos no preço das determinações: insumos, acessórios, peças de reposição, calibradores, controles, reagentes e soluções necessárias para execução dos exames, bem como outras soluções para lavagem e conservação dos equipamentos.</w:t>
      </w:r>
    </w:p>
    <w:p w14:paraId="136C4ADE">
      <w:pPr>
        <w:pStyle w:val="127"/>
        <w:numPr>
          <w:ilvl w:val="0"/>
          <w:numId w:val="16"/>
        </w:numPr>
        <w:tabs>
          <w:tab w:val="left" w:pos="284"/>
        </w:tabs>
        <w:suppressAutoHyphens/>
        <w:spacing w:before="240" w:after="240" w:line="360" w:lineRule="auto"/>
        <w:ind w:hanging="141"/>
        <w:contextualSpacing w:val="0"/>
        <w:jc w:val="both"/>
        <w:rPr>
          <w:rFonts w:ascii="Arial" w:hAnsi="Arial" w:cs="Arial"/>
          <w:sz w:val="22"/>
          <w:szCs w:val="22"/>
        </w:rPr>
      </w:pPr>
      <w:r>
        <w:rPr>
          <w:rFonts w:ascii="Arial" w:hAnsi="Arial" w:cs="Arial"/>
          <w:sz w:val="22"/>
          <w:szCs w:val="22"/>
        </w:rPr>
        <w:t xml:space="preserve">Os insumos bonificados, controles ou realização das manutenções, se necessário, devem ser entregues em separado, em nota fiscal identificada como BONIFICADOS, em quantidade suficiente para a realização dos testes empenhados, independente de temporalidade; </w:t>
      </w:r>
    </w:p>
    <w:p w14:paraId="3C80D1CF">
      <w:pPr>
        <w:pStyle w:val="127"/>
        <w:numPr>
          <w:ilvl w:val="0"/>
          <w:numId w:val="16"/>
        </w:numPr>
        <w:tabs>
          <w:tab w:val="left" w:pos="284"/>
        </w:tabs>
        <w:suppressAutoHyphens/>
        <w:spacing w:before="240" w:after="240" w:line="360" w:lineRule="auto"/>
        <w:ind w:hanging="141"/>
        <w:contextualSpacing w:val="0"/>
        <w:jc w:val="both"/>
        <w:rPr>
          <w:rFonts w:ascii="Arial" w:hAnsi="Arial" w:cs="Arial"/>
          <w:sz w:val="22"/>
          <w:szCs w:val="22"/>
        </w:rPr>
      </w:pPr>
      <w:r>
        <w:rPr>
          <w:rFonts w:ascii="Arial" w:hAnsi="Arial" w:cs="Arial"/>
          <w:sz w:val="22"/>
          <w:szCs w:val="22"/>
        </w:rPr>
        <w:t>Manter, durante toda a execução do contrato, em compatibilidade com as obrigações assumidas, todas as condições de habilitação e qualificação exigidas na licitação;</w:t>
      </w:r>
    </w:p>
    <w:p w14:paraId="34FDBDA7">
      <w:pPr>
        <w:widowControl w:val="0"/>
        <w:suppressAutoHyphens/>
        <w:autoSpaceDE w:val="0"/>
        <w:autoSpaceDN w:val="0"/>
        <w:spacing w:before="240" w:after="240" w:line="336" w:lineRule="auto"/>
        <w:ind w:left="567" w:hanging="141"/>
        <w:jc w:val="both"/>
        <w:rPr>
          <w:rFonts w:ascii="Arial" w:hAnsi="Arial" w:cs="Arial"/>
          <w:sz w:val="22"/>
          <w:szCs w:val="22"/>
          <w:shd w:val="clear" w:color="auto" w:fill="FFFFFF"/>
        </w:rPr>
      </w:pPr>
      <w:r>
        <w:rPr>
          <w:rFonts w:ascii="Arial" w:hAnsi="Arial" w:cs="Arial"/>
          <w:sz w:val="22"/>
          <w:szCs w:val="22"/>
          <w:shd w:val="clear" w:color="auto" w:fill="FFFFFF"/>
        </w:rPr>
        <w:t>x) Os reagentes deverão ser entregues em embalagens originais para comercialização contendo a data e o nº do lote de fabricação, o prazo de validade, nº de registro na ANVISA e nº de série (quando se aplicar), sempre acompanhados da nota fiscal, identificados quanto ao número da licitação, nome da empresa, número do item a que se refere e outras informações de acordo com a legislação pertinente.</w:t>
      </w:r>
    </w:p>
    <w:p w14:paraId="05618624">
      <w:pPr>
        <w:widowControl w:val="0"/>
        <w:suppressAutoHyphens/>
        <w:autoSpaceDE w:val="0"/>
        <w:autoSpaceDN w:val="0"/>
        <w:spacing w:before="240" w:after="240" w:line="336" w:lineRule="auto"/>
        <w:ind w:left="567" w:hanging="141"/>
        <w:jc w:val="both"/>
        <w:rPr>
          <w:rFonts w:ascii="Arial" w:hAnsi="Arial" w:cs="Arial"/>
          <w:sz w:val="22"/>
          <w:szCs w:val="22"/>
        </w:rPr>
      </w:pPr>
      <w:r>
        <w:rPr>
          <w:rFonts w:ascii="Arial" w:hAnsi="Arial" w:cs="Arial"/>
          <w:sz w:val="22"/>
          <w:szCs w:val="22"/>
          <w:shd w:val="clear" w:color="auto" w:fill="FFFFFF"/>
        </w:rPr>
        <w:t xml:space="preserve">y) O recebimento dos produtos da presente licitação será feito de forma provisória no prazo de 05 (cinco) dias úteis a partir das datas de entrega para avaliação da comissão de recebimento ou fiscal da ata. Caso o produto seja </w:t>
      </w:r>
      <w:r>
        <w:rPr>
          <w:rFonts w:ascii="Arial" w:hAnsi="Arial" w:cs="Arial"/>
          <w:b/>
          <w:sz w:val="22"/>
          <w:szCs w:val="22"/>
          <w:shd w:val="clear" w:color="auto" w:fill="FFFFFF"/>
        </w:rPr>
        <w:t>rejeitado</w:t>
      </w:r>
      <w:r>
        <w:rPr>
          <w:rFonts w:ascii="Arial" w:hAnsi="Arial" w:cs="Arial"/>
          <w:sz w:val="22"/>
          <w:szCs w:val="22"/>
          <w:shd w:val="clear" w:color="auto" w:fill="FFFFFF"/>
        </w:rPr>
        <w:t>, no todo ou em parte quando em desacordo com as especificações constantes no Termo de Referência e na proposta, fica a CONTRATADA obrigada a efetuar a troca dos mesmos nas quantidades e qualidades relativas, no prazo de 05 (cinco) dias úteis a partir da notificação da contratada, às suas custas, sem prejuízo da aplicação das penalidades.</w:t>
      </w:r>
    </w:p>
    <w:p w14:paraId="0963B7B9">
      <w:pPr>
        <w:widowControl w:val="0"/>
        <w:suppressAutoHyphens/>
        <w:autoSpaceDE w:val="0"/>
        <w:autoSpaceDN w:val="0"/>
        <w:spacing w:before="240" w:after="240" w:line="336" w:lineRule="auto"/>
        <w:ind w:left="567" w:hanging="141"/>
        <w:jc w:val="both"/>
        <w:rPr>
          <w:rFonts w:ascii="Arial" w:hAnsi="Arial" w:cs="Arial"/>
          <w:sz w:val="22"/>
          <w:szCs w:val="22"/>
        </w:rPr>
      </w:pPr>
      <w:r>
        <w:rPr>
          <w:rFonts w:ascii="Arial" w:hAnsi="Arial" w:cs="Arial"/>
          <w:sz w:val="22"/>
          <w:szCs w:val="22"/>
          <w:shd w:val="clear" w:color="auto" w:fill="FFFFFF"/>
        </w:rPr>
        <w:t>w) Caso os produtos/equipamentos venham a sofrer alterações que impliquem em perda de qualidade no prazo de sua validade, fica a CONTRATADA obrigada a efetuar a troca dos mesmos nas qualidades e quantidades relativas, sem ônus para a Administração Pública, no prazo de 05 (cinco) dias úteis do prazo da notificação.</w:t>
      </w:r>
    </w:p>
    <w:p w14:paraId="518BE0DD">
      <w:pPr>
        <w:suppressAutoHyphens/>
        <w:spacing w:before="240" w:after="240" w:line="336" w:lineRule="auto"/>
        <w:ind w:left="567" w:hanging="141"/>
        <w:jc w:val="both"/>
        <w:rPr>
          <w:rFonts w:ascii="Arial" w:hAnsi="Arial" w:cs="Arial"/>
          <w:sz w:val="22"/>
          <w:szCs w:val="22"/>
        </w:rPr>
      </w:pPr>
      <w:r>
        <w:rPr>
          <w:rFonts w:ascii="Arial" w:hAnsi="Arial" w:cs="Arial"/>
          <w:sz w:val="22"/>
          <w:szCs w:val="22"/>
          <w:shd w:val="clear" w:color="auto" w:fill="FFFFFF"/>
        </w:rPr>
        <w:t xml:space="preserve">z) O período de validade será oferecido pela CONTRATADA em sua proposta comercial, observado o prazo mínimo exigido neste Termo de Referência. </w:t>
      </w:r>
    </w:p>
    <w:p w14:paraId="612DB09B">
      <w:pPr>
        <w:tabs>
          <w:tab w:val="left" w:pos="567"/>
        </w:tabs>
        <w:spacing w:before="240" w:after="240" w:line="336" w:lineRule="auto"/>
        <w:ind w:left="567" w:hanging="141"/>
        <w:jc w:val="both"/>
        <w:rPr>
          <w:rFonts w:ascii="Arial" w:hAnsi="Arial" w:cs="Arial"/>
          <w:sz w:val="22"/>
          <w:szCs w:val="22"/>
          <w:shd w:val="clear" w:color="auto" w:fill="FFFFFF"/>
        </w:rPr>
      </w:pPr>
      <w:r>
        <w:rPr>
          <w:rFonts w:ascii="Arial" w:hAnsi="Arial" w:cs="Arial"/>
          <w:sz w:val="22"/>
          <w:szCs w:val="22"/>
          <w:shd w:val="clear" w:color="auto" w:fill="FFFFFF"/>
        </w:rPr>
        <w:t>aa) A CONTRATADA fica obrigada, durante o período de validade e em caso de necessidade de substituição de reagentes que não mais existam no mercado, ou que estejam fora de linha de fabricação, em razão de evolução tecnológica ou que, por qualquer outro motivo o fabricante não mais o produza, a proceder à substituição por produto equivalente ou superior.</w:t>
      </w:r>
    </w:p>
    <w:p w14:paraId="2E1A40F4">
      <w:pPr>
        <w:pStyle w:val="165"/>
        <w:widowControl/>
        <w:spacing w:before="120" w:after="120" w:line="360" w:lineRule="auto"/>
        <w:ind w:left="108"/>
        <w:jc w:val="both"/>
        <w:rPr>
          <w:rFonts w:ascii="Arial" w:hAnsi="Arial" w:eastAsia="Times New Roman" w:cs="Arial"/>
          <w:b/>
          <w:bCs/>
          <w:color w:val="000000"/>
          <w:sz w:val="22"/>
          <w:szCs w:val="22"/>
          <w:lang w:val="pt-BR" w:eastAsia="pt-BR"/>
        </w:rPr>
      </w:pPr>
      <w:r>
        <w:rPr>
          <w:rFonts w:ascii="Arial" w:hAnsi="Arial" w:cs="Arial"/>
          <w:bCs/>
          <w:sz w:val="22"/>
          <w:szCs w:val="22"/>
          <w:shd w:val="clear" w:color="auto" w:fill="FFFFFF"/>
        </w:rPr>
        <w:t>6.1.2.</w:t>
      </w:r>
      <w:r>
        <w:rPr>
          <w:rFonts w:ascii="Arial" w:hAnsi="Arial" w:eastAsia="Times New Roman" w:cs="Arial"/>
          <w:b/>
          <w:bCs/>
          <w:color w:val="000000"/>
          <w:sz w:val="22"/>
          <w:szCs w:val="22"/>
          <w:lang w:eastAsia="pt-BR"/>
        </w:rPr>
        <w:t xml:space="preserve"> </w:t>
      </w:r>
      <w:r>
        <w:rPr>
          <w:rFonts w:ascii="Arial" w:hAnsi="Arial" w:eastAsia="Times New Roman" w:cs="Arial"/>
          <w:b/>
          <w:bCs/>
          <w:color w:val="000000"/>
          <w:sz w:val="22"/>
          <w:szCs w:val="22"/>
          <w:lang w:val="pt-BR" w:eastAsia="pt-BR"/>
        </w:rPr>
        <w:t>DAS OBRIGAÇÕES DA CONTRATANTE</w:t>
      </w:r>
    </w:p>
    <w:p w14:paraId="403A95CD">
      <w:pPr>
        <w:spacing w:before="120" w:after="120" w:line="360" w:lineRule="auto"/>
        <w:ind w:left="108"/>
        <w:jc w:val="both"/>
        <w:rPr>
          <w:rFonts w:ascii="Arial" w:hAnsi="Arial" w:cs="Arial"/>
          <w:bCs/>
          <w:sz w:val="22"/>
          <w:szCs w:val="22"/>
        </w:rPr>
      </w:pPr>
      <w:bookmarkStart w:id="74" w:name="_Hlk189039700"/>
      <w:r>
        <w:rPr>
          <w:rFonts w:ascii="Arial" w:hAnsi="Arial" w:cs="Arial"/>
          <w:bCs/>
          <w:sz w:val="22"/>
          <w:szCs w:val="22"/>
        </w:rPr>
        <w:t>a)  Atestar nas Notas Fiscais e/ou faturas a efetiva execução do objeto da Ata, conforme ajuste representado pela Nota de Empenho.</w:t>
      </w:r>
    </w:p>
    <w:p w14:paraId="2291A60D">
      <w:pPr>
        <w:spacing w:before="120" w:after="120" w:line="360" w:lineRule="auto"/>
        <w:ind w:left="108"/>
        <w:jc w:val="both"/>
        <w:rPr>
          <w:rFonts w:ascii="Arial" w:hAnsi="Arial" w:cs="Arial"/>
          <w:bCs/>
          <w:sz w:val="22"/>
          <w:szCs w:val="22"/>
        </w:rPr>
      </w:pPr>
      <w:r>
        <w:rPr>
          <w:rFonts w:ascii="Arial" w:hAnsi="Arial" w:cs="Arial"/>
          <w:bCs/>
          <w:sz w:val="22"/>
          <w:szCs w:val="22"/>
        </w:rPr>
        <w:t xml:space="preserve"> b) Aplicar à detentora da Ata penalidades, quando for o caso.</w:t>
      </w:r>
    </w:p>
    <w:p w14:paraId="489C0CA0">
      <w:pPr>
        <w:spacing w:before="120" w:after="120" w:line="360" w:lineRule="auto"/>
        <w:ind w:left="108"/>
        <w:jc w:val="both"/>
        <w:rPr>
          <w:rFonts w:ascii="Arial" w:hAnsi="Arial" w:cs="Arial"/>
          <w:bCs/>
          <w:sz w:val="22"/>
          <w:szCs w:val="22"/>
        </w:rPr>
      </w:pPr>
      <w:r>
        <w:rPr>
          <w:rFonts w:ascii="Arial" w:hAnsi="Arial" w:cs="Arial"/>
          <w:bCs/>
          <w:sz w:val="22"/>
          <w:szCs w:val="22"/>
        </w:rPr>
        <w:t>c)  Prestar à detentora da Ata toda e qualquer informação, por esta solicitada, necessária à perfeita execução da Nota de Empenho;</w:t>
      </w:r>
    </w:p>
    <w:p w14:paraId="259D300A">
      <w:pPr>
        <w:spacing w:before="120" w:after="120" w:line="360" w:lineRule="auto"/>
        <w:ind w:left="108"/>
        <w:jc w:val="both"/>
        <w:rPr>
          <w:rFonts w:ascii="Arial" w:hAnsi="Arial" w:cs="Arial"/>
          <w:bCs/>
          <w:sz w:val="22"/>
          <w:szCs w:val="22"/>
        </w:rPr>
      </w:pPr>
      <w:r>
        <w:rPr>
          <w:rFonts w:ascii="Arial" w:hAnsi="Arial" w:cs="Arial"/>
          <w:bCs/>
          <w:sz w:val="22"/>
          <w:szCs w:val="22"/>
        </w:rPr>
        <w:t>d) Efetuar o pagamento à detentora da Ata no prazo avençado, após a entrega da Nota Fiscal, devidamente atestada, no setor competente;</w:t>
      </w:r>
    </w:p>
    <w:p w14:paraId="1A48C847">
      <w:pPr>
        <w:spacing w:before="120" w:after="120" w:line="360" w:lineRule="auto"/>
        <w:ind w:left="108"/>
        <w:jc w:val="both"/>
        <w:rPr>
          <w:rFonts w:ascii="Arial" w:hAnsi="Arial" w:cs="Arial"/>
          <w:bCs/>
          <w:sz w:val="22"/>
          <w:szCs w:val="22"/>
        </w:rPr>
      </w:pPr>
      <w:r>
        <w:rPr>
          <w:rFonts w:ascii="Arial" w:hAnsi="Arial" w:cs="Arial"/>
          <w:bCs/>
          <w:sz w:val="22"/>
          <w:szCs w:val="22"/>
        </w:rPr>
        <w:t>e)  Notificar, por escrito, à detentora da Ata da aplicação de qualquer sanção;</w:t>
      </w:r>
    </w:p>
    <w:p w14:paraId="7537FAB2">
      <w:pPr>
        <w:spacing w:before="120" w:after="120" w:line="360" w:lineRule="auto"/>
        <w:ind w:left="108"/>
        <w:jc w:val="both"/>
        <w:rPr>
          <w:rFonts w:ascii="Arial" w:hAnsi="Arial" w:cs="Arial"/>
          <w:bCs/>
          <w:sz w:val="22"/>
          <w:szCs w:val="22"/>
        </w:rPr>
      </w:pPr>
      <w:r>
        <w:rPr>
          <w:rFonts w:ascii="Arial" w:hAnsi="Arial" w:cs="Arial"/>
          <w:bCs/>
          <w:sz w:val="22"/>
          <w:szCs w:val="22"/>
        </w:rPr>
        <w:t xml:space="preserve">f)  </w:t>
      </w:r>
      <w:r>
        <w:rPr>
          <w:rFonts w:ascii="Arial" w:hAnsi="Arial" w:cs="Arial"/>
          <w:sz w:val="22"/>
          <w:szCs w:val="22"/>
        </w:rPr>
        <w:t>Notificar a CONTRATADA de qualquer irregularidade encontrada no fornecimento dos objetos;</w:t>
      </w:r>
    </w:p>
    <w:p w14:paraId="7F9973A0">
      <w:pPr>
        <w:spacing w:before="120" w:after="120" w:line="360" w:lineRule="auto"/>
        <w:ind w:left="108"/>
        <w:jc w:val="both"/>
        <w:rPr>
          <w:rFonts w:ascii="Arial" w:hAnsi="Arial" w:cs="Arial"/>
          <w:bCs/>
          <w:sz w:val="22"/>
          <w:szCs w:val="22"/>
        </w:rPr>
      </w:pPr>
      <w:r>
        <w:rPr>
          <w:rFonts w:ascii="Arial" w:hAnsi="Arial" w:cs="Arial"/>
          <w:bCs/>
          <w:sz w:val="22"/>
          <w:szCs w:val="22"/>
        </w:rPr>
        <w:t xml:space="preserve">g)  </w:t>
      </w:r>
      <w:r>
        <w:rPr>
          <w:rFonts w:ascii="Arial" w:hAnsi="Arial" w:cs="Arial"/>
          <w:sz w:val="22"/>
          <w:szCs w:val="22"/>
        </w:rPr>
        <w:t>Efetuar o pagamento á CONTRATADA, nas condições estabelecidas no edital, após a entrega da nota fiscal, devidamente atestada, no setor competente;</w:t>
      </w:r>
    </w:p>
    <w:p w14:paraId="0900CFD9">
      <w:pPr>
        <w:spacing w:before="120" w:after="120" w:line="360" w:lineRule="auto"/>
        <w:ind w:left="108"/>
        <w:jc w:val="both"/>
        <w:rPr>
          <w:rFonts w:ascii="Arial" w:hAnsi="Arial" w:cs="Arial"/>
          <w:sz w:val="22"/>
          <w:szCs w:val="22"/>
        </w:rPr>
      </w:pPr>
      <w:r>
        <w:rPr>
          <w:rFonts w:ascii="Arial" w:hAnsi="Arial" w:cs="Arial"/>
          <w:bCs/>
          <w:sz w:val="22"/>
          <w:szCs w:val="22"/>
        </w:rPr>
        <w:t xml:space="preserve">h) </w:t>
      </w:r>
      <w:r>
        <w:rPr>
          <w:rFonts w:ascii="Arial" w:hAnsi="Arial" w:cs="Arial"/>
          <w:sz w:val="22"/>
          <w:szCs w:val="22"/>
        </w:rPr>
        <w:t>Prestar informações e esclarecimentos que venham a ser solicitados pela CONTRATADA.</w:t>
      </w:r>
    </w:p>
    <w:bookmarkEnd w:id="73"/>
    <w:bookmarkEnd w:id="74"/>
    <w:p w14:paraId="7F1DAFEF">
      <w:pPr>
        <w:tabs>
          <w:tab w:val="left" w:pos="0"/>
        </w:tabs>
        <w:spacing w:before="240" w:after="0" w:line="360" w:lineRule="auto"/>
        <w:jc w:val="both"/>
        <w:rPr>
          <w:rFonts w:ascii="Arial" w:hAnsi="Arial" w:cs="Arial"/>
          <w:b/>
          <w:bCs/>
          <w:sz w:val="22"/>
          <w:szCs w:val="22"/>
        </w:rPr>
      </w:pPr>
      <w:r>
        <w:rPr>
          <w:rFonts w:ascii="Arial" w:hAnsi="Arial" w:cs="Arial"/>
          <w:b/>
          <w:bCs/>
          <w:sz w:val="22"/>
          <w:szCs w:val="22"/>
        </w:rPr>
        <w:t>6.2. CRITÉRIOS DE RECEBIMENTO PROVISÓRIO E DEFINITIVO DO OBJETO DA CONTRATAÇÃO:</w:t>
      </w:r>
    </w:p>
    <w:p w14:paraId="6DD92EC0">
      <w:pPr>
        <w:pStyle w:val="127"/>
        <w:numPr>
          <w:ilvl w:val="2"/>
          <w:numId w:val="17"/>
        </w:numPr>
        <w:tabs>
          <w:tab w:val="left" w:pos="567"/>
        </w:tabs>
        <w:spacing w:after="0" w:line="360" w:lineRule="auto"/>
        <w:ind w:left="142" w:firstLine="0"/>
        <w:contextualSpacing w:val="0"/>
        <w:jc w:val="both"/>
        <w:rPr>
          <w:rFonts w:ascii="Arial" w:hAnsi="Arial" w:eastAsia="SimSun" w:cs="Arial"/>
          <w:color w:val="000000"/>
          <w:sz w:val="22"/>
          <w:szCs w:val="22"/>
          <w:lang w:eastAsia="zh-CN" w:bidi="ar"/>
        </w:rPr>
      </w:pPr>
      <w:r>
        <w:rPr>
          <w:rFonts w:ascii="Arial" w:hAnsi="Arial" w:eastAsia="SimSun" w:cs="Arial"/>
          <w:color w:val="000000"/>
          <w:sz w:val="22"/>
          <w:szCs w:val="22"/>
          <w:lang w:val="en-US" w:eastAsia="zh-CN" w:bidi="ar"/>
        </w:rPr>
        <w:t>O recebimento do objeto contratado ocorrerá</w:t>
      </w:r>
      <w:r>
        <w:rPr>
          <w:rFonts w:ascii="Arial" w:hAnsi="Arial" w:eastAsia="SimSun" w:cs="Arial"/>
          <w:color w:val="000000"/>
          <w:sz w:val="22"/>
          <w:szCs w:val="22"/>
          <w:lang w:eastAsia="zh-CN" w:bidi="ar"/>
        </w:rPr>
        <w:t xml:space="preserve"> respeitando o Art. 43. do Decreto Municipal 359/2023:</w:t>
      </w:r>
    </w:p>
    <w:p w14:paraId="12F41348">
      <w:pPr>
        <w:pStyle w:val="16"/>
        <w:ind w:left="2268"/>
        <w:rPr>
          <w:rFonts w:ascii="Arial" w:hAnsi="Arial" w:eastAsia="SimSun" w:cs="Arial"/>
          <w:color w:val="000000"/>
          <w:sz w:val="20"/>
          <w:szCs w:val="20"/>
          <w:lang w:val="pt-BR" w:eastAsia="zh-CN" w:bidi="ar"/>
        </w:rPr>
      </w:pPr>
      <w:r>
        <w:rPr>
          <w:rFonts w:ascii="Arial" w:hAnsi="Arial" w:eastAsia="SimSun" w:cs="Arial"/>
          <w:color w:val="000000"/>
          <w:sz w:val="20"/>
          <w:szCs w:val="20"/>
          <w:lang w:val="pt-BR" w:eastAsia="zh-CN" w:bidi="ar"/>
        </w:rPr>
        <w:t>II - Na hipótese de fornecimento de bens:</w:t>
      </w:r>
    </w:p>
    <w:p w14:paraId="38946AB4">
      <w:pPr>
        <w:pStyle w:val="16"/>
        <w:ind w:left="2268"/>
        <w:rPr>
          <w:rFonts w:ascii="Arial" w:hAnsi="Arial" w:eastAsia="SimSun" w:cs="Arial"/>
          <w:color w:val="000000"/>
          <w:sz w:val="20"/>
          <w:szCs w:val="20"/>
          <w:lang w:val="pt-BR" w:eastAsia="zh-CN" w:bidi="ar"/>
        </w:rPr>
      </w:pPr>
      <w:r>
        <w:rPr>
          <w:rFonts w:ascii="Arial" w:hAnsi="Arial" w:eastAsia="SimSun" w:cs="Arial"/>
          <w:color w:val="000000"/>
          <w:sz w:val="20"/>
          <w:szCs w:val="20"/>
          <w:lang w:val="pt-BR" w:eastAsia="zh-CN" w:bidi="ar"/>
        </w:rPr>
        <w:t>a) provisoriamente, de forma sumária, pelo fiscal, com</w:t>
      </w:r>
    </w:p>
    <w:p w14:paraId="30CE420D">
      <w:pPr>
        <w:pStyle w:val="16"/>
        <w:ind w:left="2268"/>
        <w:rPr>
          <w:rFonts w:ascii="Arial" w:hAnsi="Arial" w:eastAsia="SimSun" w:cs="Arial"/>
          <w:color w:val="000000"/>
          <w:sz w:val="20"/>
          <w:szCs w:val="20"/>
          <w:lang w:val="pt-BR" w:eastAsia="zh-CN" w:bidi="ar"/>
        </w:rPr>
      </w:pPr>
      <w:r>
        <w:rPr>
          <w:rFonts w:ascii="Arial" w:hAnsi="Arial" w:eastAsia="SimSun" w:cs="Arial"/>
          <w:color w:val="000000"/>
          <w:sz w:val="20"/>
          <w:szCs w:val="20"/>
          <w:lang w:val="pt-BR" w:eastAsia="zh-CN" w:bidi="ar"/>
        </w:rPr>
        <w:t>verificação posterior da conformidade do material com as exigências contratuais;</w:t>
      </w:r>
    </w:p>
    <w:p w14:paraId="73C8AB36">
      <w:pPr>
        <w:pStyle w:val="16"/>
        <w:ind w:left="2268"/>
        <w:rPr>
          <w:rFonts w:ascii="Arial" w:hAnsi="Arial" w:eastAsia="SimSun" w:cs="Arial"/>
          <w:color w:val="000000"/>
          <w:sz w:val="20"/>
          <w:szCs w:val="20"/>
          <w:lang w:val="pt-BR" w:eastAsia="zh-CN" w:bidi="ar"/>
        </w:rPr>
      </w:pPr>
      <w:r>
        <w:rPr>
          <w:rFonts w:ascii="Arial" w:hAnsi="Arial" w:eastAsia="SimSun" w:cs="Arial"/>
          <w:color w:val="000000"/>
          <w:sz w:val="20"/>
          <w:szCs w:val="20"/>
          <w:lang w:val="pt-BR" w:eastAsia="zh-CN" w:bidi="ar"/>
        </w:rPr>
        <w:t>b) definitivamente, pelo gestor em conjunto com a comissão de</w:t>
      </w:r>
    </w:p>
    <w:p w14:paraId="2FD2A364">
      <w:pPr>
        <w:pStyle w:val="16"/>
        <w:ind w:left="2268"/>
        <w:rPr>
          <w:rFonts w:ascii="Arial" w:hAnsi="Arial" w:eastAsia="SimSun" w:cs="Arial"/>
          <w:color w:val="000000"/>
          <w:sz w:val="20"/>
          <w:szCs w:val="20"/>
          <w:lang w:val="pt-BR" w:eastAsia="zh-CN" w:bidi="ar"/>
        </w:rPr>
      </w:pPr>
      <w:r>
        <w:rPr>
          <w:rFonts w:ascii="Arial" w:hAnsi="Arial" w:eastAsia="SimSun" w:cs="Arial"/>
          <w:color w:val="000000"/>
          <w:sz w:val="20"/>
          <w:szCs w:val="20"/>
          <w:lang w:val="pt-BR" w:eastAsia="zh-CN" w:bidi="ar"/>
        </w:rPr>
        <w:t>recebimento, mediante termo detalhado que comprove o atendimento das exigências</w:t>
      </w:r>
    </w:p>
    <w:p w14:paraId="0FE8795C">
      <w:pPr>
        <w:pStyle w:val="16"/>
        <w:spacing w:before="240" w:after="240" w:line="360" w:lineRule="auto"/>
        <w:ind w:left="108"/>
        <w:jc w:val="both"/>
        <w:rPr>
          <w:rFonts w:ascii="Arial" w:hAnsi="Arial" w:cs="Arial"/>
          <w:b/>
          <w:bCs/>
          <w:iCs/>
          <w:sz w:val="22"/>
          <w:szCs w:val="22"/>
        </w:rPr>
      </w:pPr>
      <w:r>
        <w:rPr>
          <w:rFonts w:ascii="Arial" w:hAnsi="Arial" w:cs="Arial"/>
          <w:b/>
          <w:bCs/>
          <w:iCs/>
          <w:sz w:val="22"/>
          <w:szCs w:val="22"/>
          <w:lang w:val="pt-BR"/>
        </w:rPr>
        <w:t xml:space="preserve">6.3. </w:t>
      </w:r>
      <w:r>
        <w:rPr>
          <w:rFonts w:ascii="Arial" w:hAnsi="Arial" w:cs="Arial"/>
          <w:b/>
          <w:bCs/>
          <w:iCs/>
          <w:sz w:val="22"/>
          <w:szCs w:val="22"/>
        </w:rPr>
        <w:t>LOCAL,</w:t>
      </w:r>
      <w:r>
        <w:rPr>
          <w:rFonts w:ascii="Arial" w:hAnsi="Arial" w:cs="Arial"/>
          <w:b/>
          <w:bCs/>
          <w:iCs/>
          <w:spacing w:val="26"/>
          <w:sz w:val="22"/>
          <w:szCs w:val="22"/>
        </w:rPr>
        <w:t xml:space="preserve"> </w:t>
      </w:r>
      <w:r>
        <w:rPr>
          <w:rFonts w:ascii="Arial" w:hAnsi="Arial" w:cs="Arial"/>
          <w:b/>
          <w:bCs/>
          <w:iCs/>
          <w:sz w:val="22"/>
          <w:szCs w:val="22"/>
        </w:rPr>
        <w:t>HORÁRIO,</w:t>
      </w:r>
      <w:r>
        <w:rPr>
          <w:rFonts w:ascii="Arial" w:hAnsi="Arial" w:cs="Arial"/>
          <w:b/>
          <w:bCs/>
          <w:iCs/>
          <w:spacing w:val="26"/>
          <w:sz w:val="22"/>
          <w:szCs w:val="22"/>
        </w:rPr>
        <w:t xml:space="preserve"> </w:t>
      </w:r>
      <w:r>
        <w:rPr>
          <w:rFonts w:ascii="Arial" w:hAnsi="Arial" w:cs="Arial"/>
          <w:b/>
          <w:bCs/>
          <w:iCs/>
          <w:sz w:val="22"/>
          <w:szCs w:val="22"/>
        </w:rPr>
        <w:t>PERIODICIDADE</w:t>
      </w:r>
      <w:r>
        <w:rPr>
          <w:rFonts w:ascii="Arial" w:hAnsi="Arial" w:cs="Arial"/>
          <w:b/>
          <w:bCs/>
          <w:iCs/>
          <w:spacing w:val="26"/>
          <w:sz w:val="22"/>
          <w:szCs w:val="22"/>
        </w:rPr>
        <w:t xml:space="preserve"> </w:t>
      </w:r>
      <w:r>
        <w:rPr>
          <w:rFonts w:ascii="Arial" w:hAnsi="Arial" w:cs="Arial"/>
          <w:b/>
          <w:bCs/>
          <w:iCs/>
          <w:sz w:val="22"/>
          <w:szCs w:val="22"/>
        </w:rPr>
        <w:t>E</w:t>
      </w:r>
      <w:r>
        <w:rPr>
          <w:rFonts w:ascii="Arial" w:hAnsi="Arial" w:cs="Arial"/>
          <w:b/>
          <w:bCs/>
          <w:iCs/>
          <w:spacing w:val="26"/>
          <w:sz w:val="22"/>
          <w:szCs w:val="22"/>
        </w:rPr>
        <w:t xml:space="preserve"> </w:t>
      </w:r>
      <w:r>
        <w:rPr>
          <w:rFonts w:ascii="Arial" w:hAnsi="Arial" w:cs="Arial"/>
          <w:b/>
          <w:bCs/>
          <w:iCs/>
          <w:sz w:val="22"/>
          <w:szCs w:val="22"/>
        </w:rPr>
        <w:t>FORMA</w:t>
      </w:r>
      <w:r>
        <w:rPr>
          <w:rFonts w:ascii="Arial" w:hAnsi="Arial" w:cs="Arial"/>
          <w:b/>
          <w:bCs/>
          <w:iCs/>
          <w:spacing w:val="27"/>
          <w:sz w:val="22"/>
          <w:szCs w:val="22"/>
        </w:rPr>
        <w:t xml:space="preserve"> </w:t>
      </w:r>
      <w:r>
        <w:rPr>
          <w:rFonts w:ascii="Arial" w:hAnsi="Arial" w:cs="Arial"/>
          <w:b/>
          <w:bCs/>
          <w:iCs/>
          <w:sz w:val="22"/>
          <w:szCs w:val="22"/>
        </w:rPr>
        <w:t>DE</w:t>
      </w:r>
      <w:r>
        <w:rPr>
          <w:rFonts w:ascii="Arial" w:hAnsi="Arial" w:cs="Arial"/>
          <w:b/>
          <w:bCs/>
          <w:iCs/>
          <w:spacing w:val="26"/>
          <w:sz w:val="22"/>
          <w:szCs w:val="22"/>
        </w:rPr>
        <w:t xml:space="preserve"> </w:t>
      </w:r>
      <w:r>
        <w:rPr>
          <w:rFonts w:ascii="Arial" w:hAnsi="Arial" w:cs="Arial"/>
          <w:b/>
          <w:bCs/>
          <w:iCs/>
          <w:sz w:val="22"/>
          <w:szCs w:val="22"/>
        </w:rPr>
        <w:t>ENTREGA/EXECUÇÃO</w:t>
      </w:r>
      <w:r>
        <w:rPr>
          <w:rFonts w:ascii="Arial" w:hAnsi="Arial" w:cs="Arial"/>
          <w:b/>
          <w:bCs/>
          <w:iCs/>
          <w:spacing w:val="26"/>
          <w:sz w:val="22"/>
          <w:szCs w:val="22"/>
        </w:rPr>
        <w:t xml:space="preserve"> </w:t>
      </w:r>
      <w:r>
        <w:rPr>
          <w:rFonts w:ascii="Arial" w:hAnsi="Arial" w:cs="Arial"/>
          <w:b/>
          <w:bCs/>
          <w:iCs/>
          <w:sz w:val="22"/>
          <w:szCs w:val="22"/>
        </w:rPr>
        <w:t>DO</w:t>
      </w:r>
      <w:r>
        <w:rPr>
          <w:rFonts w:ascii="Arial" w:hAnsi="Arial" w:cs="Arial"/>
          <w:b/>
          <w:bCs/>
          <w:iCs/>
          <w:spacing w:val="26"/>
          <w:sz w:val="22"/>
          <w:szCs w:val="22"/>
        </w:rPr>
        <w:t xml:space="preserve"> </w:t>
      </w:r>
      <w:r>
        <w:rPr>
          <w:rFonts w:ascii="Arial" w:hAnsi="Arial" w:cs="Arial"/>
          <w:b/>
          <w:bCs/>
          <w:iCs/>
          <w:sz w:val="22"/>
          <w:szCs w:val="22"/>
        </w:rPr>
        <w:t>OBJETO</w:t>
      </w:r>
      <w:r>
        <w:rPr>
          <w:rFonts w:ascii="Arial" w:hAnsi="Arial" w:cs="Arial"/>
          <w:b/>
          <w:bCs/>
          <w:iCs/>
          <w:spacing w:val="26"/>
          <w:sz w:val="22"/>
          <w:szCs w:val="22"/>
        </w:rPr>
        <w:t xml:space="preserve"> </w:t>
      </w:r>
      <w:r>
        <w:rPr>
          <w:rFonts w:ascii="Arial" w:hAnsi="Arial" w:cs="Arial"/>
          <w:b/>
          <w:bCs/>
          <w:iCs/>
          <w:sz w:val="22"/>
          <w:szCs w:val="22"/>
        </w:rPr>
        <w:t>E</w:t>
      </w:r>
      <w:r>
        <w:rPr>
          <w:rFonts w:ascii="Arial" w:hAnsi="Arial" w:cs="Arial"/>
          <w:b/>
          <w:bCs/>
          <w:iCs/>
          <w:spacing w:val="26"/>
          <w:sz w:val="22"/>
          <w:szCs w:val="22"/>
        </w:rPr>
        <w:t xml:space="preserve"> </w:t>
      </w:r>
      <w:r>
        <w:rPr>
          <w:rFonts w:ascii="Arial" w:hAnsi="Arial" w:cs="Arial"/>
          <w:b/>
          <w:bCs/>
          <w:iCs/>
          <w:sz w:val="22"/>
          <w:szCs w:val="22"/>
        </w:rPr>
        <w:t>CRITÉRIOS</w:t>
      </w:r>
      <w:r>
        <w:rPr>
          <w:rFonts w:ascii="Arial" w:hAnsi="Arial" w:cs="Arial"/>
          <w:b/>
          <w:bCs/>
          <w:iCs/>
          <w:spacing w:val="27"/>
          <w:sz w:val="22"/>
          <w:szCs w:val="22"/>
        </w:rPr>
        <w:t xml:space="preserve"> </w:t>
      </w:r>
      <w:r>
        <w:rPr>
          <w:rFonts w:ascii="Arial" w:hAnsi="Arial" w:cs="Arial"/>
          <w:b/>
          <w:bCs/>
          <w:iCs/>
          <w:sz w:val="22"/>
          <w:szCs w:val="22"/>
        </w:rPr>
        <w:t>DE ACEITAÇÃO OU NÃO DO OBJETO</w:t>
      </w:r>
      <w:r>
        <w:rPr>
          <w:rFonts w:ascii="Arial" w:hAnsi="Arial" w:cs="Arial"/>
          <w:b/>
          <w:bCs/>
          <w:iCs/>
          <w:sz w:val="22"/>
          <w:szCs w:val="22"/>
          <w:lang w:val="pt-BR"/>
        </w:rPr>
        <w:t>:</w:t>
      </w:r>
    </w:p>
    <w:p w14:paraId="0C304A4E">
      <w:pPr>
        <w:suppressAutoHyphens/>
        <w:spacing w:before="240" w:after="240" w:line="360" w:lineRule="auto"/>
        <w:ind w:left="142"/>
        <w:jc w:val="both"/>
        <w:rPr>
          <w:rFonts w:ascii="Arial" w:hAnsi="Arial" w:cs="Arial"/>
          <w:sz w:val="22"/>
          <w:szCs w:val="22"/>
        </w:rPr>
      </w:pPr>
      <w:r>
        <w:rPr>
          <w:rFonts w:ascii="Arial" w:hAnsi="Arial" w:cs="Arial"/>
          <w:iCs/>
          <w:sz w:val="22"/>
          <w:szCs w:val="22"/>
        </w:rPr>
        <w:t xml:space="preserve">6.3.1. </w:t>
      </w:r>
      <w:r>
        <w:rPr>
          <w:rFonts w:ascii="Arial" w:hAnsi="Arial" w:cs="Arial"/>
          <w:sz w:val="22"/>
          <w:szCs w:val="22"/>
        </w:rPr>
        <w:t xml:space="preserve">Os produtos deverão ser entregues no </w:t>
      </w:r>
      <w:r>
        <w:rPr>
          <w:rFonts w:ascii="Arial" w:hAnsi="Arial" w:cs="Arial"/>
          <w:b/>
          <w:sz w:val="22"/>
          <w:szCs w:val="22"/>
        </w:rPr>
        <w:t>Laboratório Municipal da Análises Clínicas</w:t>
      </w:r>
      <w:r>
        <w:rPr>
          <w:rFonts w:ascii="Arial" w:hAnsi="Arial" w:cs="Arial"/>
          <w:sz w:val="22"/>
          <w:szCs w:val="22"/>
        </w:rPr>
        <w:t>, localizado na Rua das Primaveras, Nº 1270 esquina com Pitombeiras, Jardim Jacarandás, na cidade de Sinop/MT, o</w:t>
      </w:r>
      <w:r>
        <w:rPr>
          <w:rFonts w:ascii="Arial" w:hAnsi="Arial" w:eastAsia="Calibri" w:cs="Arial"/>
          <w:sz w:val="22"/>
          <w:szCs w:val="22"/>
        </w:rPr>
        <w:t xml:space="preserve">s materiais deveram ser entregues </w:t>
      </w:r>
      <w:r>
        <w:rPr>
          <w:rFonts w:ascii="Arial" w:hAnsi="Arial" w:cs="Arial"/>
          <w:sz w:val="22"/>
          <w:szCs w:val="22"/>
        </w:rPr>
        <w:t>de segunda a sexta-feira, das 08h00min às 20h00min (horário de Brasília/DF).</w:t>
      </w:r>
    </w:p>
    <w:p w14:paraId="2E36283B">
      <w:pPr>
        <w:pStyle w:val="16"/>
        <w:spacing w:before="240" w:after="240" w:line="360" w:lineRule="auto"/>
        <w:ind w:left="108"/>
        <w:jc w:val="both"/>
        <w:rPr>
          <w:rFonts w:ascii="Arial" w:hAnsi="Arial" w:eastAsia="Times New Roman" w:cs="Arial"/>
          <w:sz w:val="22"/>
          <w:szCs w:val="22"/>
          <w:lang w:eastAsia="pt-BR"/>
        </w:rPr>
      </w:pPr>
      <w:r>
        <w:rPr>
          <w:rFonts w:ascii="Arial" w:hAnsi="Arial" w:eastAsia="Times New Roman" w:cs="Arial"/>
          <w:sz w:val="22"/>
          <w:szCs w:val="22"/>
          <w:lang w:eastAsia="pt-BR"/>
        </w:rPr>
        <w:t>6.3.2</w:t>
      </w:r>
      <w:r>
        <w:rPr>
          <w:rFonts w:ascii="Arial" w:hAnsi="Arial" w:eastAsia="Times New Roman" w:cs="Arial"/>
          <w:sz w:val="22"/>
          <w:szCs w:val="22"/>
          <w:lang w:eastAsia="pt-BR"/>
        </w:rPr>
        <w:tab/>
      </w:r>
      <w:bookmarkStart w:id="75" w:name="_Hlk181789809"/>
      <w:r>
        <w:rPr>
          <w:rFonts w:ascii="Arial" w:hAnsi="Arial" w:eastAsia="Times New Roman" w:cs="Arial"/>
          <w:sz w:val="22"/>
          <w:szCs w:val="22"/>
          <w:lang w:eastAsia="pt-BR"/>
        </w:rPr>
        <w:t>Após a assinatura do contrato, a entrega dos insumos deverá ser realizada em conformidade com o prazo estabelecido neste Termo, que será de 5 (cinco) dias corridos após a solicitação da Secretaria Municipal de Saúde.</w:t>
      </w:r>
      <w:bookmarkEnd w:id="75"/>
    </w:p>
    <w:p w14:paraId="7B7118BC">
      <w:pPr>
        <w:pStyle w:val="16"/>
        <w:numPr>
          <w:ilvl w:val="2"/>
          <w:numId w:val="18"/>
        </w:numPr>
        <w:spacing w:before="240" w:after="240" w:line="360" w:lineRule="auto"/>
        <w:ind w:left="142" w:firstLine="0"/>
        <w:jc w:val="both"/>
        <w:rPr>
          <w:rFonts w:ascii="Arial" w:hAnsi="Arial" w:eastAsia="Times New Roman" w:cs="Arial"/>
          <w:sz w:val="22"/>
          <w:szCs w:val="22"/>
          <w:lang w:eastAsia="pt-BR"/>
        </w:rPr>
      </w:pPr>
      <w:r>
        <w:rPr>
          <w:rFonts w:ascii="Arial" w:hAnsi="Arial" w:eastAsia="Times New Roman" w:cs="Arial"/>
          <w:sz w:val="22"/>
          <w:szCs w:val="22"/>
          <w:lang w:eastAsia="pt-BR"/>
        </w:rPr>
        <w:t>A entrega deverá ser agendada com o responsável da contratante, que irá receber os produtos e atestar a conformidade e a quantidade.</w:t>
      </w:r>
    </w:p>
    <w:p w14:paraId="0DDE4B6F">
      <w:pPr>
        <w:pStyle w:val="16"/>
        <w:numPr>
          <w:ilvl w:val="2"/>
          <w:numId w:val="18"/>
        </w:numPr>
        <w:spacing w:before="240" w:after="240" w:line="360" w:lineRule="auto"/>
        <w:ind w:left="142" w:firstLine="0"/>
        <w:jc w:val="both"/>
        <w:rPr>
          <w:rFonts w:ascii="Arial" w:hAnsi="Arial" w:eastAsia="Times New Roman" w:cs="Arial"/>
          <w:sz w:val="22"/>
          <w:szCs w:val="22"/>
          <w:lang w:eastAsia="pt-BR"/>
        </w:rPr>
      </w:pPr>
      <w:r>
        <w:rPr>
          <w:rFonts w:ascii="Arial" w:hAnsi="Arial" w:eastAsia="Times New Roman" w:cs="Arial"/>
          <w:sz w:val="22"/>
          <w:szCs w:val="22"/>
          <w:lang w:eastAsia="pt-BR"/>
        </w:rPr>
        <w:t>Antes de efetuar a entrega, a contratada deve verificar se todos os produtos estão de acordo com as especificações, com a quantidade correta e dentro do prazo de validade.</w:t>
      </w:r>
    </w:p>
    <w:p w14:paraId="692FA49F">
      <w:pPr>
        <w:pStyle w:val="127"/>
        <w:numPr>
          <w:ilvl w:val="2"/>
          <w:numId w:val="19"/>
        </w:numPr>
        <w:spacing w:before="240" w:after="0" w:line="360" w:lineRule="auto"/>
        <w:ind w:left="142" w:firstLine="0"/>
        <w:jc w:val="both"/>
        <w:rPr>
          <w:rFonts w:ascii="Arial" w:hAnsi="Arial" w:eastAsia="Times New Roman" w:cs="Arial"/>
          <w:sz w:val="22"/>
          <w:szCs w:val="22"/>
          <w:lang w:eastAsia="pt-BR"/>
        </w:rPr>
      </w:pPr>
      <w:r>
        <w:rPr>
          <w:rFonts w:ascii="Arial" w:hAnsi="Arial" w:eastAsia="Times New Roman" w:cs="Arial"/>
          <w:sz w:val="22"/>
          <w:szCs w:val="22"/>
          <w:lang w:eastAsia="pt-BR"/>
        </w:rPr>
        <w:t>Ao receber os produtos, a contratante realizará a inspeção dos itens, conferindo as quantidades, a descrição, a qualidade e o prazo de validade, conforme previsto neste Termo de Referência e nas especificações.</w:t>
      </w:r>
    </w:p>
    <w:p w14:paraId="22A13AC6">
      <w:pPr>
        <w:pStyle w:val="127"/>
        <w:numPr>
          <w:ilvl w:val="2"/>
          <w:numId w:val="19"/>
        </w:numPr>
        <w:spacing w:before="240" w:after="0" w:line="360" w:lineRule="auto"/>
        <w:ind w:left="142" w:firstLine="0"/>
        <w:jc w:val="both"/>
        <w:rPr>
          <w:rFonts w:ascii="Arial" w:hAnsi="Arial" w:eastAsia="Times New Roman" w:cs="Arial"/>
          <w:sz w:val="22"/>
          <w:szCs w:val="22"/>
          <w:lang w:eastAsia="pt-BR"/>
        </w:rPr>
      </w:pPr>
      <w:r>
        <w:rPr>
          <w:rFonts w:ascii="Arial" w:hAnsi="Arial" w:eastAsia="Times New Roman" w:cs="Arial"/>
          <w:sz w:val="22"/>
          <w:szCs w:val="22"/>
          <w:lang w:eastAsia="pt-BR"/>
        </w:rPr>
        <w:t>Caso sejam identificados itens danificados, fora de especificação, ou com prazo de validade vencido, a contratante deverá recusar a entrega dessas unidades e exigir a substituição no prazo de 2 (dois) dias, sem custo adicional.</w:t>
      </w:r>
    </w:p>
    <w:p w14:paraId="750CDE64">
      <w:pPr>
        <w:pStyle w:val="127"/>
        <w:numPr>
          <w:ilvl w:val="2"/>
          <w:numId w:val="19"/>
        </w:numPr>
        <w:spacing w:before="240" w:after="0" w:line="360" w:lineRule="auto"/>
        <w:ind w:left="142" w:firstLine="0"/>
        <w:jc w:val="both"/>
        <w:rPr>
          <w:rFonts w:ascii="Arial" w:hAnsi="Arial" w:eastAsia="Times New Roman" w:cs="Arial"/>
          <w:sz w:val="22"/>
          <w:szCs w:val="22"/>
          <w:lang w:eastAsia="pt-BR"/>
        </w:rPr>
      </w:pPr>
      <w:r>
        <w:rPr>
          <w:rFonts w:ascii="Arial" w:hAnsi="Arial" w:eastAsia="Times New Roman" w:cs="Arial"/>
          <w:sz w:val="22"/>
          <w:szCs w:val="22"/>
          <w:lang w:eastAsia="pt-BR"/>
        </w:rPr>
        <w:t>Todos os insumos devem ser transportados em embalagens externas que garantam sua proteção física, evitem vazamentos, deterioração ou contaminação, e mantenham as condições de temperatura e umidade ideais durante o transporte.</w:t>
      </w:r>
    </w:p>
    <w:p w14:paraId="1F6F3B82">
      <w:pPr>
        <w:pStyle w:val="127"/>
        <w:numPr>
          <w:ilvl w:val="2"/>
          <w:numId w:val="19"/>
        </w:numPr>
        <w:spacing w:before="240" w:after="0" w:line="360" w:lineRule="auto"/>
        <w:ind w:left="142" w:firstLine="0"/>
        <w:jc w:val="both"/>
        <w:rPr>
          <w:rFonts w:ascii="Arial" w:hAnsi="Arial" w:eastAsia="Times New Roman" w:cs="Arial"/>
          <w:sz w:val="22"/>
          <w:szCs w:val="22"/>
          <w:lang w:eastAsia="pt-BR"/>
        </w:rPr>
      </w:pPr>
      <w:r>
        <w:rPr>
          <w:rFonts w:ascii="Arial" w:hAnsi="Arial" w:eastAsia="Times New Roman" w:cs="Arial"/>
          <w:sz w:val="22"/>
          <w:szCs w:val="22"/>
          <w:lang w:eastAsia="pt-BR"/>
        </w:rPr>
        <w:t>A embalagem externa também deve ser identificada de forma clara, contendo os seguintes dados:</w:t>
      </w:r>
    </w:p>
    <w:p w14:paraId="094AA653">
      <w:pPr>
        <w:pStyle w:val="127"/>
        <w:numPr>
          <w:ilvl w:val="0"/>
          <w:numId w:val="20"/>
        </w:numPr>
        <w:tabs>
          <w:tab w:val="left" w:pos="426"/>
        </w:tabs>
        <w:spacing w:before="240" w:after="0" w:line="240" w:lineRule="auto"/>
        <w:ind w:left="1418"/>
        <w:jc w:val="both"/>
        <w:rPr>
          <w:rFonts w:ascii="Arial" w:hAnsi="Arial" w:eastAsia="Times New Roman" w:cs="Arial"/>
          <w:sz w:val="22"/>
          <w:szCs w:val="22"/>
          <w:lang w:eastAsia="pt-BR"/>
        </w:rPr>
      </w:pPr>
      <w:r>
        <w:rPr>
          <w:rFonts w:ascii="Arial" w:hAnsi="Arial" w:eastAsia="Times New Roman" w:cs="Arial"/>
          <w:sz w:val="22"/>
          <w:szCs w:val="22"/>
          <w:lang w:eastAsia="pt-BR"/>
        </w:rPr>
        <w:t>Nome do produto.</w:t>
      </w:r>
    </w:p>
    <w:p w14:paraId="0FDB6531">
      <w:pPr>
        <w:pStyle w:val="127"/>
        <w:numPr>
          <w:ilvl w:val="0"/>
          <w:numId w:val="20"/>
        </w:numPr>
        <w:tabs>
          <w:tab w:val="left" w:pos="426"/>
        </w:tabs>
        <w:spacing w:before="240" w:after="0" w:line="240" w:lineRule="auto"/>
        <w:ind w:left="1418"/>
        <w:jc w:val="both"/>
        <w:rPr>
          <w:rFonts w:ascii="Arial" w:hAnsi="Arial" w:eastAsia="Times New Roman" w:cs="Arial"/>
          <w:sz w:val="22"/>
          <w:szCs w:val="22"/>
          <w:lang w:eastAsia="pt-BR"/>
        </w:rPr>
      </w:pPr>
      <w:r>
        <w:rPr>
          <w:rFonts w:ascii="Arial" w:hAnsi="Arial" w:eastAsia="Times New Roman" w:cs="Arial"/>
          <w:sz w:val="22"/>
          <w:szCs w:val="22"/>
          <w:lang w:eastAsia="pt-BR"/>
        </w:rPr>
        <w:t>Quantidade do item.</w:t>
      </w:r>
    </w:p>
    <w:p w14:paraId="6EC5D4A0">
      <w:pPr>
        <w:pStyle w:val="127"/>
        <w:numPr>
          <w:ilvl w:val="0"/>
          <w:numId w:val="20"/>
        </w:numPr>
        <w:tabs>
          <w:tab w:val="left" w:pos="426"/>
        </w:tabs>
        <w:spacing w:before="240" w:after="0" w:line="240" w:lineRule="auto"/>
        <w:ind w:left="1418"/>
        <w:jc w:val="both"/>
        <w:rPr>
          <w:rFonts w:ascii="Arial" w:hAnsi="Arial" w:eastAsia="Times New Roman" w:cs="Arial"/>
          <w:sz w:val="22"/>
          <w:szCs w:val="22"/>
          <w:lang w:eastAsia="pt-BR"/>
        </w:rPr>
      </w:pPr>
      <w:r>
        <w:rPr>
          <w:rFonts w:ascii="Arial" w:hAnsi="Arial" w:eastAsia="Times New Roman" w:cs="Arial"/>
          <w:sz w:val="22"/>
          <w:szCs w:val="22"/>
          <w:lang w:eastAsia="pt-BR"/>
        </w:rPr>
        <w:t>Nome e dados de contato do fornecedor.</w:t>
      </w:r>
    </w:p>
    <w:p w14:paraId="367AF76F">
      <w:pPr>
        <w:pStyle w:val="127"/>
        <w:numPr>
          <w:ilvl w:val="0"/>
          <w:numId w:val="20"/>
        </w:numPr>
        <w:tabs>
          <w:tab w:val="left" w:pos="426"/>
        </w:tabs>
        <w:spacing w:before="240" w:after="0" w:line="240" w:lineRule="auto"/>
        <w:ind w:left="1418"/>
        <w:jc w:val="both"/>
        <w:rPr>
          <w:rFonts w:ascii="Arial" w:hAnsi="Arial" w:eastAsia="Times New Roman" w:cs="Arial"/>
          <w:sz w:val="22"/>
          <w:szCs w:val="22"/>
          <w:lang w:eastAsia="pt-BR"/>
        </w:rPr>
      </w:pPr>
      <w:r>
        <w:rPr>
          <w:rFonts w:ascii="Arial" w:hAnsi="Arial" w:eastAsia="Times New Roman" w:cs="Arial"/>
          <w:sz w:val="22"/>
          <w:szCs w:val="22"/>
          <w:lang w:eastAsia="pt-BR"/>
        </w:rPr>
        <w:t>Instruções sobre a conservação e o transporte adequado dos insumos.</w:t>
      </w:r>
    </w:p>
    <w:p w14:paraId="26733A2A">
      <w:pPr>
        <w:pStyle w:val="127"/>
        <w:numPr>
          <w:ilvl w:val="0"/>
          <w:numId w:val="20"/>
        </w:numPr>
        <w:tabs>
          <w:tab w:val="left" w:pos="426"/>
        </w:tabs>
        <w:spacing w:before="240" w:after="0" w:line="240" w:lineRule="auto"/>
        <w:ind w:left="1418"/>
        <w:jc w:val="both"/>
        <w:rPr>
          <w:rFonts w:ascii="Arial" w:hAnsi="Arial" w:eastAsia="Times New Roman" w:cs="Arial"/>
          <w:sz w:val="22"/>
          <w:szCs w:val="22"/>
          <w:lang w:eastAsia="pt-BR"/>
        </w:rPr>
      </w:pPr>
      <w:r>
        <w:rPr>
          <w:rFonts w:ascii="Arial" w:hAnsi="Arial" w:eastAsia="Times New Roman" w:cs="Arial"/>
          <w:sz w:val="22"/>
          <w:szCs w:val="22"/>
          <w:lang w:eastAsia="pt-BR"/>
        </w:rPr>
        <w:t>Etiqueta de identificação do lote, com validade e número de série, quando aplicável.</w:t>
      </w:r>
    </w:p>
    <w:p w14:paraId="60E29E4C">
      <w:pPr>
        <w:pStyle w:val="16"/>
        <w:spacing w:before="240" w:after="240" w:line="360" w:lineRule="auto"/>
        <w:ind w:left="108"/>
        <w:jc w:val="both"/>
        <w:rPr>
          <w:rFonts w:ascii="Arial" w:hAnsi="Arial" w:cs="Arial"/>
          <w:b/>
          <w:bCs/>
          <w:sz w:val="22"/>
          <w:szCs w:val="22"/>
        </w:rPr>
      </w:pPr>
      <w:r>
        <w:rPr>
          <w:rFonts w:ascii="Arial" w:hAnsi="Arial" w:cs="Arial"/>
          <w:b/>
          <w:bCs/>
          <w:sz w:val="22"/>
          <w:szCs w:val="22"/>
        </w:rPr>
        <w:t>6.4. PRAZO MÍNIMO DE VALIDADE DO PRODUTO:</w:t>
      </w:r>
    </w:p>
    <w:p w14:paraId="4A80CDE3">
      <w:pPr>
        <w:tabs>
          <w:tab w:val="left" w:pos="0"/>
        </w:tabs>
        <w:spacing w:before="240" w:after="240" w:line="360" w:lineRule="auto"/>
        <w:ind w:left="108"/>
        <w:jc w:val="both"/>
        <w:rPr>
          <w:rFonts w:ascii="Arial" w:hAnsi="Arial" w:cs="Arial"/>
          <w:sz w:val="22"/>
          <w:szCs w:val="22"/>
        </w:rPr>
      </w:pPr>
      <w:r>
        <w:rPr>
          <w:rFonts w:ascii="Arial" w:hAnsi="Arial" w:cs="Arial"/>
          <w:sz w:val="22"/>
          <w:szCs w:val="22"/>
        </w:rPr>
        <w:t xml:space="preserve">6.4.1. O </w:t>
      </w:r>
      <w:r>
        <w:rPr>
          <w:rFonts w:ascii="Arial" w:hAnsi="Arial" w:eastAsia="Times New Roman" w:cs="Arial"/>
          <w:sz w:val="22"/>
          <w:szCs w:val="22"/>
        </w:rPr>
        <w:t xml:space="preserve">prazo de </w:t>
      </w:r>
      <w:r>
        <w:rPr>
          <w:rFonts w:ascii="Arial" w:hAnsi="Arial" w:eastAsia="Times New Roman" w:cs="Arial"/>
          <w:bCs/>
          <w:sz w:val="22"/>
          <w:szCs w:val="22"/>
        </w:rPr>
        <w:t>validade mínimo será de 18 meses</w:t>
      </w:r>
    </w:p>
    <w:bookmarkEnd w:id="71"/>
    <w:p w14:paraId="50F568C6">
      <w:pPr>
        <w:tabs>
          <w:tab w:val="left" w:pos="0"/>
        </w:tabs>
        <w:spacing w:before="240" w:after="240" w:line="360" w:lineRule="auto"/>
        <w:ind w:left="108"/>
        <w:jc w:val="both"/>
        <w:rPr>
          <w:rFonts w:ascii="Arial" w:hAnsi="Arial" w:cs="Arial"/>
          <w:b/>
          <w:bCs/>
          <w:sz w:val="22"/>
          <w:szCs w:val="22"/>
        </w:rPr>
      </w:pPr>
      <w:r>
        <w:rPr>
          <w:rFonts w:ascii="Arial" w:hAnsi="Arial" w:cs="Arial"/>
          <w:b/>
          <w:bCs/>
          <w:sz w:val="22"/>
          <w:szCs w:val="22"/>
        </w:rPr>
        <w:t>6.5. ESPECIFICAÇÃO DA GARANTIA EXIGIDA:</w:t>
      </w:r>
    </w:p>
    <w:p w14:paraId="7E8B0F1C">
      <w:pPr>
        <w:tabs>
          <w:tab w:val="left" w:pos="0"/>
        </w:tabs>
        <w:spacing w:before="240" w:after="240" w:line="360" w:lineRule="auto"/>
        <w:ind w:left="108"/>
        <w:jc w:val="both"/>
        <w:rPr>
          <w:rFonts w:ascii="Arial" w:hAnsi="Arial" w:cs="Arial"/>
          <w:sz w:val="22"/>
          <w:szCs w:val="22"/>
        </w:rPr>
      </w:pPr>
      <w:r>
        <w:rPr>
          <w:rFonts w:ascii="Arial" w:hAnsi="Arial" w:cs="Arial"/>
          <w:sz w:val="22"/>
          <w:szCs w:val="22"/>
        </w:rPr>
        <w:t>6.5.1. Não se aplica.</w:t>
      </w:r>
    </w:p>
    <w:p w14:paraId="351BE350">
      <w:pPr>
        <w:tabs>
          <w:tab w:val="left" w:pos="-200"/>
        </w:tabs>
        <w:spacing w:before="240" w:after="240" w:line="360" w:lineRule="auto"/>
        <w:ind w:left="108"/>
        <w:jc w:val="both"/>
        <w:rPr>
          <w:rFonts w:ascii="Arial" w:hAnsi="Arial" w:cs="Arial"/>
          <w:b/>
          <w:bCs/>
          <w:iCs/>
          <w:spacing w:val="-2"/>
          <w:sz w:val="22"/>
          <w:szCs w:val="22"/>
        </w:rPr>
      </w:pPr>
      <w:r>
        <w:rPr>
          <w:rFonts w:ascii="Arial" w:hAnsi="Arial" w:cs="Arial"/>
          <w:b/>
          <w:bCs/>
          <w:sz w:val="22"/>
          <w:szCs w:val="22"/>
        </w:rPr>
        <w:t xml:space="preserve">6.6. </w:t>
      </w:r>
      <w:r>
        <w:rPr>
          <w:rFonts w:ascii="Arial" w:hAnsi="Arial" w:cs="Arial"/>
          <w:b/>
          <w:bCs/>
          <w:iCs/>
          <w:sz w:val="22"/>
          <w:szCs w:val="22"/>
        </w:rPr>
        <w:t>CONDIÇÕES</w:t>
      </w:r>
      <w:r>
        <w:rPr>
          <w:rFonts w:ascii="Arial" w:hAnsi="Arial" w:cs="Arial"/>
          <w:b/>
          <w:bCs/>
          <w:iCs/>
          <w:spacing w:val="-4"/>
          <w:sz w:val="22"/>
          <w:szCs w:val="22"/>
        </w:rPr>
        <w:t xml:space="preserve"> </w:t>
      </w:r>
      <w:r>
        <w:rPr>
          <w:rFonts w:ascii="Arial" w:hAnsi="Arial" w:cs="Arial"/>
          <w:b/>
          <w:bCs/>
          <w:iCs/>
          <w:sz w:val="22"/>
          <w:szCs w:val="22"/>
        </w:rPr>
        <w:t>DE</w:t>
      </w:r>
      <w:r>
        <w:rPr>
          <w:rFonts w:ascii="Arial" w:hAnsi="Arial" w:cs="Arial"/>
          <w:b/>
          <w:bCs/>
          <w:iCs/>
          <w:spacing w:val="-2"/>
          <w:sz w:val="22"/>
          <w:szCs w:val="22"/>
        </w:rPr>
        <w:t xml:space="preserve"> </w:t>
      </w:r>
      <w:r>
        <w:rPr>
          <w:rFonts w:ascii="Arial" w:hAnsi="Arial" w:cs="Arial"/>
          <w:b/>
          <w:bCs/>
          <w:iCs/>
          <w:sz w:val="22"/>
          <w:szCs w:val="22"/>
        </w:rPr>
        <w:t>MANUTENÇÃO</w:t>
      </w:r>
      <w:r>
        <w:rPr>
          <w:rFonts w:ascii="Arial" w:hAnsi="Arial" w:cs="Arial"/>
          <w:b/>
          <w:bCs/>
          <w:iCs/>
          <w:spacing w:val="-1"/>
          <w:sz w:val="22"/>
          <w:szCs w:val="22"/>
        </w:rPr>
        <w:t xml:space="preserve"> </w:t>
      </w:r>
      <w:r>
        <w:rPr>
          <w:rFonts w:ascii="Arial" w:hAnsi="Arial" w:cs="Arial"/>
          <w:b/>
          <w:bCs/>
          <w:iCs/>
          <w:sz w:val="22"/>
          <w:szCs w:val="22"/>
        </w:rPr>
        <w:t>PREVENTIVA</w:t>
      </w:r>
      <w:r>
        <w:rPr>
          <w:rFonts w:ascii="Arial" w:hAnsi="Arial" w:cs="Arial"/>
          <w:b/>
          <w:bCs/>
          <w:iCs/>
          <w:spacing w:val="1"/>
          <w:sz w:val="22"/>
          <w:szCs w:val="22"/>
        </w:rPr>
        <w:t xml:space="preserve"> </w:t>
      </w:r>
      <w:r>
        <w:rPr>
          <w:rFonts w:ascii="Arial" w:hAnsi="Arial" w:cs="Arial"/>
          <w:b/>
          <w:bCs/>
          <w:iCs/>
          <w:sz w:val="22"/>
          <w:szCs w:val="22"/>
        </w:rPr>
        <w:t>E/OU</w:t>
      </w:r>
      <w:r>
        <w:rPr>
          <w:rFonts w:ascii="Arial" w:hAnsi="Arial" w:cs="Arial"/>
          <w:b/>
          <w:bCs/>
          <w:iCs/>
          <w:spacing w:val="-1"/>
          <w:sz w:val="22"/>
          <w:szCs w:val="22"/>
        </w:rPr>
        <w:t xml:space="preserve"> </w:t>
      </w:r>
      <w:r>
        <w:rPr>
          <w:rFonts w:ascii="Arial" w:hAnsi="Arial" w:cs="Arial"/>
          <w:b/>
          <w:bCs/>
          <w:iCs/>
          <w:sz w:val="22"/>
          <w:szCs w:val="22"/>
        </w:rPr>
        <w:t>CORRETIVA</w:t>
      </w:r>
      <w:r>
        <w:rPr>
          <w:rFonts w:ascii="Arial" w:hAnsi="Arial" w:cs="Arial"/>
          <w:b/>
          <w:bCs/>
          <w:iCs/>
          <w:spacing w:val="-1"/>
          <w:sz w:val="22"/>
          <w:szCs w:val="22"/>
        </w:rPr>
        <w:t xml:space="preserve"> </w:t>
      </w:r>
      <w:r>
        <w:rPr>
          <w:rFonts w:ascii="Arial" w:hAnsi="Arial" w:cs="Arial"/>
          <w:b/>
          <w:bCs/>
          <w:iCs/>
          <w:sz w:val="22"/>
          <w:szCs w:val="22"/>
        </w:rPr>
        <w:t>E</w:t>
      </w:r>
      <w:r>
        <w:rPr>
          <w:rFonts w:ascii="Arial" w:hAnsi="Arial" w:cs="Arial"/>
          <w:b/>
          <w:bCs/>
          <w:iCs/>
          <w:spacing w:val="-2"/>
          <w:sz w:val="22"/>
          <w:szCs w:val="22"/>
        </w:rPr>
        <w:t xml:space="preserve"> </w:t>
      </w:r>
      <w:r>
        <w:rPr>
          <w:rFonts w:ascii="Arial" w:hAnsi="Arial" w:cs="Arial"/>
          <w:b/>
          <w:bCs/>
          <w:iCs/>
          <w:sz w:val="22"/>
          <w:szCs w:val="22"/>
        </w:rPr>
        <w:t>ASSISTÊNCIA</w:t>
      </w:r>
      <w:r>
        <w:rPr>
          <w:rFonts w:ascii="Arial" w:hAnsi="Arial" w:cs="Arial"/>
          <w:b/>
          <w:bCs/>
          <w:iCs/>
          <w:spacing w:val="-1"/>
          <w:sz w:val="22"/>
          <w:szCs w:val="22"/>
        </w:rPr>
        <w:t xml:space="preserve"> </w:t>
      </w:r>
      <w:r>
        <w:rPr>
          <w:rFonts w:ascii="Arial" w:hAnsi="Arial" w:cs="Arial"/>
          <w:b/>
          <w:bCs/>
          <w:iCs/>
          <w:spacing w:val="-2"/>
          <w:sz w:val="22"/>
          <w:szCs w:val="22"/>
        </w:rPr>
        <w:t>TÉCNICA:</w:t>
      </w:r>
    </w:p>
    <w:p w14:paraId="2BA1BA3C">
      <w:pPr>
        <w:pStyle w:val="127"/>
        <w:numPr>
          <w:ilvl w:val="2"/>
          <w:numId w:val="21"/>
        </w:numPr>
        <w:tabs>
          <w:tab w:val="left" w:pos="-200"/>
          <w:tab w:val="left" w:pos="425"/>
          <w:tab w:val="left" w:pos="567"/>
        </w:tabs>
        <w:spacing w:before="240" w:after="240" w:line="360" w:lineRule="auto"/>
        <w:ind w:left="108" w:firstLine="0"/>
        <w:contextualSpacing w:val="0"/>
        <w:jc w:val="both"/>
        <w:rPr>
          <w:rFonts w:ascii="Arial" w:hAnsi="Arial" w:cs="Arial"/>
          <w:b/>
          <w:bCs/>
          <w:iCs/>
          <w:spacing w:val="-2"/>
          <w:sz w:val="22"/>
          <w:szCs w:val="22"/>
        </w:rPr>
      </w:pPr>
      <w:r>
        <w:rPr>
          <w:rFonts w:ascii="Arial" w:hAnsi="Arial" w:eastAsia="Times New Roman" w:cs="Arial"/>
          <w:sz w:val="22"/>
          <w:szCs w:val="22"/>
          <w:lang w:eastAsia="pt-BR"/>
        </w:rPr>
        <w:t>Não se aplica.</w:t>
      </w:r>
    </w:p>
    <w:p w14:paraId="477E5F39">
      <w:pPr>
        <w:tabs>
          <w:tab w:val="left" w:pos="0"/>
        </w:tabs>
        <w:spacing w:before="240" w:after="240" w:line="360" w:lineRule="auto"/>
        <w:ind w:left="108"/>
        <w:jc w:val="both"/>
        <w:rPr>
          <w:rFonts w:ascii="Arial" w:hAnsi="Arial" w:cs="Arial"/>
          <w:b/>
          <w:bCs/>
          <w:sz w:val="22"/>
          <w:szCs w:val="22"/>
        </w:rPr>
      </w:pPr>
      <w:r>
        <w:rPr>
          <w:rFonts w:ascii="Arial" w:hAnsi="Arial" w:cs="Arial"/>
          <w:b/>
          <w:bCs/>
          <w:sz w:val="22"/>
          <w:szCs w:val="22"/>
        </w:rPr>
        <w:t>6.7. CRONOGRAMA DE EXECUÇÃO:</w:t>
      </w:r>
    </w:p>
    <w:p w14:paraId="7DE112EA">
      <w:pPr>
        <w:pStyle w:val="16"/>
        <w:spacing w:before="240" w:after="240" w:line="360" w:lineRule="auto"/>
        <w:ind w:left="108"/>
        <w:jc w:val="both"/>
        <w:rPr>
          <w:rFonts w:ascii="Arial" w:hAnsi="Arial" w:cs="Arial"/>
          <w:iCs/>
          <w:sz w:val="22"/>
          <w:szCs w:val="22"/>
          <w:lang w:val="pt-BR"/>
        </w:rPr>
      </w:pPr>
      <w:r>
        <w:rPr>
          <w:rFonts w:ascii="Arial" w:hAnsi="Arial" w:cs="Arial"/>
          <w:sz w:val="22"/>
          <w:szCs w:val="22"/>
        </w:rPr>
        <w:t xml:space="preserve">6.7.1 </w:t>
      </w:r>
      <w:r>
        <w:rPr>
          <w:rFonts w:ascii="Arial" w:hAnsi="Arial" w:cs="Arial"/>
          <w:iCs/>
          <w:sz w:val="22"/>
          <w:szCs w:val="22"/>
          <w:lang w:val="pt-BR"/>
        </w:rPr>
        <w:t>A entrega será solicitada por escrito pelo Fiscal de contrato e deverão ser realizadas no prazo de até 5 (cinco) dias após a solicitação.</w:t>
      </w:r>
    </w:p>
    <w:p w14:paraId="6CE165A0">
      <w:pPr>
        <w:tabs>
          <w:tab w:val="left" w:pos="0"/>
        </w:tabs>
        <w:spacing w:before="240" w:after="240" w:line="360" w:lineRule="auto"/>
        <w:ind w:left="108"/>
        <w:jc w:val="both"/>
        <w:rPr>
          <w:rFonts w:ascii="Arial" w:hAnsi="Arial" w:cs="Arial"/>
          <w:b/>
          <w:bCs/>
          <w:sz w:val="22"/>
          <w:szCs w:val="22"/>
        </w:rPr>
      </w:pPr>
      <w:r>
        <w:rPr>
          <w:rFonts w:ascii="Arial" w:hAnsi="Arial" w:cs="Arial"/>
          <w:b/>
          <w:bCs/>
          <w:sz w:val="22"/>
          <w:szCs w:val="22"/>
        </w:rPr>
        <w:t>6.8. NECESSIDADE DE ACOMPANHAMENTO DOS SERVIÇOS POR PROFISSIONAIS DA “ÁREA” DEMANDANTE:</w:t>
      </w:r>
    </w:p>
    <w:p w14:paraId="1B08B7F7">
      <w:pPr>
        <w:tabs>
          <w:tab w:val="left" w:pos="0"/>
        </w:tabs>
        <w:spacing w:before="240" w:after="240" w:line="360" w:lineRule="auto"/>
        <w:ind w:left="108"/>
        <w:jc w:val="both"/>
        <w:rPr>
          <w:rFonts w:ascii="Arial" w:hAnsi="Arial" w:cs="Arial"/>
          <w:sz w:val="22"/>
          <w:szCs w:val="22"/>
        </w:rPr>
      </w:pPr>
      <w:r>
        <w:rPr>
          <w:rFonts w:ascii="Arial" w:hAnsi="Arial" w:cs="Arial"/>
          <w:sz w:val="22"/>
          <w:szCs w:val="22"/>
        </w:rPr>
        <w:t>6.8.1 Não se aplica.</w:t>
      </w:r>
    </w:p>
    <w:p w14:paraId="326FFB3C">
      <w:pPr>
        <w:tabs>
          <w:tab w:val="left" w:pos="0"/>
        </w:tabs>
        <w:spacing w:before="240" w:after="240" w:line="360" w:lineRule="auto"/>
        <w:ind w:left="108"/>
        <w:jc w:val="both"/>
        <w:rPr>
          <w:rFonts w:ascii="Arial" w:hAnsi="Arial" w:cs="Arial"/>
          <w:b/>
          <w:bCs/>
          <w:sz w:val="22"/>
          <w:szCs w:val="22"/>
        </w:rPr>
      </w:pPr>
      <w:r>
        <w:rPr>
          <w:rFonts w:ascii="Arial" w:hAnsi="Arial" w:cs="Arial"/>
          <w:b/>
          <w:bCs/>
          <w:sz w:val="22"/>
          <w:szCs w:val="22"/>
        </w:rPr>
        <w:t xml:space="preserve">6.9. POSSIBILIDADE DE TROCA DE PEÇAS, SE POR ORIGIGINAIS OU SIMILARES, E DE PROCESSOS DE REMANUFATURA, RECONDICIONAMENTO, REUTILIZAÇÃO OU REFILAMENTO: </w:t>
      </w:r>
    </w:p>
    <w:p w14:paraId="0D05F8C7">
      <w:pPr>
        <w:tabs>
          <w:tab w:val="left" w:pos="0"/>
        </w:tabs>
        <w:spacing w:before="240" w:after="240" w:line="360" w:lineRule="auto"/>
        <w:ind w:left="108"/>
        <w:jc w:val="both"/>
        <w:rPr>
          <w:rFonts w:ascii="Arial" w:hAnsi="Arial" w:cs="Arial"/>
          <w:sz w:val="22"/>
          <w:szCs w:val="22"/>
        </w:rPr>
      </w:pPr>
      <w:r>
        <w:rPr>
          <w:rFonts w:ascii="Arial" w:hAnsi="Arial" w:cs="Arial"/>
          <w:sz w:val="22"/>
          <w:szCs w:val="22"/>
        </w:rPr>
        <w:t>6.9.1</w:t>
      </w:r>
      <w:r>
        <w:rPr>
          <w:rFonts w:ascii="Arial" w:hAnsi="Arial" w:cs="Arial"/>
          <w:sz w:val="22"/>
          <w:szCs w:val="22"/>
        </w:rPr>
        <w:tab/>
      </w:r>
      <w:r>
        <w:rPr>
          <w:rFonts w:ascii="Arial" w:hAnsi="Arial" w:cs="Arial"/>
          <w:sz w:val="22"/>
          <w:szCs w:val="22"/>
        </w:rPr>
        <w:t>Não se aplica.</w:t>
      </w:r>
    </w:p>
    <w:p w14:paraId="3925A4D0">
      <w:pPr>
        <w:tabs>
          <w:tab w:val="left" w:pos="0"/>
        </w:tabs>
        <w:spacing w:before="240" w:after="240" w:line="360" w:lineRule="auto"/>
        <w:ind w:left="108"/>
        <w:jc w:val="both"/>
        <w:rPr>
          <w:rFonts w:ascii="Arial" w:hAnsi="Arial" w:cs="Arial"/>
          <w:b/>
          <w:bCs/>
          <w:sz w:val="22"/>
          <w:szCs w:val="22"/>
        </w:rPr>
      </w:pPr>
      <w:r>
        <w:rPr>
          <w:rFonts w:ascii="Arial" w:hAnsi="Arial" w:cs="Arial"/>
          <w:b/>
          <w:bCs/>
          <w:sz w:val="22"/>
          <w:szCs w:val="22"/>
        </w:rPr>
        <w:t>6.10. POSSIBILIDADE OU NÃO DE SUBCONTRATAÇÃO:</w:t>
      </w:r>
    </w:p>
    <w:p w14:paraId="74309414">
      <w:pPr>
        <w:pStyle w:val="127"/>
        <w:tabs>
          <w:tab w:val="left" w:pos="426"/>
        </w:tabs>
        <w:spacing w:before="240" w:after="240" w:line="360" w:lineRule="auto"/>
        <w:ind w:left="108"/>
        <w:contextualSpacing w:val="0"/>
        <w:jc w:val="both"/>
        <w:rPr>
          <w:rFonts w:ascii="Arial" w:hAnsi="Arial" w:cs="Arial"/>
          <w:sz w:val="22"/>
          <w:szCs w:val="22"/>
        </w:rPr>
      </w:pPr>
      <w:r>
        <w:rPr>
          <w:rFonts w:ascii="Arial" w:hAnsi="Arial" w:cs="Arial"/>
          <w:sz w:val="22"/>
          <w:szCs w:val="22"/>
        </w:rPr>
        <w:t>6.10.1 Será vedado</w:t>
      </w:r>
      <w:r>
        <w:rPr>
          <w:rFonts w:ascii="Arial" w:hAnsi="Arial" w:cs="Arial"/>
          <w:b/>
          <w:bCs/>
          <w:sz w:val="22"/>
          <w:szCs w:val="22"/>
        </w:rPr>
        <w:t xml:space="preserve"> </w:t>
      </w:r>
      <w:r>
        <w:rPr>
          <w:rFonts w:ascii="Arial" w:hAnsi="Arial" w:cs="Arial"/>
          <w:sz w:val="22"/>
          <w:szCs w:val="22"/>
        </w:rPr>
        <w:t>transferir a terceiros ou subcontratar as obrigações assumidas.</w:t>
      </w:r>
    </w:p>
    <w:p w14:paraId="06ADBF47">
      <w:pPr>
        <w:pStyle w:val="127"/>
        <w:tabs>
          <w:tab w:val="left" w:pos="426"/>
        </w:tabs>
        <w:spacing w:before="240" w:after="240" w:line="360" w:lineRule="auto"/>
        <w:ind w:left="108"/>
        <w:contextualSpacing w:val="0"/>
        <w:jc w:val="both"/>
        <w:rPr>
          <w:rFonts w:ascii="Arial" w:hAnsi="Arial" w:cs="Arial"/>
          <w:b/>
          <w:bCs/>
          <w:sz w:val="22"/>
          <w:szCs w:val="22"/>
        </w:rPr>
      </w:pPr>
      <w:r>
        <w:rPr>
          <w:rFonts w:ascii="Arial" w:hAnsi="Arial" w:cs="Arial"/>
          <w:b/>
          <w:bCs/>
          <w:sz w:val="22"/>
          <w:szCs w:val="22"/>
        </w:rPr>
        <w:t>6.11. POSSIBILIDADE DE PRORROGAÇÃO CONTRATUAL E REAJUSTE:</w:t>
      </w:r>
    </w:p>
    <w:p w14:paraId="406C4167">
      <w:pPr>
        <w:pStyle w:val="16"/>
        <w:spacing w:before="240" w:after="240" w:line="360" w:lineRule="auto"/>
        <w:ind w:left="108"/>
        <w:jc w:val="both"/>
        <w:rPr>
          <w:rFonts w:ascii="Arial" w:hAnsi="Arial" w:cs="Arial"/>
          <w:sz w:val="22"/>
          <w:szCs w:val="22"/>
        </w:rPr>
      </w:pPr>
      <w:r>
        <w:rPr>
          <w:rFonts w:ascii="Arial" w:hAnsi="Arial" w:cs="Arial"/>
          <w:sz w:val="22"/>
          <w:szCs w:val="22"/>
        </w:rPr>
        <w:t>6.11.1 Contrato</w:t>
      </w:r>
      <w:r>
        <w:rPr>
          <w:rFonts w:ascii="Arial" w:hAnsi="Arial" w:cs="Arial"/>
          <w:spacing w:val="-1"/>
          <w:sz w:val="22"/>
          <w:szCs w:val="22"/>
        </w:rPr>
        <w:t xml:space="preserve"> </w:t>
      </w:r>
      <w:r>
        <w:rPr>
          <w:rFonts w:ascii="Arial" w:hAnsi="Arial" w:cs="Arial"/>
          <w:sz w:val="22"/>
          <w:szCs w:val="22"/>
        </w:rPr>
        <w:t>com prazo de</w:t>
      </w:r>
      <w:r>
        <w:rPr>
          <w:rFonts w:ascii="Arial" w:hAnsi="Arial" w:cs="Arial"/>
          <w:spacing w:val="-2"/>
          <w:sz w:val="22"/>
          <w:szCs w:val="22"/>
        </w:rPr>
        <w:t xml:space="preserve"> </w:t>
      </w:r>
      <w:r>
        <w:rPr>
          <w:rFonts w:ascii="Arial" w:hAnsi="Arial" w:cs="Arial"/>
          <w:sz w:val="22"/>
          <w:szCs w:val="22"/>
        </w:rPr>
        <w:t>vigência de 12 (doze) meses, a contar da data</w:t>
      </w:r>
      <w:r>
        <w:rPr>
          <w:rFonts w:ascii="Arial" w:hAnsi="Arial" w:cs="Arial"/>
          <w:spacing w:val="-4"/>
          <w:sz w:val="22"/>
          <w:szCs w:val="22"/>
        </w:rPr>
        <w:t xml:space="preserve"> </w:t>
      </w:r>
      <w:r>
        <w:rPr>
          <w:rFonts w:ascii="Arial" w:hAnsi="Arial" w:cs="Arial"/>
          <w:sz w:val="22"/>
          <w:szCs w:val="22"/>
        </w:rPr>
        <w:t>de sua assinatura, podendo ser prorrogado</w:t>
      </w:r>
      <w:r>
        <w:rPr>
          <w:rFonts w:ascii="Arial" w:hAnsi="Arial" w:cs="Arial"/>
          <w:sz w:val="22"/>
          <w:szCs w:val="22"/>
          <w:lang w:val="pt-BR"/>
        </w:rPr>
        <w:t xml:space="preserve"> </w:t>
      </w:r>
      <w:r>
        <w:rPr>
          <w:rFonts w:ascii="Arial" w:hAnsi="Arial" w:cs="Arial"/>
          <w:sz w:val="22"/>
          <w:szCs w:val="22"/>
        </w:rPr>
        <w:t>conforme o Art.105 a 107 da Lei nº14.133/2021.</w:t>
      </w:r>
    </w:p>
    <w:p w14:paraId="6CB65415">
      <w:pPr>
        <w:pStyle w:val="127"/>
        <w:tabs>
          <w:tab w:val="left" w:pos="426"/>
        </w:tabs>
        <w:spacing w:before="240" w:after="240" w:line="360" w:lineRule="auto"/>
        <w:ind w:left="108"/>
        <w:contextualSpacing w:val="0"/>
        <w:jc w:val="both"/>
        <w:rPr>
          <w:rFonts w:ascii="Arial" w:hAnsi="Arial" w:cs="Arial"/>
          <w:b/>
          <w:sz w:val="22"/>
          <w:szCs w:val="22"/>
        </w:rPr>
      </w:pPr>
      <w:r>
        <w:rPr>
          <w:rFonts w:ascii="Arial" w:hAnsi="Arial" w:cs="Arial"/>
          <w:b/>
          <w:sz w:val="22"/>
          <w:szCs w:val="22"/>
        </w:rPr>
        <w:t>6.12. APLICAÇÃO DE SANÇÕES ADMINISTRATIVAS:</w:t>
      </w:r>
    </w:p>
    <w:p w14:paraId="29C4AB7B">
      <w:pPr>
        <w:pStyle w:val="127"/>
        <w:tabs>
          <w:tab w:val="left" w:pos="426"/>
        </w:tabs>
        <w:spacing w:before="240" w:after="240" w:line="360" w:lineRule="auto"/>
        <w:ind w:left="108"/>
        <w:contextualSpacing w:val="0"/>
        <w:jc w:val="both"/>
        <w:rPr>
          <w:rFonts w:ascii="Arial" w:hAnsi="Arial" w:cs="Arial"/>
          <w:bCs/>
          <w:sz w:val="22"/>
          <w:szCs w:val="22"/>
        </w:rPr>
      </w:pPr>
      <w:r>
        <w:rPr>
          <w:rFonts w:ascii="Arial" w:hAnsi="Arial" w:cs="Arial"/>
          <w:bCs/>
          <w:sz w:val="22"/>
          <w:szCs w:val="22"/>
        </w:rPr>
        <w:t>6.12.1. As sanções de que tratam este Termo de Referência são aquelas descritas nos Art. 155 a 163 da Lei 14.133/2021 e no Decreto 360/2023.</w:t>
      </w:r>
    </w:p>
    <w:p w14:paraId="78F35F47">
      <w:pPr>
        <w:pStyle w:val="127"/>
        <w:tabs>
          <w:tab w:val="left" w:pos="426"/>
        </w:tabs>
        <w:spacing w:before="240" w:after="240" w:line="360" w:lineRule="auto"/>
        <w:ind w:left="108"/>
        <w:contextualSpacing w:val="0"/>
        <w:jc w:val="both"/>
        <w:rPr>
          <w:rFonts w:ascii="Arial" w:hAnsi="Arial" w:cs="Arial"/>
          <w:b/>
          <w:sz w:val="22"/>
          <w:szCs w:val="22"/>
        </w:rPr>
      </w:pPr>
      <w:r>
        <w:rPr>
          <w:rFonts w:ascii="Arial" w:hAnsi="Arial" w:cs="Arial"/>
          <w:b/>
          <w:sz w:val="22"/>
          <w:szCs w:val="22"/>
        </w:rPr>
        <w:t>6.13. NECESSIDADE DE APRESENTAÇÃO DE RELATÓRIOS DE MANUTENÇÃO:</w:t>
      </w:r>
    </w:p>
    <w:p w14:paraId="4199E450">
      <w:pPr>
        <w:tabs>
          <w:tab w:val="left" w:pos="0"/>
        </w:tabs>
        <w:spacing w:before="240" w:after="240" w:line="360" w:lineRule="auto"/>
        <w:ind w:left="108"/>
        <w:jc w:val="both"/>
        <w:rPr>
          <w:rFonts w:ascii="Arial" w:hAnsi="Arial" w:cs="Arial"/>
          <w:sz w:val="22"/>
          <w:szCs w:val="22"/>
        </w:rPr>
      </w:pPr>
      <w:r>
        <w:rPr>
          <w:rFonts w:ascii="Arial" w:hAnsi="Arial" w:cs="Arial"/>
          <w:sz w:val="22"/>
          <w:szCs w:val="22"/>
        </w:rPr>
        <w:t>6.13.1 Não se aplica.</w:t>
      </w:r>
    </w:p>
    <w:p w14:paraId="7917431C">
      <w:pPr>
        <w:tabs>
          <w:tab w:val="left" w:pos="0"/>
        </w:tabs>
        <w:spacing w:before="240" w:after="240" w:line="360" w:lineRule="auto"/>
        <w:ind w:left="108"/>
        <w:jc w:val="both"/>
        <w:rPr>
          <w:rFonts w:ascii="Arial" w:hAnsi="Arial" w:cs="Arial"/>
          <w:b/>
          <w:bCs/>
          <w:sz w:val="22"/>
          <w:szCs w:val="22"/>
        </w:rPr>
      </w:pPr>
      <w:r>
        <w:rPr>
          <w:rFonts w:ascii="Arial" w:hAnsi="Arial" w:cs="Arial"/>
          <w:b/>
          <w:bCs/>
          <w:sz w:val="22"/>
          <w:szCs w:val="22"/>
        </w:rPr>
        <w:t>6.14. MOBILIZAÇÃO E DESMOBILIZAÇÃO DO CANTEIRO DE OBRAS (BARRACÃO, INSTALAÇÕES DE PONTOS DE ÁGUA, ENERGIA E ESGOTO):</w:t>
      </w:r>
    </w:p>
    <w:p w14:paraId="0C767AEB">
      <w:pPr>
        <w:tabs>
          <w:tab w:val="left" w:pos="0"/>
        </w:tabs>
        <w:spacing w:before="240" w:after="240" w:line="360" w:lineRule="auto"/>
        <w:ind w:left="108"/>
        <w:jc w:val="both"/>
        <w:rPr>
          <w:rFonts w:ascii="Arial" w:hAnsi="Arial" w:cs="Arial"/>
          <w:sz w:val="22"/>
          <w:szCs w:val="22"/>
        </w:rPr>
      </w:pPr>
      <w:r>
        <w:rPr>
          <w:rFonts w:ascii="Arial" w:hAnsi="Arial" w:cs="Arial"/>
          <w:sz w:val="22"/>
          <w:szCs w:val="22"/>
        </w:rPr>
        <w:t>6.14.1 Não se aplica.</w:t>
      </w:r>
    </w:p>
    <w:p w14:paraId="385632A8">
      <w:pPr>
        <w:tabs>
          <w:tab w:val="left" w:pos="0"/>
        </w:tabs>
        <w:spacing w:before="240" w:after="240" w:line="360" w:lineRule="auto"/>
        <w:ind w:left="108"/>
        <w:jc w:val="both"/>
        <w:rPr>
          <w:rFonts w:ascii="Arial" w:hAnsi="Arial" w:cs="Arial"/>
          <w:b/>
          <w:bCs/>
          <w:sz w:val="22"/>
          <w:szCs w:val="22"/>
        </w:rPr>
      </w:pPr>
      <w:r>
        <w:rPr>
          <w:rFonts w:ascii="Arial" w:hAnsi="Arial" w:cs="Arial"/>
          <w:b/>
          <w:bCs/>
          <w:sz w:val="22"/>
          <w:szCs w:val="22"/>
        </w:rPr>
        <w:t>6.15. LIMPEZA DOS LOCAIS DE INSTALAÇÃO E/OU REMOÇÃO DE ENTULHOS; EXIGÊNCIAS ESPECÍFICAS PARA O OBJETO A SER CONTRATADO:</w:t>
      </w:r>
    </w:p>
    <w:p w14:paraId="5DE23417">
      <w:pPr>
        <w:tabs>
          <w:tab w:val="left" w:pos="0"/>
        </w:tabs>
        <w:spacing w:before="240" w:after="240" w:line="360" w:lineRule="auto"/>
        <w:ind w:left="108"/>
        <w:jc w:val="both"/>
        <w:rPr>
          <w:rFonts w:ascii="Arial" w:hAnsi="Arial" w:cs="Arial"/>
          <w:sz w:val="22"/>
          <w:szCs w:val="22"/>
        </w:rPr>
      </w:pPr>
      <w:r>
        <w:rPr>
          <w:rFonts w:ascii="Arial" w:hAnsi="Arial" w:cs="Arial"/>
          <w:sz w:val="22"/>
          <w:szCs w:val="22"/>
        </w:rPr>
        <w:t>6.15.1 Não se aplica.</w:t>
      </w:r>
    </w:p>
    <w:p w14:paraId="49F5471F">
      <w:pPr>
        <w:tabs>
          <w:tab w:val="left" w:pos="0"/>
        </w:tabs>
        <w:spacing w:before="240" w:after="240" w:line="360" w:lineRule="auto"/>
        <w:ind w:left="108"/>
        <w:jc w:val="both"/>
        <w:rPr>
          <w:rFonts w:ascii="Arial" w:hAnsi="Arial" w:cs="Arial"/>
          <w:b/>
          <w:bCs/>
          <w:sz w:val="22"/>
          <w:szCs w:val="22"/>
        </w:rPr>
      </w:pPr>
      <w:r>
        <w:rPr>
          <w:rFonts w:ascii="Arial" w:hAnsi="Arial" w:cs="Arial"/>
          <w:b/>
          <w:bCs/>
          <w:sz w:val="22"/>
          <w:szCs w:val="22"/>
        </w:rPr>
        <w:t>6.16. NECESSIDADE DE DISPONIBILIZAÇÃO DE SAC E INDICAÇÃO DO NÚMERO PARA ATENDIMENTO COMERCIAL:</w:t>
      </w:r>
    </w:p>
    <w:p w14:paraId="61B65843">
      <w:pPr>
        <w:spacing w:before="240" w:after="240" w:line="360" w:lineRule="auto"/>
        <w:ind w:left="108"/>
        <w:jc w:val="both"/>
        <w:rPr>
          <w:rFonts w:ascii="Arial" w:hAnsi="Arial" w:cs="Arial"/>
          <w:sz w:val="22"/>
          <w:szCs w:val="22"/>
        </w:rPr>
      </w:pPr>
      <w:r>
        <w:rPr>
          <w:rFonts w:ascii="Arial" w:hAnsi="Arial" w:cs="Arial"/>
          <w:sz w:val="22"/>
          <w:szCs w:val="22"/>
        </w:rPr>
        <w:t>6.16.1 Não se aplica.</w:t>
      </w:r>
    </w:p>
    <w:p w14:paraId="2B64E0AD">
      <w:pPr>
        <w:tabs>
          <w:tab w:val="left" w:pos="0"/>
        </w:tabs>
        <w:spacing w:before="240" w:after="240" w:line="360" w:lineRule="auto"/>
        <w:ind w:left="108"/>
        <w:jc w:val="both"/>
        <w:rPr>
          <w:rFonts w:ascii="Arial" w:hAnsi="Arial" w:cs="Arial"/>
          <w:b/>
          <w:bCs/>
          <w:sz w:val="22"/>
          <w:szCs w:val="22"/>
        </w:rPr>
      </w:pPr>
      <w:r>
        <w:rPr>
          <w:rFonts w:ascii="Arial" w:hAnsi="Arial" w:cs="Arial"/>
          <w:b/>
          <w:bCs/>
          <w:sz w:val="22"/>
          <w:szCs w:val="22"/>
        </w:rPr>
        <w:t>6.17. POSSIBILIDADE DE SUPORTE TÉCNICO REMOTO OU PELO SITE ELETRÔNICO, BEM COMO O PRAZO PARA ATENDIMENTO, FORMA DE ATENDIMENTO (0-800, E-MAIL, ETC.), PRAZO E FORMA PARA A SOLUÇÃO DO PROBLEMA, SUBSTITUIÇÃO DO EQUIPAMENTO DEFEITUOSO:</w:t>
      </w:r>
    </w:p>
    <w:p w14:paraId="580C1A9F">
      <w:pPr>
        <w:tabs>
          <w:tab w:val="left" w:pos="0"/>
          <w:tab w:val="left" w:pos="600"/>
        </w:tabs>
        <w:spacing w:before="240" w:after="240" w:line="360" w:lineRule="auto"/>
        <w:ind w:left="108"/>
        <w:jc w:val="both"/>
        <w:rPr>
          <w:rFonts w:ascii="Arial" w:hAnsi="Arial" w:cs="Arial"/>
          <w:sz w:val="22"/>
          <w:szCs w:val="22"/>
        </w:rPr>
      </w:pPr>
      <w:r>
        <w:rPr>
          <w:rFonts w:ascii="Arial" w:hAnsi="Arial" w:cs="Arial"/>
          <w:sz w:val="22"/>
          <w:szCs w:val="22"/>
        </w:rPr>
        <w:t>6.17.1 Não se aplica.</w:t>
      </w:r>
    </w:p>
    <w:p w14:paraId="6B1DD01F">
      <w:pPr>
        <w:spacing w:before="240" w:after="240" w:line="360" w:lineRule="auto"/>
        <w:ind w:left="108"/>
        <w:jc w:val="both"/>
        <w:rPr>
          <w:rFonts w:ascii="Arial" w:hAnsi="Arial" w:eastAsia="Calibri" w:cs="Arial"/>
          <w:b/>
          <w:bCs/>
          <w:sz w:val="22"/>
          <w:szCs w:val="22"/>
        </w:rPr>
      </w:pPr>
      <w:r>
        <w:rPr>
          <w:rFonts w:ascii="Arial" w:hAnsi="Arial" w:eastAsia="Calibri" w:cs="Arial"/>
          <w:b/>
          <w:bCs/>
          <w:sz w:val="22"/>
          <w:szCs w:val="22"/>
        </w:rPr>
        <w:t>6.18 DAS CONDIÇÕES PARA PARTICIPAÇÃO DE EMPRESAS E CONSÓRCIO:</w:t>
      </w:r>
    </w:p>
    <w:p w14:paraId="71C61504">
      <w:pPr>
        <w:tabs>
          <w:tab w:val="left" w:pos="2410"/>
        </w:tabs>
        <w:spacing w:before="240" w:after="240" w:line="360" w:lineRule="auto"/>
        <w:ind w:left="108"/>
        <w:jc w:val="both"/>
        <w:rPr>
          <w:rFonts w:ascii="Arial" w:hAnsi="Arial" w:eastAsia="Calibri" w:cs="Arial"/>
          <w:color w:val="000000"/>
          <w:sz w:val="22"/>
          <w:szCs w:val="22"/>
        </w:rPr>
      </w:pPr>
      <w:r>
        <w:rPr>
          <w:rFonts w:ascii="Arial" w:hAnsi="Arial" w:eastAsia="Calibri" w:cs="Arial"/>
          <w:b/>
          <w:sz w:val="22"/>
          <w:szCs w:val="22"/>
        </w:rPr>
        <w:t>6.18.1.</w:t>
      </w:r>
      <w:r>
        <w:rPr>
          <w:rFonts w:ascii="Arial" w:hAnsi="Arial" w:eastAsia="Calibri" w:cs="Arial"/>
          <w:sz w:val="22"/>
          <w:szCs w:val="22"/>
        </w:rPr>
        <w:t xml:space="preserve"> </w:t>
      </w:r>
      <w:r>
        <w:rPr>
          <w:rFonts w:ascii="Arial" w:hAnsi="Arial" w:eastAsia="Calibri" w:cs="Arial"/>
          <w:color w:val="000000"/>
          <w:sz w:val="22"/>
          <w:szCs w:val="22"/>
        </w:rPr>
        <w:t>Poderão participar deste processo</w:t>
      </w:r>
      <w:r>
        <w:rPr>
          <w:rFonts w:ascii="Arial" w:hAnsi="Arial" w:eastAsia="Calibri" w:cs="Arial"/>
          <w:sz w:val="22"/>
          <w:szCs w:val="22"/>
        </w:rPr>
        <w:t xml:space="preserve"> quaisquer empresas interessadas que se enquadrem no ramo de atividade pertinente ao objeto da dispensa de licitação</w:t>
      </w:r>
      <w:r>
        <w:rPr>
          <w:rFonts w:ascii="Arial" w:hAnsi="Arial" w:eastAsia="Calibri" w:cs="Arial"/>
          <w:color w:val="000000"/>
          <w:sz w:val="22"/>
          <w:szCs w:val="22"/>
        </w:rPr>
        <w:t xml:space="preserve"> e que atenderem a todas as exigências, inclusive quanto à documentação.</w:t>
      </w:r>
    </w:p>
    <w:p w14:paraId="5721400D">
      <w:pPr>
        <w:spacing w:before="240" w:after="240" w:line="360" w:lineRule="auto"/>
        <w:ind w:left="108"/>
        <w:jc w:val="both"/>
        <w:rPr>
          <w:rFonts w:ascii="Arial" w:hAnsi="Arial" w:eastAsia="Calibri" w:cs="Arial"/>
          <w:bCs/>
          <w:color w:val="000000"/>
          <w:sz w:val="22"/>
          <w:szCs w:val="22"/>
        </w:rPr>
      </w:pPr>
      <w:r>
        <w:rPr>
          <w:rFonts w:ascii="Arial" w:hAnsi="Arial" w:eastAsia="Calibri" w:cs="Arial"/>
          <w:b/>
          <w:sz w:val="22"/>
          <w:szCs w:val="22"/>
        </w:rPr>
        <w:t>6.18.2.</w:t>
      </w:r>
      <w:r>
        <w:rPr>
          <w:rFonts w:ascii="Arial" w:hAnsi="Arial" w:eastAsia="Calibri" w:cs="Arial"/>
          <w:bCs/>
          <w:sz w:val="22"/>
          <w:szCs w:val="22"/>
        </w:rPr>
        <w:t xml:space="preserve"> </w:t>
      </w:r>
      <w:r>
        <w:rPr>
          <w:rFonts w:ascii="Arial" w:hAnsi="Arial" w:eastAsia="Calibri" w:cs="Arial"/>
          <w:bCs/>
          <w:color w:val="000000"/>
          <w:sz w:val="22"/>
          <w:szCs w:val="22"/>
        </w:rPr>
        <w:t>Não poderão participar deste processo:</w:t>
      </w:r>
    </w:p>
    <w:p w14:paraId="31A30778">
      <w:pPr>
        <w:tabs>
          <w:tab w:val="left" w:pos="1134"/>
        </w:tabs>
        <w:spacing w:before="240" w:after="240" w:line="360" w:lineRule="auto"/>
        <w:ind w:left="357"/>
        <w:jc w:val="both"/>
        <w:rPr>
          <w:rFonts w:ascii="Arial" w:hAnsi="Arial" w:eastAsia="Calibri" w:cs="Arial"/>
          <w:bCs/>
          <w:color w:val="000000"/>
          <w:sz w:val="22"/>
          <w:szCs w:val="22"/>
        </w:rPr>
      </w:pPr>
      <w:r>
        <w:rPr>
          <w:rFonts w:ascii="Arial" w:hAnsi="Arial" w:eastAsia="Calibri" w:cs="Arial"/>
          <w:bCs/>
          <w:color w:val="000000"/>
          <w:sz w:val="22"/>
          <w:szCs w:val="22"/>
        </w:rPr>
        <w:t>6.18.2.1. Empresas que não atenderem às condições do Edital e seus Anexos;</w:t>
      </w:r>
    </w:p>
    <w:p w14:paraId="56624AC7">
      <w:pPr>
        <w:tabs>
          <w:tab w:val="left" w:pos="1134"/>
        </w:tabs>
        <w:spacing w:before="240" w:after="240" w:line="360" w:lineRule="auto"/>
        <w:ind w:left="357"/>
        <w:jc w:val="both"/>
        <w:rPr>
          <w:rFonts w:ascii="Arial" w:hAnsi="Arial" w:eastAsia="Calibri" w:cs="Arial"/>
          <w:bCs/>
          <w:color w:val="000000"/>
          <w:sz w:val="22"/>
          <w:szCs w:val="22"/>
        </w:rPr>
      </w:pPr>
      <w:r>
        <w:rPr>
          <w:rFonts w:ascii="Arial" w:hAnsi="Arial" w:eastAsia="Calibri" w:cs="Arial"/>
          <w:bCs/>
          <w:color w:val="000000"/>
          <w:sz w:val="22"/>
          <w:szCs w:val="22"/>
        </w:rPr>
        <w:t>6.18.2.2. Empresas que estejam em processo de falência ou concordata, sob concurso de credores, em dissolução ou em liquidação;</w:t>
      </w:r>
    </w:p>
    <w:p w14:paraId="13DB9960">
      <w:pPr>
        <w:spacing w:before="240" w:after="240" w:line="360" w:lineRule="auto"/>
        <w:ind w:left="357"/>
        <w:jc w:val="both"/>
        <w:rPr>
          <w:rFonts w:ascii="Arial" w:hAnsi="Arial" w:eastAsia="Times New Roman" w:cs="Arial"/>
          <w:bCs/>
          <w:color w:val="000000"/>
          <w:sz w:val="22"/>
          <w:szCs w:val="22"/>
        </w:rPr>
      </w:pPr>
      <w:r>
        <w:rPr>
          <w:rFonts w:ascii="Arial" w:hAnsi="Arial" w:eastAsia="Times New Roman" w:cs="Arial"/>
          <w:bCs/>
          <w:color w:val="000000"/>
          <w:sz w:val="22"/>
          <w:szCs w:val="22"/>
        </w:rPr>
        <w:t xml:space="preserve">6.18.2.3. Pessoa física ou jurídica que se encontre, ao tempo da </w:t>
      </w:r>
      <w:r>
        <w:rPr>
          <w:rFonts w:ascii="Arial" w:hAnsi="Arial" w:eastAsia="Calibri" w:cs="Arial"/>
          <w:sz w:val="22"/>
          <w:szCs w:val="22"/>
        </w:rPr>
        <w:t xml:space="preserve">dispensa de </w:t>
      </w:r>
      <w:r>
        <w:rPr>
          <w:rFonts w:ascii="Arial" w:hAnsi="Arial" w:eastAsia="Times New Roman" w:cs="Arial"/>
          <w:bCs/>
          <w:color w:val="000000"/>
          <w:sz w:val="22"/>
          <w:szCs w:val="22"/>
        </w:rPr>
        <w:t xml:space="preserve">licitação, impossibilitada de participar da </w:t>
      </w:r>
      <w:r>
        <w:rPr>
          <w:rFonts w:ascii="Arial" w:hAnsi="Arial" w:eastAsia="Calibri" w:cs="Arial"/>
          <w:sz w:val="22"/>
          <w:szCs w:val="22"/>
        </w:rPr>
        <w:t xml:space="preserve">dispensa de </w:t>
      </w:r>
      <w:r>
        <w:rPr>
          <w:rFonts w:ascii="Arial" w:hAnsi="Arial" w:eastAsia="Times New Roman" w:cs="Arial"/>
          <w:bCs/>
          <w:color w:val="000000"/>
          <w:sz w:val="22"/>
          <w:szCs w:val="22"/>
        </w:rPr>
        <w:t>licitação em decorrência de sanção que lhe foi imposta;</w:t>
      </w:r>
    </w:p>
    <w:p w14:paraId="6A97AC9F">
      <w:pPr>
        <w:tabs>
          <w:tab w:val="left" w:pos="1134"/>
        </w:tabs>
        <w:spacing w:before="240" w:after="240" w:line="360" w:lineRule="auto"/>
        <w:ind w:left="357"/>
        <w:jc w:val="both"/>
        <w:rPr>
          <w:rFonts w:ascii="Arial" w:hAnsi="Arial" w:eastAsia="Calibri" w:cs="Arial"/>
          <w:bCs/>
          <w:color w:val="000000"/>
          <w:sz w:val="22"/>
          <w:szCs w:val="22"/>
        </w:rPr>
      </w:pPr>
      <w:r>
        <w:rPr>
          <w:rFonts w:ascii="Arial" w:hAnsi="Arial" w:eastAsia="Calibri" w:cs="Arial"/>
          <w:bCs/>
          <w:color w:val="000000"/>
          <w:sz w:val="22"/>
          <w:szCs w:val="22"/>
        </w:rPr>
        <w:t>6.18.2.4. Empresas inadimplentes em obrigações assumidas com a Prefeitura Municipal de Sinop/MT;</w:t>
      </w:r>
    </w:p>
    <w:p w14:paraId="57C64B2B">
      <w:pPr>
        <w:tabs>
          <w:tab w:val="left" w:pos="1134"/>
        </w:tabs>
        <w:spacing w:before="240" w:after="240" w:line="360" w:lineRule="auto"/>
        <w:ind w:left="357"/>
        <w:jc w:val="both"/>
        <w:rPr>
          <w:rFonts w:ascii="Arial" w:hAnsi="Arial" w:eastAsia="Calibri" w:cs="Arial"/>
          <w:bCs/>
          <w:color w:val="000000"/>
          <w:sz w:val="22"/>
          <w:szCs w:val="22"/>
        </w:rPr>
      </w:pPr>
      <w:r>
        <w:rPr>
          <w:rFonts w:ascii="Arial" w:hAnsi="Arial" w:eastAsia="Calibri" w:cs="Arial"/>
          <w:bCs/>
          <w:color w:val="000000"/>
          <w:sz w:val="22"/>
          <w:szCs w:val="22"/>
        </w:rPr>
        <w:t xml:space="preserve">6.18.2.5. Empresas cujo objeto social não seja pertinente e compatível com o objeto desta </w:t>
      </w:r>
      <w:r>
        <w:rPr>
          <w:rFonts w:ascii="Arial" w:hAnsi="Arial" w:eastAsia="Calibri" w:cs="Arial"/>
          <w:sz w:val="22"/>
          <w:szCs w:val="22"/>
        </w:rPr>
        <w:t>dispensa de</w:t>
      </w:r>
      <w:r>
        <w:rPr>
          <w:rFonts w:ascii="Arial" w:hAnsi="Arial" w:eastAsia="Calibri" w:cs="Arial"/>
          <w:bCs/>
          <w:color w:val="000000"/>
          <w:sz w:val="22"/>
          <w:szCs w:val="22"/>
        </w:rPr>
        <w:t xml:space="preserve"> licitação;</w:t>
      </w:r>
    </w:p>
    <w:p w14:paraId="6D3E90AD">
      <w:pPr>
        <w:spacing w:before="240" w:after="240" w:line="360" w:lineRule="auto"/>
        <w:ind w:left="357"/>
        <w:jc w:val="both"/>
        <w:rPr>
          <w:rFonts w:ascii="Arial" w:hAnsi="Arial" w:eastAsia="Times New Roman" w:cs="Arial"/>
          <w:bCs/>
          <w:color w:val="000000"/>
          <w:sz w:val="22"/>
          <w:szCs w:val="22"/>
        </w:rPr>
      </w:pPr>
      <w:r>
        <w:rPr>
          <w:rFonts w:ascii="Arial" w:hAnsi="Arial" w:eastAsia="Times New Roman" w:cs="Arial"/>
          <w:bCs/>
          <w:color w:val="000000"/>
          <w:sz w:val="22"/>
          <w:szCs w:val="22"/>
        </w:rPr>
        <w:t xml:space="preserve">6.18.2.6. Aquele que mantenha vínculo de natureza técnica, comercial, econômica, financeira, trabalhista ou civil com dirigente do órgão ou entidade contratante ou com agente público que desempenhe função na </w:t>
      </w:r>
      <w:r>
        <w:rPr>
          <w:rFonts w:ascii="Arial" w:hAnsi="Arial" w:eastAsia="Calibri" w:cs="Arial"/>
          <w:sz w:val="22"/>
          <w:szCs w:val="22"/>
        </w:rPr>
        <w:t xml:space="preserve">dispensa de </w:t>
      </w:r>
      <w:r>
        <w:rPr>
          <w:rFonts w:ascii="Arial" w:hAnsi="Arial" w:eastAsia="Times New Roman" w:cs="Arial"/>
          <w:bCs/>
          <w:color w:val="000000"/>
          <w:sz w:val="22"/>
          <w:szCs w:val="22"/>
        </w:rPr>
        <w:t>licitação ou atue na fiscalização ou na gestão do contrato, ou que deles seja cônjuge, companheiro ou parente em linha reta, colateral ou por afinidade, até o terceiro grau;</w:t>
      </w:r>
    </w:p>
    <w:p w14:paraId="144137CF">
      <w:pPr>
        <w:tabs>
          <w:tab w:val="left" w:pos="993"/>
          <w:tab w:val="left" w:pos="1134"/>
        </w:tabs>
        <w:spacing w:before="240" w:after="240" w:line="360" w:lineRule="auto"/>
        <w:ind w:left="357"/>
        <w:jc w:val="both"/>
        <w:rPr>
          <w:rFonts w:ascii="Arial" w:hAnsi="Arial" w:eastAsia="Calibri" w:cs="Arial"/>
          <w:bCs/>
          <w:color w:val="000000"/>
          <w:sz w:val="22"/>
          <w:szCs w:val="22"/>
        </w:rPr>
      </w:pPr>
      <w:r>
        <w:rPr>
          <w:rFonts w:ascii="Arial" w:hAnsi="Arial" w:eastAsia="Calibri" w:cs="Arial"/>
          <w:bCs/>
          <w:color w:val="000000"/>
          <w:sz w:val="22"/>
          <w:szCs w:val="22"/>
        </w:rPr>
        <w:t>6.18.2.7. Empresas estrangeiras não autorizadas a funcionar no país;</w:t>
      </w:r>
    </w:p>
    <w:p w14:paraId="2506B686">
      <w:pPr>
        <w:tabs>
          <w:tab w:val="left" w:pos="1134"/>
        </w:tabs>
        <w:spacing w:before="240" w:after="240" w:line="360" w:lineRule="auto"/>
        <w:ind w:left="357"/>
        <w:jc w:val="both"/>
        <w:rPr>
          <w:rFonts w:ascii="Arial" w:hAnsi="Arial" w:eastAsia="Calibri" w:cs="Arial"/>
          <w:bCs/>
          <w:sz w:val="22"/>
          <w:szCs w:val="22"/>
        </w:rPr>
      </w:pPr>
      <w:r>
        <w:rPr>
          <w:rFonts w:ascii="Arial" w:hAnsi="Arial" w:eastAsia="Calibri" w:cs="Arial"/>
          <w:bCs/>
          <w:sz w:val="22"/>
          <w:szCs w:val="22"/>
        </w:rPr>
        <w:t>6.18.2.8. 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0D95009C">
      <w:pPr>
        <w:tabs>
          <w:tab w:val="left" w:pos="1200"/>
        </w:tabs>
        <w:spacing w:before="240" w:after="240" w:line="360" w:lineRule="auto"/>
        <w:ind w:left="357"/>
        <w:jc w:val="both"/>
        <w:rPr>
          <w:rFonts w:ascii="Arial" w:hAnsi="Arial" w:eastAsia="Times New Roman" w:cs="Arial"/>
          <w:bCs/>
          <w:color w:val="000000"/>
          <w:sz w:val="22"/>
          <w:szCs w:val="22"/>
        </w:rPr>
      </w:pPr>
      <w:r>
        <w:rPr>
          <w:rFonts w:ascii="Arial" w:hAnsi="Arial" w:eastAsia="Times New Roman" w:cs="Arial"/>
          <w:bCs/>
          <w:color w:val="000000"/>
          <w:sz w:val="22"/>
          <w:szCs w:val="22"/>
        </w:rPr>
        <w:t xml:space="preserve">6.18.2.9. Autor do anteprojeto, do projeto básico ou do projeto executivo, pessoa física ou jurídica, quando a </w:t>
      </w:r>
      <w:r>
        <w:rPr>
          <w:rFonts w:ascii="Arial" w:hAnsi="Arial" w:eastAsia="Calibri" w:cs="Arial"/>
          <w:sz w:val="22"/>
          <w:szCs w:val="22"/>
        </w:rPr>
        <w:t>dispensa de</w:t>
      </w:r>
      <w:r>
        <w:rPr>
          <w:rFonts w:ascii="Arial" w:hAnsi="Arial" w:eastAsia="Times New Roman" w:cs="Arial"/>
          <w:bCs/>
          <w:color w:val="000000"/>
          <w:sz w:val="22"/>
          <w:szCs w:val="22"/>
        </w:rPr>
        <w:t xml:space="preserve"> licitação versar sobre serviços ou fornecimento de bens a ele relacionados;</w:t>
      </w:r>
    </w:p>
    <w:p w14:paraId="2845108E">
      <w:pPr>
        <w:spacing w:before="240" w:after="240" w:line="360" w:lineRule="auto"/>
        <w:ind w:left="357"/>
        <w:jc w:val="both"/>
        <w:rPr>
          <w:rFonts w:ascii="Arial" w:hAnsi="Arial" w:eastAsia="Times New Roman" w:cs="Arial"/>
          <w:bCs/>
          <w:color w:val="000000"/>
          <w:sz w:val="22"/>
          <w:szCs w:val="22"/>
        </w:rPr>
      </w:pPr>
      <w:r>
        <w:rPr>
          <w:rFonts w:ascii="Arial" w:hAnsi="Arial" w:eastAsia="Times New Roman" w:cs="Arial"/>
          <w:bCs/>
          <w:color w:val="000000"/>
          <w:sz w:val="22"/>
          <w:szCs w:val="22"/>
        </w:rPr>
        <w:t xml:space="preserve">6.18.2.10.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Pr>
          <w:rFonts w:ascii="Arial" w:hAnsi="Arial" w:eastAsia="Calibri" w:cs="Arial"/>
          <w:sz w:val="22"/>
          <w:szCs w:val="22"/>
        </w:rPr>
        <w:t xml:space="preserve">dispensa de </w:t>
      </w:r>
      <w:r>
        <w:rPr>
          <w:rFonts w:ascii="Arial" w:hAnsi="Arial" w:eastAsia="Times New Roman" w:cs="Arial"/>
          <w:bCs/>
          <w:color w:val="000000"/>
          <w:sz w:val="22"/>
          <w:szCs w:val="22"/>
        </w:rPr>
        <w:t xml:space="preserve">licitação versar sobre serviços ou fornecimento de bens a ela necessários; </w:t>
      </w:r>
    </w:p>
    <w:p w14:paraId="7C98CDAE">
      <w:pPr>
        <w:spacing w:before="240" w:after="240" w:line="360" w:lineRule="auto"/>
        <w:ind w:left="357"/>
        <w:jc w:val="both"/>
        <w:rPr>
          <w:rFonts w:ascii="Arial" w:hAnsi="Arial" w:eastAsia="Times New Roman" w:cs="Arial"/>
          <w:bCs/>
          <w:color w:val="000000"/>
          <w:sz w:val="22"/>
          <w:szCs w:val="22"/>
        </w:rPr>
      </w:pPr>
      <w:r>
        <w:rPr>
          <w:rFonts w:ascii="Arial" w:hAnsi="Arial" w:eastAsia="Times New Roman" w:cs="Arial"/>
          <w:bCs/>
          <w:color w:val="000000"/>
          <w:sz w:val="22"/>
          <w:szCs w:val="22"/>
        </w:rPr>
        <w:t>6.18.2.11. Empresas controladoras, controladas ou coligadas, nos termos da Lei nº 6.404/1976, concorrendo entre si;</w:t>
      </w:r>
    </w:p>
    <w:p w14:paraId="0D1791F6">
      <w:pPr>
        <w:spacing w:before="240" w:after="240" w:line="360" w:lineRule="auto"/>
        <w:ind w:left="357"/>
        <w:jc w:val="both"/>
        <w:rPr>
          <w:rFonts w:ascii="Arial" w:hAnsi="Arial" w:eastAsia="Times New Roman" w:cs="Arial"/>
          <w:bCs/>
          <w:color w:val="000000"/>
          <w:sz w:val="22"/>
          <w:szCs w:val="22"/>
        </w:rPr>
      </w:pPr>
      <w:r>
        <w:rPr>
          <w:rFonts w:ascii="Arial" w:hAnsi="Arial" w:eastAsia="Times New Roman" w:cs="Arial"/>
          <w:bCs/>
          <w:color w:val="000000"/>
          <w:sz w:val="22"/>
          <w:szCs w:val="22"/>
        </w:rPr>
        <w:t>6.18.2.12.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C4746AF">
      <w:pPr>
        <w:spacing w:before="240" w:after="240" w:line="360" w:lineRule="auto"/>
        <w:ind w:left="357"/>
        <w:jc w:val="both"/>
        <w:rPr>
          <w:rFonts w:ascii="Arial" w:hAnsi="Arial" w:eastAsia="Times New Roman" w:cs="Arial"/>
          <w:bCs/>
          <w:color w:val="000000"/>
          <w:sz w:val="22"/>
          <w:szCs w:val="22"/>
        </w:rPr>
      </w:pPr>
      <w:r>
        <w:rPr>
          <w:rFonts w:ascii="Arial" w:hAnsi="Arial" w:eastAsia="Times New Roman" w:cs="Arial"/>
          <w:bCs/>
          <w:color w:val="000000"/>
          <w:sz w:val="22"/>
          <w:szCs w:val="22"/>
        </w:rPr>
        <w:t>6.18.2.13. Agente público do órgão ou entidade licitante;</w:t>
      </w:r>
    </w:p>
    <w:p w14:paraId="356F89E2">
      <w:pPr>
        <w:spacing w:before="240" w:after="240" w:line="360" w:lineRule="auto"/>
        <w:ind w:left="357"/>
        <w:jc w:val="both"/>
        <w:rPr>
          <w:rFonts w:ascii="Arial" w:hAnsi="Arial" w:eastAsia="Times New Roman" w:cs="Arial"/>
          <w:bCs/>
          <w:color w:val="000000"/>
          <w:sz w:val="22"/>
          <w:szCs w:val="22"/>
        </w:rPr>
      </w:pPr>
      <w:r>
        <w:rPr>
          <w:rFonts w:ascii="Arial" w:hAnsi="Arial" w:eastAsia="Times New Roman" w:cs="Arial"/>
          <w:bCs/>
          <w:color w:val="000000"/>
          <w:sz w:val="22"/>
          <w:szCs w:val="22"/>
        </w:rPr>
        <w:t>6.18.2.14. Organizações da Sociedade Civil de Interesse Público - OSCIP, atuando nessa condição;</w:t>
      </w:r>
    </w:p>
    <w:p w14:paraId="13096292">
      <w:pPr>
        <w:spacing w:before="240" w:after="240" w:line="360" w:lineRule="auto"/>
        <w:ind w:left="357"/>
        <w:jc w:val="both"/>
        <w:rPr>
          <w:rFonts w:ascii="Arial" w:hAnsi="Arial" w:eastAsia="Times New Roman" w:cs="Arial"/>
          <w:bCs/>
          <w:sz w:val="22"/>
          <w:szCs w:val="22"/>
        </w:rPr>
      </w:pPr>
      <w:r>
        <w:rPr>
          <w:rFonts w:ascii="Arial" w:hAnsi="Arial" w:eastAsia="Times New Roman" w:cs="Arial"/>
          <w:bCs/>
          <w:color w:val="000000"/>
          <w:sz w:val="22"/>
          <w:szCs w:val="22"/>
        </w:rPr>
        <w:t xml:space="preserve">6.18.2.15. Não poderá participar, direta ou indiretamente, da </w:t>
      </w:r>
      <w:r>
        <w:rPr>
          <w:rFonts w:ascii="Arial" w:hAnsi="Arial" w:eastAsia="Calibri" w:cs="Arial"/>
          <w:sz w:val="22"/>
          <w:szCs w:val="22"/>
        </w:rPr>
        <w:t>dispensa de</w:t>
      </w:r>
      <w:r>
        <w:rPr>
          <w:rFonts w:ascii="Arial" w:hAnsi="Arial" w:eastAsia="Times New Roman" w:cs="Arial"/>
          <w:bCs/>
          <w:color w:val="000000"/>
          <w:sz w:val="22"/>
          <w:szCs w:val="22"/>
        </w:rPr>
        <w:t xml:space="preserve"> licitação ou da execução </w:t>
      </w:r>
      <w:r>
        <w:rPr>
          <w:rFonts w:ascii="Arial" w:hAnsi="Arial" w:eastAsia="Times New Roman" w:cs="Arial"/>
          <w:bCs/>
          <w:sz w:val="22"/>
          <w:szCs w:val="22"/>
        </w:rPr>
        <w:t>do contrato,</w:t>
      </w:r>
      <w:r>
        <w:rPr>
          <w:rFonts w:ascii="Arial" w:hAnsi="Arial" w:eastAsia="Times New Roman" w:cs="Arial"/>
          <w:bCs/>
          <w:color w:val="000000"/>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sz w:val="22"/>
          <w:szCs w:val="22"/>
        </w:rPr>
        <w:fldChar w:fldCharType="begin"/>
      </w:r>
      <w:r>
        <w:rPr>
          <w:sz w:val="22"/>
          <w:szCs w:val="22"/>
        </w:rPr>
        <w:instrText xml:space="preserve"> HYPERLINK "http://www.planalto.gov.br/ccivil_03/_ato2019-2022/2021/lei/L14133.htm" \l "art9§1" </w:instrText>
      </w:r>
      <w:r>
        <w:rPr>
          <w:sz w:val="22"/>
          <w:szCs w:val="22"/>
        </w:rPr>
        <w:fldChar w:fldCharType="separate"/>
      </w:r>
      <w:r>
        <w:rPr>
          <w:rFonts w:ascii="Arial" w:hAnsi="Arial" w:eastAsia="Trebuchet MS" w:cs="Arial"/>
          <w:bCs/>
          <w:sz w:val="22"/>
          <w:szCs w:val="22"/>
          <w:u w:val="single"/>
        </w:rPr>
        <w:t>§ 1º do art. 9º da Lei Federal nº 14.133/2021</w:t>
      </w:r>
      <w:r>
        <w:rPr>
          <w:rFonts w:ascii="Arial" w:hAnsi="Arial" w:eastAsia="Trebuchet MS" w:cs="Arial"/>
          <w:bCs/>
          <w:sz w:val="22"/>
          <w:szCs w:val="22"/>
          <w:u w:val="single"/>
        </w:rPr>
        <w:fldChar w:fldCharType="end"/>
      </w:r>
      <w:r>
        <w:rPr>
          <w:rFonts w:ascii="Arial" w:hAnsi="Arial" w:eastAsia="Times New Roman" w:cs="Arial"/>
          <w:bCs/>
          <w:sz w:val="22"/>
          <w:szCs w:val="22"/>
        </w:rPr>
        <w:t>.</w:t>
      </w:r>
    </w:p>
    <w:p w14:paraId="6A1728BE">
      <w:pPr>
        <w:tabs>
          <w:tab w:val="left" w:pos="480"/>
        </w:tabs>
        <w:spacing w:before="240" w:after="240" w:line="360" w:lineRule="auto"/>
        <w:ind w:left="108"/>
        <w:jc w:val="both"/>
        <w:rPr>
          <w:rFonts w:ascii="Arial" w:hAnsi="Arial" w:eastAsia="Times New Roman" w:cs="Arial"/>
          <w:color w:val="000000"/>
          <w:sz w:val="22"/>
          <w:szCs w:val="22"/>
        </w:rPr>
      </w:pPr>
      <w:r>
        <w:rPr>
          <w:rFonts w:ascii="Arial" w:hAnsi="Arial" w:eastAsia="Times New Roman" w:cs="Arial"/>
          <w:b/>
          <w:bCs/>
          <w:color w:val="000000"/>
          <w:sz w:val="22"/>
          <w:szCs w:val="22"/>
        </w:rPr>
        <w:t>6.18.3.</w:t>
      </w:r>
      <w:r>
        <w:rPr>
          <w:rFonts w:ascii="Arial" w:hAnsi="Arial" w:eastAsia="Times New Roman" w:cs="Arial"/>
          <w:color w:val="000000"/>
          <w:sz w:val="22"/>
          <w:szCs w:val="22"/>
        </w:rPr>
        <w:t xml:space="preserve"> O impedimento de que trata o item 6.18.2.3.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582F996">
      <w:pPr>
        <w:tabs>
          <w:tab w:val="left" w:pos="480"/>
        </w:tabs>
        <w:spacing w:before="240" w:after="240" w:line="360" w:lineRule="auto"/>
        <w:ind w:left="108"/>
        <w:jc w:val="both"/>
        <w:rPr>
          <w:rFonts w:ascii="Arial" w:hAnsi="Arial" w:eastAsia="Times New Roman" w:cs="Arial"/>
          <w:color w:val="000000"/>
          <w:sz w:val="22"/>
          <w:szCs w:val="22"/>
        </w:rPr>
      </w:pPr>
      <w:r>
        <w:rPr>
          <w:rFonts w:ascii="Arial" w:hAnsi="Arial" w:eastAsia="Times New Roman" w:cs="Arial"/>
          <w:b/>
          <w:bCs/>
          <w:color w:val="000000"/>
          <w:sz w:val="22"/>
          <w:szCs w:val="22"/>
        </w:rPr>
        <w:t>6.18.4.</w:t>
      </w:r>
      <w:r>
        <w:rPr>
          <w:rFonts w:ascii="Arial" w:hAnsi="Arial" w:eastAsia="Times New Roman" w:cs="Arial"/>
          <w:color w:val="000000"/>
          <w:sz w:val="22"/>
          <w:szCs w:val="22"/>
        </w:rPr>
        <w:t xml:space="preserve"> A critério da Administração e exclusivamente a seu serviço, o autor dos projetos e a empresa a que se referem os</w:t>
      </w:r>
      <w:r>
        <w:rPr>
          <w:rFonts w:ascii="Arial" w:hAnsi="Arial" w:eastAsia="Times New Roman" w:cs="Arial"/>
          <w:b/>
          <w:bCs/>
          <w:color w:val="000000"/>
          <w:sz w:val="22"/>
          <w:szCs w:val="22"/>
        </w:rPr>
        <w:t xml:space="preserve"> </w:t>
      </w:r>
      <w:r>
        <w:rPr>
          <w:rFonts w:ascii="Arial" w:hAnsi="Arial" w:eastAsia="Times New Roman" w:cs="Arial"/>
          <w:color w:val="000000"/>
          <w:sz w:val="22"/>
          <w:szCs w:val="22"/>
        </w:rPr>
        <w:t>itens 6.18.2.9. e 6.18.2.10</w:t>
      </w:r>
      <w:r>
        <w:rPr>
          <w:rFonts w:ascii="Arial" w:hAnsi="Arial" w:eastAsia="Times New Roman" w:cs="Arial"/>
          <w:b/>
          <w:bCs/>
          <w:color w:val="000000"/>
          <w:sz w:val="22"/>
          <w:szCs w:val="22"/>
        </w:rPr>
        <w:t xml:space="preserve">. </w:t>
      </w:r>
      <w:r>
        <w:rPr>
          <w:rFonts w:ascii="Arial" w:hAnsi="Arial" w:eastAsia="Times New Roman" w:cs="Arial"/>
          <w:color w:val="000000"/>
          <w:sz w:val="22"/>
          <w:szCs w:val="22"/>
        </w:rPr>
        <w:t xml:space="preserve">Poderão participar no apoio das atividades de planejamento da contratação, de execução da </w:t>
      </w:r>
      <w:r>
        <w:rPr>
          <w:rFonts w:ascii="Arial" w:hAnsi="Arial" w:eastAsia="Calibri" w:cs="Arial"/>
          <w:sz w:val="22"/>
          <w:szCs w:val="22"/>
        </w:rPr>
        <w:t>dispensa de</w:t>
      </w:r>
      <w:r>
        <w:rPr>
          <w:rFonts w:ascii="Arial" w:hAnsi="Arial" w:eastAsia="Times New Roman" w:cs="Arial"/>
          <w:color w:val="000000"/>
          <w:sz w:val="22"/>
          <w:szCs w:val="22"/>
        </w:rPr>
        <w:t xml:space="preserve"> licitação ou de gestão </w:t>
      </w:r>
      <w:r>
        <w:rPr>
          <w:rFonts w:ascii="Arial" w:hAnsi="Arial" w:eastAsia="Times New Roman" w:cs="Arial"/>
          <w:sz w:val="22"/>
          <w:szCs w:val="22"/>
        </w:rPr>
        <w:t>do contrato</w:t>
      </w:r>
      <w:r>
        <w:rPr>
          <w:rFonts w:ascii="Arial" w:hAnsi="Arial" w:eastAsia="Times New Roman" w:cs="Arial"/>
          <w:color w:val="000000"/>
          <w:sz w:val="22"/>
          <w:szCs w:val="22"/>
        </w:rPr>
        <w:t>, desde que sob supervisão exclusiva de agentes públicos do órgão ou entidade.</w:t>
      </w:r>
    </w:p>
    <w:p w14:paraId="5CADACEF">
      <w:pPr>
        <w:tabs>
          <w:tab w:val="left" w:pos="480"/>
        </w:tabs>
        <w:spacing w:before="240" w:after="240" w:line="360" w:lineRule="auto"/>
        <w:ind w:left="108"/>
        <w:jc w:val="both"/>
        <w:rPr>
          <w:rFonts w:ascii="Arial" w:hAnsi="Arial" w:eastAsia="Times New Roman" w:cs="Arial"/>
          <w:color w:val="000000"/>
          <w:sz w:val="22"/>
          <w:szCs w:val="22"/>
        </w:rPr>
      </w:pPr>
      <w:r>
        <w:rPr>
          <w:rFonts w:ascii="Arial" w:hAnsi="Arial" w:eastAsia="Times New Roman" w:cs="Arial"/>
          <w:b/>
          <w:bCs/>
          <w:color w:val="000000"/>
          <w:sz w:val="22"/>
          <w:szCs w:val="22"/>
        </w:rPr>
        <w:t>6.18.5.</w:t>
      </w:r>
      <w:r>
        <w:rPr>
          <w:rFonts w:ascii="Arial" w:hAnsi="Arial" w:eastAsia="Times New Roman" w:cs="Arial"/>
          <w:color w:val="000000"/>
          <w:sz w:val="22"/>
          <w:szCs w:val="22"/>
        </w:rPr>
        <w:t xml:space="preserve"> Equiparam-se aos autores do projeto as empresas integrantes do mesmo grupo econômico.</w:t>
      </w:r>
    </w:p>
    <w:p w14:paraId="0DD02492">
      <w:pPr>
        <w:tabs>
          <w:tab w:val="left" w:pos="480"/>
        </w:tabs>
        <w:spacing w:before="240" w:after="240" w:line="360" w:lineRule="auto"/>
        <w:ind w:left="108"/>
        <w:jc w:val="both"/>
        <w:rPr>
          <w:rFonts w:ascii="Arial" w:hAnsi="Arial" w:eastAsia="Times New Roman" w:cs="Arial"/>
          <w:color w:val="000000"/>
          <w:sz w:val="22"/>
          <w:szCs w:val="22"/>
        </w:rPr>
      </w:pPr>
      <w:r>
        <w:rPr>
          <w:rFonts w:ascii="Arial" w:hAnsi="Arial" w:eastAsia="Times New Roman" w:cs="Arial"/>
          <w:b/>
          <w:bCs/>
          <w:color w:val="000000"/>
          <w:sz w:val="22"/>
          <w:szCs w:val="22"/>
        </w:rPr>
        <w:t xml:space="preserve">6.18.6. </w:t>
      </w:r>
      <w:r>
        <w:rPr>
          <w:rFonts w:ascii="Arial" w:hAnsi="Arial" w:eastAsia="Times New Roman" w:cs="Arial"/>
          <w:color w:val="000000"/>
          <w:sz w:val="22"/>
          <w:szCs w:val="22"/>
        </w:rPr>
        <w:t>O disposto nos itens 6.18.2.9. e 6.18.2.10</w:t>
      </w:r>
      <w:r>
        <w:rPr>
          <w:rFonts w:ascii="Arial" w:hAnsi="Arial" w:eastAsia="Times New Roman" w:cs="Arial"/>
          <w:b/>
          <w:bCs/>
          <w:color w:val="000000"/>
          <w:sz w:val="22"/>
          <w:szCs w:val="22"/>
        </w:rPr>
        <w:t>.</w:t>
      </w:r>
      <w:r>
        <w:rPr>
          <w:rFonts w:ascii="Arial" w:hAnsi="Arial" w:eastAsia="Times New Roman" w:cs="Arial"/>
          <w:color w:val="000000"/>
          <w:sz w:val="22"/>
          <w:szCs w:val="22"/>
        </w:rPr>
        <w:t xml:space="preserve"> não impede a </w:t>
      </w:r>
      <w:r>
        <w:rPr>
          <w:rFonts w:ascii="Arial" w:hAnsi="Arial" w:eastAsia="Calibri" w:cs="Arial"/>
          <w:sz w:val="22"/>
          <w:szCs w:val="22"/>
        </w:rPr>
        <w:t xml:space="preserve">dispensa de </w:t>
      </w:r>
      <w:r>
        <w:rPr>
          <w:rFonts w:ascii="Arial" w:hAnsi="Arial" w:eastAsia="Times New Roman" w:cs="Arial"/>
          <w:color w:val="000000"/>
          <w:sz w:val="22"/>
          <w:szCs w:val="22"/>
        </w:rPr>
        <w:t>licitação ou a contratação de serviço que inclua como encargo da Contratada a elaboração do projeto básico e do projeto executivo, nas contratações integradas, e do projeto executivo, nos demais regimes de execução.</w:t>
      </w:r>
    </w:p>
    <w:p w14:paraId="05179D0E">
      <w:pPr>
        <w:tabs>
          <w:tab w:val="left" w:pos="480"/>
        </w:tabs>
        <w:spacing w:before="240" w:after="240" w:line="360" w:lineRule="auto"/>
        <w:ind w:left="108"/>
        <w:jc w:val="both"/>
        <w:rPr>
          <w:rFonts w:ascii="Arial" w:hAnsi="Arial" w:eastAsia="Times New Roman" w:cs="Arial"/>
          <w:color w:val="000000"/>
          <w:sz w:val="22"/>
          <w:szCs w:val="22"/>
        </w:rPr>
      </w:pPr>
      <w:r>
        <w:rPr>
          <w:rFonts w:ascii="Arial" w:hAnsi="Arial" w:eastAsia="Times New Roman" w:cs="Arial"/>
          <w:b/>
          <w:bCs/>
          <w:color w:val="000000"/>
          <w:sz w:val="22"/>
          <w:szCs w:val="22"/>
        </w:rPr>
        <w:t>6.18.7.</w:t>
      </w:r>
      <w:r>
        <w:rPr>
          <w:rFonts w:ascii="Arial" w:hAnsi="Arial" w:eastAsia="Times New Roman" w:cs="Arial"/>
          <w:color w:val="000000"/>
          <w:sz w:val="22"/>
          <w:szCs w:val="22"/>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Fonts w:ascii="Arial" w:hAnsi="Arial" w:eastAsia="Trebuchet MS" w:cs="Arial"/>
          <w:sz w:val="22"/>
          <w:szCs w:val="22"/>
          <w:u w:val="single"/>
        </w:rPr>
        <w:t>Lei Federal nº 14.133/2021</w:t>
      </w:r>
      <w:r>
        <w:rPr>
          <w:rFonts w:ascii="Arial" w:hAnsi="Arial" w:eastAsia="Trebuchet MS" w:cs="Arial"/>
          <w:sz w:val="22"/>
          <w:szCs w:val="22"/>
          <w:u w:val="single"/>
        </w:rPr>
        <w:fldChar w:fldCharType="end"/>
      </w:r>
      <w:r>
        <w:rPr>
          <w:rFonts w:ascii="Arial" w:hAnsi="Arial" w:eastAsia="Times New Roman" w:cs="Arial"/>
          <w:sz w:val="22"/>
          <w:szCs w:val="22"/>
        </w:rPr>
        <w:t>.</w:t>
      </w:r>
    </w:p>
    <w:p w14:paraId="75F0D569">
      <w:pPr>
        <w:tabs>
          <w:tab w:val="left" w:pos="480"/>
        </w:tabs>
        <w:spacing w:before="240" w:after="240" w:line="360" w:lineRule="auto"/>
        <w:ind w:left="108"/>
        <w:jc w:val="both"/>
        <w:rPr>
          <w:rFonts w:ascii="Arial" w:hAnsi="Arial" w:eastAsia="Times New Roman" w:cs="Arial"/>
          <w:color w:val="000000"/>
          <w:sz w:val="22"/>
          <w:szCs w:val="22"/>
        </w:rPr>
      </w:pPr>
      <w:r>
        <w:rPr>
          <w:rFonts w:ascii="Arial" w:hAnsi="Arial" w:eastAsia="Times New Roman" w:cs="Arial"/>
          <w:b/>
          <w:bCs/>
          <w:color w:val="000000"/>
          <w:sz w:val="22"/>
          <w:szCs w:val="22"/>
        </w:rPr>
        <w:t>6.18.8.</w:t>
      </w:r>
      <w:r>
        <w:rPr>
          <w:rFonts w:ascii="Arial" w:hAnsi="Arial" w:eastAsia="Times New Roman" w:cs="Arial"/>
          <w:color w:val="000000"/>
          <w:sz w:val="22"/>
          <w:szCs w:val="22"/>
        </w:rPr>
        <w:t xml:space="preserve"> A vedação de que trata o item 6.18.2.13</w:t>
      </w:r>
      <w:r>
        <w:rPr>
          <w:rFonts w:ascii="Arial" w:hAnsi="Arial" w:eastAsia="Times New Roman" w:cs="Arial"/>
          <w:b/>
          <w:bCs/>
          <w:color w:val="000000"/>
          <w:sz w:val="22"/>
          <w:szCs w:val="22"/>
        </w:rPr>
        <w:t>.</w:t>
      </w:r>
      <w:r>
        <w:rPr>
          <w:rFonts w:ascii="Arial" w:hAnsi="Arial" w:eastAsia="Times New Roman" w:cs="Arial"/>
          <w:color w:val="000000"/>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3338073E">
      <w:pPr>
        <w:tabs>
          <w:tab w:val="left" w:pos="426"/>
        </w:tabs>
        <w:adjustRightInd w:val="0"/>
        <w:spacing w:before="240" w:after="240" w:line="360" w:lineRule="auto"/>
        <w:ind w:left="108"/>
        <w:jc w:val="both"/>
        <w:textAlignment w:val="baseline"/>
        <w:rPr>
          <w:rFonts w:ascii="Arial" w:hAnsi="Arial" w:eastAsia="Calibri" w:cs="Arial"/>
          <w:color w:val="000000"/>
          <w:sz w:val="22"/>
          <w:szCs w:val="22"/>
        </w:rPr>
      </w:pPr>
      <w:r>
        <w:rPr>
          <w:rFonts w:ascii="Arial" w:hAnsi="Arial" w:eastAsia="Calibri" w:cs="Arial"/>
          <w:b/>
          <w:bCs/>
          <w:color w:val="000000"/>
          <w:sz w:val="22"/>
          <w:szCs w:val="22"/>
        </w:rPr>
        <w:t>6.18.9.</w:t>
      </w:r>
      <w:r>
        <w:rPr>
          <w:rFonts w:ascii="Arial" w:hAnsi="Arial" w:eastAsia="Calibri" w:cs="Arial"/>
          <w:color w:val="000000"/>
          <w:sz w:val="22"/>
          <w:szCs w:val="22"/>
        </w:rPr>
        <w:t xml:space="preserve"> Será permitida a participação de consórcio de empresas, sendo exigidas:</w:t>
      </w:r>
    </w:p>
    <w:p w14:paraId="077AB729">
      <w:pPr>
        <w:tabs>
          <w:tab w:val="left" w:pos="1276"/>
        </w:tabs>
        <w:adjustRightInd w:val="0"/>
        <w:spacing w:before="240" w:after="240" w:line="360" w:lineRule="auto"/>
        <w:ind w:left="357"/>
        <w:jc w:val="both"/>
        <w:textAlignment w:val="baseline"/>
        <w:rPr>
          <w:rFonts w:ascii="Arial" w:hAnsi="Arial" w:eastAsia="Calibri" w:cs="Arial"/>
          <w:sz w:val="22"/>
          <w:szCs w:val="22"/>
        </w:rPr>
      </w:pPr>
      <w:r>
        <w:rPr>
          <w:rFonts w:ascii="Arial" w:hAnsi="Arial" w:eastAsia="Calibri" w:cs="Arial"/>
          <w:color w:val="000000"/>
          <w:sz w:val="22"/>
          <w:szCs w:val="22"/>
        </w:rPr>
        <w:t>6.18.9.1. A comprovação da existência de compromisso público ou particular de constituição de consórcio, com indicação da empresa líder, que atenderá às condições de liderança estabelecidas no Edital e representará as consorciadas perante o município;</w:t>
      </w:r>
    </w:p>
    <w:p w14:paraId="09D14703">
      <w:pPr>
        <w:tabs>
          <w:tab w:val="left" w:pos="1276"/>
        </w:tabs>
        <w:adjustRightInd w:val="0"/>
        <w:spacing w:before="240" w:after="240" w:line="360" w:lineRule="auto"/>
        <w:ind w:left="357"/>
        <w:jc w:val="both"/>
        <w:textAlignment w:val="baseline"/>
        <w:rPr>
          <w:rFonts w:ascii="Arial" w:hAnsi="Arial" w:eastAsia="Calibri" w:cs="Arial"/>
          <w:sz w:val="22"/>
          <w:szCs w:val="22"/>
        </w:rPr>
      </w:pPr>
      <w:r>
        <w:rPr>
          <w:rFonts w:ascii="Arial" w:hAnsi="Arial" w:eastAsia="Calibri" w:cs="Arial"/>
          <w:color w:val="000000"/>
          <w:sz w:val="22"/>
          <w:szCs w:val="22"/>
        </w:rPr>
        <w:t>6.18.9.2. A apresentação da documentação de habilitação especificada no Edital por empresa consorciada;</w:t>
      </w:r>
    </w:p>
    <w:p w14:paraId="3C9DEA86">
      <w:pPr>
        <w:tabs>
          <w:tab w:val="left" w:pos="1276"/>
        </w:tabs>
        <w:adjustRightInd w:val="0"/>
        <w:spacing w:before="240" w:after="240" w:line="360" w:lineRule="auto"/>
        <w:ind w:left="357"/>
        <w:jc w:val="both"/>
        <w:textAlignment w:val="baseline"/>
        <w:rPr>
          <w:rFonts w:ascii="Arial" w:hAnsi="Arial" w:eastAsia="Calibri" w:cs="Arial"/>
          <w:sz w:val="22"/>
          <w:szCs w:val="22"/>
        </w:rPr>
      </w:pPr>
      <w:r>
        <w:rPr>
          <w:rFonts w:ascii="Arial" w:hAnsi="Arial" w:eastAsia="Calibri" w:cs="Arial"/>
          <w:color w:val="000000"/>
          <w:sz w:val="22"/>
          <w:szCs w:val="22"/>
        </w:rPr>
        <w:t>6.18.9.3. A comprovação da capacidade técnica do consórcio pelo somatório dos quantitativos de cada empresa consorciada, na forma estabelecida no Edital;</w:t>
      </w:r>
    </w:p>
    <w:p w14:paraId="113AE582">
      <w:pPr>
        <w:tabs>
          <w:tab w:val="left" w:pos="1276"/>
        </w:tabs>
        <w:adjustRightInd w:val="0"/>
        <w:spacing w:before="240" w:after="240" w:line="360" w:lineRule="auto"/>
        <w:ind w:left="357"/>
        <w:jc w:val="both"/>
        <w:textAlignment w:val="baseline"/>
        <w:rPr>
          <w:rFonts w:ascii="Arial" w:hAnsi="Arial" w:eastAsia="Calibri" w:cs="Arial"/>
          <w:sz w:val="22"/>
          <w:szCs w:val="22"/>
        </w:rPr>
      </w:pPr>
      <w:r>
        <w:rPr>
          <w:rFonts w:ascii="Arial" w:hAnsi="Arial" w:eastAsia="Calibri" w:cs="Arial"/>
          <w:color w:val="000000"/>
          <w:sz w:val="22"/>
          <w:szCs w:val="22"/>
        </w:rPr>
        <w:t>6.18.9.4. A demonstração, por cada empresa consorciada, do atendimento aos índices contábeis definidos no Edital, para fins de qualificação econômico-financeira;</w:t>
      </w:r>
    </w:p>
    <w:p w14:paraId="1B836300">
      <w:pPr>
        <w:tabs>
          <w:tab w:val="left" w:pos="1276"/>
        </w:tabs>
        <w:adjustRightInd w:val="0"/>
        <w:spacing w:before="240" w:after="240" w:line="360" w:lineRule="auto"/>
        <w:ind w:left="357"/>
        <w:jc w:val="both"/>
        <w:textAlignment w:val="baseline"/>
        <w:rPr>
          <w:rFonts w:ascii="Arial" w:hAnsi="Arial" w:eastAsia="Calibri" w:cs="Arial"/>
          <w:sz w:val="22"/>
          <w:szCs w:val="22"/>
        </w:rPr>
      </w:pPr>
      <w:r>
        <w:rPr>
          <w:rFonts w:ascii="Arial" w:hAnsi="Arial" w:eastAsia="Calibri" w:cs="Arial"/>
          <w:color w:val="000000"/>
          <w:sz w:val="22"/>
          <w:szCs w:val="22"/>
        </w:rPr>
        <w:t xml:space="preserve">6.18.9.5. A responsabilidade solidária das empresas consorciadas pelas obrigações do consórcio, nas etapas da </w:t>
      </w:r>
      <w:r>
        <w:rPr>
          <w:rFonts w:ascii="Arial" w:hAnsi="Arial" w:eastAsia="Calibri" w:cs="Arial"/>
          <w:sz w:val="22"/>
          <w:szCs w:val="22"/>
        </w:rPr>
        <w:t xml:space="preserve">dispensa de </w:t>
      </w:r>
      <w:r>
        <w:rPr>
          <w:rFonts w:ascii="Arial" w:hAnsi="Arial" w:eastAsia="Calibri" w:cs="Arial"/>
          <w:color w:val="000000"/>
          <w:sz w:val="22"/>
          <w:szCs w:val="22"/>
        </w:rPr>
        <w:t>licitação e durante a vigência</w:t>
      </w:r>
      <w:r>
        <w:rPr>
          <w:rFonts w:ascii="Arial" w:hAnsi="Arial" w:eastAsia="Calibri" w:cs="Arial"/>
          <w:sz w:val="22"/>
          <w:szCs w:val="22"/>
        </w:rPr>
        <w:t xml:space="preserve"> do contrato for o caso</w:t>
      </w:r>
      <w:r>
        <w:rPr>
          <w:rFonts w:ascii="Arial" w:hAnsi="Arial" w:eastAsia="Calibri" w:cs="Arial"/>
          <w:color w:val="000000"/>
          <w:sz w:val="22"/>
          <w:szCs w:val="22"/>
        </w:rPr>
        <w:t>;</w:t>
      </w:r>
    </w:p>
    <w:p w14:paraId="1A79C860">
      <w:pPr>
        <w:tabs>
          <w:tab w:val="left" w:pos="1276"/>
        </w:tabs>
        <w:adjustRightInd w:val="0"/>
        <w:spacing w:before="240" w:after="240" w:line="360" w:lineRule="auto"/>
        <w:ind w:left="357"/>
        <w:jc w:val="both"/>
        <w:textAlignment w:val="baseline"/>
        <w:rPr>
          <w:rFonts w:ascii="Arial" w:hAnsi="Arial" w:eastAsia="Calibri" w:cs="Arial"/>
          <w:sz w:val="22"/>
          <w:szCs w:val="22"/>
        </w:rPr>
      </w:pPr>
      <w:r>
        <w:rPr>
          <w:rFonts w:ascii="Arial" w:hAnsi="Arial" w:eastAsia="Calibri" w:cs="Arial"/>
          <w:color w:val="000000"/>
          <w:sz w:val="22"/>
          <w:szCs w:val="22"/>
        </w:rPr>
        <w:t xml:space="preserve">6.18.9.6. A obrigatoriedade de liderança por empresa brasileira no consórcio formado por empresas brasileiras e estrangeiras; </w:t>
      </w:r>
    </w:p>
    <w:p w14:paraId="4D08C864">
      <w:pPr>
        <w:tabs>
          <w:tab w:val="left" w:pos="1276"/>
        </w:tabs>
        <w:adjustRightInd w:val="0"/>
        <w:spacing w:before="240" w:after="240" w:line="360" w:lineRule="auto"/>
        <w:ind w:left="357"/>
        <w:jc w:val="both"/>
        <w:textAlignment w:val="baseline"/>
        <w:rPr>
          <w:rFonts w:ascii="Arial" w:hAnsi="Arial" w:eastAsia="Calibri" w:cs="Arial"/>
          <w:sz w:val="22"/>
          <w:szCs w:val="22"/>
        </w:rPr>
      </w:pPr>
      <w:r>
        <w:rPr>
          <w:rFonts w:ascii="Arial" w:hAnsi="Arial" w:eastAsia="Calibri" w:cs="Arial"/>
          <w:color w:val="000000"/>
          <w:sz w:val="22"/>
          <w:szCs w:val="22"/>
        </w:rPr>
        <w:t xml:space="preserve">6.18.9.7. A constituição e o registro do consórcio antes da celebração </w:t>
      </w:r>
      <w:r>
        <w:rPr>
          <w:rFonts w:ascii="Arial" w:hAnsi="Arial" w:eastAsia="Calibri" w:cs="Arial"/>
          <w:sz w:val="22"/>
          <w:szCs w:val="22"/>
        </w:rPr>
        <w:t>do Contrato, quando for o caso</w:t>
      </w:r>
      <w:r>
        <w:rPr>
          <w:rFonts w:ascii="Arial" w:hAnsi="Arial" w:eastAsia="Calibri" w:cs="Arial"/>
          <w:color w:val="000000"/>
          <w:sz w:val="22"/>
          <w:szCs w:val="22"/>
        </w:rPr>
        <w:t>.</w:t>
      </w:r>
    </w:p>
    <w:p w14:paraId="64FC8309">
      <w:pPr>
        <w:tabs>
          <w:tab w:val="left" w:pos="142"/>
          <w:tab w:val="left" w:pos="426"/>
          <w:tab w:val="left" w:pos="851"/>
        </w:tabs>
        <w:adjustRightInd w:val="0"/>
        <w:spacing w:before="240" w:after="240" w:line="360" w:lineRule="auto"/>
        <w:ind w:left="108"/>
        <w:jc w:val="both"/>
        <w:textAlignment w:val="baseline"/>
        <w:rPr>
          <w:rFonts w:ascii="Arial" w:hAnsi="Arial" w:eastAsia="Calibri" w:cs="Arial"/>
          <w:sz w:val="22"/>
          <w:szCs w:val="22"/>
        </w:rPr>
      </w:pPr>
      <w:r>
        <w:rPr>
          <w:rFonts w:ascii="Arial" w:hAnsi="Arial" w:eastAsia="Calibri" w:cs="Arial"/>
          <w:b/>
          <w:bCs/>
          <w:color w:val="000000"/>
          <w:sz w:val="22"/>
          <w:szCs w:val="22"/>
        </w:rPr>
        <w:t xml:space="preserve">6.18.10. </w:t>
      </w:r>
      <w:r>
        <w:rPr>
          <w:rFonts w:ascii="Arial" w:hAnsi="Arial" w:eastAsia="Calibri" w:cs="Arial"/>
          <w:color w:val="000000"/>
          <w:sz w:val="22"/>
          <w:szCs w:val="22"/>
        </w:rPr>
        <w:t xml:space="preserve">Fica vedada a participação de empresa consorciada, na mesma </w:t>
      </w:r>
      <w:r>
        <w:rPr>
          <w:rFonts w:ascii="Arial" w:hAnsi="Arial" w:eastAsia="Calibri" w:cs="Arial"/>
          <w:sz w:val="22"/>
          <w:szCs w:val="22"/>
        </w:rPr>
        <w:t xml:space="preserve">dispensa de </w:t>
      </w:r>
      <w:r>
        <w:rPr>
          <w:rFonts w:ascii="Arial" w:hAnsi="Arial" w:eastAsia="Calibri" w:cs="Arial"/>
          <w:color w:val="000000"/>
          <w:sz w:val="22"/>
          <w:szCs w:val="22"/>
        </w:rPr>
        <w:t>licitação, por meio de mais de um consórcio ou isoladamente.</w:t>
      </w:r>
    </w:p>
    <w:p w14:paraId="463BE0E3">
      <w:pPr>
        <w:tabs>
          <w:tab w:val="left" w:pos="142"/>
          <w:tab w:val="left" w:pos="426"/>
          <w:tab w:val="left" w:pos="851"/>
          <w:tab w:val="left" w:pos="1276"/>
          <w:tab w:val="left" w:pos="1843"/>
        </w:tabs>
        <w:adjustRightInd w:val="0"/>
        <w:spacing w:before="240" w:after="240" w:line="360" w:lineRule="auto"/>
        <w:ind w:left="108"/>
        <w:jc w:val="both"/>
        <w:textAlignment w:val="baseline"/>
        <w:rPr>
          <w:rFonts w:ascii="Arial" w:hAnsi="Arial" w:eastAsia="Calibri" w:cs="Arial"/>
          <w:sz w:val="22"/>
          <w:szCs w:val="22"/>
        </w:rPr>
      </w:pPr>
      <w:r>
        <w:rPr>
          <w:rFonts w:ascii="Arial" w:hAnsi="Arial" w:eastAsia="Calibri" w:cs="Arial"/>
          <w:b/>
          <w:bCs/>
          <w:sz w:val="22"/>
          <w:szCs w:val="22"/>
        </w:rPr>
        <w:t>6.18.11.</w:t>
      </w:r>
      <w:r>
        <w:rPr>
          <w:rFonts w:ascii="Arial" w:hAnsi="Arial" w:eastAsia="Calibri" w:cs="Arial"/>
          <w:sz w:val="22"/>
          <w:szCs w:val="22"/>
        </w:rPr>
        <w:t xml:space="preserve"> Sob pena de inabilitação ou desclassificação, todos os documentos apresentados deverão referir-se ao mesmo CNPJ constante no credenciamento junto à plataforma eletrônica. </w:t>
      </w:r>
    </w:p>
    <w:p w14:paraId="022F3E88">
      <w:pPr>
        <w:spacing w:before="240" w:after="240" w:line="360" w:lineRule="auto"/>
        <w:ind w:left="108"/>
        <w:jc w:val="both"/>
        <w:rPr>
          <w:rFonts w:ascii="Arial" w:hAnsi="Arial" w:eastAsia="Times New Roman" w:cs="Arial"/>
          <w:sz w:val="22"/>
          <w:szCs w:val="22"/>
        </w:rPr>
      </w:pPr>
      <w:r>
        <w:rPr>
          <w:rFonts w:ascii="Arial" w:hAnsi="Arial" w:eastAsia="Times New Roman" w:cs="Arial"/>
          <w:b/>
          <w:bCs/>
          <w:sz w:val="22"/>
          <w:szCs w:val="22"/>
        </w:rPr>
        <w:t xml:space="preserve">6.18.12. </w:t>
      </w:r>
      <w:r>
        <w:rPr>
          <w:rFonts w:ascii="Arial" w:hAnsi="Arial" w:eastAsia="Times New Roman" w:cs="Arial"/>
          <w:sz w:val="22"/>
          <w:szCs w:val="22"/>
        </w:rPr>
        <w:t xml:space="preserve">Será concedido tratamento favorecido para as Microempresas e Empresas de Pequeno Porte, para as Sociedades Cooperativas mencionadas no </w:t>
      </w:r>
      <w:r>
        <w:rPr>
          <w:sz w:val="22"/>
          <w:szCs w:val="22"/>
        </w:rPr>
        <w:fldChar w:fldCharType="begin"/>
      </w:r>
      <w:r>
        <w:rPr>
          <w:sz w:val="22"/>
          <w:szCs w:val="22"/>
        </w:rPr>
        <w:instrText xml:space="preserve"> HYPERLINK "http://www.planalto.gov.br/ccivil_03/_ato2019-2022/2021/lei/L14133.htm" \l "art16" </w:instrText>
      </w:r>
      <w:r>
        <w:rPr>
          <w:sz w:val="22"/>
          <w:szCs w:val="22"/>
        </w:rPr>
        <w:fldChar w:fldCharType="separate"/>
      </w:r>
      <w:r>
        <w:rPr>
          <w:rFonts w:ascii="Arial" w:hAnsi="Arial" w:eastAsia="Trebuchet MS" w:cs="Arial"/>
          <w:sz w:val="22"/>
          <w:szCs w:val="22"/>
          <w:u w:val="single"/>
        </w:rPr>
        <w:t>artigo 16 da Lei Federal nº 14.133/2021</w:t>
      </w:r>
      <w:r>
        <w:rPr>
          <w:rFonts w:ascii="Arial" w:hAnsi="Arial" w:eastAsia="Trebuchet MS" w:cs="Arial"/>
          <w:sz w:val="22"/>
          <w:szCs w:val="22"/>
          <w:u w:val="single"/>
        </w:rPr>
        <w:fldChar w:fldCharType="end"/>
      </w:r>
      <w:r>
        <w:rPr>
          <w:rFonts w:ascii="Arial" w:hAnsi="Arial" w:eastAsia="Times New Roman" w:cs="Arial"/>
          <w:sz w:val="22"/>
          <w:szCs w:val="22"/>
        </w:rPr>
        <w:t xml:space="preserve">, para o Agricultor Familiar, o Produtor Rural pessoa física e para o Microempreendedor Individual - MEI, nos limites previstos da </w:t>
      </w:r>
      <w:r>
        <w:rPr>
          <w:sz w:val="22"/>
          <w:szCs w:val="22"/>
        </w:rPr>
        <w:fldChar w:fldCharType="begin"/>
      </w:r>
      <w:r>
        <w:rPr>
          <w:sz w:val="22"/>
          <w:szCs w:val="22"/>
        </w:rPr>
        <w:instrText xml:space="preserve"> HYPERLINK "https://www.planalto.gov.br/ccivil_03/leis/lcp/lcp123.htm" </w:instrText>
      </w:r>
      <w:r>
        <w:rPr>
          <w:sz w:val="22"/>
          <w:szCs w:val="22"/>
        </w:rPr>
        <w:fldChar w:fldCharType="separate"/>
      </w:r>
      <w:r>
        <w:rPr>
          <w:rFonts w:ascii="Arial" w:hAnsi="Arial" w:eastAsia="Trebuchet MS" w:cs="Arial"/>
          <w:sz w:val="22"/>
          <w:szCs w:val="22"/>
          <w:u w:val="single"/>
        </w:rPr>
        <w:t>Lei Complementar nº 123/2006</w:t>
      </w:r>
      <w:r>
        <w:rPr>
          <w:rFonts w:ascii="Arial" w:hAnsi="Arial" w:eastAsia="Trebuchet MS" w:cs="Arial"/>
          <w:sz w:val="22"/>
          <w:szCs w:val="22"/>
          <w:u w:val="single"/>
        </w:rPr>
        <w:fldChar w:fldCharType="end"/>
      </w:r>
      <w:r>
        <w:rPr>
          <w:rFonts w:ascii="Arial" w:hAnsi="Arial" w:eastAsia="Times New Roman" w:cs="Arial"/>
          <w:sz w:val="22"/>
          <w:szCs w:val="22"/>
        </w:rPr>
        <w:t xml:space="preserve"> e do Decreto n.º 8.538/2015.</w:t>
      </w:r>
    </w:p>
    <w:p w14:paraId="697EA79E">
      <w:pPr>
        <w:spacing w:before="240" w:after="240" w:line="360" w:lineRule="auto"/>
        <w:ind w:left="108" w:hanging="4"/>
        <w:jc w:val="both"/>
        <w:rPr>
          <w:rFonts w:ascii="Arial" w:hAnsi="Arial" w:eastAsia="Times New Roman" w:cs="Arial"/>
          <w:sz w:val="22"/>
          <w:szCs w:val="22"/>
        </w:rPr>
      </w:pPr>
      <w:r>
        <w:rPr>
          <w:rFonts w:ascii="Arial" w:hAnsi="Arial" w:eastAsia="Times New Roman" w:cs="Arial"/>
          <w:b/>
          <w:bCs/>
          <w:sz w:val="22"/>
          <w:szCs w:val="22"/>
        </w:rPr>
        <w:t xml:space="preserve">6.18.13. </w:t>
      </w:r>
      <w:r>
        <w:rPr>
          <w:rFonts w:ascii="Arial" w:hAnsi="Arial" w:eastAsia="Times New Roman" w:cs="Arial"/>
          <w:sz w:val="22"/>
          <w:szCs w:val="22"/>
        </w:rPr>
        <w:t xml:space="preserve">A obtenção do benefício a que se refere o item anterior fica limitada às Microempresas e às Empresas de Pequeno Porte que, no ano-calendário de realização da </w:t>
      </w:r>
      <w:r>
        <w:rPr>
          <w:rFonts w:ascii="Arial" w:hAnsi="Arial" w:eastAsia="Calibri" w:cs="Arial"/>
          <w:sz w:val="22"/>
          <w:szCs w:val="22"/>
        </w:rPr>
        <w:t xml:space="preserve">dispensa de </w:t>
      </w:r>
      <w:r>
        <w:rPr>
          <w:rFonts w:ascii="Arial" w:hAnsi="Arial" w:eastAsia="Times New Roman" w:cs="Arial"/>
          <w:sz w:val="22"/>
          <w:szCs w:val="22"/>
        </w:rPr>
        <w:t>licitação, ainda não tenham celebrado contratos com a Administração Pública cujos valores somados extrapolem a receita bruta máxima admitida para fins de enquadramento como Empresa de Pequeno Porte.</w:t>
      </w:r>
    </w:p>
    <w:p w14:paraId="3AF14BCA">
      <w:pPr>
        <w:spacing w:before="240" w:after="240" w:line="360" w:lineRule="auto"/>
        <w:ind w:left="108"/>
        <w:jc w:val="both"/>
        <w:rPr>
          <w:rFonts w:ascii="Arial" w:hAnsi="Arial" w:eastAsia="SimSun" w:cs="Arial"/>
          <w:sz w:val="22"/>
          <w:szCs w:val="22"/>
          <w:lang w:eastAsia="zh-CN"/>
        </w:rPr>
      </w:pPr>
      <w:r>
        <w:rPr>
          <w:rFonts w:ascii="Arial" w:hAnsi="Arial" w:eastAsia="SimSun" w:cs="Arial"/>
          <w:b/>
          <w:bCs/>
          <w:sz w:val="22"/>
          <w:szCs w:val="22"/>
          <w:lang w:eastAsia="zh-CN"/>
        </w:rPr>
        <w:t>6.18.14.</w:t>
      </w:r>
      <w:r>
        <w:rPr>
          <w:rFonts w:ascii="Arial" w:hAnsi="Arial" w:eastAsia="SimSun" w:cs="Arial"/>
          <w:sz w:val="22"/>
          <w:szCs w:val="22"/>
          <w:lang w:eastAsia="zh-CN"/>
        </w:rPr>
        <w:t xml:space="preserve"> Não será concedido tratamento diferenciado </w:t>
      </w:r>
      <w:r>
        <w:rPr>
          <w:rFonts w:ascii="Arial" w:hAnsi="Arial" w:eastAsia="SimSun" w:cs="Arial"/>
          <w:sz w:val="22"/>
          <w:szCs w:val="22"/>
          <w:lang w:val="en-US" w:eastAsia="zh-CN"/>
        </w:rPr>
        <w:t xml:space="preserve">no caso de </w:t>
      </w:r>
      <w:r>
        <w:rPr>
          <w:rFonts w:ascii="Arial" w:hAnsi="Arial" w:eastAsia="Calibri" w:cs="Arial"/>
          <w:sz w:val="22"/>
          <w:szCs w:val="22"/>
        </w:rPr>
        <w:t xml:space="preserve">dispensa de </w:t>
      </w:r>
      <w:r>
        <w:rPr>
          <w:rFonts w:ascii="Arial" w:hAnsi="Arial" w:eastAsia="SimSun" w:cs="Arial"/>
          <w:sz w:val="22"/>
          <w:szCs w:val="22"/>
          <w:lang w:val="en-US" w:eastAsia="zh-CN"/>
        </w:rPr>
        <w:t xml:space="preserve">licitação para aquisição de bens ou contratação de serviços </w:t>
      </w:r>
      <w:r>
        <w:rPr>
          <w:rFonts w:ascii="Arial" w:hAnsi="Arial" w:eastAsia="SimSun" w:cs="Arial"/>
          <w:sz w:val="22"/>
          <w:szCs w:val="22"/>
          <w:lang w:eastAsia="zh-CN"/>
        </w:rPr>
        <w:t>comuns, até mesmo de engenharia</w:t>
      </w:r>
      <w:r>
        <w:rPr>
          <w:rFonts w:ascii="Arial" w:hAnsi="Arial" w:eastAsia="SimSun" w:cs="Arial"/>
          <w:sz w:val="22"/>
          <w:szCs w:val="22"/>
          <w:lang w:val="en-US" w:eastAsia="zh-CN"/>
        </w:rPr>
        <w:t xml:space="preserve">, ao item </w:t>
      </w:r>
      <w:r>
        <w:rPr>
          <w:rFonts w:ascii="Arial" w:hAnsi="Arial" w:eastAsia="SimSun" w:cs="Arial"/>
          <w:sz w:val="22"/>
          <w:szCs w:val="22"/>
          <w:lang w:eastAsia="zh-CN"/>
        </w:rPr>
        <w:t xml:space="preserve">ou lote </w:t>
      </w:r>
      <w:r>
        <w:rPr>
          <w:rFonts w:ascii="Arial" w:hAnsi="Arial" w:eastAsia="SimSun" w:cs="Arial"/>
          <w:sz w:val="22"/>
          <w:szCs w:val="22"/>
          <w:lang w:val="en-US" w:eastAsia="zh-CN"/>
        </w:rPr>
        <w:t xml:space="preserve">cujo valor estimado for superior à receita bruta máxima admitida para fins de enquadramento como </w:t>
      </w:r>
      <w:r>
        <w:rPr>
          <w:rFonts w:ascii="Arial" w:hAnsi="Arial" w:eastAsia="SimSun" w:cs="Arial"/>
          <w:sz w:val="22"/>
          <w:szCs w:val="22"/>
          <w:lang w:eastAsia="zh-CN"/>
        </w:rPr>
        <w:t>E</w:t>
      </w:r>
      <w:r>
        <w:rPr>
          <w:rFonts w:ascii="Arial" w:hAnsi="Arial" w:eastAsia="SimSun" w:cs="Arial"/>
          <w:sz w:val="22"/>
          <w:szCs w:val="22"/>
          <w:lang w:val="en-US" w:eastAsia="zh-CN"/>
        </w:rPr>
        <w:t xml:space="preserve">mpresa de </w:t>
      </w:r>
      <w:r>
        <w:rPr>
          <w:rFonts w:ascii="Arial" w:hAnsi="Arial" w:eastAsia="SimSun" w:cs="Arial"/>
          <w:sz w:val="22"/>
          <w:szCs w:val="22"/>
          <w:lang w:eastAsia="zh-CN"/>
        </w:rPr>
        <w:t>P</w:t>
      </w:r>
      <w:r>
        <w:rPr>
          <w:rFonts w:ascii="Arial" w:hAnsi="Arial" w:eastAsia="SimSun" w:cs="Arial"/>
          <w:sz w:val="22"/>
          <w:szCs w:val="22"/>
          <w:lang w:val="en-US" w:eastAsia="zh-CN"/>
        </w:rPr>
        <w:t>equeno</w:t>
      </w:r>
      <w:r>
        <w:rPr>
          <w:rFonts w:ascii="Arial" w:hAnsi="Arial" w:eastAsia="SimSun" w:cs="Arial"/>
          <w:sz w:val="22"/>
          <w:szCs w:val="22"/>
          <w:lang w:eastAsia="zh-CN"/>
        </w:rPr>
        <w:t xml:space="preserve"> P</w:t>
      </w:r>
      <w:r>
        <w:rPr>
          <w:rFonts w:ascii="Arial" w:hAnsi="Arial" w:eastAsia="SimSun" w:cs="Arial"/>
          <w:sz w:val="22"/>
          <w:szCs w:val="22"/>
          <w:lang w:val="en-US" w:eastAsia="zh-CN"/>
        </w:rPr>
        <w:t>orte</w:t>
      </w:r>
      <w:r>
        <w:rPr>
          <w:rFonts w:ascii="Arial" w:hAnsi="Arial" w:eastAsia="SimSun" w:cs="Arial"/>
          <w:sz w:val="22"/>
          <w:szCs w:val="22"/>
          <w:lang w:eastAsia="zh-CN"/>
        </w:rPr>
        <w:t>.</w:t>
      </w:r>
    </w:p>
    <w:p w14:paraId="6366346E">
      <w:pPr>
        <w:pStyle w:val="16"/>
        <w:ind w:left="96"/>
        <w:jc w:val="both"/>
        <w:rPr>
          <w:rFonts w:ascii="Times New Roman" w:hAnsi="Times New Roman" w:cs="Times New Roman"/>
          <w:sz w:val="22"/>
          <w:szCs w:val="22"/>
        </w:rPr>
      </w:pPr>
      <w:r>
        <w:rPr>
          <w:rFonts w:ascii="Times New Roman" w:hAnsi="Times New Roman" w:cs="Times New Roman"/>
          <w:sz w:val="22"/>
          <w:szCs w:val="22"/>
          <w:lang w:val="pt-BR" w:eastAsia="pt-BR"/>
        </w:rPr>
        <mc:AlternateContent>
          <mc:Choice Requires="wps">
            <w:drawing>
              <wp:inline distT="0" distB="0" distL="0" distR="0">
                <wp:extent cx="5556250" cy="273050"/>
                <wp:effectExtent l="4445" t="4445" r="20955" b="8255"/>
                <wp:docPr id="12" name="Textbox 3"/>
                <wp:cNvGraphicFramePr/>
                <a:graphic xmlns:a="http://schemas.openxmlformats.org/drawingml/2006/main">
                  <a:graphicData uri="http://schemas.microsoft.com/office/word/2010/wordprocessingShape">
                    <wps:wsp>
                      <wps:cNvSpPr txBox="1"/>
                      <wps:spPr>
                        <a:xfrm>
                          <a:off x="0" y="0"/>
                          <a:ext cx="5556250" cy="273377"/>
                        </a:xfrm>
                        <a:prstGeom prst="rect">
                          <a:avLst/>
                        </a:prstGeom>
                        <a:solidFill>
                          <a:srgbClr val="D6D6D6"/>
                        </a:solidFill>
                        <a:ln w="6096">
                          <a:solidFill>
                            <a:srgbClr val="000000"/>
                          </a:solidFill>
                          <a:prstDash val="solid"/>
                        </a:ln>
                      </wps:spPr>
                      <wps:txbx>
                        <w:txbxContent>
                          <w:p w14:paraId="4258AA1D">
                            <w:pPr>
                              <w:spacing w:before="61"/>
                              <w:ind w:left="16"/>
                              <w:jc w:val="center"/>
                              <w:rPr>
                                <w:rFonts w:ascii="Arial" w:hAnsi="Arial" w:cs="Arial"/>
                                <w:b/>
                                <w:color w:val="000000"/>
                              </w:rPr>
                            </w:pPr>
                            <w:r>
                              <w:rPr>
                                <w:rFonts w:ascii="Arial" w:hAnsi="Arial" w:cs="Arial"/>
                                <w:b/>
                                <w:color w:val="000000"/>
                              </w:rPr>
                              <w:t>7. CONTROLE E FISCALIZAÇÃO DO CONTRATO</w:t>
                            </w:r>
                          </w:p>
                        </w:txbxContent>
                      </wps:txbx>
                      <wps:bodyPr wrap="square" lIns="0" tIns="0" rIns="0" bIns="0" rtlCol="0">
                        <a:noAutofit/>
                      </wps:bodyPr>
                    </wps:wsp>
                  </a:graphicData>
                </a:graphic>
              </wp:inline>
            </w:drawing>
          </mc:Choice>
          <mc:Fallback>
            <w:pict>
              <v:shape id="Textbox 3" o:spid="_x0000_s1026" o:spt="202" type="#_x0000_t202" style="height:21.5pt;width:437.5pt;" fillcolor="#D6D6D6" filled="t" stroked="t" coordsize="21600,21600" o:gfxdata="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NH7UM&#10;1AAAAAQBAAAPAAAAAAAAAAEAIAAAACIAAABkcnMvZG93bnJldi54bWxQSwECFAAUAAAACACHTuJA&#10;icXZ1OwBAAAMBAAADgAAAAAAAAABACAAAAAjAQAAZHJzL2Uyb0RvYy54bWxQSwUGAAAAAAYABgBZ&#10;AQAAgQUAAAAA&#10;">
                <v:fill on="t" focussize="0,0"/>
                <v:stroke weight="0.48pt" color="#000000" joinstyle="round"/>
                <v:imagedata o:title=""/>
                <o:lock v:ext="edit" aspectratio="f"/>
                <v:textbox inset="0mm,0mm,0mm,0mm">
                  <w:txbxContent>
                    <w:p w14:paraId="4258AA1D">
                      <w:pPr>
                        <w:spacing w:before="61"/>
                        <w:ind w:left="16"/>
                        <w:jc w:val="center"/>
                        <w:rPr>
                          <w:rFonts w:ascii="Arial" w:hAnsi="Arial" w:cs="Arial"/>
                          <w:b/>
                          <w:color w:val="000000"/>
                        </w:rPr>
                      </w:pPr>
                      <w:r>
                        <w:rPr>
                          <w:rFonts w:ascii="Arial" w:hAnsi="Arial" w:cs="Arial"/>
                          <w:b/>
                          <w:color w:val="000000"/>
                        </w:rPr>
                        <w:t>7. CONTROLE E FISCALIZAÇÃO DO CONTRATO</w:t>
                      </w:r>
                    </w:p>
                  </w:txbxContent>
                </v:textbox>
                <w10:wrap type="none"/>
                <w10:anchorlock/>
              </v:shape>
            </w:pict>
          </mc:Fallback>
        </mc:AlternateContent>
      </w:r>
    </w:p>
    <w:p w14:paraId="7F08F645">
      <w:pPr>
        <w:numPr>
          <w:ilvl w:val="2"/>
          <w:numId w:val="22"/>
        </w:numPr>
        <w:tabs>
          <w:tab w:val="left" w:pos="284"/>
        </w:tabs>
        <w:spacing w:before="240" w:after="240" w:line="360" w:lineRule="auto"/>
        <w:ind w:left="142" w:firstLine="0"/>
        <w:jc w:val="both"/>
        <w:rPr>
          <w:rFonts w:ascii="Arial" w:hAnsi="Arial" w:cs="Arial"/>
          <w:b/>
          <w:bCs/>
          <w:sz w:val="22"/>
          <w:szCs w:val="22"/>
        </w:rPr>
      </w:pPr>
      <w:r>
        <w:rPr>
          <w:rFonts w:ascii="Arial" w:hAnsi="Arial" w:cs="Arial"/>
          <w:sz w:val="22"/>
          <w:szCs w:val="22"/>
        </w:rPr>
        <w:t xml:space="preserve">O contrato deverá ser executado fielmente pelas partes, de acordo com as cláusulas avençadas e as normas da Lei nº 14.133, de 2021 e do Decreto 359/2023, e cada parte responderá pelas consequências de sua inexecução total ou parcial (Lei nº 14.133/2021, art. 115, </w:t>
      </w:r>
      <w:r>
        <w:rPr>
          <w:rFonts w:ascii="Arial" w:hAnsi="Arial" w:cs="Arial"/>
          <w:i/>
          <w:iCs/>
          <w:sz w:val="22"/>
          <w:szCs w:val="22"/>
        </w:rPr>
        <w:t>caput</w:t>
      </w:r>
      <w:r>
        <w:rPr>
          <w:rFonts w:ascii="Arial" w:hAnsi="Arial" w:cs="Arial"/>
          <w:sz w:val="22"/>
          <w:szCs w:val="22"/>
        </w:rPr>
        <w:t>).</w:t>
      </w:r>
    </w:p>
    <w:p w14:paraId="15DCB3EC">
      <w:pPr>
        <w:numPr>
          <w:ilvl w:val="2"/>
          <w:numId w:val="22"/>
        </w:numPr>
        <w:tabs>
          <w:tab w:val="left" w:pos="426"/>
        </w:tabs>
        <w:spacing w:before="240" w:after="240" w:line="360" w:lineRule="auto"/>
        <w:ind w:left="142" w:firstLine="0"/>
        <w:jc w:val="both"/>
        <w:rPr>
          <w:rFonts w:ascii="Arial" w:hAnsi="Arial" w:cs="Arial"/>
          <w:b/>
          <w:bCs/>
          <w:sz w:val="22"/>
          <w:szCs w:val="22"/>
        </w:rPr>
      </w:pPr>
      <w:r>
        <w:rPr>
          <w:rFonts w:ascii="Arial" w:hAnsi="Arial" w:cs="Arial"/>
          <w:sz w:val="22"/>
          <w:szCs w:val="22"/>
        </w:rPr>
        <w:t>Em caso de impedimento, ordem de paralisação ou suspensão do contrato, o cronograma de execução será prorrogado automaticamente pelo tempo correspondente, anotadas tais circunstâncias mediante simples apostila (Lei nº 14.133/2021, art. 115, §5º).</w:t>
      </w:r>
      <w:bookmarkStart w:id="76" w:name="art116"/>
      <w:bookmarkEnd w:id="76"/>
    </w:p>
    <w:p w14:paraId="4EEF2C24">
      <w:pPr>
        <w:numPr>
          <w:ilvl w:val="2"/>
          <w:numId w:val="22"/>
        </w:numPr>
        <w:tabs>
          <w:tab w:val="left" w:pos="426"/>
        </w:tabs>
        <w:spacing w:before="240" w:after="240" w:line="360" w:lineRule="auto"/>
        <w:ind w:left="284" w:hanging="142"/>
        <w:jc w:val="both"/>
        <w:rPr>
          <w:rFonts w:ascii="Arial" w:hAnsi="Arial" w:cs="Arial"/>
          <w:b/>
          <w:bCs/>
          <w:sz w:val="22"/>
          <w:szCs w:val="22"/>
        </w:rPr>
      </w:pPr>
      <w:r>
        <w:rPr>
          <w:rFonts w:ascii="Arial" w:hAnsi="Arial" w:cs="Arial"/>
          <w:sz w:val="22"/>
          <w:szCs w:val="22"/>
        </w:rPr>
        <w:t xml:space="preserve">A execução do contrato deverá ser acompanhada e fiscalizada pelo(s) fiscal(is), ou pelos respectivos substitutos (Lei nº 14.133/2021, art. 117, </w:t>
      </w:r>
      <w:r>
        <w:rPr>
          <w:rFonts w:ascii="Arial" w:hAnsi="Arial" w:cs="Arial"/>
          <w:i/>
          <w:iCs/>
          <w:sz w:val="22"/>
          <w:szCs w:val="22"/>
        </w:rPr>
        <w:t>caput</w:t>
      </w:r>
      <w:r>
        <w:rPr>
          <w:rFonts w:ascii="Arial" w:hAnsi="Arial" w:cs="Arial"/>
          <w:sz w:val="22"/>
          <w:szCs w:val="22"/>
        </w:rPr>
        <w:t>).</w:t>
      </w:r>
    </w:p>
    <w:p w14:paraId="487D3EE3">
      <w:pPr>
        <w:numPr>
          <w:ilvl w:val="3"/>
          <w:numId w:val="22"/>
        </w:numPr>
        <w:tabs>
          <w:tab w:val="left" w:pos="426"/>
        </w:tabs>
        <w:spacing w:before="240" w:after="240" w:line="360" w:lineRule="auto"/>
        <w:ind w:left="284" w:hanging="142"/>
        <w:jc w:val="both"/>
        <w:rPr>
          <w:rFonts w:ascii="Arial" w:hAnsi="Arial" w:cs="Arial"/>
          <w:sz w:val="22"/>
          <w:szCs w:val="22"/>
        </w:rPr>
      </w:pPr>
      <w:r>
        <w:rPr>
          <w:rFonts w:ascii="Arial" w:hAnsi="Arial" w:cs="Arial"/>
          <w:sz w:val="22"/>
          <w:szCs w:val="22"/>
        </w:rPr>
        <w:t>O fiscal do contrato anotará em registro próprio todas as ocorrências relacionadas à execução, determinando o que for necessário para a regularização das faltas ou dos defeitos observados (Lei nº 14.133/2021, art. 117, §1º).</w:t>
      </w:r>
      <w:bookmarkStart w:id="77" w:name="_Hlk126158702"/>
      <w:bookmarkEnd w:id="77"/>
      <w:bookmarkStart w:id="78" w:name="art117§2"/>
      <w:bookmarkEnd w:id="78"/>
    </w:p>
    <w:p w14:paraId="07E27431">
      <w:pPr>
        <w:numPr>
          <w:ilvl w:val="3"/>
          <w:numId w:val="22"/>
        </w:numPr>
        <w:tabs>
          <w:tab w:val="left" w:pos="426"/>
        </w:tabs>
        <w:spacing w:before="240" w:after="240" w:line="360" w:lineRule="auto"/>
        <w:ind w:left="284" w:firstLine="284"/>
        <w:jc w:val="both"/>
        <w:rPr>
          <w:rFonts w:ascii="Arial" w:hAnsi="Arial" w:cs="Arial"/>
          <w:sz w:val="22"/>
          <w:szCs w:val="22"/>
        </w:rPr>
      </w:pPr>
      <w:r>
        <w:rPr>
          <w:rFonts w:ascii="Arial" w:hAnsi="Arial" w:cs="Arial"/>
          <w:sz w:val="22"/>
          <w:szCs w:val="22"/>
        </w:rPr>
        <w:t>O fiscal do contrato informará a seus superiores, em tempo hábil para a adoção das medidas convenientes, a situação que demandar decisão ou providência que ultrapasse sua competência (Lei nº 14.133/2021, art. 117, §2º).</w:t>
      </w:r>
    </w:p>
    <w:p w14:paraId="15903A98">
      <w:pPr>
        <w:numPr>
          <w:ilvl w:val="2"/>
          <w:numId w:val="22"/>
        </w:numPr>
        <w:spacing w:before="240" w:after="240" w:line="360" w:lineRule="auto"/>
        <w:ind w:left="142" w:firstLine="0"/>
        <w:jc w:val="both"/>
        <w:rPr>
          <w:rFonts w:ascii="Arial" w:hAnsi="Arial" w:cs="Arial"/>
          <w:sz w:val="22"/>
          <w:szCs w:val="22"/>
        </w:rPr>
      </w:pPr>
      <w:r>
        <w:rPr>
          <w:rFonts w:ascii="Arial" w:hAnsi="Arial" w:cs="Arial"/>
          <w:sz w:val="22"/>
          <w:szCs w:val="22"/>
        </w:rPr>
        <w:t>O contratado será obrigado a reparar, corrigir, remover, reconstruir ou substituir, a suas expensas, no total ou em parte, o objeto do contrato decorrente da Ata em que se verificarem vícios, defeitos ou incorreções resultantes de sua execução ou de materiais nela empregados (Lei nº 14.133/2021, art. 119).</w:t>
      </w:r>
      <w:bookmarkStart w:id="79" w:name="art120"/>
      <w:bookmarkEnd w:id="79"/>
    </w:p>
    <w:p w14:paraId="592494EF">
      <w:pPr>
        <w:numPr>
          <w:ilvl w:val="2"/>
          <w:numId w:val="22"/>
        </w:numPr>
        <w:spacing w:before="240" w:after="240" w:line="360" w:lineRule="auto"/>
        <w:ind w:left="142" w:firstLine="0"/>
        <w:jc w:val="both"/>
        <w:rPr>
          <w:rFonts w:ascii="Arial" w:hAnsi="Arial" w:cs="Arial"/>
          <w:sz w:val="22"/>
          <w:szCs w:val="22"/>
        </w:rPr>
      </w:pPr>
      <w:r>
        <w:rPr>
          <w:rFonts w:ascii="Arial" w:hAnsi="Arial" w:cs="Arial"/>
          <w:sz w:val="22"/>
          <w:szCs w:val="22"/>
        </w:rPr>
        <w:t>O contratado será responsável pelos danos causados diretamente à Administração ou a terceiros em razão da execução da Ata, e não excluirá nem reduzirá essa responsabilidade a fiscalização ou o acompanhamento pelo contratante (Lei nº 14.133/2021, art. 120).</w:t>
      </w:r>
      <w:bookmarkStart w:id="80" w:name="art121"/>
      <w:bookmarkEnd w:id="80"/>
    </w:p>
    <w:p w14:paraId="6B728C1C">
      <w:pPr>
        <w:numPr>
          <w:ilvl w:val="2"/>
          <w:numId w:val="22"/>
        </w:numPr>
        <w:spacing w:before="240" w:after="240" w:line="360" w:lineRule="auto"/>
        <w:ind w:left="142" w:firstLine="0"/>
        <w:jc w:val="both"/>
        <w:rPr>
          <w:rFonts w:ascii="Arial" w:hAnsi="Arial" w:cs="Arial"/>
          <w:sz w:val="22"/>
          <w:szCs w:val="22"/>
        </w:rPr>
      </w:pPr>
      <w:r>
        <w:rPr>
          <w:rFonts w:ascii="Arial" w:hAnsi="Arial" w:cs="Arial"/>
          <w:sz w:val="22"/>
          <w:szCs w:val="22"/>
        </w:rPr>
        <w:t xml:space="preserve">Somente o contratado será responsável pelos encargos trabalhistas, previdenciários, fiscais e comerciais resultantes da execução do contrato (Lei nº 14.133/2021, art. 121, </w:t>
      </w:r>
      <w:r>
        <w:rPr>
          <w:rFonts w:ascii="Arial" w:hAnsi="Arial" w:cs="Arial"/>
          <w:i/>
          <w:iCs/>
          <w:sz w:val="22"/>
          <w:szCs w:val="22"/>
        </w:rPr>
        <w:t>caput</w:t>
      </w:r>
      <w:r>
        <w:rPr>
          <w:rFonts w:ascii="Arial" w:hAnsi="Arial" w:cs="Arial"/>
          <w:sz w:val="22"/>
          <w:szCs w:val="22"/>
        </w:rPr>
        <w:t>).</w:t>
      </w:r>
      <w:bookmarkStart w:id="81" w:name="art121§1"/>
      <w:bookmarkEnd w:id="81"/>
    </w:p>
    <w:p w14:paraId="2475EE9B">
      <w:pPr>
        <w:numPr>
          <w:ilvl w:val="2"/>
          <w:numId w:val="22"/>
        </w:numPr>
        <w:spacing w:before="240" w:after="240" w:line="360" w:lineRule="auto"/>
        <w:ind w:left="142" w:firstLine="0"/>
        <w:jc w:val="both"/>
        <w:rPr>
          <w:rFonts w:ascii="Arial" w:hAnsi="Arial" w:cs="Arial"/>
          <w:sz w:val="22"/>
          <w:szCs w:val="22"/>
        </w:rPr>
      </w:pPr>
      <w:r>
        <w:rPr>
          <w:rFonts w:ascii="Arial" w:hAnsi="Arial" w:cs="Arial"/>
          <w:sz w:val="22"/>
          <w:szCs w:val="22"/>
        </w:rPr>
        <w:t>A inadimplência do contratado em relação aos encargos trabalhistas, fiscais e comerciais não transferirá à Administração a responsabilidade pelo seu pagamento e não poderá onerar o objeto do contrato (Lei nº 14.133/2021, art. 121, §1º).</w:t>
      </w:r>
      <w:bookmarkStart w:id="82" w:name="art122§2"/>
      <w:bookmarkEnd w:id="82"/>
      <w:bookmarkStart w:id="83" w:name="art122§3"/>
      <w:bookmarkEnd w:id="83"/>
      <w:bookmarkStart w:id="84" w:name="art123"/>
      <w:bookmarkEnd w:id="84"/>
      <w:bookmarkStart w:id="85" w:name="art122§1"/>
      <w:bookmarkEnd w:id="85"/>
      <w:bookmarkStart w:id="86" w:name="art122"/>
      <w:bookmarkEnd w:id="86"/>
    </w:p>
    <w:p w14:paraId="5B4F8174">
      <w:pPr>
        <w:numPr>
          <w:ilvl w:val="2"/>
          <w:numId w:val="22"/>
        </w:numPr>
        <w:spacing w:before="240" w:after="240" w:line="360" w:lineRule="auto"/>
        <w:ind w:left="142" w:firstLine="0"/>
        <w:jc w:val="both"/>
        <w:rPr>
          <w:rFonts w:ascii="Arial" w:hAnsi="Arial" w:cs="Arial"/>
          <w:sz w:val="22"/>
          <w:szCs w:val="22"/>
        </w:rPr>
      </w:pPr>
      <w:r>
        <w:rPr>
          <w:rFonts w:ascii="Arial" w:hAnsi="Arial" w:cs="Arial"/>
          <w:sz w:val="22"/>
          <w:szCs w:val="22"/>
        </w:rPr>
        <w:t>As comunicações entre o órgão ou entidade e a contratada devem ser realizadas por escrito sempre que o ato exigir tal formalidade, admitindo-se, excepcionalmente, o uso de mensagem eletrônica para esse fim (IN 5/2017, art. 44, §2º).</w:t>
      </w:r>
    </w:p>
    <w:p w14:paraId="1426347B">
      <w:pPr>
        <w:numPr>
          <w:ilvl w:val="2"/>
          <w:numId w:val="22"/>
        </w:numPr>
        <w:spacing w:before="240" w:after="240" w:line="360" w:lineRule="auto"/>
        <w:ind w:left="142" w:firstLine="0"/>
        <w:jc w:val="both"/>
        <w:rPr>
          <w:rFonts w:ascii="Arial" w:hAnsi="Arial" w:cs="Arial"/>
          <w:sz w:val="22"/>
          <w:szCs w:val="22"/>
        </w:rPr>
      </w:pPr>
      <w:r>
        <w:rPr>
          <w:rFonts w:ascii="Arial" w:hAnsi="Arial" w:cs="Arial"/>
          <w:sz w:val="22"/>
          <w:szCs w:val="22"/>
        </w:rPr>
        <w:t>O órgão ou entidade poderá convocar representante da empresa para adoção de providências que devam ser cumpridas de imediato (IN 5/2017, art. 44, §3º).</w:t>
      </w:r>
    </w:p>
    <w:p w14:paraId="18B81765">
      <w:pPr>
        <w:numPr>
          <w:ilvl w:val="2"/>
          <w:numId w:val="22"/>
        </w:numPr>
        <w:spacing w:before="240" w:after="240" w:line="360" w:lineRule="auto"/>
        <w:ind w:left="142" w:firstLine="0"/>
        <w:jc w:val="both"/>
        <w:rPr>
          <w:rFonts w:ascii="Arial" w:hAnsi="Arial" w:cs="Arial"/>
          <w:sz w:val="22"/>
          <w:szCs w:val="22"/>
        </w:rPr>
      </w:pPr>
      <w:r>
        <w:rPr>
          <w:rFonts w:ascii="Arial" w:hAnsi="Arial" w:cs="Arial"/>
          <w:sz w:val="22"/>
          <w:szCs w:val="22"/>
        </w:rPr>
        <w:t>Todas as ocorrências devem ser documentalmente comprovadas e anexadas ao Relatório a ser elaborado conforme estabelecido no art. 31 e seus incisos, do Decreto Municipal nº 359/2023.</w:t>
      </w:r>
    </w:p>
    <w:p w14:paraId="696646D2">
      <w:pPr>
        <w:numPr>
          <w:ilvl w:val="2"/>
          <w:numId w:val="22"/>
        </w:numPr>
        <w:spacing w:before="240" w:after="240" w:line="360" w:lineRule="auto"/>
        <w:ind w:left="142" w:firstLine="0"/>
        <w:jc w:val="both"/>
        <w:rPr>
          <w:rFonts w:ascii="Arial" w:hAnsi="Arial" w:cs="Arial"/>
          <w:sz w:val="22"/>
          <w:szCs w:val="22"/>
        </w:rPr>
      </w:pPr>
      <w:r>
        <w:rPr>
          <w:rFonts w:ascii="Arial" w:hAnsi="Arial" w:cs="Arial"/>
          <w:sz w:val="22"/>
          <w:szCs w:val="22"/>
        </w:rPr>
        <w:t>O contratado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14:paraId="13B7CAEC">
      <w:pPr>
        <w:numPr>
          <w:ilvl w:val="2"/>
          <w:numId w:val="22"/>
        </w:numPr>
        <w:spacing w:before="240" w:after="240" w:line="360" w:lineRule="auto"/>
        <w:ind w:left="142" w:firstLine="0"/>
        <w:jc w:val="both"/>
        <w:rPr>
          <w:rFonts w:ascii="Arial" w:hAnsi="Arial" w:cs="Arial"/>
          <w:sz w:val="22"/>
          <w:szCs w:val="22"/>
        </w:rPr>
      </w:pPr>
      <w:r>
        <w:rPr>
          <w:rFonts w:ascii="Arial" w:hAnsi="Arial" w:cs="Arial"/>
          <w:sz w:val="22"/>
          <w:szCs w:val="22"/>
        </w:rPr>
        <w:t>A hipótese de comportamento contínuo de desconformidade da prestação do serviço em relação à qualidade exigida, bem como quando esta ultrapassar os níveis mínimos toleráveis previstos nos indicadores, além dos fatores redutores, devem ser aplicadas as sanções ao contratado de acordo com as regras previstas neste contrato.</w:t>
      </w:r>
    </w:p>
    <w:p w14:paraId="0CF0710A">
      <w:pPr>
        <w:numPr>
          <w:ilvl w:val="2"/>
          <w:numId w:val="22"/>
        </w:numPr>
        <w:spacing w:before="240" w:after="240" w:line="360" w:lineRule="auto"/>
        <w:ind w:left="142" w:firstLine="0"/>
        <w:jc w:val="both"/>
        <w:rPr>
          <w:rFonts w:ascii="Arial" w:hAnsi="Arial" w:cs="Arial"/>
          <w:sz w:val="22"/>
          <w:szCs w:val="22"/>
        </w:rPr>
      </w:pPr>
      <w:r>
        <w:rPr>
          <w:rFonts w:ascii="Arial" w:hAnsi="Arial" w:cs="Arial"/>
          <w:sz w:val="22"/>
          <w:szCs w:val="22"/>
        </w:rPr>
        <w:t>O descumprimento das obrigações trabalhistas ou a não manutenção das condições de habilitação pelo contratado poderá dar ensejo à rescisão contratual, sem prejuízo das demais sanções.</w:t>
      </w:r>
    </w:p>
    <w:p w14:paraId="7F2D5409">
      <w:pPr>
        <w:numPr>
          <w:ilvl w:val="2"/>
          <w:numId w:val="22"/>
        </w:numPr>
        <w:spacing w:before="240" w:after="240" w:line="360" w:lineRule="auto"/>
        <w:ind w:left="142" w:firstLine="0"/>
        <w:jc w:val="both"/>
        <w:rPr>
          <w:rFonts w:ascii="Arial" w:hAnsi="Arial" w:cs="Arial"/>
          <w:b/>
          <w:bCs/>
          <w:sz w:val="22"/>
          <w:szCs w:val="22"/>
        </w:rPr>
      </w:pPr>
      <w:r>
        <w:rPr>
          <w:rFonts w:ascii="Arial" w:hAnsi="Arial" w:cs="Arial"/>
          <w:sz w:val="22"/>
          <w:szCs w:val="22"/>
        </w:rPr>
        <w:t>O contratante poderá conceder prazo para que o contratado regularize suas obrigações trabalhistas ou suas condições de habilitação, sob pena de rescisão contratual, quando não identificar má-fé ou a incapacidade de correção.</w:t>
      </w:r>
    </w:p>
    <w:p w14:paraId="15D4F692">
      <w:pPr>
        <w:tabs>
          <w:tab w:val="left" w:pos="426"/>
        </w:tabs>
        <w:spacing w:before="240" w:after="240" w:line="240" w:lineRule="auto"/>
        <w:jc w:val="both"/>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 xml:space="preserve">7.4. FISCAIS DO CONTRATO: </w:t>
      </w:r>
    </w:p>
    <w:p w14:paraId="501C3B89">
      <w:pPr>
        <w:pStyle w:val="127"/>
        <w:tabs>
          <w:tab w:val="left" w:pos="426"/>
        </w:tabs>
        <w:spacing w:before="240" w:after="240" w:line="240" w:lineRule="auto"/>
        <w:ind w:left="0"/>
        <w:contextualSpacing w:val="0"/>
        <w:jc w:val="both"/>
        <w:rPr>
          <w:rFonts w:ascii="Arial" w:hAnsi="Arial" w:cs="Arial"/>
          <w:b/>
          <w:bCs/>
          <w:color w:val="000000" w:themeColor="text1"/>
          <w:sz w:val="22"/>
          <w:szCs w:val="22"/>
          <w14:textFill>
            <w14:solidFill>
              <w14:schemeClr w14:val="tx1"/>
            </w14:solidFill>
          </w14:textFill>
        </w:rPr>
        <w:sectPr>
          <w:headerReference r:id="rId3" w:type="default"/>
          <w:footerReference r:id="rId4" w:type="default"/>
          <w:pgSz w:w="11906" w:h="16838"/>
          <w:pgMar w:top="1417" w:right="1701" w:bottom="1417" w:left="1560" w:header="567" w:footer="567" w:gutter="0"/>
          <w:cols w:space="708" w:num="1"/>
          <w:docGrid w:linePitch="360" w:charSpace="0"/>
        </w:sectPr>
      </w:pPr>
    </w:p>
    <w:p w14:paraId="7F1713A8">
      <w:pPr>
        <w:pStyle w:val="127"/>
        <w:tabs>
          <w:tab w:val="left" w:pos="426"/>
        </w:tabs>
        <w:spacing w:before="240" w:after="240" w:line="240" w:lineRule="auto"/>
        <w:ind w:left="0"/>
        <w:contextualSpacing w:val="0"/>
        <w:jc w:val="both"/>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FISCAL:</w:t>
      </w:r>
    </w:p>
    <w:p w14:paraId="335A2013">
      <w:pPr>
        <w:pStyle w:val="127"/>
        <w:tabs>
          <w:tab w:val="left" w:pos="426"/>
        </w:tabs>
        <w:spacing w:before="240" w:after="240" w:line="240" w:lineRule="auto"/>
        <w:ind w:left="0"/>
        <w:contextualSpacing w:val="0"/>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Gestor:</w:t>
      </w:r>
      <w:r>
        <w:rPr>
          <w:rFonts w:ascii="Arial" w:hAnsi="Arial" w:cs="Arial"/>
          <w:color w:val="000000" w:themeColor="text1"/>
          <w:sz w:val="22"/>
          <w:szCs w:val="22"/>
          <w14:textFill>
            <w14:solidFill>
              <w14:schemeClr w14:val="tx1"/>
            </w14:solidFill>
          </w14:textFill>
        </w:rPr>
        <w:t xml:space="preserve"> NEOCIMAR SARAIVA CORREIA</w:t>
      </w:r>
    </w:p>
    <w:p w14:paraId="238D3F1D">
      <w:pPr>
        <w:pStyle w:val="127"/>
        <w:tabs>
          <w:tab w:val="left" w:pos="426"/>
        </w:tabs>
        <w:spacing w:before="240" w:after="240" w:line="240" w:lineRule="auto"/>
        <w:ind w:left="0"/>
        <w:contextualSpacing w:val="0"/>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 xml:space="preserve">Cargo: </w:t>
      </w:r>
      <w:r>
        <w:rPr>
          <w:rFonts w:ascii="Arial" w:hAnsi="Arial" w:cs="Arial"/>
          <w:bCs/>
          <w:color w:val="000000" w:themeColor="text1"/>
          <w:sz w:val="22"/>
          <w:szCs w:val="22"/>
          <w14:textFill>
            <w14:solidFill>
              <w14:schemeClr w14:val="tx1"/>
            </w14:solidFill>
          </w14:textFill>
        </w:rPr>
        <w:t>BIOMÉDICA</w:t>
      </w:r>
    </w:p>
    <w:p w14:paraId="7CBAF693">
      <w:pPr>
        <w:pStyle w:val="127"/>
        <w:tabs>
          <w:tab w:val="left" w:pos="426"/>
        </w:tabs>
        <w:spacing w:before="240" w:after="240" w:line="240" w:lineRule="auto"/>
        <w:ind w:left="0"/>
        <w:contextualSpacing w:val="0"/>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Matrícula</w:t>
      </w:r>
      <w:r>
        <w:rPr>
          <w:rFonts w:ascii="Arial" w:hAnsi="Arial" w:cs="Arial"/>
          <w:color w:val="000000" w:themeColor="text1"/>
          <w:sz w:val="22"/>
          <w:szCs w:val="22"/>
          <w14:textFill>
            <w14:solidFill>
              <w14:schemeClr w14:val="tx1"/>
            </w14:solidFill>
          </w14:textFill>
        </w:rPr>
        <w:t>:8095</w:t>
      </w:r>
    </w:p>
    <w:p w14:paraId="2B926AB4">
      <w:pPr>
        <w:pStyle w:val="127"/>
        <w:tabs>
          <w:tab w:val="left" w:pos="426"/>
        </w:tabs>
        <w:spacing w:before="240" w:after="240" w:line="240" w:lineRule="auto"/>
        <w:ind w:left="0"/>
        <w:contextualSpacing w:val="0"/>
        <w:jc w:val="both"/>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SUPLENTE:</w:t>
      </w:r>
    </w:p>
    <w:p w14:paraId="2B143443">
      <w:pPr>
        <w:pStyle w:val="127"/>
        <w:tabs>
          <w:tab w:val="left" w:pos="426"/>
        </w:tabs>
        <w:spacing w:before="240" w:after="240" w:line="240" w:lineRule="auto"/>
        <w:ind w:left="0"/>
        <w:contextualSpacing w:val="0"/>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Gestor:</w:t>
      </w:r>
      <w:r>
        <w:rPr>
          <w:rFonts w:ascii="Arial" w:hAnsi="Arial" w:cs="Arial"/>
          <w:color w:val="000000" w:themeColor="text1"/>
          <w:sz w:val="22"/>
          <w:szCs w:val="22"/>
          <w14:textFill>
            <w14:solidFill>
              <w14:schemeClr w14:val="tx1"/>
            </w14:solidFill>
          </w14:textFill>
        </w:rPr>
        <w:t xml:space="preserve"> FRANCIELLE RODRIGUES DOURADOS</w:t>
      </w:r>
    </w:p>
    <w:p w14:paraId="4125C302">
      <w:pPr>
        <w:tabs>
          <w:tab w:val="left" w:pos="567"/>
        </w:tabs>
        <w:autoSpaceDE w:val="0"/>
        <w:autoSpaceDN w:val="0"/>
        <w:spacing w:before="240" w:after="240" w:line="240" w:lineRule="auto"/>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Cargo:</w:t>
      </w:r>
      <w:r>
        <w:rPr>
          <w:rFonts w:ascii="Arial" w:hAnsi="Arial" w:cs="Arial"/>
          <w:color w:val="000000" w:themeColor="text1"/>
          <w:sz w:val="22"/>
          <w:szCs w:val="22"/>
          <w14:textFill>
            <w14:solidFill>
              <w14:schemeClr w14:val="tx1"/>
            </w14:solidFill>
          </w14:textFill>
        </w:rPr>
        <w:t xml:space="preserve"> BIOMÉDICA</w:t>
      </w:r>
    </w:p>
    <w:p w14:paraId="626A06AB">
      <w:pPr>
        <w:tabs>
          <w:tab w:val="left" w:pos="567"/>
        </w:tabs>
        <w:autoSpaceDE w:val="0"/>
        <w:autoSpaceDN w:val="0"/>
        <w:spacing w:before="240" w:after="240" w:line="240" w:lineRule="auto"/>
        <w:jc w:val="both"/>
        <w:rPr>
          <w:rFonts w:ascii="Arial" w:hAnsi="Arial" w:cs="Arial"/>
          <w:color w:val="000000" w:themeColor="text1"/>
          <w:sz w:val="22"/>
          <w:szCs w:val="22"/>
          <w14:textFill>
            <w14:solidFill>
              <w14:schemeClr w14:val="tx1"/>
            </w14:solidFill>
          </w14:textFill>
        </w:rPr>
        <w:sectPr>
          <w:type w:val="continuous"/>
          <w:pgSz w:w="11906" w:h="16838"/>
          <w:pgMar w:top="1417" w:right="1701" w:bottom="1417" w:left="1701" w:header="567" w:footer="567" w:gutter="0"/>
          <w:cols w:space="708" w:num="2"/>
          <w:docGrid w:linePitch="360" w:charSpace="0"/>
        </w:sectPr>
      </w:pPr>
      <w:r>
        <w:rPr>
          <w:rFonts w:ascii="Arial" w:hAnsi="Arial" w:cs="Arial"/>
          <w:b/>
          <w:bCs/>
          <w:color w:val="000000" w:themeColor="text1"/>
          <w:sz w:val="22"/>
          <w:szCs w:val="22"/>
          <w14:textFill>
            <w14:solidFill>
              <w14:schemeClr w14:val="tx1"/>
            </w14:solidFill>
          </w14:textFill>
        </w:rPr>
        <w:t>Matrícula:</w:t>
      </w:r>
      <w:r>
        <w:rPr>
          <w:rFonts w:ascii="Arial" w:hAnsi="Arial" w:cs="Arial"/>
          <w:color w:val="000000" w:themeColor="text1"/>
          <w:sz w:val="22"/>
          <w:szCs w:val="22"/>
          <w14:textFill>
            <w14:solidFill>
              <w14:schemeClr w14:val="tx1"/>
            </w14:solidFill>
          </w14:textFill>
        </w:rPr>
        <w:t xml:space="preserve"> </w:t>
      </w:r>
      <w:r>
        <w:rPr>
          <w:rFonts w:ascii="Times New Roman" w:hAnsi="Times New Roman" w:cs="Times New Roman"/>
          <w:color w:val="000000" w:themeColor="text1"/>
          <w:sz w:val="22"/>
          <w:szCs w:val="22"/>
          <w14:textFill>
            <w14:solidFill>
              <w14:schemeClr w14:val="tx1"/>
            </w14:solidFill>
          </w14:textFill>
        </w:rPr>
        <w:t>12.266</w:t>
      </w:r>
    </w:p>
    <w:p w14:paraId="271D31CB">
      <w:pPr>
        <w:pStyle w:val="16"/>
        <w:ind w:left="96"/>
        <w:jc w:val="both"/>
        <w:rPr>
          <w:rFonts w:ascii="Times New Roman" w:hAnsi="Times New Roman" w:cs="Times New Roman"/>
          <w:sz w:val="22"/>
          <w:szCs w:val="22"/>
        </w:rPr>
      </w:pPr>
      <w:r>
        <w:rPr>
          <w:rFonts w:ascii="Times New Roman" w:hAnsi="Times New Roman" w:cs="Times New Roman"/>
          <w:sz w:val="22"/>
          <w:szCs w:val="22"/>
          <w:lang w:val="pt-BR" w:eastAsia="pt-BR"/>
        </w:rPr>
        <mc:AlternateContent>
          <mc:Choice Requires="wps">
            <w:drawing>
              <wp:inline distT="0" distB="0" distL="0" distR="0">
                <wp:extent cx="5556250" cy="282575"/>
                <wp:effectExtent l="4445" t="4445" r="20955" b="17780"/>
                <wp:docPr id="14" name="Textbox 3"/>
                <wp:cNvGraphicFramePr/>
                <a:graphic xmlns:a="http://schemas.openxmlformats.org/drawingml/2006/main">
                  <a:graphicData uri="http://schemas.microsoft.com/office/word/2010/wordprocessingShape">
                    <wps:wsp>
                      <wps:cNvSpPr txBox="1"/>
                      <wps:spPr>
                        <a:xfrm>
                          <a:off x="0" y="0"/>
                          <a:ext cx="5556250" cy="282804"/>
                        </a:xfrm>
                        <a:prstGeom prst="rect">
                          <a:avLst/>
                        </a:prstGeom>
                        <a:solidFill>
                          <a:srgbClr val="D6D6D6"/>
                        </a:solidFill>
                        <a:ln w="6096">
                          <a:solidFill>
                            <a:srgbClr val="000000"/>
                          </a:solidFill>
                          <a:prstDash val="solid"/>
                        </a:ln>
                      </wps:spPr>
                      <wps:txbx>
                        <w:txbxContent>
                          <w:p w14:paraId="5F4DAAE9">
                            <w:pPr>
                              <w:spacing w:before="61"/>
                              <w:ind w:left="16"/>
                              <w:jc w:val="center"/>
                              <w:rPr>
                                <w:rFonts w:ascii="Arial" w:hAnsi="Arial" w:cs="Arial"/>
                                <w:b/>
                                <w:color w:val="000000"/>
                              </w:rPr>
                            </w:pPr>
                            <w:r>
                              <w:rPr>
                                <w:rFonts w:ascii="Arial" w:hAnsi="Arial" w:cs="Arial"/>
                                <w:b/>
                                <w:color w:val="000000"/>
                              </w:rPr>
                              <w:t>8. MEDIÇÃO E PAGAMENTO</w:t>
                            </w:r>
                          </w:p>
                        </w:txbxContent>
                      </wps:txbx>
                      <wps:bodyPr wrap="square" lIns="0" tIns="0" rIns="0" bIns="0" rtlCol="0">
                        <a:noAutofit/>
                      </wps:bodyPr>
                    </wps:wsp>
                  </a:graphicData>
                </a:graphic>
              </wp:inline>
            </w:drawing>
          </mc:Choice>
          <mc:Fallback>
            <w:pict>
              <v:shape id="Textbox 3" o:spid="_x0000_s1026" o:spt="202" type="#_x0000_t202" style="height:22.25pt;width:437.5pt;" fillcolor="#D6D6D6" filled="t" stroked="t" coordsize="21600,21600" o:gfxdata="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KQ0e9PT&#10;AAAABAEAAA8AAAAAAAAAAQAgAAAAIgAAAGRycy9kb3ducmV2LnhtbFBLAQIUABQAAAAIAIdO4kBY&#10;SVV77AEAAAwEAAAOAAAAAAAAAAEAIAAAACIBAABkcnMvZTJvRG9jLnhtbFBLBQYAAAAABgAGAFkB&#10;AACABQAAAAA=&#10;">
                <v:fill on="t" focussize="0,0"/>
                <v:stroke weight="0.48pt" color="#000000" joinstyle="round"/>
                <v:imagedata o:title=""/>
                <o:lock v:ext="edit" aspectratio="f"/>
                <v:textbox inset="0mm,0mm,0mm,0mm">
                  <w:txbxContent>
                    <w:p w14:paraId="5F4DAAE9">
                      <w:pPr>
                        <w:spacing w:before="61"/>
                        <w:ind w:left="16"/>
                        <w:jc w:val="center"/>
                        <w:rPr>
                          <w:rFonts w:ascii="Arial" w:hAnsi="Arial" w:cs="Arial"/>
                          <w:b/>
                          <w:color w:val="000000"/>
                        </w:rPr>
                      </w:pPr>
                      <w:r>
                        <w:rPr>
                          <w:rFonts w:ascii="Arial" w:hAnsi="Arial" w:cs="Arial"/>
                          <w:b/>
                          <w:color w:val="000000"/>
                        </w:rPr>
                        <w:t>8. MEDIÇÃO E PAGAMENTO</w:t>
                      </w:r>
                    </w:p>
                  </w:txbxContent>
                </v:textbox>
                <w10:wrap type="none"/>
                <w10:anchorlock/>
              </v:shape>
            </w:pict>
          </mc:Fallback>
        </mc:AlternateContent>
      </w:r>
    </w:p>
    <w:p w14:paraId="3E39DAD0">
      <w:pPr>
        <w:widowControl w:val="0"/>
        <w:suppressAutoHyphens/>
        <w:spacing w:before="120" w:after="120" w:line="360" w:lineRule="auto"/>
        <w:ind w:left="108"/>
        <w:jc w:val="both"/>
        <w:rPr>
          <w:rFonts w:ascii="Arial" w:hAnsi="Arial" w:eastAsia="Calibri" w:cs="Arial"/>
          <w:bCs/>
          <w:sz w:val="22"/>
          <w:szCs w:val="22"/>
        </w:rPr>
      </w:pPr>
      <w:r>
        <w:rPr>
          <w:rFonts w:ascii="Arial" w:hAnsi="Arial" w:eastAsia="Calibri" w:cs="Arial"/>
          <w:bCs/>
          <w:sz w:val="22"/>
          <w:szCs w:val="22"/>
        </w:rPr>
        <w:t>8.1. O pagamento das despesas orçamentárias será efetuado em até 30 dias conforme previstos no Decreto nº 129/2024 no Art. 7º e seguintes, e será efetuado mediante a apresentação da(s) respectiva(s) nota(s) fiscais/fatura devidamente acompanhada das certidões demonstrando sua regularidade fiscal e trabalhista, que serão liberadas para pagamento somente quando aferidas seu recebimento por meio de fiscal designado.</w:t>
      </w:r>
    </w:p>
    <w:p w14:paraId="4C8C25CB">
      <w:pPr>
        <w:widowControl w:val="0"/>
        <w:suppressAutoHyphens/>
        <w:spacing w:before="120" w:after="120" w:line="360" w:lineRule="auto"/>
        <w:ind w:left="108"/>
        <w:contextualSpacing/>
        <w:jc w:val="both"/>
        <w:rPr>
          <w:rFonts w:ascii="Arial" w:hAnsi="Arial" w:eastAsia="Calibri" w:cs="Arial"/>
          <w:bCs/>
          <w:sz w:val="22"/>
          <w:szCs w:val="22"/>
        </w:rPr>
      </w:pPr>
      <w:r>
        <w:rPr>
          <w:rFonts w:ascii="Arial" w:hAnsi="Arial" w:eastAsia="Calibri" w:cs="Arial"/>
          <w:bCs/>
          <w:sz w:val="22"/>
          <w:szCs w:val="22"/>
        </w:rPr>
        <w:t xml:space="preserve">8.2. </w:t>
      </w:r>
      <w:r>
        <w:rPr>
          <w:rFonts w:ascii="Arial" w:hAnsi="Arial" w:eastAsia="Times New Roman" w:cs="Arial"/>
          <w:bCs/>
          <w:sz w:val="22"/>
          <w:szCs w:val="22"/>
          <w:lang w:eastAsia="pt-BR"/>
        </w:rPr>
        <w:t xml:space="preserve">As notas fiscais não poderão ter rasuras e deverão descrever corretamente o item e número de empenho, o número do processo de compras, valor dos impostos retidos e dados bancários para depósito, </w:t>
      </w:r>
      <w:r>
        <w:rPr>
          <w:rFonts w:ascii="Arial" w:hAnsi="Arial" w:eastAsia="Calibri" w:cs="Arial"/>
          <w:bCs/>
          <w:sz w:val="22"/>
          <w:szCs w:val="22"/>
        </w:rPr>
        <w:t xml:space="preserve">deverão ser encaminhadas à Prefeitura de Sinop, por meio do Portal do Fornecedor, disponível no endereço eletrônico: </w:t>
      </w:r>
      <w:r>
        <w:rPr>
          <w:sz w:val="22"/>
          <w:szCs w:val="22"/>
        </w:rPr>
        <w:fldChar w:fldCharType="begin"/>
      </w:r>
      <w:r>
        <w:rPr>
          <w:sz w:val="22"/>
          <w:szCs w:val="22"/>
        </w:rPr>
        <w:instrText xml:space="preserve"> HYPERLINK "https://www.gp.srv.br/portalfornecedor_sinop/servlet/home" </w:instrText>
      </w:r>
      <w:r>
        <w:rPr>
          <w:sz w:val="22"/>
          <w:szCs w:val="22"/>
        </w:rPr>
        <w:fldChar w:fldCharType="separate"/>
      </w:r>
      <w:r>
        <w:rPr>
          <w:rFonts w:ascii="Arial" w:hAnsi="Arial" w:eastAsia="Calibri" w:cs="Arial"/>
          <w:bCs/>
          <w:color w:val="0070C0"/>
          <w:sz w:val="22"/>
          <w:szCs w:val="22"/>
          <w:u w:val="single"/>
        </w:rPr>
        <w:t>https://www.gp.srv.br/portalfornecedor_sinop/servlet/home</w:t>
      </w:r>
      <w:r>
        <w:rPr>
          <w:rFonts w:ascii="Arial" w:hAnsi="Arial" w:eastAsia="Calibri" w:cs="Arial"/>
          <w:bCs/>
          <w:color w:val="0070C0"/>
          <w:sz w:val="22"/>
          <w:szCs w:val="22"/>
          <w:u w:val="single"/>
        </w:rPr>
        <w:fldChar w:fldCharType="end"/>
      </w:r>
      <w:r>
        <w:rPr>
          <w:rFonts w:ascii="Arial" w:hAnsi="Arial" w:eastAsia="Calibri" w:cs="Arial"/>
          <w:bCs/>
          <w:sz w:val="22"/>
          <w:szCs w:val="22"/>
        </w:rPr>
        <w:t xml:space="preserve"> , conforme Decreto nº 230/2023 de 06 de setembro de 2023, </w:t>
      </w:r>
      <w:r>
        <w:rPr>
          <w:rFonts w:ascii="Arial" w:hAnsi="Arial" w:eastAsia="Times New Roman" w:cs="Arial"/>
          <w:bCs/>
          <w:sz w:val="22"/>
          <w:szCs w:val="22"/>
          <w:lang w:eastAsia="pt-BR"/>
        </w:rPr>
        <w:t>devendo ainda, destacar e discriminar a retenção a que está sujeita, informando de forma clara e inequívoca todos os impostos e alíquotas incidentes, cabendo a ela toda a responsabilidade pela eventual ausência dessa informação ou pela informação incorreta;</w:t>
      </w:r>
    </w:p>
    <w:p w14:paraId="3792BA7B">
      <w:pPr>
        <w:widowControl w:val="0"/>
        <w:tabs>
          <w:tab w:val="left" w:pos="1134"/>
        </w:tabs>
        <w:suppressAutoHyphens/>
        <w:spacing w:before="120" w:after="120" w:line="360" w:lineRule="auto"/>
        <w:ind w:left="108"/>
        <w:contextualSpacing/>
        <w:jc w:val="both"/>
        <w:rPr>
          <w:rFonts w:ascii="Arial" w:hAnsi="Arial" w:eastAsia="Calibri" w:cs="Arial"/>
          <w:bCs/>
          <w:sz w:val="22"/>
          <w:szCs w:val="22"/>
        </w:rPr>
      </w:pPr>
      <w:r>
        <w:rPr>
          <w:rFonts w:ascii="Arial" w:hAnsi="Arial" w:eastAsia="Calibri" w:cs="Arial"/>
          <w:bCs/>
          <w:sz w:val="22"/>
          <w:szCs w:val="22"/>
        </w:rPr>
        <w:t>8.3. Não será efetuado qualquer pagamento à contratada, em caso de descumprimento das condições de habilitação e qualificação exigidas na licitação;</w:t>
      </w:r>
    </w:p>
    <w:p w14:paraId="1308E371">
      <w:pPr>
        <w:widowControl w:val="0"/>
        <w:tabs>
          <w:tab w:val="left" w:pos="1134"/>
        </w:tabs>
        <w:suppressAutoHyphens/>
        <w:spacing w:before="120" w:after="120" w:line="360" w:lineRule="auto"/>
        <w:ind w:left="108"/>
        <w:contextualSpacing/>
        <w:jc w:val="both"/>
        <w:rPr>
          <w:rFonts w:ascii="Arial" w:hAnsi="Arial" w:eastAsia="Calibri" w:cs="Arial"/>
          <w:bCs/>
          <w:sz w:val="22"/>
          <w:szCs w:val="22"/>
        </w:rPr>
      </w:pPr>
      <w:r>
        <w:rPr>
          <w:rFonts w:ascii="Arial" w:hAnsi="Arial" w:eastAsia="Calibri" w:cs="Arial"/>
          <w:bCs/>
          <w:sz w:val="22"/>
          <w:szCs w:val="22"/>
        </w:rPr>
        <w:t>8.4. A</w:t>
      </w:r>
      <w:r>
        <w:rPr>
          <w:rFonts w:ascii="Arial" w:hAnsi="Arial" w:eastAsia="Times New Roman" w:cs="Arial"/>
          <w:bCs/>
          <w:sz w:val="22"/>
          <w:szCs w:val="22"/>
          <w:lang w:eastAsia="pt-BR"/>
        </w:rPr>
        <w:t>s notas fiscais serão liberadas para pagamento somente quando acompanhadas do relatório de recebimento, devidamente assinado e carimbado pelo funcionário responsável.</w:t>
      </w:r>
    </w:p>
    <w:p w14:paraId="570A28F6">
      <w:pPr>
        <w:widowControl w:val="0"/>
        <w:tabs>
          <w:tab w:val="left" w:pos="1134"/>
        </w:tabs>
        <w:suppressAutoHyphens/>
        <w:spacing w:before="120" w:after="120" w:line="360" w:lineRule="auto"/>
        <w:ind w:left="108"/>
        <w:contextualSpacing/>
        <w:jc w:val="both"/>
        <w:rPr>
          <w:rFonts w:ascii="Arial" w:hAnsi="Arial" w:eastAsia="Calibri" w:cs="Arial"/>
          <w:bCs/>
          <w:sz w:val="22"/>
          <w:szCs w:val="22"/>
        </w:rPr>
      </w:pPr>
      <w:r>
        <w:rPr>
          <w:rFonts w:ascii="Arial" w:hAnsi="Arial" w:eastAsia="Calibri" w:cs="Arial"/>
          <w:bCs/>
          <w:sz w:val="22"/>
          <w:szCs w:val="22"/>
        </w:rPr>
        <w:t xml:space="preserve">8.5. </w:t>
      </w:r>
      <w:r>
        <w:rPr>
          <w:rFonts w:ascii="Arial" w:hAnsi="Arial" w:eastAsia="Times New Roman" w:cs="Arial"/>
          <w:bCs/>
          <w:sz w:val="22"/>
          <w:szCs w:val="22"/>
          <w:lang w:eastAsia="pt-BR"/>
        </w:rPr>
        <w:t>Na eventualidade de aplicação de multas, estas deverão ser liquidadas simultaneamente com parcela vinculada ao evento cujo descumprimento der origem à aplicação da penalidade.</w:t>
      </w:r>
    </w:p>
    <w:p w14:paraId="3BD24713">
      <w:pPr>
        <w:widowControl w:val="0"/>
        <w:tabs>
          <w:tab w:val="left" w:pos="1134"/>
        </w:tabs>
        <w:suppressAutoHyphens/>
        <w:spacing w:before="120" w:after="120" w:line="360" w:lineRule="auto"/>
        <w:ind w:left="108"/>
        <w:contextualSpacing/>
        <w:jc w:val="both"/>
        <w:rPr>
          <w:rFonts w:ascii="Arial" w:hAnsi="Arial" w:eastAsia="Calibri" w:cs="Arial"/>
          <w:bCs/>
          <w:sz w:val="22"/>
          <w:szCs w:val="22"/>
        </w:rPr>
      </w:pPr>
      <w:r>
        <w:rPr>
          <w:rFonts w:ascii="Arial" w:hAnsi="Arial" w:eastAsia="Calibri" w:cs="Arial"/>
          <w:bCs/>
          <w:sz w:val="22"/>
          <w:szCs w:val="22"/>
        </w:rPr>
        <w:t xml:space="preserve">8.6. </w:t>
      </w:r>
      <w:r>
        <w:rPr>
          <w:rFonts w:ascii="Arial" w:hAnsi="Arial" w:eastAsia="Times New Roman" w:cs="Arial"/>
          <w:bCs/>
          <w:sz w:val="22"/>
          <w:szCs w:val="22"/>
          <w:lang w:eastAsia="pt-BR"/>
        </w:rPr>
        <w:t xml:space="preserve">O CNPJ da detentora da </w:t>
      </w:r>
      <w:r>
        <w:rPr>
          <w:rFonts w:ascii="Arial" w:hAnsi="Arial" w:eastAsia="Arial MT" w:cs="Arial"/>
          <w:bCs/>
          <w:sz w:val="22"/>
          <w:szCs w:val="22"/>
          <w:lang w:val="pt-PT"/>
        </w:rPr>
        <w:t>Ata/Contrato</w:t>
      </w:r>
      <w:r>
        <w:rPr>
          <w:rFonts w:ascii="Arial" w:hAnsi="Arial" w:eastAsia="Times New Roman" w:cs="Arial"/>
          <w:bCs/>
          <w:sz w:val="22"/>
          <w:szCs w:val="22"/>
          <w:lang w:eastAsia="pt-BR"/>
        </w:rPr>
        <w:t xml:space="preserve"> constante da Nota Fiscal e/ou fatura deverá ser o mesmo da documentação apresentada no procedimento licitatório.</w:t>
      </w:r>
    </w:p>
    <w:p w14:paraId="0CFD785A">
      <w:pPr>
        <w:widowControl w:val="0"/>
        <w:tabs>
          <w:tab w:val="left" w:pos="1134"/>
        </w:tabs>
        <w:suppressAutoHyphens/>
        <w:spacing w:before="120" w:after="120" w:line="360" w:lineRule="auto"/>
        <w:ind w:left="108"/>
        <w:contextualSpacing/>
        <w:jc w:val="both"/>
        <w:rPr>
          <w:rFonts w:ascii="Times New Roman" w:hAnsi="Times New Roman" w:eastAsia="Calibri" w:cs="Times New Roman"/>
          <w:b/>
          <w:bCs/>
          <w:sz w:val="22"/>
          <w:szCs w:val="22"/>
        </w:rPr>
      </w:pPr>
      <w:r>
        <w:rPr>
          <w:rFonts w:ascii="Arial" w:hAnsi="Arial" w:eastAsia="Calibri" w:cs="Arial"/>
          <w:bCs/>
          <w:sz w:val="22"/>
          <w:szCs w:val="22"/>
        </w:rPr>
        <w:t xml:space="preserve">8.7. </w:t>
      </w:r>
      <w:r>
        <w:rPr>
          <w:rFonts w:ascii="Arial" w:hAnsi="Arial" w:eastAsia="Times New Roman" w:cs="Arial"/>
          <w:bCs/>
          <w:sz w:val="22"/>
          <w:szCs w:val="22"/>
          <w:lang w:eastAsia="pt-BR"/>
        </w:rPr>
        <w:t xml:space="preserve">Nenhum pagamento será efetuado a detentora da </w:t>
      </w:r>
      <w:r>
        <w:rPr>
          <w:rFonts w:ascii="Arial" w:hAnsi="Arial" w:eastAsia="Arial MT" w:cs="Arial"/>
          <w:bCs/>
          <w:sz w:val="22"/>
          <w:szCs w:val="22"/>
          <w:lang w:val="pt-PT"/>
        </w:rPr>
        <w:t>Ata/Contrato</w:t>
      </w:r>
      <w:r>
        <w:rPr>
          <w:rFonts w:ascii="Arial" w:hAnsi="Arial" w:eastAsia="Times New Roman" w:cs="Arial"/>
          <w:bCs/>
          <w:sz w:val="22"/>
          <w:szCs w:val="22"/>
          <w:lang w:eastAsia="pt-BR"/>
        </w:rPr>
        <w:t xml:space="preserve"> enquanto pendente de liquidação quaisquer obrigações financeiras que lhe foram impostas, em virtude de penalidade ou inadimplência, sem que isso gere direito ao pleito de reajustamento de preços ou correção monetária</w:t>
      </w:r>
      <w:r>
        <w:rPr>
          <w:rFonts w:ascii="Times New Roman" w:hAnsi="Times New Roman" w:eastAsia="Times New Roman" w:cs="Times New Roman"/>
          <w:bCs/>
          <w:sz w:val="22"/>
          <w:szCs w:val="22"/>
          <w:lang w:eastAsia="pt-BR"/>
        </w:rPr>
        <w:t>.</w:t>
      </w:r>
    </w:p>
    <w:p w14:paraId="578D211B">
      <w:pPr>
        <w:pStyle w:val="16"/>
        <w:ind w:left="96"/>
        <w:jc w:val="both"/>
        <w:rPr>
          <w:rFonts w:ascii="Times New Roman" w:hAnsi="Times New Roman" w:cs="Times New Roman"/>
          <w:sz w:val="22"/>
          <w:szCs w:val="22"/>
        </w:rPr>
      </w:pPr>
      <w:r>
        <w:rPr>
          <w:rFonts w:ascii="Times New Roman" w:hAnsi="Times New Roman" w:cs="Times New Roman"/>
          <w:sz w:val="22"/>
          <w:szCs w:val="22"/>
          <w:lang w:val="pt-BR" w:eastAsia="pt-BR"/>
        </w:rPr>
        <mc:AlternateContent>
          <mc:Choice Requires="wps">
            <w:drawing>
              <wp:inline distT="0" distB="0" distL="0" distR="0">
                <wp:extent cx="5556250" cy="282575"/>
                <wp:effectExtent l="4445" t="4445" r="20955" b="17780"/>
                <wp:docPr id="15" name="Textbox 3"/>
                <wp:cNvGraphicFramePr/>
                <a:graphic xmlns:a="http://schemas.openxmlformats.org/drawingml/2006/main">
                  <a:graphicData uri="http://schemas.microsoft.com/office/word/2010/wordprocessingShape">
                    <wps:wsp>
                      <wps:cNvSpPr txBox="1"/>
                      <wps:spPr>
                        <a:xfrm>
                          <a:off x="0" y="0"/>
                          <a:ext cx="5556250" cy="282804"/>
                        </a:xfrm>
                        <a:prstGeom prst="rect">
                          <a:avLst/>
                        </a:prstGeom>
                        <a:solidFill>
                          <a:srgbClr val="D6D6D6"/>
                        </a:solidFill>
                        <a:ln w="6096">
                          <a:solidFill>
                            <a:srgbClr val="000000"/>
                          </a:solidFill>
                          <a:prstDash val="solid"/>
                        </a:ln>
                      </wps:spPr>
                      <wps:txbx>
                        <w:txbxContent>
                          <w:p w14:paraId="147284AF">
                            <w:pPr>
                              <w:spacing w:before="61"/>
                              <w:ind w:left="16"/>
                              <w:jc w:val="center"/>
                              <w:rPr>
                                <w:rFonts w:ascii="Arial" w:hAnsi="Arial" w:cs="Arial"/>
                                <w:b/>
                                <w:color w:val="000000"/>
                              </w:rPr>
                            </w:pPr>
                            <w:r>
                              <w:rPr>
                                <w:rFonts w:ascii="Arial" w:hAnsi="Arial" w:cs="Arial"/>
                                <w:b/>
                                <w:color w:val="000000"/>
                              </w:rPr>
                              <w:t>9. FORMA E CRITÉRIOS DE SELEÇÃO DO FORNECEDOR</w:t>
                            </w:r>
                          </w:p>
                        </w:txbxContent>
                      </wps:txbx>
                      <wps:bodyPr wrap="square" lIns="0" tIns="0" rIns="0" bIns="0" rtlCol="0">
                        <a:noAutofit/>
                      </wps:bodyPr>
                    </wps:wsp>
                  </a:graphicData>
                </a:graphic>
              </wp:inline>
            </w:drawing>
          </mc:Choice>
          <mc:Fallback>
            <w:pict>
              <v:shape id="Textbox 3" o:spid="_x0000_s1026" o:spt="202" type="#_x0000_t202" style="height:22.25pt;width:437.5pt;" fillcolor="#D6D6D6" filled="t" stroked="t" coordsize="21600,21600" o:gfxdata="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pDR709MA&#10;AAAEAQAADwAAAAAAAAABACAAAAAiAAAAZHJzL2Rvd25yZXYueG1sUEsBAhQAFAAAAAgAh07iQLDO&#10;DvbrAQAADAQAAA4AAAAAAAAAAQAgAAAAIgEAAGRycy9lMm9Eb2MueG1sUEsFBgAAAAAGAAYAWQEA&#10;AH8FAAAAAA==&#10;">
                <v:fill on="t" focussize="0,0"/>
                <v:stroke weight="0.48pt" color="#000000" joinstyle="round"/>
                <v:imagedata o:title=""/>
                <o:lock v:ext="edit" aspectratio="f"/>
                <v:textbox inset="0mm,0mm,0mm,0mm">
                  <w:txbxContent>
                    <w:p w14:paraId="147284AF">
                      <w:pPr>
                        <w:spacing w:before="61"/>
                        <w:ind w:left="16"/>
                        <w:jc w:val="center"/>
                        <w:rPr>
                          <w:rFonts w:ascii="Arial" w:hAnsi="Arial" w:cs="Arial"/>
                          <w:b/>
                          <w:color w:val="000000"/>
                        </w:rPr>
                      </w:pPr>
                      <w:r>
                        <w:rPr>
                          <w:rFonts w:ascii="Arial" w:hAnsi="Arial" w:cs="Arial"/>
                          <w:b/>
                          <w:color w:val="000000"/>
                        </w:rPr>
                        <w:t>9. FORMA E CRITÉRIOS DE SELEÇÃO DO FORNECEDOR</w:t>
                      </w:r>
                    </w:p>
                  </w:txbxContent>
                </v:textbox>
                <w10:wrap type="none"/>
                <w10:anchorlock/>
              </v:shape>
            </w:pict>
          </mc:Fallback>
        </mc:AlternateContent>
      </w:r>
    </w:p>
    <w:p w14:paraId="72E39B86">
      <w:pPr>
        <w:pStyle w:val="16"/>
        <w:ind w:left="96"/>
        <w:jc w:val="both"/>
        <w:rPr>
          <w:rFonts w:ascii="Times New Roman" w:hAnsi="Times New Roman" w:cs="Times New Roman"/>
          <w:sz w:val="22"/>
          <w:szCs w:val="22"/>
        </w:rPr>
      </w:pPr>
    </w:p>
    <w:p w14:paraId="5A64BC64">
      <w:pPr>
        <w:pStyle w:val="16"/>
        <w:spacing w:after="240" w:line="360" w:lineRule="auto"/>
        <w:ind w:left="96"/>
        <w:jc w:val="both"/>
        <w:rPr>
          <w:rFonts w:ascii="Arial" w:hAnsi="Arial" w:eastAsia="Times New Roman" w:cs="Arial"/>
          <w:sz w:val="22"/>
          <w:szCs w:val="22"/>
          <w:lang w:val="pt-BR"/>
        </w:rPr>
      </w:pPr>
      <w:r>
        <w:rPr>
          <w:rFonts w:ascii="Arial" w:hAnsi="Arial" w:eastAsia="Times New Roman" w:cs="Arial"/>
          <w:sz w:val="22"/>
          <w:szCs w:val="22"/>
          <w:lang w:val="pt-BR"/>
        </w:rPr>
        <w:t>9.1. A referida licitação trata-se de fornecimento contínuo;</w:t>
      </w:r>
    </w:p>
    <w:p w14:paraId="659C2FF4">
      <w:pPr>
        <w:pStyle w:val="16"/>
        <w:spacing w:after="240" w:line="360" w:lineRule="auto"/>
        <w:ind w:left="96"/>
        <w:jc w:val="both"/>
        <w:rPr>
          <w:rFonts w:ascii="Arial" w:hAnsi="Arial" w:eastAsia="Times New Roman" w:cs="Arial"/>
          <w:sz w:val="22"/>
          <w:szCs w:val="22"/>
          <w:lang w:val="pt-BR"/>
        </w:rPr>
      </w:pPr>
      <w:r>
        <w:rPr>
          <w:rFonts w:ascii="Arial" w:hAnsi="Arial" w:eastAsia="Times New Roman" w:cs="Arial"/>
          <w:sz w:val="22"/>
          <w:szCs w:val="22"/>
          <w:lang w:val="pt-BR"/>
        </w:rPr>
        <w:t>9.2. A modalidade de licitação será realizada preferencialmente sob a forma eletrônica conforme Art. 17 do § 2º da Lei n° 14.133/2021;</w:t>
      </w:r>
    </w:p>
    <w:p w14:paraId="33E8857F">
      <w:pPr>
        <w:pStyle w:val="16"/>
        <w:spacing w:after="240" w:line="360" w:lineRule="auto"/>
        <w:ind w:left="96"/>
        <w:jc w:val="both"/>
        <w:rPr>
          <w:rFonts w:ascii="Arial" w:hAnsi="Arial" w:eastAsia="Times New Roman" w:cs="Arial"/>
          <w:sz w:val="22"/>
          <w:szCs w:val="22"/>
          <w:lang w:val="pt-BR"/>
        </w:rPr>
      </w:pPr>
      <w:r>
        <w:rPr>
          <w:rFonts w:ascii="Arial" w:hAnsi="Arial" w:eastAsia="Times New Roman" w:cs="Arial"/>
          <w:sz w:val="22"/>
          <w:szCs w:val="22"/>
          <w:lang w:val="pt-BR"/>
        </w:rPr>
        <w:t>9.3. Os critérios de seleção desta contratação será por: Por item e menor preço.</w:t>
      </w:r>
    </w:p>
    <w:p w14:paraId="222B5658">
      <w:pPr>
        <w:pStyle w:val="16"/>
        <w:spacing w:after="240" w:line="360" w:lineRule="auto"/>
        <w:ind w:left="96"/>
        <w:jc w:val="both"/>
        <w:rPr>
          <w:rFonts w:ascii="Arial" w:hAnsi="Arial" w:eastAsia="Times New Roman" w:cs="Arial"/>
          <w:b/>
          <w:bCs/>
          <w:sz w:val="22"/>
          <w:szCs w:val="22"/>
          <w:lang w:val="pt-BR"/>
        </w:rPr>
      </w:pPr>
      <w:r>
        <w:rPr>
          <w:rFonts w:ascii="Arial" w:hAnsi="Arial" w:eastAsia="Times New Roman" w:cs="Arial"/>
          <w:b/>
          <w:bCs/>
          <w:sz w:val="22"/>
          <w:szCs w:val="22"/>
          <w:lang w:val="pt-BR"/>
        </w:rPr>
        <w:t>9.3.1. DA FUNDAMENTAÇÃO LEGAL</w:t>
      </w:r>
    </w:p>
    <w:p w14:paraId="593623BF">
      <w:pPr>
        <w:pStyle w:val="16"/>
        <w:spacing w:after="240" w:line="360" w:lineRule="auto"/>
        <w:ind w:left="96"/>
        <w:jc w:val="both"/>
        <w:rPr>
          <w:rFonts w:ascii="Arial" w:hAnsi="Arial" w:eastAsia="Times New Roman" w:cs="Arial"/>
          <w:b/>
          <w:bCs/>
          <w:sz w:val="22"/>
          <w:szCs w:val="22"/>
          <w:lang w:val="pt-BR"/>
        </w:rPr>
      </w:pPr>
      <w:r>
        <w:rPr>
          <w:rFonts w:ascii="Arial" w:hAnsi="Arial" w:eastAsia="Times New Roman" w:cs="Arial"/>
          <w:sz w:val="22"/>
          <w:szCs w:val="22"/>
          <w:lang w:val="pt-BR"/>
        </w:rPr>
        <w:t>Conforme Art. 82, V, da Lei n° 14.133/2021.</w:t>
      </w:r>
    </w:p>
    <w:p w14:paraId="0D064CB4">
      <w:pPr>
        <w:pStyle w:val="16"/>
        <w:spacing w:after="240"/>
        <w:ind w:left="2268"/>
        <w:jc w:val="both"/>
        <w:rPr>
          <w:rFonts w:ascii="Arial" w:hAnsi="Arial" w:eastAsia="Times New Roman" w:cs="Arial"/>
          <w:sz w:val="22"/>
          <w:szCs w:val="22"/>
          <w:lang w:val="pt-BR"/>
        </w:rPr>
      </w:pPr>
      <w:r>
        <w:rPr>
          <w:rFonts w:ascii="Arial" w:hAnsi="Arial" w:eastAsia="Times New Roman" w:cs="Arial"/>
          <w:sz w:val="22"/>
          <w:szCs w:val="22"/>
          <w:lang w:val="pt-BR"/>
        </w:rPr>
        <w:t xml:space="preserve">V - O critério de julgamento da licitação, que será o de menor preço ou o de maior desconto sobre tabela de preços praticada no mercado. </w:t>
      </w:r>
    </w:p>
    <w:p w14:paraId="1B67C16B">
      <w:pPr>
        <w:pStyle w:val="16"/>
        <w:ind w:left="96"/>
        <w:jc w:val="both"/>
        <w:rPr>
          <w:rFonts w:ascii="Times New Roman" w:hAnsi="Times New Roman" w:cs="Times New Roman"/>
          <w:sz w:val="22"/>
          <w:szCs w:val="22"/>
        </w:rPr>
      </w:pPr>
      <w:r>
        <w:rPr>
          <w:rFonts w:ascii="Times New Roman" w:hAnsi="Times New Roman" w:cs="Times New Roman"/>
          <w:sz w:val="22"/>
          <w:szCs w:val="22"/>
          <w:lang w:val="pt-BR" w:eastAsia="pt-BR"/>
        </w:rPr>
        <mc:AlternateContent>
          <mc:Choice Requires="wps">
            <w:drawing>
              <wp:inline distT="0" distB="0" distL="0" distR="0">
                <wp:extent cx="5556250" cy="461645"/>
                <wp:effectExtent l="4445" t="4445" r="20955" b="10160"/>
                <wp:docPr id="16" name="Textbox 3"/>
                <wp:cNvGraphicFramePr/>
                <a:graphic xmlns:a="http://schemas.openxmlformats.org/drawingml/2006/main">
                  <a:graphicData uri="http://schemas.microsoft.com/office/word/2010/wordprocessingShape">
                    <wps:wsp>
                      <wps:cNvSpPr txBox="1"/>
                      <wps:spPr>
                        <a:xfrm>
                          <a:off x="0" y="0"/>
                          <a:ext cx="5556250" cy="461914"/>
                        </a:xfrm>
                        <a:prstGeom prst="rect">
                          <a:avLst/>
                        </a:prstGeom>
                        <a:solidFill>
                          <a:srgbClr val="D6D6D6"/>
                        </a:solidFill>
                        <a:ln w="6096">
                          <a:solidFill>
                            <a:srgbClr val="000000"/>
                          </a:solidFill>
                          <a:prstDash val="solid"/>
                        </a:ln>
                      </wps:spPr>
                      <wps:txbx>
                        <w:txbxContent>
                          <w:p w14:paraId="5895952A">
                            <w:pPr>
                              <w:spacing w:before="61"/>
                              <w:ind w:left="16"/>
                              <w:jc w:val="center"/>
                              <w:rPr>
                                <w:rFonts w:ascii="Arial" w:hAnsi="Arial" w:cs="Arial"/>
                                <w:b/>
                                <w:color w:val="000000"/>
                              </w:rPr>
                            </w:pPr>
                            <w:r>
                              <w:rPr>
                                <w:rFonts w:ascii="Arial" w:hAnsi="Arial" w:cs="Arial"/>
                                <w:b/>
                                <w:color w:val="000000"/>
                              </w:rPr>
                              <w:t>10. CUSTO ESTIMADO DO VALOR DA CONTRATAÇÃO/PREÇO DE REFERÊNCIA</w:t>
                            </w:r>
                          </w:p>
                        </w:txbxContent>
                      </wps:txbx>
                      <wps:bodyPr wrap="square" lIns="0" tIns="0" rIns="0" bIns="0" rtlCol="0">
                        <a:noAutofit/>
                      </wps:bodyPr>
                    </wps:wsp>
                  </a:graphicData>
                </a:graphic>
              </wp:inline>
            </w:drawing>
          </mc:Choice>
          <mc:Fallback>
            <w:pict>
              <v:shape id="Textbox 3" o:spid="_x0000_s1026" o:spt="202" type="#_x0000_t202" style="height:36.35pt;width:437.5pt;" fillcolor="#D6D6D6" filled="t" stroked="t" coordsize="21600,21600" o:gfxdata="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jLfJY&#10;1AAAAAQBAAAPAAAAAAAAAAEAIAAAACIAAABkcnMvZG93bnJldi54bWxQSwECFAAUAAAACACHTuJA&#10;OVQu9ewBAAAMBAAADgAAAAAAAAABACAAAAAjAQAAZHJzL2Uyb0RvYy54bWxQSwUGAAAAAAYABgBZ&#10;AQAAgQUAAAAA&#10;">
                <v:fill on="t" focussize="0,0"/>
                <v:stroke weight="0.48pt" color="#000000" joinstyle="round"/>
                <v:imagedata o:title=""/>
                <o:lock v:ext="edit" aspectratio="f"/>
                <v:textbox inset="0mm,0mm,0mm,0mm">
                  <w:txbxContent>
                    <w:p w14:paraId="5895952A">
                      <w:pPr>
                        <w:spacing w:before="61"/>
                        <w:ind w:left="16"/>
                        <w:jc w:val="center"/>
                        <w:rPr>
                          <w:rFonts w:ascii="Arial" w:hAnsi="Arial" w:cs="Arial"/>
                          <w:b/>
                          <w:color w:val="000000"/>
                        </w:rPr>
                      </w:pPr>
                      <w:r>
                        <w:rPr>
                          <w:rFonts w:ascii="Arial" w:hAnsi="Arial" w:cs="Arial"/>
                          <w:b/>
                          <w:color w:val="000000"/>
                        </w:rPr>
                        <w:t>10. CUSTO ESTIMADO DO VALOR DA CONTRATAÇÃO/PREÇO DE REFERÊNCIA</w:t>
                      </w:r>
                    </w:p>
                  </w:txbxContent>
                </v:textbox>
                <w10:wrap type="none"/>
                <w10:anchorlock/>
              </v:shape>
            </w:pict>
          </mc:Fallback>
        </mc:AlternateContent>
      </w:r>
    </w:p>
    <w:p w14:paraId="509EAC45">
      <w:pPr>
        <w:spacing w:before="240" w:after="240" w:line="360" w:lineRule="auto"/>
        <w:ind w:left="108"/>
        <w:jc w:val="both"/>
        <w:rPr>
          <w:rFonts w:ascii="Arial" w:hAnsi="Arial" w:cs="Arial"/>
          <w:sz w:val="22"/>
          <w:szCs w:val="22"/>
        </w:rPr>
      </w:pPr>
      <w:r>
        <w:rPr>
          <w:rFonts w:ascii="Arial" w:hAnsi="Arial" w:cs="Arial"/>
          <w:sz w:val="22"/>
          <w:szCs w:val="22"/>
        </w:rPr>
        <w:t xml:space="preserve">10.1. </w:t>
      </w:r>
      <w:r>
        <w:rPr>
          <w:rFonts w:ascii="Arial" w:hAnsi="Arial" w:cs="Arial"/>
          <w:color w:val="000000" w:themeColor="text1"/>
          <w:sz w:val="22"/>
          <w:szCs w:val="22"/>
          <w14:textFill>
            <w14:solidFill>
              <w14:schemeClr w14:val="tx1"/>
            </w14:solidFill>
          </w14:textFill>
        </w:rPr>
        <w:t xml:space="preserve">O valor total da contratação pretendida é de </w:t>
      </w:r>
      <w:r>
        <w:rPr>
          <w:rFonts w:ascii="Arial" w:hAnsi="Arial" w:cs="Arial"/>
          <w:b/>
          <w:sz w:val="22"/>
          <w:szCs w:val="22"/>
        </w:rPr>
        <w:t>R$ 589.026,40</w:t>
      </w:r>
      <w:r>
        <w:rPr>
          <w:rFonts w:ascii="Arial" w:hAnsi="Arial" w:cs="Arial"/>
          <w:sz w:val="22"/>
          <w:szCs w:val="22"/>
        </w:rPr>
        <w:t xml:space="preserve"> (QUINHENTOS E OITENTA E NOVE MIL, VINTE E SEIS REAIS E QUARENTA CENTAVOS). </w:t>
      </w:r>
    </w:p>
    <w:p w14:paraId="55887B73">
      <w:pPr>
        <w:pStyle w:val="127"/>
        <w:spacing w:before="240" w:after="240" w:line="360" w:lineRule="auto"/>
        <w:ind w:left="142"/>
        <w:contextualSpacing w:val="0"/>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10.2. No valor proposto está incluso todos os custos operacionais, insumos, encargos previdenciários, trabalhistas, tributários e comerciais, e quaisquer outros que incidam diretamente ou indiretamente sobre o valor do contrato.</w:t>
      </w:r>
    </w:p>
    <w:p w14:paraId="6FF4DF97">
      <w:pPr>
        <w:pStyle w:val="127"/>
        <w:spacing w:before="240" w:after="240" w:line="360" w:lineRule="auto"/>
        <w:ind w:left="142"/>
        <w:contextualSpacing w:val="0"/>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10.3. Com relação à justificativa do preço, em atendimento ao que preconiza o Art. 23, da Lei nº 14.133/2021, informamos que os custos unitários foram baseados em cotações em empresa do ramo local e atas vigentes, onde demonstra que o preço praticado com a Prefeitura Municipal de Sinop/MT, é o mesmo praticado no mercado atual.</w:t>
      </w:r>
    </w:p>
    <w:p w14:paraId="20328484">
      <w:pPr>
        <w:pStyle w:val="16"/>
        <w:ind w:left="96"/>
        <w:jc w:val="both"/>
        <w:rPr>
          <w:rFonts w:ascii="Times New Roman" w:hAnsi="Times New Roman" w:cs="Times New Roman"/>
          <w:sz w:val="24"/>
          <w:szCs w:val="24"/>
        </w:rPr>
      </w:pPr>
      <w:r>
        <w:rPr>
          <w:rFonts w:ascii="Times New Roman" w:hAnsi="Times New Roman" w:cs="Times New Roman"/>
          <w:sz w:val="24"/>
          <w:szCs w:val="24"/>
          <w:lang w:val="pt-BR" w:eastAsia="pt-BR"/>
        </w:rPr>
        <mc:AlternateContent>
          <mc:Choice Requires="wps">
            <w:drawing>
              <wp:inline distT="0" distB="0" distL="0" distR="0">
                <wp:extent cx="5556250" cy="263525"/>
                <wp:effectExtent l="4445" t="4445" r="20955" b="17780"/>
                <wp:docPr id="17" name="Textbox 3"/>
                <wp:cNvGraphicFramePr/>
                <a:graphic xmlns:a="http://schemas.openxmlformats.org/drawingml/2006/main">
                  <a:graphicData uri="http://schemas.microsoft.com/office/word/2010/wordprocessingShape">
                    <wps:wsp>
                      <wps:cNvSpPr txBox="1"/>
                      <wps:spPr>
                        <a:xfrm>
                          <a:off x="0" y="0"/>
                          <a:ext cx="5556250" cy="263951"/>
                        </a:xfrm>
                        <a:prstGeom prst="rect">
                          <a:avLst/>
                        </a:prstGeom>
                        <a:solidFill>
                          <a:srgbClr val="D6D6D6"/>
                        </a:solidFill>
                        <a:ln w="6096">
                          <a:solidFill>
                            <a:srgbClr val="000000"/>
                          </a:solidFill>
                          <a:prstDash val="solid"/>
                        </a:ln>
                      </wps:spPr>
                      <wps:txbx>
                        <w:txbxContent>
                          <w:p w14:paraId="7165EE33">
                            <w:pPr>
                              <w:spacing w:before="61"/>
                              <w:ind w:left="16"/>
                              <w:jc w:val="center"/>
                              <w:rPr>
                                <w:rFonts w:ascii="Arial" w:hAnsi="Arial" w:cs="Arial"/>
                                <w:b/>
                                <w:color w:val="000000"/>
                              </w:rPr>
                            </w:pPr>
                            <w:r>
                              <w:rPr>
                                <w:rFonts w:ascii="Arial" w:hAnsi="Arial" w:cs="Arial"/>
                                <w:b/>
                                <w:color w:val="000000"/>
                              </w:rPr>
                              <w:t>11. DOTAÇÕES ORÇAMENTÁRIAS</w:t>
                            </w:r>
                          </w:p>
                        </w:txbxContent>
                      </wps:txbx>
                      <wps:bodyPr wrap="square" lIns="0" tIns="0" rIns="0" bIns="0" rtlCol="0">
                        <a:noAutofit/>
                      </wps:bodyPr>
                    </wps:wsp>
                  </a:graphicData>
                </a:graphic>
              </wp:inline>
            </w:drawing>
          </mc:Choice>
          <mc:Fallback>
            <w:pict>
              <v:shape id="Textbox 3" o:spid="_x0000_s1026" o:spt="202" type="#_x0000_t202" style="height:20.75pt;width:437.5pt;" fillcolor="#D6D6D6" filled="t" stroked="t" coordsize="21600,21600" o:gfxdata="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u+Tx&#10;+NMAAAAEAQAADwAAAAAAAAABACAAAAAiAAAAZHJzL2Rvd25yZXYueG1sUEsBAhQAFAAAAAgAh07i&#10;QMgo85/uAQAADAQAAA4AAAAAAAAAAQAgAAAAIgEAAGRycy9lMm9Eb2MueG1sUEsFBgAAAAAGAAYA&#10;WQEAAIIFAAAAAA==&#10;">
                <v:fill on="t" focussize="0,0"/>
                <v:stroke weight="0.48pt" color="#000000" joinstyle="round"/>
                <v:imagedata o:title=""/>
                <o:lock v:ext="edit" aspectratio="f"/>
                <v:textbox inset="0mm,0mm,0mm,0mm">
                  <w:txbxContent>
                    <w:p w14:paraId="7165EE33">
                      <w:pPr>
                        <w:spacing w:before="61"/>
                        <w:ind w:left="16"/>
                        <w:jc w:val="center"/>
                        <w:rPr>
                          <w:rFonts w:ascii="Arial" w:hAnsi="Arial" w:cs="Arial"/>
                          <w:b/>
                          <w:color w:val="000000"/>
                        </w:rPr>
                      </w:pPr>
                      <w:r>
                        <w:rPr>
                          <w:rFonts w:ascii="Arial" w:hAnsi="Arial" w:cs="Arial"/>
                          <w:b/>
                          <w:color w:val="000000"/>
                        </w:rPr>
                        <w:t>11. DOTAÇÕES ORÇAMENTÁRIAS</w:t>
                      </w:r>
                    </w:p>
                  </w:txbxContent>
                </v:textbox>
                <w10:wrap type="none"/>
                <w10:anchorlock/>
              </v:shape>
            </w:pict>
          </mc:Fallback>
        </mc:AlternateContent>
      </w:r>
    </w:p>
    <w:p w14:paraId="37F46E5A">
      <w:pPr>
        <w:pStyle w:val="16"/>
        <w:ind w:left="96"/>
        <w:jc w:val="both"/>
        <w:rPr>
          <w:rFonts w:ascii="Times New Roman" w:hAnsi="Times New Roman" w:cs="Times New Roman"/>
          <w:sz w:val="24"/>
          <w:szCs w:val="24"/>
        </w:rPr>
      </w:pPr>
    </w:p>
    <w:tbl>
      <w:tblPr>
        <w:tblStyle w:val="161"/>
        <w:tblW w:w="8217"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098"/>
        <w:gridCol w:w="1985"/>
        <w:gridCol w:w="1134"/>
      </w:tblGrid>
      <w:tr w14:paraId="258769C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5098" w:type="dxa"/>
            <w:shd w:val="clear" w:color="auto" w:fill="D8D8D8" w:themeFill="background1" w:themeFillShade="D9"/>
            <w:noWrap/>
            <w:vAlign w:val="center"/>
          </w:tcPr>
          <w:p w14:paraId="56473E9F">
            <w:pPr>
              <w:spacing w:after="0" w:line="240" w:lineRule="auto"/>
              <w:jc w:val="center"/>
              <w:rPr>
                <w:rFonts w:ascii="Times New Roman" w:hAnsi="Times New Roman" w:eastAsia="Calibri" w:cs="Times New Roman"/>
                <w:b/>
                <w:bCs/>
                <w:sz w:val="20"/>
                <w:szCs w:val="20"/>
                <w:lang w:eastAsia="pt-BR"/>
              </w:rPr>
            </w:pPr>
            <w:r>
              <w:rPr>
                <w:rFonts w:ascii="Times New Roman" w:hAnsi="Times New Roman" w:eastAsia="Calibri" w:cs="Times New Roman"/>
                <w:b/>
                <w:bCs/>
                <w:sz w:val="20"/>
                <w:szCs w:val="20"/>
                <w:lang w:eastAsia="pt-BR"/>
              </w:rPr>
              <w:t>FONTE DE RECURSO</w:t>
            </w:r>
          </w:p>
        </w:tc>
        <w:tc>
          <w:tcPr>
            <w:tcW w:w="1985" w:type="dxa"/>
            <w:shd w:val="clear" w:color="auto" w:fill="D8D8D8" w:themeFill="background1" w:themeFillShade="D9"/>
            <w:noWrap/>
            <w:vAlign w:val="center"/>
          </w:tcPr>
          <w:p w14:paraId="68FA362A">
            <w:pPr>
              <w:spacing w:after="0" w:line="240" w:lineRule="auto"/>
              <w:jc w:val="center"/>
              <w:rPr>
                <w:rFonts w:ascii="Times New Roman" w:hAnsi="Times New Roman" w:eastAsia="Calibri" w:cs="Times New Roman"/>
                <w:b/>
                <w:bCs/>
                <w:sz w:val="20"/>
                <w:szCs w:val="20"/>
                <w:lang w:eastAsia="pt-BR"/>
              </w:rPr>
            </w:pPr>
            <w:r>
              <w:rPr>
                <w:rFonts w:ascii="Times New Roman" w:hAnsi="Times New Roman" w:eastAsia="Calibri" w:cs="Times New Roman"/>
                <w:b/>
                <w:bCs/>
                <w:sz w:val="20"/>
                <w:szCs w:val="20"/>
                <w:lang w:eastAsia="pt-BR"/>
              </w:rPr>
              <w:t>RECURSO</w:t>
            </w:r>
          </w:p>
        </w:tc>
        <w:tc>
          <w:tcPr>
            <w:tcW w:w="1134" w:type="dxa"/>
            <w:shd w:val="clear" w:color="auto" w:fill="D8D8D8" w:themeFill="background1" w:themeFillShade="D9"/>
            <w:vAlign w:val="center"/>
          </w:tcPr>
          <w:p w14:paraId="4403DBDD">
            <w:pPr>
              <w:spacing w:after="0" w:line="240" w:lineRule="auto"/>
              <w:jc w:val="center"/>
              <w:rPr>
                <w:rFonts w:ascii="Times New Roman" w:hAnsi="Times New Roman" w:eastAsia="Calibri" w:cs="Times New Roman"/>
                <w:b/>
                <w:bCs/>
                <w:sz w:val="20"/>
                <w:szCs w:val="20"/>
                <w:lang w:eastAsia="pt-BR"/>
              </w:rPr>
            </w:pPr>
            <w:r>
              <w:rPr>
                <w:rFonts w:ascii="Times New Roman" w:hAnsi="Times New Roman" w:eastAsia="Calibri" w:cs="Times New Roman"/>
                <w:b/>
                <w:bCs/>
                <w:sz w:val="20"/>
                <w:szCs w:val="20"/>
                <w:lang w:eastAsia="pt-BR"/>
              </w:rPr>
              <w:t>C/C</w:t>
            </w:r>
          </w:p>
        </w:tc>
      </w:tr>
      <w:tr w14:paraId="748D146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5098" w:type="dxa"/>
            <w:vAlign w:val="center"/>
          </w:tcPr>
          <w:p w14:paraId="2E499BF4">
            <w:pPr>
              <w:spacing w:after="0" w:line="240" w:lineRule="auto"/>
              <w:jc w:val="center"/>
              <w:rPr>
                <w:rFonts w:ascii="Times New Roman" w:hAnsi="Times New Roman" w:eastAsia="Calibri" w:cs="Times New Roman"/>
                <w:color w:val="000000"/>
                <w:sz w:val="20"/>
                <w:szCs w:val="20"/>
                <w:lang w:eastAsia="pt-BR"/>
              </w:rPr>
            </w:pPr>
            <w:r>
              <w:rPr>
                <w:rFonts w:ascii="Calibri" w:hAnsi="Calibri" w:eastAsia="Calibri" w:cs="Times New Roman"/>
                <w:color w:val="000000"/>
                <w:sz w:val="20"/>
                <w:szCs w:val="20"/>
                <w:lang w:eastAsia="pt-BR"/>
              </w:rPr>
              <w:t>14.001.10.305.0025.2088.3.3.90.30.0000.1.600.0000.605</w:t>
            </w:r>
          </w:p>
        </w:tc>
        <w:tc>
          <w:tcPr>
            <w:tcW w:w="1985" w:type="dxa"/>
            <w:vAlign w:val="center"/>
          </w:tcPr>
          <w:p w14:paraId="6DD20F07">
            <w:pPr>
              <w:spacing w:before="120" w:beforeLines="50" w:after="0" w:line="240" w:lineRule="auto"/>
              <w:jc w:val="center"/>
              <w:rPr>
                <w:rFonts w:ascii="Times New Roman" w:hAnsi="Times New Roman" w:eastAsia="Calibri" w:cs="Times New Roman"/>
                <w:sz w:val="20"/>
                <w:szCs w:val="20"/>
                <w:lang w:eastAsia="pt-BR"/>
              </w:rPr>
            </w:pPr>
            <w:r>
              <w:rPr>
                <w:rFonts w:ascii="Times New Roman" w:hAnsi="Times New Roman" w:eastAsia="Calibri" w:cs="Times New Roman"/>
                <w:sz w:val="20"/>
                <w:szCs w:val="20"/>
                <w:lang w:eastAsia="pt-BR"/>
              </w:rPr>
              <w:t>CUSTEIO SUS</w:t>
            </w:r>
          </w:p>
        </w:tc>
        <w:tc>
          <w:tcPr>
            <w:tcW w:w="1134" w:type="dxa"/>
            <w:vAlign w:val="center"/>
          </w:tcPr>
          <w:p w14:paraId="578161D1">
            <w:pPr>
              <w:spacing w:after="0" w:line="240" w:lineRule="auto"/>
              <w:jc w:val="center"/>
              <w:rPr>
                <w:rFonts w:ascii="Times New Roman" w:hAnsi="Times New Roman" w:eastAsia="Calibri" w:cs="Times New Roman"/>
                <w:sz w:val="20"/>
                <w:szCs w:val="20"/>
                <w:lang w:eastAsia="pt-BR"/>
              </w:rPr>
            </w:pPr>
            <w:r>
              <w:rPr>
                <w:rFonts w:ascii="Times New Roman" w:hAnsi="Times New Roman" w:eastAsia="Calibri" w:cs="Times New Roman"/>
                <w:sz w:val="20"/>
                <w:szCs w:val="20"/>
                <w:lang w:eastAsia="pt-BR"/>
              </w:rPr>
              <w:t>23.646-2</w:t>
            </w:r>
          </w:p>
        </w:tc>
      </w:tr>
      <w:tr w14:paraId="58F31A6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5098" w:type="dxa"/>
            <w:vAlign w:val="center"/>
          </w:tcPr>
          <w:p w14:paraId="442CDCF6">
            <w:pPr>
              <w:spacing w:after="0" w:line="240" w:lineRule="auto"/>
              <w:jc w:val="center"/>
              <w:rPr>
                <w:rFonts w:ascii="Calibri" w:hAnsi="Calibri" w:eastAsia="Calibri" w:cs="Calibri"/>
                <w:color w:val="000000"/>
                <w:sz w:val="20"/>
                <w:szCs w:val="20"/>
                <w:lang w:eastAsia="pt-BR"/>
              </w:rPr>
            </w:pPr>
            <w:r>
              <w:rPr>
                <w:rFonts w:ascii="Calibri" w:hAnsi="Calibri" w:eastAsia="Calibri" w:cs="Times New Roman"/>
                <w:color w:val="000000"/>
                <w:sz w:val="20"/>
                <w:szCs w:val="20"/>
                <w:lang w:eastAsia="pt-BR"/>
              </w:rPr>
              <w:t>14.001.10.305.0025.2089.3.3.90.30.0000.1.600.0000.605</w:t>
            </w:r>
          </w:p>
        </w:tc>
        <w:tc>
          <w:tcPr>
            <w:tcW w:w="1985" w:type="dxa"/>
            <w:vAlign w:val="center"/>
          </w:tcPr>
          <w:p w14:paraId="59D45BD2">
            <w:pPr>
              <w:spacing w:before="120" w:beforeLines="50" w:after="0" w:line="240" w:lineRule="auto"/>
              <w:jc w:val="center"/>
              <w:rPr>
                <w:rFonts w:ascii="Times New Roman" w:hAnsi="Times New Roman" w:eastAsia="Calibri" w:cs="Times New Roman"/>
                <w:sz w:val="20"/>
                <w:szCs w:val="20"/>
                <w:lang w:eastAsia="pt-BR"/>
              </w:rPr>
            </w:pPr>
            <w:r>
              <w:rPr>
                <w:rFonts w:ascii="Times New Roman" w:hAnsi="Times New Roman" w:eastAsia="Calibri" w:cs="Times New Roman"/>
                <w:sz w:val="20"/>
                <w:szCs w:val="20"/>
                <w:lang w:eastAsia="pt-BR"/>
              </w:rPr>
              <w:t>CUSTEIO SUS</w:t>
            </w:r>
          </w:p>
        </w:tc>
        <w:tc>
          <w:tcPr>
            <w:tcW w:w="1134" w:type="dxa"/>
            <w:vAlign w:val="center"/>
          </w:tcPr>
          <w:p w14:paraId="751E6A8F">
            <w:pPr>
              <w:spacing w:after="0" w:line="240" w:lineRule="auto"/>
              <w:jc w:val="center"/>
              <w:rPr>
                <w:rFonts w:ascii="Times New Roman" w:hAnsi="Times New Roman" w:eastAsia="Calibri" w:cs="Times New Roman"/>
                <w:sz w:val="20"/>
                <w:szCs w:val="20"/>
                <w:lang w:eastAsia="pt-BR"/>
              </w:rPr>
            </w:pPr>
            <w:r>
              <w:rPr>
                <w:rFonts w:ascii="Times New Roman" w:hAnsi="Times New Roman" w:eastAsia="Calibri" w:cs="Times New Roman"/>
                <w:sz w:val="20"/>
                <w:szCs w:val="20"/>
                <w:lang w:eastAsia="pt-BR"/>
              </w:rPr>
              <w:t>23.646-2</w:t>
            </w:r>
          </w:p>
        </w:tc>
      </w:tr>
      <w:tr w14:paraId="3363B47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5098" w:type="dxa"/>
            <w:vAlign w:val="center"/>
          </w:tcPr>
          <w:p w14:paraId="21D993B2">
            <w:pPr>
              <w:spacing w:after="0" w:line="240" w:lineRule="auto"/>
              <w:jc w:val="center"/>
              <w:rPr>
                <w:rFonts w:ascii="Calibri" w:hAnsi="Calibri" w:eastAsia="Calibri" w:cs="Calibri"/>
                <w:color w:val="000000"/>
                <w:sz w:val="20"/>
                <w:szCs w:val="20"/>
                <w:lang w:eastAsia="pt-BR"/>
              </w:rPr>
            </w:pPr>
            <w:r>
              <w:rPr>
                <w:rFonts w:ascii="Calibri" w:hAnsi="Calibri" w:eastAsia="Calibri" w:cs="Times New Roman"/>
                <w:color w:val="000000"/>
                <w:sz w:val="20"/>
                <w:szCs w:val="20"/>
                <w:lang w:eastAsia="pt-BR"/>
              </w:rPr>
              <w:t>14.001.10.302.0027.2099.3.3.90.30.0000.1.500.1002.000</w:t>
            </w:r>
          </w:p>
        </w:tc>
        <w:tc>
          <w:tcPr>
            <w:tcW w:w="1985" w:type="dxa"/>
            <w:vAlign w:val="center"/>
          </w:tcPr>
          <w:p w14:paraId="154023A1">
            <w:pPr>
              <w:spacing w:before="120" w:beforeLines="50" w:after="0" w:line="240" w:lineRule="auto"/>
              <w:jc w:val="center"/>
              <w:rPr>
                <w:rFonts w:ascii="Times New Roman" w:hAnsi="Times New Roman" w:eastAsia="Calibri" w:cs="Times New Roman"/>
                <w:sz w:val="20"/>
                <w:szCs w:val="20"/>
                <w:lang w:eastAsia="pt-BR"/>
              </w:rPr>
            </w:pPr>
            <w:r>
              <w:rPr>
                <w:rFonts w:ascii="Times New Roman" w:hAnsi="Times New Roman" w:eastAsia="Calibri" w:cs="Times New Roman"/>
                <w:sz w:val="20"/>
                <w:szCs w:val="20"/>
                <w:lang w:eastAsia="pt-BR"/>
              </w:rPr>
              <w:t>PROPRIO</w:t>
            </w:r>
          </w:p>
        </w:tc>
        <w:tc>
          <w:tcPr>
            <w:tcW w:w="1134" w:type="dxa"/>
            <w:vAlign w:val="center"/>
          </w:tcPr>
          <w:p w14:paraId="453EBC0B">
            <w:pPr>
              <w:spacing w:after="0" w:line="240" w:lineRule="auto"/>
              <w:jc w:val="center"/>
              <w:rPr>
                <w:rFonts w:ascii="Times New Roman" w:hAnsi="Times New Roman" w:eastAsia="Calibri" w:cs="Times New Roman"/>
                <w:sz w:val="20"/>
                <w:szCs w:val="20"/>
                <w:lang w:eastAsia="pt-BR"/>
              </w:rPr>
            </w:pPr>
            <w:r>
              <w:rPr>
                <w:rFonts w:ascii="Times New Roman" w:hAnsi="Times New Roman" w:eastAsia="Calibri" w:cs="Times New Roman"/>
                <w:sz w:val="20"/>
                <w:szCs w:val="20"/>
                <w:lang w:eastAsia="pt-BR"/>
              </w:rPr>
              <w:t>111.984-2</w:t>
            </w:r>
          </w:p>
        </w:tc>
      </w:tr>
      <w:tr w14:paraId="588BE74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5098" w:type="dxa"/>
            <w:vAlign w:val="center"/>
          </w:tcPr>
          <w:p w14:paraId="6D78D773">
            <w:pPr>
              <w:spacing w:after="0" w:line="240" w:lineRule="auto"/>
              <w:jc w:val="center"/>
              <w:rPr>
                <w:rFonts w:ascii="Calibri" w:hAnsi="Calibri" w:eastAsia="Calibri" w:cs="Calibri"/>
                <w:color w:val="000000"/>
                <w:sz w:val="20"/>
                <w:szCs w:val="20"/>
                <w:lang w:eastAsia="pt-BR"/>
              </w:rPr>
            </w:pPr>
            <w:r>
              <w:rPr>
                <w:rFonts w:ascii="Calibri" w:hAnsi="Calibri" w:eastAsia="Calibri" w:cs="Times New Roman"/>
                <w:color w:val="000000"/>
                <w:sz w:val="20"/>
                <w:szCs w:val="20"/>
                <w:lang w:eastAsia="pt-BR"/>
              </w:rPr>
              <w:t>14.001.10.302.0027.2099.3.3.90.30.0000.1.600.0000.603</w:t>
            </w:r>
          </w:p>
        </w:tc>
        <w:tc>
          <w:tcPr>
            <w:tcW w:w="1985" w:type="dxa"/>
            <w:vAlign w:val="center"/>
          </w:tcPr>
          <w:p w14:paraId="39D2C78C">
            <w:pPr>
              <w:spacing w:before="120" w:beforeLines="50" w:after="0" w:line="240" w:lineRule="auto"/>
              <w:jc w:val="center"/>
              <w:rPr>
                <w:rFonts w:ascii="Times New Roman" w:hAnsi="Times New Roman" w:eastAsia="Calibri" w:cs="Times New Roman"/>
                <w:sz w:val="20"/>
                <w:szCs w:val="20"/>
                <w:lang w:eastAsia="pt-BR"/>
              </w:rPr>
            </w:pPr>
            <w:r>
              <w:rPr>
                <w:rFonts w:ascii="Times New Roman" w:hAnsi="Times New Roman" w:eastAsia="Calibri" w:cs="Times New Roman"/>
                <w:sz w:val="20"/>
                <w:szCs w:val="20"/>
                <w:lang w:eastAsia="pt-BR"/>
              </w:rPr>
              <w:t>CUSTEIO SUS</w:t>
            </w:r>
          </w:p>
        </w:tc>
        <w:tc>
          <w:tcPr>
            <w:tcW w:w="1134" w:type="dxa"/>
            <w:vAlign w:val="center"/>
          </w:tcPr>
          <w:p w14:paraId="006BEE22">
            <w:pPr>
              <w:spacing w:after="0" w:line="240" w:lineRule="auto"/>
              <w:jc w:val="center"/>
              <w:rPr>
                <w:rFonts w:ascii="Times New Roman" w:hAnsi="Times New Roman" w:eastAsia="Calibri" w:cs="Times New Roman"/>
                <w:sz w:val="20"/>
                <w:szCs w:val="20"/>
                <w:lang w:eastAsia="pt-BR"/>
              </w:rPr>
            </w:pPr>
            <w:r>
              <w:rPr>
                <w:rFonts w:ascii="Times New Roman" w:hAnsi="Times New Roman" w:eastAsia="Calibri" w:cs="Times New Roman"/>
                <w:sz w:val="20"/>
                <w:szCs w:val="20"/>
                <w:lang w:eastAsia="pt-BR"/>
              </w:rPr>
              <w:t>23.646-2</w:t>
            </w:r>
          </w:p>
        </w:tc>
      </w:tr>
      <w:tr w14:paraId="1E0536A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5098" w:type="dxa"/>
            <w:vAlign w:val="center"/>
          </w:tcPr>
          <w:p w14:paraId="6A98015C">
            <w:pPr>
              <w:spacing w:after="0" w:line="240" w:lineRule="auto"/>
              <w:jc w:val="center"/>
              <w:rPr>
                <w:rFonts w:ascii="Calibri" w:hAnsi="Calibri" w:eastAsia="Calibri" w:cs="Calibri"/>
                <w:color w:val="000000"/>
                <w:sz w:val="20"/>
                <w:szCs w:val="20"/>
                <w:lang w:eastAsia="pt-BR"/>
              </w:rPr>
            </w:pPr>
            <w:r>
              <w:rPr>
                <w:rFonts w:ascii="Calibri" w:hAnsi="Calibri" w:eastAsia="Calibri" w:cs="Times New Roman"/>
                <w:color w:val="000000"/>
                <w:sz w:val="20"/>
                <w:szCs w:val="20"/>
                <w:lang w:eastAsia="pt-BR"/>
              </w:rPr>
              <w:t>14.001.10.302.0027.2103.3.3.90.30.0000.1.500.1002.000</w:t>
            </w:r>
          </w:p>
        </w:tc>
        <w:tc>
          <w:tcPr>
            <w:tcW w:w="1985" w:type="dxa"/>
            <w:vAlign w:val="center"/>
          </w:tcPr>
          <w:p w14:paraId="17F2FC5C">
            <w:pPr>
              <w:spacing w:before="120" w:beforeLines="50" w:after="0" w:line="240" w:lineRule="auto"/>
              <w:jc w:val="center"/>
              <w:rPr>
                <w:rFonts w:ascii="Times New Roman" w:hAnsi="Times New Roman" w:eastAsia="Calibri" w:cs="Times New Roman"/>
                <w:sz w:val="20"/>
                <w:szCs w:val="20"/>
                <w:lang w:eastAsia="pt-BR"/>
              </w:rPr>
            </w:pPr>
            <w:r>
              <w:rPr>
                <w:rFonts w:ascii="Times New Roman" w:hAnsi="Times New Roman" w:eastAsia="Calibri" w:cs="Times New Roman"/>
                <w:sz w:val="20"/>
                <w:szCs w:val="20"/>
                <w:lang w:eastAsia="pt-BR"/>
              </w:rPr>
              <w:t>PROPRIO</w:t>
            </w:r>
          </w:p>
        </w:tc>
        <w:tc>
          <w:tcPr>
            <w:tcW w:w="1134" w:type="dxa"/>
            <w:vAlign w:val="center"/>
          </w:tcPr>
          <w:p w14:paraId="01423AAE">
            <w:pPr>
              <w:spacing w:after="0" w:line="240" w:lineRule="auto"/>
              <w:jc w:val="center"/>
              <w:rPr>
                <w:rFonts w:ascii="Times New Roman" w:hAnsi="Times New Roman" w:eastAsia="Calibri" w:cs="Times New Roman"/>
                <w:sz w:val="20"/>
                <w:szCs w:val="20"/>
                <w:lang w:eastAsia="pt-BR"/>
              </w:rPr>
            </w:pPr>
            <w:r>
              <w:rPr>
                <w:rFonts w:ascii="Times New Roman" w:hAnsi="Times New Roman" w:eastAsia="Calibri" w:cs="Times New Roman"/>
                <w:sz w:val="20"/>
                <w:szCs w:val="20"/>
                <w:lang w:eastAsia="pt-BR"/>
              </w:rPr>
              <w:t>111.984-2</w:t>
            </w:r>
          </w:p>
        </w:tc>
      </w:tr>
      <w:tr w14:paraId="1468706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5098" w:type="dxa"/>
            <w:vAlign w:val="center"/>
          </w:tcPr>
          <w:p w14:paraId="55803B8E">
            <w:pPr>
              <w:spacing w:after="0" w:line="240" w:lineRule="auto"/>
              <w:jc w:val="center"/>
              <w:rPr>
                <w:rFonts w:ascii="Calibri" w:hAnsi="Calibri" w:eastAsia="Calibri" w:cs="Calibri"/>
                <w:color w:val="000000"/>
                <w:sz w:val="20"/>
                <w:szCs w:val="20"/>
                <w:lang w:eastAsia="pt-BR"/>
              </w:rPr>
            </w:pPr>
            <w:r>
              <w:rPr>
                <w:rFonts w:ascii="Calibri" w:hAnsi="Calibri" w:eastAsia="Calibri" w:cs="Times New Roman"/>
                <w:color w:val="000000"/>
                <w:sz w:val="20"/>
                <w:szCs w:val="20"/>
                <w:lang w:eastAsia="pt-BR"/>
              </w:rPr>
              <w:t>14.001.10.301.0028.2104.3.3.90.30.0000.1.600.0000.600</w:t>
            </w:r>
          </w:p>
        </w:tc>
        <w:tc>
          <w:tcPr>
            <w:tcW w:w="1985" w:type="dxa"/>
            <w:vAlign w:val="center"/>
          </w:tcPr>
          <w:p w14:paraId="0C3F7B24">
            <w:pPr>
              <w:spacing w:before="120" w:beforeLines="50" w:after="0" w:line="240" w:lineRule="auto"/>
              <w:jc w:val="center"/>
              <w:rPr>
                <w:rFonts w:ascii="Times New Roman" w:hAnsi="Times New Roman" w:eastAsia="Calibri" w:cs="Times New Roman"/>
                <w:sz w:val="20"/>
                <w:szCs w:val="20"/>
                <w:lang w:eastAsia="pt-BR"/>
              </w:rPr>
            </w:pPr>
            <w:r>
              <w:rPr>
                <w:rFonts w:ascii="Times New Roman" w:hAnsi="Times New Roman" w:eastAsia="Calibri" w:cs="Times New Roman"/>
                <w:sz w:val="20"/>
                <w:szCs w:val="20"/>
                <w:lang w:eastAsia="pt-BR"/>
              </w:rPr>
              <w:t>CUSTEIO SUS</w:t>
            </w:r>
          </w:p>
        </w:tc>
        <w:tc>
          <w:tcPr>
            <w:tcW w:w="1134" w:type="dxa"/>
            <w:vAlign w:val="center"/>
          </w:tcPr>
          <w:p w14:paraId="061CCE9E">
            <w:pPr>
              <w:spacing w:after="0" w:line="240" w:lineRule="auto"/>
              <w:jc w:val="center"/>
              <w:rPr>
                <w:rFonts w:ascii="Times New Roman" w:hAnsi="Times New Roman" w:eastAsia="Calibri" w:cs="Times New Roman"/>
                <w:sz w:val="20"/>
                <w:szCs w:val="20"/>
                <w:lang w:eastAsia="pt-BR"/>
              </w:rPr>
            </w:pPr>
            <w:r>
              <w:rPr>
                <w:rFonts w:ascii="Times New Roman" w:hAnsi="Times New Roman" w:eastAsia="Calibri" w:cs="Times New Roman"/>
                <w:sz w:val="20"/>
                <w:szCs w:val="20"/>
                <w:lang w:eastAsia="pt-BR"/>
              </w:rPr>
              <w:t>23.646-2</w:t>
            </w:r>
          </w:p>
        </w:tc>
      </w:tr>
    </w:tbl>
    <w:p w14:paraId="1DC40025">
      <w:pPr>
        <w:spacing w:after="0" w:line="360" w:lineRule="auto"/>
        <w:jc w:val="both"/>
        <w:rPr>
          <w:rFonts w:ascii="Times New Roman" w:hAnsi="Times New Roman" w:cs="Times New Roman"/>
          <w:sz w:val="24"/>
          <w:szCs w:val="24"/>
        </w:rPr>
      </w:pPr>
    </w:p>
    <w:p w14:paraId="1B83AD94">
      <w:pPr>
        <w:pStyle w:val="16"/>
        <w:ind w:left="96"/>
        <w:jc w:val="both"/>
        <w:rPr>
          <w:rFonts w:ascii="Times New Roman" w:hAnsi="Times New Roman" w:cs="Times New Roman"/>
          <w:sz w:val="24"/>
          <w:szCs w:val="24"/>
        </w:rPr>
      </w:pPr>
      <w:r>
        <w:rPr>
          <w:rFonts w:ascii="Times New Roman" w:hAnsi="Times New Roman" w:cs="Times New Roman"/>
          <w:sz w:val="24"/>
          <w:szCs w:val="24"/>
          <w:lang w:val="pt-BR" w:eastAsia="pt-BR"/>
        </w:rPr>
        <mc:AlternateContent>
          <mc:Choice Requires="wps">
            <w:drawing>
              <wp:inline distT="0" distB="0" distL="0" distR="0">
                <wp:extent cx="5556250" cy="273050"/>
                <wp:effectExtent l="4445" t="4445" r="20955" b="8255"/>
                <wp:docPr id="18" name="Textbox 3"/>
                <wp:cNvGraphicFramePr/>
                <a:graphic xmlns:a="http://schemas.openxmlformats.org/drawingml/2006/main">
                  <a:graphicData uri="http://schemas.microsoft.com/office/word/2010/wordprocessingShape">
                    <wps:wsp>
                      <wps:cNvSpPr txBox="1"/>
                      <wps:spPr>
                        <a:xfrm>
                          <a:off x="0" y="0"/>
                          <a:ext cx="5556250" cy="273378"/>
                        </a:xfrm>
                        <a:prstGeom prst="rect">
                          <a:avLst/>
                        </a:prstGeom>
                        <a:solidFill>
                          <a:srgbClr val="D6D6D6"/>
                        </a:solidFill>
                        <a:ln w="6096">
                          <a:solidFill>
                            <a:srgbClr val="000000"/>
                          </a:solidFill>
                          <a:prstDash val="solid"/>
                        </a:ln>
                      </wps:spPr>
                      <wps:txbx>
                        <w:txbxContent>
                          <w:p w14:paraId="5962FBDC">
                            <w:pPr>
                              <w:spacing w:before="61"/>
                              <w:ind w:left="16"/>
                              <w:jc w:val="center"/>
                              <w:rPr>
                                <w:rFonts w:ascii="Arial" w:hAnsi="Arial" w:cs="Arial"/>
                                <w:b/>
                                <w:color w:val="000000"/>
                              </w:rPr>
                            </w:pPr>
                            <w:r>
                              <w:rPr>
                                <w:rFonts w:ascii="Arial" w:hAnsi="Arial" w:cs="Arial"/>
                                <w:b/>
                                <w:color w:val="000000"/>
                              </w:rPr>
                              <w:t>12. DEMAIS INFORMAÇÕES ESPECÍFICAS DO PROJETO BÁSICO</w:t>
                            </w:r>
                          </w:p>
                        </w:txbxContent>
                      </wps:txbx>
                      <wps:bodyPr wrap="square" lIns="0" tIns="0" rIns="0" bIns="0" rtlCol="0">
                        <a:noAutofit/>
                      </wps:bodyPr>
                    </wps:wsp>
                  </a:graphicData>
                </a:graphic>
              </wp:inline>
            </w:drawing>
          </mc:Choice>
          <mc:Fallback>
            <w:pict>
              <v:shape id="Textbox 3" o:spid="_x0000_s1026" o:spt="202" type="#_x0000_t202" style="height:21.5pt;width:437.5pt;" fillcolor="#D6D6D6" filled="t" stroked="t" coordsize="21600,21600" o:gfxdata="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NH7UM&#10;1AAAAAQBAAAPAAAAAAAAAAEAIAAAACIAAABkcnMvZG93bnJldi54bWxQSwECFAAUAAAACACHTuJA&#10;3TAXI+wBAAAMBAAADgAAAAAAAAABACAAAAAjAQAAZHJzL2Uyb0RvYy54bWxQSwUGAAAAAAYABgBZ&#10;AQAAgQUAAAAA&#10;">
                <v:fill on="t" focussize="0,0"/>
                <v:stroke weight="0.48pt" color="#000000" joinstyle="round"/>
                <v:imagedata o:title=""/>
                <o:lock v:ext="edit" aspectratio="f"/>
                <v:textbox inset="0mm,0mm,0mm,0mm">
                  <w:txbxContent>
                    <w:p w14:paraId="5962FBDC">
                      <w:pPr>
                        <w:spacing w:before="61"/>
                        <w:ind w:left="16"/>
                        <w:jc w:val="center"/>
                        <w:rPr>
                          <w:rFonts w:ascii="Arial" w:hAnsi="Arial" w:cs="Arial"/>
                          <w:b/>
                          <w:color w:val="000000"/>
                        </w:rPr>
                      </w:pPr>
                      <w:r>
                        <w:rPr>
                          <w:rFonts w:ascii="Arial" w:hAnsi="Arial" w:cs="Arial"/>
                          <w:b/>
                          <w:color w:val="000000"/>
                        </w:rPr>
                        <w:t>12. DEMAIS INFORMAÇÕES ESPECÍFICAS DO PROJETO BÁSICO</w:t>
                      </w:r>
                    </w:p>
                  </w:txbxContent>
                </v:textbox>
                <w10:wrap type="none"/>
                <w10:anchorlock/>
              </v:shape>
            </w:pict>
          </mc:Fallback>
        </mc:AlternateContent>
      </w:r>
    </w:p>
    <w:p w14:paraId="511BF862">
      <w:pPr>
        <w:pStyle w:val="16"/>
        <w:numPr>
          <w:ilvl w:val="1"/>
          <w:numId w:val="23"/>
        </w:numPr>
        <w:spacing w:before="240" w:after="240" w:line="360" w:lineRule="auto"/>
        <w:ind w:left="142"/>
        <w:jc w:val="both"/>
        <w:rPr>
          <w:rFonts w:ascii="Arial" w:hAnsi="Arial" w:cs="Arial"/>
          <w:bCs/>
          <w:color w:val="000000"/>
        </w:rPr>
      </w:pPr>
      <w:r>
        <w:rPr>
          <w:rFonts w:ascii="Arial" w:hAnsi="Arial" w:cs="Arial"/>
          <w:bCs/>
          <w:color w:val="000000"/>
        </w:rPr>
        <w:t>Equipe de Planejamento de Contratação para elaboração do Termo de Referência/Projeto Básico em conformidade com a Lei Federal nº 14.133/2021.</w:t>
      </w:r>
    </w:p>
    <w:p w14:paraId="68C70F1B">
      <w:pPr>
        <w:pStyle w:val="16"/>
        <w:numPr>
          <w:ilvl w:val="1"/>
          <w:numId w:val="23"/>
        </w:numPr>
        <w:spacing w:before="240" w:after="240" w:line="360" w:lineRule="auto"/>
        <w:ind w:left="142"/>
        <w:jc w:val="both"/>
        <w:rPr>
          <w:rFonts w:ascii="Arial" w:hAnsi="Arial" w:cs="Arial"/>
          <w:bCs/>
          <w:color w:val="000000"/>
          <w:sz w:val="22"/>
          <w:szCs w:val="22"/>
        </w:rPr>
      </w:pPr>
      <w:r>
        <w:rPr>
          <w:rFonts w:ascii="Arial" w:hAnsi="Arial" w:cs="Arial"/>
          <w:bCs/>
          <w:color w:val="000000"/>
        </w:rPr>
        <w:t xml:space="preserve">Declaro que o Planejamento da Contratação considerou as condições </w:t>
      </w:r>
      <w:r>
        <w:rPr>
          <w:rFonts w:ascii="Arial" w:hAnsi="Arial" w:cs="Arial"/>
          <w:bCs/>
          <w:color w:val="000000"/>
          <w:sz w:val="22"/>
          <w:szCs w:val="22"/>
        </w:rPr>
        <w:t>de contratação e pagamento semelhantes às do setor privado.</w:t>
      </w:r>
    </w:p>
    <w:p w14:paraId="393005B8">
      <w:pPr>
        <w:pStyle w:val="16"/>
        <w:spacing w:before="240" w:after="240" w:line="360" w:lineRule="auto"/>
        <w:jc w:val="both"/>
        <w:rPr>
          <w:rFonts w:hint="default" w:ascii="Arial" w:hAnsi="Arial" w:cs="Arial"/>
          <w:sz w:val="22"/>
          <w:szCs w:val="22"/>
          <w:lang w:val="pt-BR"/>
        </w:rPr>
      </w:pPr>
      <w:r>
        <w:rPr>
          <w:rFonts w:ascii="Arial" w:hAnsi="Arial" w:cs="Arial"/>
          <w:sz w:val="22"/>
          <w:szCs w:val="22"/>
        </w:rPr>
        <w:t>Sinop/MT, 10 de fevereiro de 2025</w:t>
      </w:r>
      <w:r>
        <w:rPr>
          <w:rFonts w:hint="default" w:ascii="Arial" w:hAnsi="Arial" w:cs="Arial"/>
          <w:sz w:val="22"/>
          <w:szCs w:val="22"/>
          <w:lang w:val="pt-BR"/>
        </w:rPr>
        <w:t>.</w:t>
      </w:r>
    </w:p>
    <w:p w14:paraId="310C6C46">
      <w:pPr>
        <w:pStyle w:val="16"/>
        <w:rPr>
          <w:rFonts w:ascii="Arial" w:hAnsi="Arial" w:cs="Arial"/>
          <w:sz w:val="22"/>
          <w:szCs w:val="22"/>
        </w:rPr>
      </w:pPr>
    </w:p>
    <w:p w14:paraId="5F44412A">
      <w:pPr>
        <w:spacing w:after="0" w:line="240" w:lineRule="auto"/>
        <w:jc w:val="center"/>
        <w:rPr>
          <w:rFonts w:ascii="Arial" w:hAnsi="Arial" w:cs="Arial"/>
          <w:b/>
          <w:sz w:val="22"/>
          <w:szCs w:val="22"/>
        </w:rPr>
      </w:pPr>
      <w:r>
        <w:rPr>
          <w:rFonts w:ascii="Arial" w:hAnsi="Arial" w:cs="Arial"/>
          <w:b/>
          <w:sz w:val="22"/>
          <w:szCs w:val="22"/>
        </w:rPr>
        <w:t>WANDERSON S. GUZEN</w:t>
      </w:r>
    </w:p>
    <w:p w14:paraId="68174E1C">
      <w:pPr>
        <w:spacing w:after="0" w:line="240" w:lineRule="auto"/>
        <w:jc w:val="center"/>
        <w:rPr>
          <w:rFonts w:ascii="Arial" w:hAnsi="Arial" w:cs="Arial"/>
          <w:bCs/>
          <w:sz w:val="22"/>
          <w:szCs w:val="22"/>
        </w:rPr>
      </w:pPr>
      <w:r>
        <w:rPr>
          <w:rFonts w:ascii="Arial" w:hAnsi="Arial" w:cs="Arial"/>
          <w:bCs/>
          <w:sz w:val="22"/>
          <w:szCs w:val="22"/>
        </w:rPr>
        <w:t>Equipe Planejamento T.R</w:t>
      </w:r>
    </w:p>
    <w:p w14:paraId="65016AA1">
      <w:pPr>
        <w:spacing w:after="0" w:line="240" w:lineRule="auto"/>
        <w:jc w:val="center"/>
        <w:rPr>
          <w:rFonts w:ascii="Arial" w:hAnsi="Arial" w:cs="Arial"/>
          <w:bCs/>
          <w:sz w:val="22"/>
          <w:szCs w:val="22"/>
        </w:rPr>
      </w:pPr>
      <w:r>
        <w:rPr>
          <w:rFonts w:ascii="Arial" w:hAnsi="Arial" w:cs="Arial"/>
          <w:bCs/>
          <w:sz w:val="22"/>
          <w:szCs w:val="22"/>
        </w:rPr>
        <w:t>Portaria Nº 0644/2024</w:t>
      </w:r>
    </w:p>
    <w:p w14:paraId="66B3590F">
      <w:pPr>
        <w:pStyle w:val="16"/>
        <w:rPr>
          <w:rFonts w:ascii="Arial" w:hAnsi="Arial" w:cs="Arial"/>
          <w:sz w:val="22"/>
          <w:szCs w:val="22"/>
        </w:rPr>
      </w:pPr>
    </w:p>
    <w:p w14:paraId="0AE20D7E">
      <w:pPr>
        <w:pStyle w:val="16"/>
        <w:rPr>
          <w:rFonts w:ascii="Arial" w:hAnsi="Arial" w:cs="Arial"/>
          <w:sz w:val="22"/>
          <w:szCs w:val="22"/>
        </w:rPr>
      </w:pPr>
    </w:p>
    <w:p w14:paraId="2ED0EA04">
      <w:pPr>
        <w:tabs>
          <w:tab w:val="left" w:pos="2040"/>
        </w:tabs>
        <w:spacing w:after="0" w:line="240" w:lineRule="auto"/>
        <w:jc w:val="center"/>
        <w:rPr>
          <w:rFonts w:ascii="Arial" w:hAnsi="Arial" w:cs="Arial"/>
          <w:b/>
          <w:sz w:val="22"/>
          <w:szCs w:val="22"/>
        </w:rPr>
      </w:pPr>
      <w:r>
        <w:rPr>
          <w:rFonts w:ascii="Arial" w:hAnsi="Arial" w:cs="Arial"/>
          <w:b/>
          <w:sz w:val="22"/>
          <w:szCs w:val="22"/>
        </w:rPr>
        <w:t>JULIANA PICHIONI M. QUERÓZ</w:t>
      </w:r>
    </w:p>
    <w:p w14:paraId="684B6A68">
      <w:pPr>
        <w:tabs>
          <w:tab w:val="left" w:pos="2040"/>
        </w:tabs>
        <w:spacing w:after="0" w:line="240" w:lineRule="auto"/>
        <w:jc w:val="center"/>
        <w:rPr>
          <w:rFonts w:ascii="Arial" w:hAnsi="Arial" w:cs="Arial"/>
          <w:bCs/>
          <w:sz w:val="22"/>
          <w:szCs w:val="22"/>
        </w:rPr>
      </w:pPr>
      <w:r>
        <w:rPr>
          <w:rFonts w:ascii="Arial" w:hAnsi="Arial" w:cs="Arial"/>
          <w:bCs/>
          <w:sz w:val="22"/>
          <w:szCs w:val="22"/>
        </w:rPr>
        <w:t>Equipe Planejamento T.R</w:t>
      </w:r>
    </w:p>
    <w:p w14:paraId="5DE4E42B">
      <w:pPr>
        <w:tabs>
          <w:tab w:val="left" w:pos="567"/>
        </w:tabs>
        <w:spacing w:after="0" w:line="240" w:lineRule="auto"/>
        <w:jc w:val="center"/>
        <w:rPr>
          <w:rFonts w:ascii="Arial" w:hAnsi="Arial" w:cs="Arial"/>
          <w:bCs/>
          <w:sz w:val="22"/>
          <w:szCs w:val="22"/>
        </w:rPr>
      </w:pPr>
      <w:r>
        <w:rPr>
          <w:rFonts w:ascii="Arial" w:hAnsi="Arial" w:cs="Arial"/>
          <w:bCs/>
          <w:sz w:val="22"/>
          <w:szCs w:val="22"/>
        </w:rPr>
        <w:t>Portaria Nº 0463/20</w:t>
      </w:r>
    </w:p>
    <w:p w14:paraId="35850D62">
      <w:pPr>
        <w:tabs>
          <w:tab w:val="left" w:pos="567"/>
        </w:tabs>
        <w:spacing w:after="0" w:line="240" w:lineRule="auto"/>
        <w:jc w:val="both"/>
        <w:rPr>
          <w:rFonts w:ascii="Arial" w:hAnsi="Arial" w:cs="Arial"/>
          <w:bCs/>
          <w:sz w:val="22"/>
          <w:szCs w:val="22"/>
        </w:rPr>
      </w:pPr>
    </w:p>
    <w:p w14:paraId="2013273A">
      <w:pPr>
        <w:tabs>
          <w:tab w:val="left" w:pos="567"/>
        </w:tabs>
        <w:spacing w:after="0" w:line="240" w:lineRule="auto"/>
        <w:jc w:val="both"/>
        <w:rPr>
          <w:rFonts w:ascii="Arial" w:hAnsi="Arial" w:cs="Arial"/>
          <w:bCs/>
          <w:sz w:val="22"/>
          <w:szCs w:val="22"/>
        </w:rPr>
      </w:pPr>
    </w:p>
    <w:p w14:paraId="5156B92B">
      <w:pPr>
        <w:pStyle w:val="16"/>
        <w:ind w:left="96"/>
        <w:jc w:val="both"/>
        <w:rPr>
          <w:rFonts w:ascii="Times New Roman" w:hAnsi="Times New Roman" w:cs="Times New Roman"/>
          <w:sz w:val="24"/>
          <w:szCs w:val="24"/>
        </w:rPr>
      </w:pPr>
      <w:r>
        <w:rPr>
          <w:rFonts w:ascii="Times New Roman" w:hAnsi="Times New Roman" w:cs="Times New Roman"/>
          <w:sz w:val="24"/>
          <w:szCs w:val="24"/>
          <w:lang w:val="pt-BR" w:eastAsia="pt-BR"/>
        </w:rPr>
        <mc:AlternateContent>
          <mc:Choice Requires="wps">
            <w:drawing>
              <wp:inline distT="0" distB="0" distL="0" distR="0">
                <wp:extent cx="5556250" cy="263525"/>
                <wp:effectExtent l="4445" t="4445" r="20955" b="17780"/>
                <wp:docPr id="27" name="Textbox 3"/>
                <wp:cNvGraphicFramePr/>
                <a:graphic xmlns:a="http://schemas.openxmlformats.org/drawingml/2006/main">
                  <a:graphicData uri="http://schemas.microsoft.com/office/word/2010/wordprocessingShape">
                    <wps:wsp>
                      <wps:cNvSpPr txBox="1"/>
                      <wps:spPr>
                        <a:xfrm>
                          <a:off x="0" y="0"/>
                          <a:ext cx="5556250" cy="263951"/>
                        </a:xfrm>
                        <a:prstGeom prst="rect">
                          <a:avLst/>
                        </a:prstGeom>
                        <a:solidFill>
                          <a:srgbClr val="D6D6D6"/>
                        </a:solidFill>
                        <a:ln w="6096">
                          <a:solidFill>
                            <a:srgbClr val="000000"/>
                          </a:solidFill>
                          <a:prstDash val="solid"/>
                        </a:ln>
                      </wps:spPr>
                      <wps:txbx>
                        <w:txbxContent>
                          <w:p w14:paraId="3C2E3475">
                            <w:pPr>
                              <w:spacing w:before="61"/>
                              <w:ind w:left="16"/>
                              <w:jc w:val="center"/>
                              <w:rPr>
                                <w:rFonts w:ascii="Arial" w:hAnsi="Arial" w:cs="Arial"/>
                                <w:b/>
                                <w:color w:val="000000"/>
                              </w:rPr>
                            </w:pPr>
                            <w:r>
                              <w:rPr>
                                <w:rFonts w:ascii="Arial" w:hAnsi="Arial" w:cs="Arial"/>
                                <w:b/>
                                <w:color w:val="000000"/>
                              </w:rPr>
                              <w:t>13. CIÊNCIA DA AUTORIDADE COMPETENTE</w:t>
                            </w:r>
                          </w:p>
                        </w:txbxContent>
                      </wps:txbx>
                      <wps:bodyPr wrap="square" lIns="0" tIns="0" rIns="0" bIns="0" rtlCol="0">
                        <a:noAutofit/>
                      </wps:bodyPr>
                    </wps:wsp>
                  </a:graphicData>
                </a:graphic>
              </wp:inline>
            </w:drawing>
          </mc:Choice>
          <mc:Fallback>
            <w:pict>
              <v:shape id="Textbox 3" o:spid="_x0000_s1026" o:spt="202" type="#_x0000_t202" style="height:20.75pt;width:437.5pt;" fillcolor="#D6D6D6" filled="t" stroked="t" coordsize="21600,21600" o:gfxdata="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Lvk&#10;8fjTAAAABAEAAA8AAAAAAAAAAQAgAAAAIgAAAGRycy9kb3ducmV2LnhtbFBLAQIUABQAAAAIAIdO&#10;4kDefGa27wEAAAwEAAAOAAAAAAAAAAEAIAAAACIBAABkcnMvZTJvRG9jLnhtbFBLBQYAAAAABgAG&#10;AFkBAACDBQAAAAA=&#10;">
                <v:fill on="t" focussize="0,0"/>
                <v:stroke weight="0.48pt" color="#000000" joinstyle="round"/>
                <v:imagedata o:title=""/>
                <o:lock v:ext="edit" aspectratio="f"/>
                <v:textbox inset="0mm,0mm,0mm,0mm">
                  <w:txbxContent>
                    <w:p w14:paraId="3C2E3475">
                      <w:pPr>
                        <w:spacing w:before="61"/>
                        <w:ind w:left="16"/>
                        <w:jc w:val="center"/>
                        <w:rPr>
                          <w:rFonts w:ascii="Arial" w:hAnsi="Arial" w:cs="Arial"/>
                          <w:b/>
                          <w:color w:val="000000"/>
                        </w:rPr>
                      </w:pPr>
                      <w:r>
                        <w:rPr>
                          <w:rFonts w:ascii="Arial" w:hAnsi="Arial" w:cs="Arial"/>
                          <w:b/>
                          <w:color w:val="000000"/>
                        </w:rPr>
                        <w:t>13. CIÊNCIA DA AUTORIDADE COMPETENTE</w:t>
                      </w:r>
                    </w:p>
                  </w:txbxContent>
                </v:textbox>
                <w10:wrap type="none"/>
                <w10:anchorlock/>
              </v:shape>
            </w:pict>
          </mc:Fallback>
        </mc:AlternateContent>
      </w:r>
    </w:p>
    <w:p w14:paraId="5D766D0D">
      <w:pPr>
        <w:pStyle w:val="154"/>
        <w:tabs>
          <w:tab w:val="left" w:pos="407"/>
        </w:tabs>
        <w:spacing w:before="240" w:after="240" w:line="360" w:lineRule="auto"/>
        <w:ind w:left="142"/>
        <w:rPr>
          <w:rFonts w:ascii="Arial" w:hAnsi="Arial" w:cs="Arial"/>
          <w:sz w:val="22"/>
          <w:szCs w:val="22"/>
        </w:rPr>
      </w:pPr>
      <w:r>
        <w:rPr>
          <w:rFonts w:ascii="Arial" w:hAnsi="Arial" w:cs="Arial"/>
          <w:spacing w:val="-10"/>
          <w:sz w:val="22"/>
          <w:szCs w:val="22"/>
        </w:rPr>
        <w:t>(</w:t>
      </w:r>
      <w:r>
        <w:rPr>
          <w:rFonts w:ascii="Arial" w:hAnsi="Arial" w:cs="Arial"/>
          <w:b/>
          <w:bCs/>
          <w:sz w:val="22"/>
          <w:szCs w:val="22"/>
        </w:rPr>
        <w:t>X</w:t>
      </w:r>
      <w:r>
        <w:rPr>
          <w:rFonts w:ascii="Arial" w:hAnsi="Arial" w:cs="Arial"/>
          <w:sz w:val="22"/>
          <w:szCs w:val="22"/>
        </w:rPr>
        <w:t>)</w:t>
      </w:r>
      <w:r>
        <w:rPr>
          <w:rFonts w:ascii="Arial" w:hAnsi="Arial" w:cs="Arial"/>
          <w:spacing w:val="-10"/>
          <w:sz w:val="22"/>
          <w:szCs w:val="22"/>
        </w:rPr>
        <w:t xml:space="preserve"> </w:t>
      </w:r>
      <w:r>
        <w:rPr>
          <w:rFonts w:ascii="Arial" w:hAnsi="Arial" w:cs="Arial"/>
          <w:sz w:val="22"/>
          <w:szCs w:val="22"/>
        </w:rPr>
        <w:t>Concordo</w:t>
      </w:r>
      <w:r>
        <w:rPr>
          <w:rFonts w:ascii="Arial" w:hAnsi="Arial" w:cs="Arial"/>
          <w:spacing w:val="-10"/>
          <w:sz w:val="22"/>
          <w:szCs w:val="22"/>
        </w:rPr>
        <w:t xml:space="preserve"> </w:t>
      </w:r>
      <w:r>
        <w:rPr>
          <w:rFonts w:ascii="Arial" w:hAnsi="Arial" w:cs="Arial"/>
          <w:sz w:val="22"/>
          <w:szCs w:val="22"/>
        </w:rPr>
        <w:t>com</w:t>
      </w:r>
      <w:r>
        <w:rPr>
          <w:rFonts w:ascii="Arial" w:hAnsi="Arial" w:cs="Arial"/>
          <w:spacing w:val="-9"/>
          <w:sz w:val="22"/>
          <w:szCs w:val="22"/>
        </w:rPr>
        <w:t xml:space="preserve"> </w:t>
      </w:r>
      <w:r>
        <w:rPr>
          <w:rFonts w:ascii="Arial" w:hAnsi="Arial" w:cs="Arial"/>
          <w:sz w:val="22"/>
          <w:szCs w:val="22"/>
        </w:rPr>
        <w:t>o</w:t>
      </w:r>
      <w:r>
        <w:rPr>
          <w:rFonts w:ascii="Arial" w:hAnsi="Arial" w:cs="Arial"/>
          <w:spacing w:val="-9"/>
          <w:sz w:val="22"/>
          <w:szCs w:val="22"/>
        </w:rPr>
        <w:t xml:space="preserve"> </w:t>
      </w:r>
      <w:r>
        <w:rPr>
          <w:rFonts w:ascii="Arial" w:hAnsi="Arial" w:cs="Arial"/>
          <w:sz w:val="22"/>
          <w:szCs w:val="22"/>
        </w:rPr>
        <w:t>Termo</w:t>
      </w:r>
      <w:r>
        <w:rPr>
          <w:rFonts w:ascii="Arial" w:hAnsi="Arial" w:cs="Arial"/>
          <w:spacing w:val="-9"/>
          <w:sz w:val="22"/>
          <w:szCs w:val="22"/>
        </w:rPr>
        <w:t xml:space="preserve"> </w:t>
      </w:r>
      <w:r>
        <w:rPr>
          <w:rFonts w:ascii="Arial" w:hAnsi="Arial" w:cs="Arial"/>
          <w:sz w:val="22"/>
          <w:szCs w:val="22"/>
        </w:rPr>
        <w:t>de</w:t>
      </w:r>
      <w:r>
        <w:rPr>
          <w:rFonts w:ascii="Arial" w:hAnsi="Arial" w:cs="Arial"/>
          <w:spacing w:val="-10"/>
          <w:sz w:val="22"/>
          <w:szCs w:val="22"/>
        </w:rPr>
        <w:t xml:space="preserve"> </w:t>
      </w:r>
      <w:r>
        <w:rPr>
          <w:rFonts w:ascii="Arial" w:hAnsi="Arial" w:cs="Arial"/>
          <w:sz w:val="22"/>
          <w:szCs w:val="22"/>
        </w:rPr>
        <w:t>Referência/Projeto</w:t>
      </w:r>
      <w:r>
        <w:rPr>
          <w:rFonts w:ascii="Arial" w:hAnsi="Arial" w:cs="Arial"/>
          <w:spacing w:val="-7"/>
          <w:sz w:val="22"/>
          <w:szCs w:val="22"/>
        </w:rPr>
        <w:t xml:space="preserve"> </w:t>
      </w:r>
      <w:r>
        <w:rPr>
          <w:rFonts w:ascii="Arial" w:hAnsi="Arial" w:cs="Arial"/>
          <w:sz w:val="22"/>
          <w:szCs w:val="22"/>
        </w:rPr>
        <w:t>Básico</w:t>
      </w:r>
      <w:r>
        <w:rPr>
          <w:rFonts w:ascii="Arial" w:hAnsi="Arial" w:cs="Arial"/>
          <w:spacing w:val="-10"/>
          <w:sz w:val="22"/>
          <w:szCs w:val="22"/>
        </w:rPr>
        <w:t xml:space="preserve"> </w:t>
      </w:r>
      <w:r>
        <w:rPr>
          <w:rFonts w:ascii="Arial" w:hAnsi="Arial" w:cs="Arial"/>
          <w:sz w:val="22"/>
          <w:szCs w:val="22"/>
        </w:rPr>
        <w:t>realizado</w:t>
      </w:r>
      <w:r>
        <w:rPr>
          <w:rFonts w:ascii="Arial" w:hAnsi="Arial" w:cs="Arial"/>
          <w:spacing w:val="-7"/>
          <w:sz w:val="22"/>
          <w:szCs w:val="22"/>
        </w:rPr>
        <w:t xml:space="preserve"> </w:t>
      </w:r>
      <w:r>
        <w:rPr>
          <w:rFonts w:ascii="Arial" w:hAnsi="Arial" w:cs="Arial"/>
          <w:sz w:val="22"/>
          <w:szCs w:val="22"/>
        </w:rPr>
        <w:t>e</w:t>
      </w:r>
      <w:r>
        <w:rPr>
          <w:rFonts w:ascii="Arial" w:hAnsi="Arial" w:cs="Arial"/>
          <w:spacing w:val="-10"/>
          <w:sz w:val="22"/>
          <w:szCs w:val="22"/>
        </w:rPr>
        <w:t xml:space="preserve"> </w:t>
      </w:r>
      <w:r>
        <w:rPr>
          <w:rFonts w:ascii="Arial" w:hAnsi="Arial" w:cs="Arial"/>
          <w:sz w:val="22"/>
          <w:szCs w:val="22"/>
        </w:rPr>
        <w:t>autorizo</w:t>
      </w:r>
      <w:r>
        <w:rPr>
          <w:rFonts w:ascii="Arial" w:hAnsi="Arial" w:cs="Arial"/>
          <w:spacing w:val="-9"/>
          <w:sz w:val="22"/>
          <w:szCs w:val="22"/>
        </w:rPr>
        <w:t xml:space="preserve"> </w:t>
      </w:r>
      <w:r>
        <w:rPr>
          <w:rFonts w:ascii="Arial" w:hAnsi="Arial" w:cs="Arial"/>
          <w:sz w:val="22"/>
          <w:szCs w:val="22"/>
        </w:rPr>
        <w:t>a</w:t>
      </w:r>
      <w:r>
        <w:rPr>
          <w:rFonts w:ascii="Arial" w:hAnsi="Arial" w:cs="Arial"/>
          <w:spacing w:val="-10"/>
          <w:sz w:val="22"/>
          <w:szCs w:val="22"/>
        </w:rPr>
        <w:t xml:space="preserve"> </w:t>
      </w:r>
      <w:r>
        <w:rPr>
          <w:rFonts w:ascii="Arial" w:hAnsi="Arial" w:cs="Arial"/>
          <w:sz w:val="22"/>
          <w:szCs w:val="22"/>
        </w:rPr>
        <w:t>contratação nos termos da Lei 14.133/2021.</w:t>
      </w:r>
    </w:p>
    <w:p w14:paraId="4E63F5BB">
      <w:pPr>
        <w:tabs>
          <w:tab w:val="left" w:pos="567"/>
        </w:tabs>
        <w:spacing w:after="0" w:line="240" w:lineRule="auto"/>
        <w:jc w:val="both"/>
        <w:rPr>
          <w:rFonts w:ascii="Arial" w:hAnsi="Arial" w:cs="Arial"/>
          <w:bCs/>
          <w:sz w:val="22"/>
          <w:szCs w:val="22"/>
        </w:rPr>
      </w:pPr>
    </w:p>
    <w:p w14:paraId="435F0C6A">
      <w:pPr>
        <w:tabs>
          <w:tab w:val="left" w:pos="567"/>
        </w:tabs>
        <w:spacing w:after="0" w:line="240" w:lineRule="auto"/>
        <w:jc w:val="both"/>
        <w:rPr>
          <w:rFonts w:ascii="Arial" w:hAnsi="Arial" w:cs="Arial"/>
          <w:bCs/>
          <w:sz w:val="22"/>
          <w:szCs w:val="22"/>
        </w:rPr>
      </w:pPr>
    </w:p>
    <w:p w14:paraId="7BD0B4D5">
      <w:pPr>
        <w:tabs>
          <w:tab w:val="left" w:pos="2040"/>
        </w:tabs>
        <w:spacing w:after="0" w:line="240" w:lineRule="auto"/>
        <w:jc w:val="center"/>
        <w:rPr>
          <w:rFonts w:ascii="Arial" w:hAnsi="Arial" w:cs="Arial"/>
          <w:b/>
        </w:rPr>
      </w:pPr>
      <w:r>
        <w:rPr>
          <w:rFonts w:ascii="Arial" w:hAnsi="Arial" w:cs="Arial"/>
          <w:b/>
        </w:rPr>
        <w:t>ORODOVALDO ANTÔNIO DE MIRANDA</w:t>
      </w:r>
    </w:p>
    <w:p w14:paraId="4EEBA5D6">
      <w:pPr>
        <w:tabs>
          <w:tab w:val="left" w:pos="2040"/>
        </w:tabs>
        <w:spacing w:after="0" w:line="240" w:lineRule="auto"/>
        <w:jc w:val="center"/>
        <w:rPr>
          <w:rFonts w:ascii="Arial" w:hAnsi="Arial" w:cs="Arial"/>
          <w:bCs/>
        </w:rPr>
      </w:pPr>
      <w:r>
        <w:rPr>
          <w:rFonts w:ascii="Arial" w:hAnsi="Arial" w:cs="Arial"/>
          <w:bCs/>
        </w:rPr>
        <w:t>Secretário de Saúde</w:t>
      </w:r>
    </w:p>
    <w:p w14:paraId="76D41ABC">
      <w:pPr>
        <w:tabs>
          <w:tab w:val="left" w:pos="567"/>
        </w:tabs>
        <w:spacing w:after="0" w:line="240" w:lineRule="auto"/>
        <w:jc w:val="center"/>
        <w:rPr>
          <w:rFonts w:ascii="Arial" w:hAnsi="Arial" w:cs="Arial"/>
          <w:bCs/>
          <w:sz w:val="22"/>
          <w:szCs w:val="22"/>
        </w:rPr>
        <w:sectPr>
          <w:type w:val="continuous"/>
          <w:pgSz w:w="11906" w:h="16838"/>
          <w:pgMar w:top="1417" w:right="1701" w:bottom="1417" w:left="1701" w:header="567" w:footer="567" w:gutter="0"/>
          <w:cols w:space="708" w:num="1"/>
          <w:docGrid w:linePitch="360" w:charSpace="0"/>
        </w:sectPr>
      </w:pPr>
      <w:r>
        <w:rPr>
          <w:rFonts w:ascii="Arial" w:hAnsi="Arial" w:cs="Arial"/>
          <w:bCs/>
        </w:rPr>
        <w:t>Portaria Nº0015/2025</w:t>
      </w:r>
    </w:p>
    <w:p w14:paraId="11994A81">
      <w:pPr>
        <w:pStyle w:val="3"/>
        <w:pBdr>
          <w:top w:val="double" w:color="auto" w:sz="4" w:space="3"/>
          <w:left w:val="double" w:color="auto" w:sz="4" w:space="4"/>
          <w:bottom w:val="double" w:color="auto" w:sz="4" w:space="1"/>
          <w:right w:val="double" w:color="auto" w:sz="4" w:space="4"/>
        </w:pBdr>
        <w:shd w:val="clear" w:color="auto" w:fill="D9D9D9"/>
        <w:spacing w:before="120" w:line="24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 xml:space="preserve">ANEXO I </w:t>
      </w:r>
    </w:p>
    <w:p w14:paraId="23A61D6E">
      <w:pPr>
        <w:pStyle w:val="3"/>
        <w:pBdr>
          <w:top w:val="double" w:color="auto" w:sz="4" w:space="3"/>
          <w:left w:val="double" w:color="auto" w:sz="4" w:space="4"/>
          <w:bottom w:val="double" w:color="auto" w:sz="4" w:space="1"/>
          <w:right w:val="double" w:color="auto" w:sz="4" w:space="4"/>
        </w:pBdr>
        <w:shd w:val="clear" w:color="auto" w:fill="D9D9D9"/>
        <w:spacing w:before="120" w:line="24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TERMO DE REF</w:t>
      </w:r>
      <w:r>
        <w:rPr>
          <w:rFonts w:hint="default" w:ascii="Arial" w:hAnsi="Arial" w:cs="Arial"/>
          <w:bCs/>
          <w:color w:val="auto"/>
          <w:sz w:val="22"/>
          <w:szCs w:val="22"/>
          <w:u w:val="none"/>
          <w:lang w:val="pt-BR"/>
        </w:rPr>
        <w:t>E</w:t>
      </w:r>
      <w:r>
        <w:rPr>
          <w:rFonts w:hint="default" w:ascii="Arial" w:hAnsi="Arial" w:cs="Arial"/>
          <w:bCs/>
          <w:color w:val="auto"/>
          <w:sz w:val="22"/>
          <w:szCs w:val="22"/>
          <w:u w:val="none"/>
        </w:rPr>
        <w:t>R</w:t>
      </w:r>
      <w:r>
        <w:rPr>
          <w:rFonts w:hint="default" w:ascii="Arial" w:hAnsi="Arial" w:cs="Arial"/>
          <w:bCs/>
          <w:color w:val="auto"/>
          <w:sz w:val="22"/>
          <w:szCs w:val="22"/>
          <w:u w:val="none"/>
          <w:lang w:val="pt-BR"/>
        </w:rPr>
        <w:t>Ê</w:t>
      </w:r>
      <w:r>
        <w:rPr>
          <w:rFonts w:hint="default" w:ascii="Arial" w:hAnsi="Arial" w:cs="Arial"/>
          <w:bCs/>
          <w:color w:val="auto"/>
          <w:sz w:val="22"/>
          <w:szCs w:val="22"/>
          <w:u w:val="none"/>
        </w:rPr>
        <w:t>NCIA</w:t>
      </w:r>
    </w:p>
    <w:p w14:paraId="5169DBA1">
      <w:pPr>
        <w:spacing w:line="240" w:lineRule="auto"/>
        <w:jc w:val="center"/>
        <w:rPr>
          <w:rFonts w:ascii="Arial" w:hAnsi="Arial" w:cs="Arial"/>
          <w:b/>
          <w:color w:val="FF0000"/>
          <w:sz w:val="22"/>
          <w:szCs w:val="22"/>
        </w:rPr>
      </w:pPr>
      <w:r>
        <w:rPr>
          <w:rFonts w:ascii="Arial" w:hAnsi="Arial" w:cs="Arial"/>
          <w:b/>
          <w:color w:val="FF0000"/>
          <w:sz w:val="22"/>
          <w:szCs w:val="22"/>
        </w:rPr>
        <w:t>PAPEL TIMBRADO DA EMPRESA</w:t>
      </w:r>
    </w:p>
    <w:p w14:paraId="7CA433B9">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4EF9ADA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0"/>
        <w:tblpPr w:leftFromText="180" w:rightFromText="180" w:vertAnchor="text" w:horzAnchor="page" w:tblpX="1369" w:tblpY="245"/>
        <w:tblOverlap w:val="never"/>
        <w:tblW w:w="9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02"/>
        <w:gridCol w:w="992"/>
        <w:gridCol w:w="1134"/>
        <w:gridCol w:w="1247"/>
        <w:gridCol w:w="1769"/>
        <w:gridCol w:w="1009"/>
        <w:gridCol w:w="1269"/>
        <w:gridCol w:w="1346"/>
      </w:tblGrid>
      <w:tr w14:paraId="646E8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568" w:type="dxa"/>
            <w:gridSpan w:val="8"/>
            <w:tcBorders>
              <w:top w:val="single" w:color="auto" w:sz="4" w:space="0"/>
              <w:left w:val="single" w:color="auto" w:sz="4" w:space="0"/>
              <w:bottom w:val="single" w:color="auto" w:sz="4" w:space="0"/>
              <w:right w:val="single" w:color="auto" w:sz="4" w:space="0"/>
            </w:tcBorders>
            <w:noWrap w:val="0"/>
            <w:vAlign w:val="top"/>
          </w:tcPr>
          <w:p w14:paraId="37DE4849">
            <w:pPr>
              <w:keepLines/>
              <w:outlineLvl w:val="0"/>
              <w:rPr>
                <w:rFonts w:ascii="Arial" w:hAnsi="Arial" w:cs="Arial"/>
                <w:b/>
                <w:bCs/>
                <w:sz w:val="20"/>
                <w:szCs w:val="20"/>
              </w:rPr>
            </w:pPr>
            <w:r>
              <w:rPr>
                <w:rFonts w:ascii="Arial" w:hAnsi="Arial" w:cs="Arial"/>
                <w:b/>
                <w:bCs/>
                <w:sz w:val="20"/>
                <w:szCs w:val="20"/>
              </w:rPr>
              <w:t>Nome Fantasia:</w:t>
            </w:r>
          </w:p>
        </w:tc>
      </w:tr>
      <w:tr w14:paraId="64C92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568" w:type="dxa"/>
            <w:gridSpan w:val="8"/>
            <w:tcBorders>
              <w:top w:val="single" w:color="auto" w:sz="4" w:space="0"/>
              <w:left w:val="single" w:color="auto" w:sz="4" w:space="0"/>
              <w:bottom w:val="single" w:color="auto" w:sz="4" w:space="0"/>
              <w:right w:val="single" w:color="auto" w:sz="4" w:space="0"/>
            </w:tcBorders>
            <w:noWrap w:val="0"/>
            <w:vAlign w:val="top"/>
          </w:tcPr>
          <w:p w14:paraId="7555AC46">
            <w:pPr>
              <w:keepLines/>
              <w:outlineLvl w:val="0"/>
              <w:rPr>
                <w:rFonts w:ascii="Arial" w:hAnsi="Arial" w:cs="Arial"/>
                <w:b/>
                <w:bCs/>
                <w:sz w:val="20"/>
                <w:szCs w:val="20"/>
              </w:rPr>
            </w:pPr>
            <w:r>
              <w:rPr>
                <w:rFonts w:ascii="Arial" w:hAnsi="Arial" w:cs="Arial"/>
                <w:b/>
                <w:bCs/>
                <w:sz w:val="20"/>
                <w:szCs w:val="20"/>
              </w:rPr>
              <w:t>Razão Social:</w:t>
            </w:r>
          </w:p>
        </w:tc>
      </w:tr>
      <w:tr w14:paraId="0E5F0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6BD5E5FB">
            <w:pPr>
              <w:keepLines/>
              <w:outlineLvl w:val="0"/>
              <w:rPr>
                <w:rFonts w:ascii="Arial" w:hAnsi="Arial" w:cs="Arial"/>
                <w:b/>
                <w:bCs/>
                <w:sz w:val="20"/>
                <w:szCs w:val="20"/>
              </w:rPr>
            </w:pPr>
            <w:r>
              <w:rPr>
                <w:rFonts w:ascii="Arial" w:hAnsi="Arial" w:cs="Arial"/>
                <w:b/>
                <w:bCs/>
                <w:sz w:val="20"/>
                <w:szCs w:val="20"/>
              </w:rPr>
              <w:t>CNPJ:</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598E5A3A">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7D356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42BCBF88">
            <w:pPr>
              <w:keepLines/>
              <w:outlineLvl w:val="0"/>
              <w:rPr>
                <w:rFonts w:ascii="Arial" w:hAnsi="Arial" w:cs="Arial"/>
                <w:b/>
                <w:bCs/>
                <w:sz w:val="20"/>
                <w:szCs w:val="20"/>
              </w:rPr>
            </w:pPr>
            <w:r>
              <w:rPr>
                <w:rFonts w:ascii="Arial" w:hAnsi="Arial" w:cs="Arial"/>
                <w:b/>
                <w:bCs/>
                <w:sz w:val="20"/>
                <w:szCs w:val="20"/>
              </w:rPr>
              <w:t>Inscrição Estadual:</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545B0D45">
            <w:pPr>
              <w:keepLines/>
              <w:ind w:right="-47"/>
              <w:outlineLvl w:val="0"/>
              <w:rPr>
                <w:rFonts w:ascii="Arial" w:hAnsi="Arial" w:cs="Arial"/>
                <w:b/>
                <w:bCs/>
                <w:sz w:val="20"/>
                <w:szCs w:val="20"/>
              </w:rPr>
            </w:pPr>
            <w:r>
              <w:rPr>
                <w:rFonts w:ascii="Arial" w:hAnsi="Arial" w:cs="Arial"/>
                <w:b/>
                <w:bCs/>
                <w:sz w:val="20"/>
                <w:szCs w:val="20"/>
              </w:rPr>
              <w:t>Inscrição Municipal:</w:t>
            </w:r>
          </w:p>
        </w:tc>
      </w:tr>
      <w:tr w14:paraId="247FE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568" w:type="dxa"/>
            <w:gridSpan w:val="8"/>
            <w:tcBorders>
              <w:top w:val="single" w:color="auto" w:sz="4" w:space="0"/>
              <w:left w:val="single" w:color="auto" w:sz="4" w:space="0"/>
              <w:bottom w:val="single" w:color="auto" w:sz="4" w:space="0"/>
              <w:right w:val="single" w:color="auto" w:sz="4" w:space="0"/>
            </w:tcBorders>
            <w:noWrap w:val="0"/>
            <w:vAlign w:val="top"/>
          </w:tcPr>
          <w:p w14:paraId="59155F4F">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0996F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3885D134">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1C72C61C">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65461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014FBAA3">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71499B9D">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70B17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256293FC">
            <w:pPr>
              <w:keepLines/>
              <w:outlineLvl w:val="0"/>
              <w:rPr>
                <w:rFonts w:ascii="Arial" w:hAnsi="Arial" w:cs="Arial"/>
                <w:b/>
                <w:bCs/>
                <w:sz w:val="20"/>
                <w:szCs w:val="20"/>
              </w:rPr>
            </w:pPr>
            <w:r>
              <w:rPr>
                <w:rFonts w:hint="default" w:ascii="Arial" w:hAnsi="Arial" w:cs="Arial"/>
                <w:b/>
                <w:bCs/>
                <w:sz w:val="20"/>
                <w:szCs w:val="20"/>
                <w:lang w:val="pt-BR"/>
              </w:rPr>
              <w:t>Nome do responsável pela assinatura da Ata de Registro de Preços:</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4861FFB1">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da Ata de Registro de Preços: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5B3EA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568" w:type="dxa"/>
            <w:gridSpan w:val="8"/>
            <w:tcBorders>
              <w:top w:val="single" w:color="auto" w:sz="4" w:space="0"/>
              <w:left w:val="single" w:color="auto" w:sz="4" w:space="0"/>
              <w:bottom w:val="single" w:color="auto" w:sz="4" w:space="0"/>
              <w:right w:val="single" w:color="auto" w:sz="4" w:space="0"/>
            </w:tcBorders>
            <w:noWrap w:val="0"/>
            <w:vAlign w:val="top"/>
          </w:tcPr>
          <w:p w14:paraId="5C68ACFA">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r w14:paraId="2E5B426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2FCEE922">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43532232">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021A1462">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color="auto" w:sz="4" w:space="0"/>
              <w:left w:val="nil"/>
              <w:bottom w:val="single" w:color="auto" w:sz="4" w:space="0"/>
              <w:right w:val="single" w:color="auto" w:sz="4" w:space="0"/>
            </w:tcBorders>
            <w:noWrap/>
            <w:vAlign w:val="center"/>
          </w:tcPr>
          <w:p w14:paraId="71982553">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14:paraId="0CBDE0B7">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color="auto" w:sz="4" w:space="0"/>
              <w:left w:val="nil"/>
              <w:bottom w:val="single" w:color="auto" w:sz="4" w:space="0"/>
              <w:right w:val="single" w:color="auto" w:sz="4" w:space="0"/>
            </w:tcBorders>
            <w:noWrap/>
            <w:vAlign w:val="center"/>
          </w:tcPr>
          <w:p w14:paraId="0D16007B">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346" w:type="dxa"/>
            <w:tcBorders>
              <w:top w:val="single" w:color="auto" w:sz="4" w:space="0"/>
              <w:left w:val="nil"/>
              <w:bottom w:val="single" w:color="auto" w:sz="4" w:space="0"/>
              <w:right w:val="single" w:color="auto" w:sz="4" w:space="0"/>
            </w:tcBorders>
            <w:noWrap/>
            <w:vAlign w:val="center"/>
          </w:tcPr>
          <w:p w14:paraId="2C19CEF3">
            <w:pPr>
              <w:jc w:val="center"/>
              <w:rPr>
                <w:rFonts w:ascii="Calibri" w:hAnsi="Calibri" w:cs="Calibri"/>
                <w:b/>
                <w:bCs/>
                <w:color w:val="000000"/>
                <w:sz w:val="20"/>
                <w:szCs w:val="20"/>
              </w:rPr>
            </w:pPr>
            <w:r>
              <w:rPr>
                <w:rFonts w:ascii="Calibri" w:hAnsi="Calibri" w:cs="Calibri"/>
                <w:b/>
                <w:bCs/>
                <w:color w:val="000000"/>
                <w:sz w:val="20"/>
                <w:szCs w:val="20"/>
              </w:rPr>
              <w:t>VALOR TOTAL</w:t>
            </w:r>
          </w:p>
        </w:tc>
      </w:tr>
      <w:tr w14:paraId="76BDF8F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64E686DD">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28979B60">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56D71679">
            <w:pPr>
              <w:jc w:val="center"/>
              <w:rPr>
                <w:rFonts w:ascii="Calibri" w:hAnsi="Calibri" w:cs="Calibri"/>
                <w:b/>
                <w:bCs/>
                <w:color w:val="000000"/>
                <w:sz w:val="20"/>
                <w:szCs w:val="20"/>
              </w:rPr>
            </w:pPr>
          </w:p>
        </w:tc>
        <w:tc>
          <w:tcPr>
            <w:tcW w:w="3016" w:type="dxa"/>
            <w:gridSpan w:val="2"/>
            <w:tcBorders>
              <w:top w:val="single" w:color="auto" w:sz="4" w:space="0"/>
              <w:left w:val="nil"/>
              <w:bottom w:val="single" w:color="auto" w:sz="4" w:space="0"/>
              <w:right w:val="single" w:color="auto" w:sz="4" w:space="0"/>
            </w:tcBorders>
            <w:noWrap/>
            <w:vAlign w:val="center"/>
          </w:tcPr>
          <w:p w14:paraId="0DD467D5">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7F6E3E4F">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14:paraId="575BAE7B">
            <w:pPr>
              <w:jc w:val="center"/>
              <w:rPr>
                <w:rFonts w:ascii="Calibri" w:hAnsi="Calibri" w:cs="Calibri"/>
                <w:b/>
                <w:bCs/>
                <w:color w:val="000000"/>
                <w:sz w:val="20"/>
                <w:szCs w:val="20"/>
              </w:rPr>
            </w:pPr>
          </w:p>
        </w:tc>
        <w:tc>
          <w:tcPr>
            <w:tcW w:w="1346" w:type="dxa"/>
            <w:tcBorders>
              <w:top w:val="single" w:color="auto" w:sz="4" w:space="0"/>
              <w:left w:val="nil"/>
              <w:bottom w:val="single" w:color="auto" w:sz="4" w:space="0"/>
              <w:right w:val="single" w:color="auto" w:sz="4" w:space="0"/>
            </w:tcBorders>
            <w:noWrap/>
            <w:vAlign w:val="center"/>
          </w:tcPr>
          <w:p w14:paraId="28571D7F">
            <w:pPr>
              <w:jc w:val="center"/>
              <w:rPr>
                <w:rFonts w:ascii="Calibri" w:hAnsi="Calibri" w:cs="Calibri"/>
                <w:b/>
                <w:bCs/>
                <w:color w:val="000000"/>
                <w:sz w:val="20"/>
                <w:szCs w:val="20"/>
              </w:rPr>
            </w:pPr>
          </w:p>
        </w:tc>
      </w:tr>
    </w:tbl>
    <w:p w14:paraId="7D78B361">
      <w:pPr>
        <w:pStyle w:val="16"/>
        <w:rPr>
          <w:rFonts w:ascii="Arial" w:hAnsi="Arial" w:cs="Arial"/>
          <w:b/>
          <w:sz w:val="22"/>
          <w:szCs w:val="22"/>
        </w:rPr>
      </w:pPr>
      <w:r>
        <w:rPr>
          <w:rFonts w:ascii="Arial" w:hAnsi="Arial" w:cs="Arial"/>
          <w:b/>
          <w:sz w:val="22"/>
          <w:szCs w:val="22"/>
        </w:rPr>
        <w:t>Valor total por extenso: (....................)</w:t>
      </w:r>
    </w:p>
    <w:p w14:paraId="14ABE2FF">
      <w:pPr>
        <w:pStyle w:val="16"/>
        <w:rPr>
          <w:rFonts w:ascii="Arial" w:hAnsi="Arial" w:cs="Arial"/>
          <w:b/>
          <w:sz w:val="22"/>
          <w:szCs w:val="22"/>
        </w:rPr>
      </w:pPr>
    </w:p>
    <w:p w14:paraId="71FF57D2">
      <w:pPr>
        <w:keepNext w:val="0"/>
        <w:keepLines w:val="0"/>
        <w:pageBreakBefore w:val="0"/>
        <w:widowControl w:val="0"/>
        <w:numPr>
          <w:ilvl w:val="0"/>
          <w:numId w:val="24"/>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que examinamos, conhecemos e nos submetemos a todas as condições contidas no </w:t>
      </w:r>
      <w:r>
        <w:rPr>
          <w:rFonts w:hint="default" w:ascii="Arial" w:hAnsi="Arial" w:cs="Arial"/>
          <w:sz w:val="22"/>
          <w:szCs w:val="22"/>
          <w:lang w:val="pt-BR"/>
        </w:rPr>
        <w:t>E</w:t>
      </w:r>
      <w:r>
        <w:rPr>
          <w:rFonts w:ascii="Arial" w:hAnsi="Arial" w:cs="Arial"/>
          <w:sz w:val="22"/>
          <w:szCs w:val="22"/>
        </w:rPr>
        <w:t xml:space="preserve">dital deste </w:t>
      </w:r>
      <w:r>
        <w:rPr>
          <w:rFonts w:hint="default" w:ascii="Arial" w:hAnsi="Arial" w:cs="Arial"/>
          <w:sz w:val="22"/>
          <w:szCs w:val="22"/>
          <w:lang w:val="pt-BR"/>
        </w:rPr>
        <w:t>P</w:t>
      </w:r>
      <w:r>
        <w:rPr>
          <w:rFonts w:ascii="Arial" w:hAnsi="Arial" w:cs="Arial"/>
          <w:sz w:val="22"/>
          <w:szCs w:val="22"/>
        </w:rPr>
        <w:t>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48B2A6F5">
      <w:pPr>
        <w:keepNext w:val="0"/>
        <w:keepLines w:val="0"/>
        <w:pageBreakBefore w:val="0"/>
        <w:widowControl w:val="0"/>
        <w:numPr>
          <w:ilvl w:val="0"/>
          <w:numId w:val="24"/>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ainda, que estão incluídos nos preços propostos todas as despesas relacionadas com o objeto da licitação, como impostos, fretes, seguros, taxas, encargos trabalhistas</w:t>
      </w:r>
      <w:r>
        <w:rPr>
          <w:rFonts w:hint="default" w:ascii="Arial" w:hAnsi="Arial" w:cs="Arial"/>
          <w:sz w:val="22"/>
          <w:szCs w:val="22"/>
          <w:lang w:val="pt-BR"/>
        </w:rPr>
        <w:t xml:space="preserve"> em sua integralidade (conforme art. 63, § 1º da Lei Federal nº 14.133/2021)</w:t>
      </w:r>
      <w:r>
        <w:rPr>
          <w:rFonts w:ascii="Arial" w:hAnsi="Arial" w:cs="Arial"/>
          <w:sz w:val="22"/>
          <w:szCs w:val="22"/>
        </w:rPr>
        <w:t>, previdenciários, sociais, fiscais e comerciais, gastos com transportes, prêmios de seguros e outras despesas decorrentes de exigência legal.</w:t>
      </w:r>
      <w:r>
        <w:rPr>
          <w:rFonts w:hint="default" w:ascii="Arial" w:hAnsi="Arial" w:cs="Arial"/>
          <w:sz w:val="22"/>
          <w:szCs w:val="22"/>
          <w:lang w:val="pt-BR"/>
        </w:rPr>
        <w:t xml:space="preserve"> </w:t>
      </w:r>
    </w:p>
    <w:p w14:paraId="0CBCF518">
      <w:pPr>
        <w:keepNext w:val="0"/>
        <w:keepLines w:val="0"/>
        <w:pageBreakBefore w:val="0"/>
        <w:widowControl w:val="0"/>
        <w:numPr>
          <w:ilvl w:val="0"/>
          <w:numId w:val="24"/>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por fim, que a proposta apresentada para participar da presente </w:t>
      </w:r>
      <w:r>
        <w:rPr>
          <w:rFonts w:hint="default" w:ascii="Arial" w:hAnsi="Arial" w:cs="Arial"/>
          <w:sz w:val="22"/>
          <w:szCs w:val="22"/>
          <w:lang w:val="pt-BR"/>
        </w:rPr>
        <w:t>l</w:t>
      </w:r>
      <w:r>
        <w:rPr>
          <w:rFonts w:ascii="Arial" w:hAnsi="Arial" w:cs="Arial"/>
          <w:sz w:val="22"/>
          <w:szCs w:val="22"/>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2"/>
          <w:szCs w:val="22"/>
          <w:lang w:val="pt-BR"/>
        </w:rPr>
        <w:t>l</w:t>
      </w:r>
      <w:r>
        <w:rPr>
          <w:rFonts w:ascii="Arial" w:hAnsi="Arial" w:cs="Arial"/>
          <w:sz w:val="22"/>
          <w:szCs w:val="22"/>
        </w:rPr>
        <w:t>icitação, por qualquer meio ou por qualquer pessoa.</w:t>
      </w:r>
    </w:p>
    <w:p w14:paraId="3EBE5759">
      <w:pPr>
        <w:keepNext w:val="0"/>
        <w:keepLines w:val="0"/>
        <w:pageBreakBefore w:val="0"/>
        <w:widowControl w:val="0"/>
        <w:numPr>
          <w:ilvl w:val="0"/>
          <w:numId w:val="24"/>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Validade da Proposta: 60 (sessenta) dias.</w:t>
      </w:r>
    </w:p>
    <w:p w14:paraId="592E25A9">
      <w:pPr>
        <w:autoSpaceDE w:val="0"/>
        <w:autoSpaceDN w:val="0"/>
        <w:spacing w:line="360" w:lineRule="auto"/>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w:t>
      </w:r>
      <w:r>
        <w:rPr>
          <w:rFonts w:hint="default" w:ascii="Arial" w:hAnsi="Arial" w:cs="Arial"/>
          <w:sz w:val="22"/>
          <w:szCs w:val="22"/>
          <w:lang w:val="pt-BR"/>
        </w:rPr>
        <w:t>5</w:t>
      </w:r>
      <w:r>
        <w:rPr>
          <w:rFonts w:ascii="Arial" w:hAnsi="Arial" w:cs="Arial"/>
          <w:sz w:val="22"/>
          <w:szCs w:val="22"/>
        </w:rPr>
        <w:t>.</w:t>
      </w:r>
    </w:p>
    <w:p w14:paraId="3698733F">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6A772309">
      <w:pPr>
        <w:jc w:val="center"/>
        <w:rPr>
          <w:rFonts w:ascii="Arial" w:hAnsi="Arial" w:cs="Arial"/>
          <w:b/>
          <w:color w:val="FF0000"/>
          <w:sz w:val="22"/>
          <w:szCs w:val="22"/>
        </w:rPr>
      </w:pPr>
    </w:p>
    <w:p w14:paraId="051E76EE">
      <w:pPr>
        <w:jc w:val="center"/>
        <w:rPr>
          <w:rFonts w:ascii="Arial" w:hAnsi="Arial" w:cs="Arial"/>
          <w:b/>
          <w:color w:val="FF0000"/>
          <w:sz w:val="22"/>
          <w:szCs w:val="22"/>
        </w:rPr>
      </w:pPr>
      <w:r>
        <w:rPr>
          <w:rFonts w:ascii="Arial" w:hAnsi="Arial" w:cs="Arial"/>
          <w:b/>
          <w:color w:val="FF0000"/>
          <w:sz w:val="22"/>
          <w:szCs w:val="22"/>
        </w:rPr>
        <w:t>PAPEL TIMBRADO DA EMPRESA</w:t>
      </w:r>
    </w:p>
    <w:p w14:paraId="4FB17B84">
      <w:pPr>
        <w:jc w:val="center"/>
        <w:rPr>
          <w:rFonts w:ascii="Arial" w:hAnsi="Arial" w:cs="Arial"/>
          <w:b/>
          <w:sz w:val="22"/>
          <w:szCs w:val="22"/>
          <w:u w:val="single"/>
        </w:rPr>
      </w:pPr>
    </w:p>
    <w:p w14:paraId="6E01E60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4551D58F">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5017CCA5">
      <w:pPr>
        <w:tabs>
          <w:tab w:val="left" w:pos="8576"/>
          <w:tab w:val="left" w:pos="10419"/>
        </w:tabs>
        <w:spacing w:line="360" w:lineRule="auto"/>
        <w:jc w:val="center"/>
        <w:rPr>
          <w:rFonts w:ascii="Arial" w:hAnsi="Arial" w:cs="Arial"/>
          <w:sz w:val="22"/>
          <w:szCs w:val="22"/>
        </w:rPr>
      </w:pPr>
    </w:p>
    <w:p w14:paraId="446546B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55F5D35B">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dital do Pregão Eletrônico,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44146DDD">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5B4D7B1B">
      <w:pPr>
        <w:tabs>
          <w:tab w:val="left" w:pos="8576"/>
          <w:tab w:val="left" w:pos="10419"/>
        </w:tabs>
        <w:jc w:val="center"/>
        <w:rPr>
          <w:rFonts w:ascii="Arial" w:hAnsi="Arial" w:cs="Arial"/>
          <w:b/>
          <w:sz w:val="22"/>
          <w:szCs w:val="22"/>
          <w:u w:val="single"/>
        </w:rPr>
      </w:pPr>
    </w:p>
    <w:p w14:paraId="1CD34F64">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084B7C98">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6571FB37">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12D94AC1">
      <w:pPr>
        <w:autoSpaceDE w:val="0"/>
        <w:autoSpaceDN w:val="0"/>
        <w:spacing w:before="240" w:after="240" w:line="360" w:lineRule="auto"/>
        <w:ind w:firstLine="1134"/>
        <w:jc w:val="both"/>
        <w:rPr>
          <w:rFonts w:hint="default" w:ascii="Arial" w:hAnsi="Arial" w:cs="Arial"/>
          <w:sz w:val="22"/>
          <w:szCs w:val="22"/>
          <w:lang w:val="pt-BR"/>
        </w:rPr>
      </w:pPr>
    </w:p>
    <w:p w14:paraId="69DF7E7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2939B4C7">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5DA9ADFF">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5171B93A">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DAE7A0E">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4D5745A8">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32EF2F3B">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5FD9E2B">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4"/>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4615DCAF">
      <w:pPr>
        <w:autoSpaceDE w:val="0"/>
        <w:autoSpaceDN w:val="0"/>
        <w:spacing w:line="360" w:lineRule="auto"/>
        <w:ind w:left="0" w:leftChars="0" w:firstLine="959" w:firstLineChars="436"/>
        <w:jc w:val="both"/>
        <w:rPr>
          <w:rFonts w:ascii="Arial" w:hAnsi="Arial" w:cs="Arial"/>
          <w:color w:val="FF0000"/>
          <w:sz w:val="22"/>
          <w:szCs w:val="22"/>
        </w:rPr>
      </w:pPr>
    </w:p>
    <w:p w14:paraId="1B1D029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16E10390">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3E040F0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71788C48">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5EAC8877">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9"/>
                    <a:stretch>
                      <a:fillRect/>
                    </a:stretch>
                  </pic:blipFill>
                  <pic:spPr>
                    <a:xfrm>
                      <a:off x="0" y="0"/>
                      <a:ext cx="5753735" cy="2698750"/>
                    </a:xfrm>
                    <a:prstGeom prst="rect">
                      <a:avLst/>
                    </a:prstGeom>
                    <a:noFill/>
                    <a:ln>
                      <a:noFill/>
                    </a:ln>
                  </pic:spPr>
                </pic:pic>
              </a:graphicData>
            </a:graphic>
          </wp:inline>
        </w:drawing>
      </w:r>
    </w:p>
    <w:p w14:paraId="1552455D">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i/>
          <w:color w:val="auto"/>
          <w:sz w:val="22"/>
          <w:szCs w:val="22"/>
          <w:u w:val="none"/>
        </w:rPr>
      </w:pPr>
      <w:r>
        <w:rPr>
          <w:rFonts w:ascii="Arial" w:hAnsi="Arial" w:cs="Arial"/>
          <w:color w:val="auto"/>
          <w:sz w:val="22"/>
          <w:szCs w:val="22"/>
          <w:u w:val="none"/>
        </w:rPr>
        <w:t>DECLARAÇÃO EM CUMPRIMENTO AO DISPOSTO NO INCISO XXXIII DO ART. 7º DA CONSTITUIÇÃO FEDERAL DO BRASIL</w:t>
      </w:r>
    </w:p>
    <w:p w14:paraId="5993C8EA">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p>
    <w:p w14:paraId="09D3EC22">
      <w:pPr>
        <w:autoSpaceDE w:val="0"/>
        <w:autoSpaceDN w:val="0"/>
        <w:spacing w:before="240" w:after="240" w:line="360" w:lineRule="auto"/>
        <w:ind w:left="0" w:leftChars="0" w:firstLine="959" w:firstLineChars="436"/>
        <w:jc w:val="both"/>
        <w:rPr>
          <w:rFonts w:ascii="Arial" w:hAnsi="Arial" w:cs="Arial"/>
          <w:sz w:val="22"/>
          <w:szCs w:val="22"/>
        </w:rPr>
      </w:pP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7402682A">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w:t>
      </w:r>
      <w:r>
        <w:rPr>
          <w:rFonts w:hint="default" w:ascii="Arial" w:hAnsi="Arial" w:cs="Arial"/>
          <w:sz w:val="22"/>
          <w:szCs w:val="22"/>
          <w:lang w:val="pt-BR"/>
        </w:rPr>
        <w:t>5</w:t>
      </w:r>
      <w:r>
        <w:rPr>
          <w:rFonts w:ascii="Arial" w:hAnsi="Arial" w:cs="Arial"/>
          <w:sz w:val="22"/>
          <w:szCs w:val="22"/>
        </w:rPr>
        <w:t>.</w:t>
      </w:r>
    </w:p>
    <w:p w14:paraId="080C7E3B">
      <w:pPr>
        <w:ind w:left="0" w:leftChars="0" w:firstLine="959" w:firstLineChars="436"/>
        <w:jc w:val="both"/>
        <w:rPr>
          <w:rFonts w:ascii="Arial" w:hAnsi="Arial" w:cs="Arial"/>
          <w:color w:val="FF0000"/>
          <w:sz w:val="22"/>
          <w:szCs w:val="22"/>
        </w:rPr>
      </w:pPr>
    </w:p>
    <w:p w14:paraId="293D0CB4">
      <w:pPr>
        <w:tabs>
          <w:tab w:val="left" w:pos="8576"/>
          <w:tab w:val="left" w:pos="10419"/>
        </w:tabs>
        <w:jc w:val="both"/>
        <w:rPr>
          <w:rFonts w:ascii="Arial" w:hAnsi="Arial" w:cs="Arial"/>
          <w:sz w:val="22"/>
          <w:szCs w:val="22"/>
        </w:rPr>
      </w:pPr>
    </w:p>
    <w:p w14:paraId="3893508D">
      <w:pPr>
        <w:tabs>
          <w:tab w:val="left" w:pos="8576"/>
          <w:tab w:val="left" w:pos="10419"/>
        </w:tabs>
        <w:jc w:val="both"/>
        <w:rPr>
          <w:rFonts w:ascii="Arial" w:hAnsi="Arial" w:cs="Arial"/>
          <w:sz w:val="22"/>
          <w:szCs w:val="22"/>
        </w:rPr>
      </w:pPr>
    </w:p>
    <w:p w14:paraId="490ABBBD">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74E56B2D">
      <w:pPr>
        <w:spacing w:line="360" w:lineRule="auto"/>
        <w:ind w:firstLine="3"/>
        <w:jc w:val="center"/>
        <w:rPr>
          <w:rFonts w:ascii="Arial" w:hAnsi="Arial" w:cs="Arial"/>
          <w:sz w:val="22"/>
          <w:szCs w:val="22"/>
        </w:rPr>
      </w:pPr>
    </w:p>
    <w:p w14:paraId="7B0098A8">
      <w:pPr>
        <w:spacing w:line="360" w:lineRule="auto"/>
        <w:ind w:firstLine="3"/>
        <w:jc w:val="center"/>
        <w:rPr>
          <w:rFonts w:ascii="Arial" w:hAnsi="Arial" w:cs="Arial"/>
          <w:sz w:val="22"/>
          <w:szCs w:val="22"/>
        </w:rPr>
      </w:pPr>
    </w:p>
    <w:p w14:paraId="33894627">
      <w:pPr>
        <w:spacing w:line="360" w:lineRule="auto"/>
        <w:ind w:firstLine="3"/>
        <w:jc w:val="center"/>
        <w:rPr>
          <w:rFonts w:ascii="Arial" w:hAnsi="Arial" w:cs="Arial"/>
          <w:sz w:val="22"/>
          <w:szCs w:val="22"/>
        </w:rPr>
      </w:pPr>
    </w:p>
    <w:p w14:paraId="5ED70AAC">
      <w:pPr>
        <w:spacing w:line="360" w:lineRule="auto"/>
        <w:ind w:firstLine="3"/>
        <w:jc w:val="center"/>
        <w:rPr>
          <w:rFonts w:ascii="Arial" w:hAnsi="Arial" w:cs="Arial"/>
          <w:sz w:val="22"/>
          <w:szCs w:val="22"/>
        </w:rPr>
      </w:pPr>
    </w:p>
    <w:p w14:paraId="1797EEF7">
      <w:pPr>
        <w:pStyle w:val="3"/>
        <w:pBdr>
          <w:top w:val="double" w:color="auto" w:sz="4" w:space="1"/>
          <w:left w:val="double" w:color="auto" w:sz="4" w:space="4"/>
          <w:bottom w:val="double" w:color="auto" w:sz="4" w:space="1"/>
          <w:right w:val="double" w:color="auto" w:sz="4" w:space="4"/>
        </w:pBdr>
        <w:shd w:val="clear" w:color="auto" w:fill="D9D9D9"/>
        <w:spacing w:line="240" w:lineRule="auto"/>
        <w:jc w:val="center"/>
        <w:rPr>
          <w:rFonts w:hint="default" w:ascii="Arial" w:hAnsi="Arial" w:cs="Arial"/>
          <w:bCs/>
          <w:color w:val="auto"/>
          <w:sz w:val="22"/>
          <w:szCs w:val="22"/>
          <w:u w:val="none"/>
          <w:lang w:val="pt-BR"/>
        </w:rPr>
      </w:pPr>
      <w:r>
        <w:rPr>
          <w:rFonts w:ascii="Arial" w:hAnsi="Arial" w:cs="Arial"/>
          <w:bCs/>
          <w:color w:val="auto"/>
          <w:sz w:val="22"/>
          <w:szCs w:val="22"/>
          <w:u w:val="none"/>
        </w:rPr>
        <w:t>ANEX</w:t>
      </w:r>
      <w:r>
        <w:rPr>
          <w:rFonts w:hint="default" w:ascii="Arial" w:hAnsi="Arial" w:cs="Arial"/>
          <w:bCs/>
          <w:color w:val="auto"/>
          <w:sz w:val="22"/>
          <w:szCs w:val="22"/>
          <w:u w:val="none"/>
        </w:rPr>
        <w:t>O I</w:t>
      </w:r>
      <w:r>
        <w:rPr>
          <w:rFonts w:hint="default" w:ascii="Arial" w:hAnsi="Arial" w:cs="Arial"/>
          <w:bCs/>
          <w:color w:val="auto"/>
          <w:sz w:val="22"/>
          <w:szCs w:val="22"/>
          <w:u w:val="none"/>
          <w:lang w:val="pt-BR"/>
        </w:rPr>
        <w:t>V</w:t>
      </w:r>
    </w:p>
    <w:p w14:paraId="77E89974">
      <w:pPr>
        <w:pStyle w:val="3"/>
        <w:pBdr>
          <w:top w:val="double" w:color="auto" w:sz="4" w:space="1"/>
          <w:left w:val="double" w:color="auto" w:sz="4" w:space="4"/>
          <w:bottom w:val="double" w:color="auto" w:sz="4" w:space="1"/>
          <w:right w:val="double" w:color="auto" w:sz="4" w:space="4"/>
        </w:pBdr>
        <w:shd w:val="clear" w:color="auto" w:fill="D9D9D9"/>
        <w:spacing w:line="240" w:lineRule="auto"/>
        <w:jc w:val="center"/>
        <w:rPr>
          <w:rFonts w:ascii="Arial" w:hAnsi="Arial" w:cs="Arial"/>
          <w:bCs/>
          <w:color w:val="auto"/>
          <w:sz w:val="22"/>
          <w:szCs w:val="22"/>
          <w:u w:val="none"/>
        </w:rPr>
      </w:pPr>
      <w:r>
        <w:rPr>
          <w:rFonts w:ascii="Arial" w:hAnsi="Arial" w:cs="Arial"/>
          <w:bCs/>
          <w:color w:val="auto"/>
          <w:sz w:val="22"/>
          <w:szCs w:val="22"/>
          <w:u w:val="none"/>
        </w:rPr>
        <w:t xml:space="preserve"> MINUTA DA ATA DE REGISTRO DE PREÇOS</w:t>
      </w:r>
    </w:p>
    <w:p w14:paraId="68D05699">
      <w:pPr>
        <w:pStyle w:val="3"/>
        <w:spacing w:line="360" w:lineRule="auto"/>
        <w:jc w:val="center"/>
        <w:rPr>
          <w:rFonts w:ascii="Arial" w:hAnsi="Arial" w:cs="Arial"/>
          <w:color w:val="auto"/>
          <w:sz w:val="22"/>
          <w:szCs w:val="22"/>
          <w:u w:val="none"/>
        </w:rPr>
      </w:pPr>
    </w:p>
    <w:p w14:paraId="6E76A484">
      <w:pPr>
        <w:pStyle w:val="3"/>
        <w:spacing w:line="360" w:lineRule="auto"/>
        <w:jc w:val="center"/>
        <w:rPr>
          <w:rFonts w:ascii="Arial" w:hAnsi="Arial" w:cs="Arial"/>
          <w:color w:val="auto"/>
          <w:sz w:val="22"/>
          <w:szCs w:val="22"/>
          <w:u w:val="none"/>
        </w:rPr>
      </w:pPr>
      <w:r>
        <w:rPr>
          <w:rFonts w:ascii="Arial" w:hAnsi="Arial" w:cs="Arial"/>
          <w:color w:val="auto"/>
          <w:sz w:val="22"/>
          <w:szCs w:val="22"/>
          <w:u w:val="none"/>
        </w:rPr>
        <w:t xml:space="preserve">PREGÃO ELETRÔNICO Nº </w:t>
      </w:r>
      <w:r>
        <w:rPr>
          <w:rFonts w:hint="default" w:ascii="Arial" w:hAnsi="Arial" w:cs="Arial"/>
          <w:color w:val="auto"/>
          <w:sz w:val="22"/>
          <w:szCs w:val="22"/>
          <w:u w:val="none"/>
          <w:lang w:val="pt-BR"/>
        </w:rPr>
        <w:t>09</w:t>
      </w:r>
      <w:r>
        <w:rPr>
          <w:rFonts w:ascii="Arial" w:hAnsi="Arial" w:cs="Arial"/>
          <w:color w:val="auto"/>
          <w:sz w:val="22"/>
          <w:szCs w:val="22"/>
          <w:u w:val="none"/>
        </w:rPr>
        <w:t>/</w:t>
      </w:r>
      <w:r>
        <w:rPr>
          <w:rFonts w:ascii="Arial" w:hAnsi="Arial" w:cs="Arial"/>
          <w:color w:val="auto"/>
          <w:sz w:val="22"/>
          <w:szCs w:val="22"/>
          <w:u w:val="none"/>
          <w:lang w:val="pt-BR"/>
        </w:rPr>
        <w:t>202</w:t>
      </w:r>
      <w:r>
        <w:rPr>
          <w:rFonts w:hint="default" w:ascii="Arial" w:hAnsi="Arial" w:cs="Arial"/>
          <w:color w:val="auto"/>
          <w:sz w:val="22"/>
          <w:szCs w:val="22"/>
          <w:u w:val="none"/>
          <w:lang w:val="pt-BR"/>
        </w:rPr>
        <w:t>5</w:t>
      </w:r>
      <w:r>
        <w:rPr>
          <w:rFonts w:ascii="Arial" w:hAnsi="Arial" w:cs="Arial"/>
          <w:color w:val="auto"/>
          <w:sz w:val="22"/>
          <w:szCs w:val="22"/>
          <w:u w:val="none"/>
        </w:rPr>
        <w:t xml:space="preserve"> </w:t>
      </w:r>
    </w:p>
    <w:p w14:paraId="433F086C">
      <w:pPr>
        <w:spacing w:line="360" w:lineRule="auto"/>
        <w:jc w:val="center"/>
        <w:rPr>
          <w:rFonts w:ascii="Arial" w:hAnsi="Arial" w:cs="Arial"/>
          <w:sz w:val="22"/>
          <w:szCs w:val="22"/>
        </w:rPr>
      </w:pPr>
      <w:r>
        <w:rPr>
          <w:rFonts w:ascii="Arial" w:hAnsi="Arial" w:cs="Arial"/>
          <w:b/>
          <w:sz w:val="22"/>
          <w:szCs w:val="22"/>
        </w:rPr>
        <w:t>ATA DE REGISTRO DE PREÇOS Nº ____/</w:t>
      </w:r>
      <w:r>
        <w:rPr>
          <w:rFonts w:ascii="Arial" w:hAnsi="Arial" w:cs="Arial"/>
          <w:b/>
          <w:sz w:val="22"/>
          <w:szCs w:val="22"/>
          <w:lang w:val="pt-BR"/>
        </w:rPr>
        <w:t>202</w:t>
      </w:r>
      <w:r>
        <w:rPr>
          <w:rFonts w:hint="default" w:ascii="Arial" w:hAnsi="Arial" w:cs="Arial"/>
          <w:b/>
          <w:sz w:val="22"/>
          <w:szCs w:val="22"/>
          <w:lang w:val="pt-BR"/>
        </w:rPr>
        <w:t>5</w:t>
      </w:r>
      <w:r>
        <w:rPr>
          <w:rFonts w:ascii="Arial" w:hAnsi="Arial" w:cs="Arial"/>
          <w:b/>
          <w:sz w:val="22"/>
          <w:szCs w:val="22"/>
        </w:rPr>
        <w:t xml:space="preserve"> </w:t>
      </w:r>
    </w:p>
    <w:p w14:paraId="3FC5EF9C">
      <w:pPr>
        <w:pStyle w:val="26"/>
        <w:pBdr>
          <w:top w:val="double" w:color="auto" w:sz="4" w:space="1"/>
          <w:left w:val="double" w:color="auto" w:sz="4" w:space="4"/>
          <w:bottom w:val="double" w:color="auto" w:sz="4" w:space="1"/>
          <w:right w:val="double" w:color="auto" w:sz="4" w:space="4"/>
          <w:between w:val="double" w:color="auto" w:sz="4" w:space="1"/>
        </w:pBdr>
        <w:shd w:val="clear" w:color="auto" w:fill="D9D9D9"/>
        <w:spacing w:line="240" w:lineRule="auto"/>
        <w:jc w:val="center"/>
        <w:rPr>
          <w:rFonts w:ascii="Arial" w:hAnsi="Arial" w:cs="Arial"/>
          <w:b/>
          <w:sz w:val="22"/>
          <w:szCs w:val="22"/>
        </w:rPr>
      </w:pPr>
      <w:r>
        <w:rPr>
          <w:rFonts w:ascii="Arial" w:hAnsi="Arial" w:cs="Arial"/>
          <w:b/>
          <w:sz w:val="22"/>
          <w:szCs w:val="22"/>
        </w:rPr>
        <w:t>Preâmbulo</w:t>
      </w:r>
    </w:p>
    <w:p w14:paraId="00D71446">
      <w:pPr>
        <w:keepNext w:val="0"/>
        <w:keepLines w:val="0"/>
        <w:pageBreakBefore w:val="0"/>
        <w:widowControl w:val="0"/>
        <w:tabs>
          <w:tab w:val="center" w:pos="4779"/>
          <w:tab w:val="right" w:pos="9198"/>
        </w:tabs>
        <w:kinsoku/>
        <w:wordWrap/>
        <w:overflowPunct/>
        <w:topLinePunct w:val="0"/>
        <w:autoSpaceDE w:val="0"/>
        <w:autoSpaceDN w:val="0"/>
        <w:bidi w:val="0"/>
        <w:adjustRightInd w:val="0"/>
        <w:snapToGrid/>
        <w:spacing w:line="240" w:lineRule="auto"/>
        <w:ind w:right="-28"/>
        <w:jc w:val="both"/>
        <w:textAlignment w:val="auto"/>
        <w:rPr>
          <w:rFonts w:ascii="Arial" w:hAnsi="Arial" w:cs="Arial"/>
          <w:sz w:val="22"/>
          <w:szCs w:val="22"/>
        </w:rPr>
      </w:pPr>
    </w:p>
    <w:p w14:paraId="2C4E0A5B">
      <w:pPr>
        <w:widowControl w:val="0"/>
        <w:tabs>
          <w:tab w:val="center" w:pos="4779"/>
          <w:tab w:val="right" w:pos="9198"/>
        </w:tabs>
        <w:autoSpaceDE w:val="0"/>
        <w:autoSpaceDN w:val="0"/>
        <w:adjustRightInd w:val="0"/>
        <w:spacing w:before="120" w:after="120" w:line="360" w:lineRule="auto"/>
        <w:ind w:right="-28"/>
        <w:jc w:val="both"/>
        <w:rPr>
          <w:rFonts w:hint="default" w:ascii="Arial" w:hAnsi="Arial" w:cs="Arial"/>
          <w:sz w:val="22"/>
          <w:szCs w:val="22"/>
          <w:lang w:val="pt-BR"/>
        </w:rPr>
      </w:pPr>
      <w:r>
        <w:rPr>
          <w:rFonts w:hint="default" w:ascii="Arial" w:hAnsi="Arial" w:cs="Arial"/>
          <w:sz w:val="22"/>
          <w:szCs w:val="22"/>
          <w:lang w:val="pt-BR"/>
        </w:rPr>
        <w:t>O</w:t>
      </w:r>
      <w:r>
        <w:rPr>
          <w:rFonts w:ascii="Arial" w:hAnsi="Arial" w:cs="Arial"/>
          <w:sz w:val="22"/>
          <w:szCs w:val="22"/>
        </w:rPr>
        <w:t xml:space="preserve"> </w:t>
      </w:r>
      <w:r>
        <w:rPr>
          <w:rFonts w:ascii="Arial" w:hAnsi="Arial" w:cs="Arial"/>
          <w:b/>
          <w:sz w:val="22"/>
          <w:szCs w:val="22"/>
        </w:rPr>
        <w:t>MUNIC</w:t>
      </w:r>
      <w:r>
        <w:rPr>
          <w:rFonts w:hint="default" w:ascii="Arial" w:hAnsi="Arial" w:cs="Arial"/>
          <w:b/>
          <w:sz w:val="22"/>
          <w:szCs w:val="22"/>
          <w:lang w:val="pt-BR"/>
        </w:rPr>
        <w:t>ÍPIO</w:t>
      </w:r>
      <w:r>
        <w:rPr>
          <w:rFonts w:ascii="Arial" w:hAnsi="Arial" w:cs="Arial"/>
          <w:b/>
          <w:sz w:val="22"/>
          <w:szCs w:val="22"/>
        </w:rPr>
        <w:t xml:space="preserve"> DE SINOP</w:t>
      </w:r>
      <w:r>
        <w:rPr>
          <w:rFonts w:ascii="Arial" w:hAnsi="Arial" w:cs="Arial"/>
          <w:sz w:val="22"/>
          <w:szCs w:val="22"/>
        </w:rPr>
        <w:t>, pessoa jurídica de direito público interno, inscrit</w:t>
      </w:r>
      <w:r>
        <w:rPr>
          <w:rFonts w:hint="default" w:ascii="Arial" w:hAnsi="Arial" w:cs="Arial"/>
          <w:sz w:val="22"/>
          <w:szCs w:val="22"/>
          <w:lang w:val="pt-BR"/>
        </w:rPr>
        <w:t>o</w:t>
      </w:r>
      <w:r>
        <w:rPr>
          <w:rFonts w:ascii="Arial" w:hAnsi="Arial" w:cs="Arial"/>
          <w:sz w:val="22"/>
          <w:szCs w:val="22"/>
        </w:rPr>
        <w:t xml:space="preserve"> no CNPJ/MF sob o número 15.024.003/0001-32, com sede </w:t>
      </w:r>
      <w:r>
        <w:rPr>
          <w:rFonts w:hint="default" w:ascii="Arial" w:hAnsi="Arial" w:cs="Arial"/>
          <w:sz w:val="22"/>
          <w:szCs w:val="22"/>
          <w:lang w:val="pt-BR"/>
        </w:rPr>
        <w:t>administrativa na</w:t>
      </w:r>
      <w:r>
        <w:rPr>
          <w:rFonts w:ascii="Arial" w:hAnsi="Arial" w:cs="Arial"/>
          <w:sz w:val="22"/>
          <w:szCs w:val="22"/>
        </w:rPr>
        <w:t xml:space="preserve"> Avenida das Embaúbas, n° 1386, </w:t>
      </w:r>
      <w:r>
        <w:rPr>
          <w:rFonts w:hint="default" w:ascii="Arial" w:hAnsi="Arial" w:cs="Arial"/>
          <w:sz w:val="22"/>
          <w:szCs w:val="22"/>
          <w:lang w:val="pt-BR"/>
        </w:rPr>
        <w:t xml:space="preserve">Setor Comercial, </w:t>
      </w:r>
      <w:r>
        <w:rPr>
          <w:rFonts w:ascii="Arial" w:hAnsi="Arial" w:cs="Arial"/>
          <w:sz w:val="22"/>
          <w:szCs w:val="22"/>
        </w:rPr>
        <w:t>na cidade de Sinop</w:t>
      </w:r>
      <w:r>
        <w:rPr>
          <w:rFonts w:hint="default" w:ascii="Arial" w:hAnsi="Arial" w:cs="Arial"/>
          <w:sz w:val="22"/>
          <w:szCs w:val="22"/>
          <w:lang w:val="pt-BR"/>
        </w:rPr>
        <w:t>/MT</w:t>
      </w:r>
      <w:r>
        <w:rPr>
          <w:rFonts w:ascii="Arial" w:hAnsi="Arial" w:cs="Arial"/>
          <w:sz w:val="22"/>
          <w:szCs w:val="22"/>
        </w:rPr>
        <w:t xml:space="preserve">, </w:t>
      </w:r>
      <w:r>
        <w:rPr>
          <w:rFonts w:hint="default" w:ascii="Arial" w:hAnsi="Arial" w:cs="Arial"/>
          <w:sz w:val="22"/>
          <w:szCs w:val="22"/>
          <w:lang w:val="pt-BR"/>
        </w:rPr>
        <w:t xml:space="preserve">CEP 78.550-206, </w:t>
      </w:r>
      <w:r>
        <w:rPr>
          <w:rFonts w:ascii="Arial" w:hAnsi="Arial" w:cs="Arial"/>
          <w:sz w:val="22"/>
          <w:szCs w:val="22"/>
        </w:rPr>
        <w:t>neste ato representad</w:t>
      </w:r>
      <w:r>
        <w:rPr>
          <w:rFonts w:hint="default" w:ascii="Arial" w:hAnsi="Arial" w:cs="Arial"/>
          <w:sz w:val="22"/>
          <w:szCs w:val="22"/>
          <w:lang w:val="pt-BR"/>
        </w:rPr>
        <w:t>o</w:t>
      </w:r>
      <w:r>
        <w:rPr>
          <w:rFonts w:ascii="Arial" w:hAnsi="Arial" w:cs="Arial"/>
          <w:sz w:val="22"/>
          <w:szCs w:val="22"/>
        </w:rPr>
        <w:t xml:space="preserve">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viúvo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CPF/MF nº 127.091.159-72, </w:t>
      </w:r>
      <w:r>
        <w:rPr>
          <w:rFonts w:hint="default" w:ascii="Arial" w:hAnsi="Arial" w:cs="Arial"/>
          <w:sz w:val="22"/>
          <w:szCs w:val="22"/>
          <w:lang w:val="pt-BR"/>
        </w:rPr>
        <w:t xml:space="preserve">doravante </w:t>
      </w:r>
      <w:r>
        <w:rPr>
          <w:rFonts w:ascii="Arial" w:hAnsi="Arial" w:cs="Arial"/>
          <w:color w:val="000000"/>
          <w:sz w:val="22"/>
          <w:szCs w:val="22"/>
        </w:rPr>
        <w:t>denominada</w:t>
      </w:r>
      <w:r>
        <w:rPr>
          <w:rFonts w:ascii="Arial" w:hAnsi="Arial" w:cs="Arial"/>
          <w:sz w:val="22"/>
          <w:szCs w:val="22"/>
        </w:rPr>
        <w:t xml:space="preserve"> </w:t>
      </w:r>
      <w:r>
        <w:rPr>
          <w:rFonts w:hint="default" w:ascii="Arial" w:hAnsi="Arial" w:cs="Arial"/>
          <w:b/>
          <w:sz w:val="22"/>
          <w:szCs w:val="22"/>
          <w:lang w:val="pt-BR"/>
        </w:rPr>
        <w:t>ÓRGÃO GERENCIADOR</w:t>
      </w:r>
      <w:r>
        <w:rPr>
          <w:rFonts w:hint="default" w:ascii="Arial" w:hAnsi="Arial" w:cs="Arial"/>
          <w:b w:val="0"/>
          <w:bCs/>
          <w:sz w:val="22"/>
          <w:szCs w:val="22"/>
          <w:lang w:val="pt-BR"/>
        </w:rPr>
        <w:t>,</w:t>
      </w:r>
      <w:r>
        <w:rPr>
          <w:rFonts w:ascii="Arial" w:hAnsi="Arial" w:cs="Arial"/>
          <w:sz w:val="22"/>
          <w:szCs w:val="22"/>
        </w:rPr>
        <w:t xml:space="preserve"> e a empresa ..............., pessoa jurídica  ................., inscrita no CNPJ/MF sob o nº ............, com sede na ......., ............., ........, na cidade de .................., Estado ........................., neste ato representada pelo(a) sócio(a) proprietário(a) senhor(a), ..............., brasileiro(a), ..............., ........., residente e domiciliado(a) na ........., ........, ........., na cidade de ................, Estado ................, portador da CI/RG nº ............... SSP ......... e CPF/MF n.º .............., doravante denominada</w:t>
      </w:r>
      <w:r>
        <w:rPr>
          <w:rFonts w:ascii="Arial" w:hAnsi="Arial" w:cs="Arial"/>
          <w:b/>
          <w:sz w:val="22"/>
          <w:szCs w:val="22"/>
        </w:rPr>
        <w:t xml:space="preserve"> “PROMITENTE FORNECEDORA”</w:t>
      </w:r>
      <w:r>
        <w:rPr>
          <w:rFonts w:hint="default" w:ascii="Arial" w:hAnsi="Arial" w:cs="Arial"/>
          <w:b w:val="0"/>
          <w:bCs/>
          <w:sz w:val="22"/>
          <w:szCs w:val="22"/>
          <w:lang w:val="pt-BR"/>
        </w:rPr>
        <w:t>,</w:t>
      </w:r>
      <w:r>
        <w:rPr>
          <w:rFonts w:hint="default" w:ascii="Arial" w:hAnsi="Arial" w:cs="Arial"/>
          <w:b/>
          <w:sz w:val="22"/>
          <w:szCs w:val="22"/>
          <w:lang w:val="pt-BR"/>
        </w:rPr>
        <w:t xml:space="preserve"> </w:t>
      </w:r>
      <w:r>
        <w:rPr>
          <w:rFonts w:ascii="Arial" w:hAnsi="Arial" w:cs="Arial"/>
          <w:sz w:val="22"/>
          <w:szCs w:val="22"/>
        </w:rPr>
        <w:t xml:space="preserve">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para Registro </w:t>
      </w:r>
      <w:r>
        <w:rPr>
          <w:rFonts w:hint="default" w:ascii="Arial" w:hAnsi="Arial" w:cs="Arial"/>
          <w:sz w:val="22"/>
          <w:szCs w:val="22"/>
          <w:lang w:val="pt-BR"/>
        </w:rPr>
        <w:t>d</w:t>
      </w:r>
      <w:r>
        <w:rPr>
          <w:rFonts w:ascii="Arial" w:hAnsi="Arial" w:cs="Arial"/>
          <w:sz w:val="22"/>
          <w:szCs w:val="22"/>
        </w:rPr>
        <w:t xml:space="preserve">e Preços, resolve registrar os preços da(s)  empresa(s) indicada(s) e qualificada(s) nesta </w:t>
      </w:r>
      <w:r>
        <w:rPr>
          <w:rFonts w:hint="default" w:ascii="Arial" w:hAnsi="Arial" w:cs="Arial"/>
          <w:sz w:val="22"/>
          <w:szCs w:val="22"/>
          <w:lang w:val="pt-BR"/>
        </w:rPr>
        <w:t>Ata</w:t>
      </w:r>
      <w:r>
        <w:rPr>
          <w:rFonts w:ascii="Arial" w:hAnsi="Arial" w:cs="Arial"/>
          <w:sz w:val="22"/>
          <w:szCs w:val="22"/>
        </w:rPr>
        <w:t xml:space="preserve"> de acordo com a classificação por ela(s) alcançada(s) e na(s)  quantidade(s)  cotada(s), atendendo as condições previstas no </w:t>
      </w:r>
      <w:r>
        <w:rPr>
          <w:rFonts w:ascii="Arial" w:hAnsi="Arial" w:cs="Arial"/>
          <w:color w:val="auto"/>
          <w:sz w:val="22"/>
          <w:szCs w:val="22"/>
        </w:rPr>
        <w:t>Edital de licitação</w:t>
      </w:r>
      <w:r>
        <w:rPr>
          <w:rFonts w:hint="default" w:ascii="Arial" w:hAnsi="Arial" w:cs="Arial"/>
          <w:color w:val="auto"/>
          <w:sz w:val="22"/>
          <w:szCs w:val="22"/>
          <w:lang w:val="pt-BR"/>
        </w:rPr>
        <w:t xml:space="preserve">,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no Decreto Municipal 359/2023 </w:t>
      </w:r>
      <w:r>
        <w:rPr>
          <w:rFonts w:ascii="Arial" w:hAnsi="Arial" w:cs="Arial"/>
          <w:sz w:val="22"/>
          <w:szCs w:val="22"/>
        </w:rPr>
        <w:t>e em conformidade com as disposições a seguir</w:t>
      </w:r>
      <w:r>
        <w:rPr>
          <w:rFonts w:hint="default" w:ascii="Arial" w:hAnsi="Arial" w:cs="Arial"/>
          <w:sz w:val="22"/>
          <w:szCs w:val="22"/>
          <w:lang w:val="pt-BR"/>
        </w:rPr>
        <w:t>.</w:t>
      </w:r>
    </w:p>
    <w:p w14:paraId="5C2726C2">
      <w:pPr>
        <w:pStyle w:val="122"/>
        <w:pBdr>
          <w:top w:val="double" w:color="auto" w:sz="4" w:space="1"/>
          <w:left w:val="double" w:color="auto" w:sz="4" w:space="4"/>
          <w:bottom w:val="double" w:color="auto" w:sz="4" w:space="1"/>
          <w:right w:val="double" w:color="auto" w:sz="4" w:space="4"/>
        </w:pBdr>
        <w:shd w:val="clear" w:color="auto" w:fill="D9D9D9"/>
        <w:spacing w:line="240" w:lineRule="auto"/>
        <w:jc w:val="center"/>
        <w:rPr>
          <w:rFonts w:ascii="Arial" w:hAnsi="Arial" w:cs="Arial"/>
          <w:b/>
          <w:bCs/>
          <w:szCs w:val="22"/>
        </w:rPr>
      </w:pPr>
      <w:r>
        <w:rPr>
          <w:rFonts w:ascii="Arial" w:hAnsi="Arial" w:cs="Arial"/>
          <w:b/>
          <w:bCs/>
          <w:szCs w:val="22"/>
        </w:rPr>
        <w:t>Cláusula Primeira</w:t>
      </w:r>
    </w:p>
    <w:p w14:paraId="181FD5BA">
      <w:pPr>
        <w:pStyle w:val="122"/>
        <w:pBdr>
          <w:top w:val="double" w:color="auto" w:sz="4" w:space="1"/>
          <w:left w:val="double" w:color="auto" w:sz="4" w:space="4"/>
          <w:bottom w:val="double" w:color="auto" w:sz="4" w:space="1"/>
          <w:right w:val="double" w:color="auto" w:sz="4" w:space="4"/>
        </w:pBdr>
        <w:shd w:val="clear" w:color="auto" w:fill="D9D9D9"/>
        <w:spacing w:line="240" w:lineRule="auto"/>
        <w:jc w:val="center"/>
        <w:rPr>
          <w:rFonts w:ascii="Arial" w:hAnsi="Arial" w:cs="Arial"/>
          <w:szCs w:val="22"/>
        </w:rPr>
      </w:pPr>
      <w:r>
        <w:rPr>
          <w:rFonts w:ascii="Arial" w:hAnsi="Arial" w:cs="Arial"/>
          <w:b/>
          <w:bCs/>
          <w:szCs w:val="22"/>
        </w:rPr>
        <w:t>DO OBJETO</w:t>
      </w:r>
    </w:p>
    <w:p w14:paraId="47A4F090">
      <w:pPr>
        <w:numPr>
          <w:ilvl w:val="1"/>
          <w:numId w:val="25"/>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Através da presente Ata ficam registrados os preços para</w:t>
      </w:r>
      <w:r>
        <w:rPr>
          <w:rFonts w:ascii="Arial" w:hAnsi="Arial" w:cs="Arial"/>
          <w:b w:val="0"/>
          <w:bCs/>
          <w:sz w:val="22"/>
          <w:szCs w:val="22"/>
        </w:rPr>
        <w:t xml:space="preserve"> </w:t>
      </w:r>
      <w:r>
        <w:rPr>
          <w:rFonts w:hint="default" w:ascii="Arial" w:hAnsi="Arial" w:cs="Arial"/>
          <w:b/>
          <w:bCs/>
          <w:sz w:val="22"/>
          <w:szCs w:val="22"/>
        </w:rPr>
        <w:t>Aquisição de insumos para microbiologia, covid/influenza, insumos gerais para uso em laboratório de análises clínicas</w:t>
      </w:r>
      <w:r>
        <w:rPr>
          <w:rFonts w:hint="default" w:ascii="Arial" w:hAnsi="Arial" w:cs="Arial"/>
          <w:b/>
          <w:bCs/>
          <w:sz w:val="22"/>
          <w:szCs w:val="22"/>
          <w:lang w:val="pt-BR"/>
        </w:rPr>
        <w:t>, dos itens fracassados no PE nº 54/2024,  para atender as necessidades da Secretaria Municipal de Saúde</w:t>
      </w:r>
      <w:r>
        <w:rPr>
          <w:rFonts w:ascii="Arial" w:hAnsi="Arial" w:cs="Arial"/>
          <w:b w:val="0"/>
          <w:bCs/>
          <w:sz w:val="22"/>
          <w:szCs w:val="22"/>
        </w:rPr>
        <w:t>,</w:t>
      </w:r>
      <w:r>
        <w:rPr>
          <w:rFonts w:hint="default" w:ascii="Arial" w:hAnsi="Arial" w:cs="Arial"/>
          <w:b w:val="0"/>
          <w:bCs/>
          <w:sz w:val="22"/>
          <w:szCs w:val="22"/>
          <w:lang w:val="pt-BR"/>
        </w:rPr>
        <w:t xml:space="preserve"> </w:t>
      </w:r>
      <w:r>
        <w:rPr>
          <w:rFonts w:ascii="Arial" w:hAnsi="Arial" w:cs="Arial"/>
          <w:b w:val="0"/>
          <w:bCs/>
          <w:sz w:val="22"/>
          <w:szCs w:val="22"/>
        </w:rPr>
        <w:t xml:space="preserve">conforme descrição constante no Anexo I – Termo de Referência do </w:t>
      </w:r>
      <w:r>
        <w:rPr>
          <w:rFonts w:hint="default" w:ascii="Arial" w:hAnsi="Arial" w:cs="Arial"/>
          <w:b w:val="0"/>
          <w:bCs/>
          <w:sz w:val="22"/>
          <w:szCs w:val="22"/>
          <w:lang w:val="pt-BR"/>
        </w:rPr>
        <w:t>E</w:t>
      </w:r>
      <w:r>
        <w:rPr>
          <w:rFonts w:ascii="Arial" w:hAnsi="Arial" w:cs="Arial"/>
          <w:b w:val="0"/>
          <w:bCs/>
          <w:sz w:val="22"/>
          <w:szCs w:val="22"/>
        </w:rPr>
        <w:t xml:space="preserve">dital de Pregão Eletrônico nº </w:t>
      </w:r>
      <w:r>
        <w:rPr>
          <w:rFonts w:hint="default" w:ascii="Arial" w:hAnsi="Arial" w:cs="Arial"/>
          <w:b w:val="0"/>
          <w:bCs/>
          <w:sz w:val="22"/>
          <w:szCs w:val="22"/>
          <w:lang w:val="pt-BR"/>
        </w:rPr>
        <w:t>...</w:t>
      </w:r>
      <w:r>
        <w:rPr>
          <w:rFonts w:ascii="Arial" w:hAnsi="Arial" w:cs="Arial"/>
          <w:b w:val="0"/>
          <w:bCs/>
          <w:sz w:val="22"/>
          <w:szCs w:val="22"/>
        </w:rPr>
        <w:t>/</w:t>
      </w:r>
      <w:r>
        <w:rPr>
          <w:rFonts w:ascii="Arial" w:hAnsi="Arial" w:cs="Arial"/>
          <w:b w:val="0"/>
          <w:bCs/>
          <w:sz w:val="22"/>
          <w:szCs w:val="22"/>
          <w:lang w:val="pt-BR"/>
        </w:rPr>
        <w:t>202</w:t>
      </w:r>
      <w:r>
        <w:rPr>
          <w:rFonts w:hint="default" w:ascii="Arial" w:hAnsi="Arial" w:cs="Arial"/>
          <w:b w:val="0"/>
          <w:bCs/>
          <w:sz w:val="22"/>
          <w:szCs w:val="22"/>
          <w:lang w:val="pt-BR"/>
        </w:rPr>
        <w:t>5</w:t>
      </w:r>
      <w:r>
        <w:rPr>
          <w:rFonts w:ascii="Arial" w:hAnsi="Arial" w:cs="Arial"/>
          <w:b w:val="0"/>
          <w:bCs/>
          <w:sz w:val="22"/>
          <w:szCs w:val="22"/>
        </w:rPr>
        <w:t xml:space="preserve">, </w:t>
      </w:r>
      <w:r>
        <w:rPr>
          <w:rFonts w:hint="default" w:ascii="Arial" w:hAnsi="Arial" w:cs="Arial"/>
          <w:sz w:val="22"/>
          <w:szCs w:val="22"/>
          <w:lang w:val="pt-BR"/>
        </w:rPr>
        <w:t>que é parte integrante desta Ata, bem como as propostas cujos preços tenham sido registrados, independente da transcrição</w:t>
      </w:r>
      <w:r>
        <w:rPr>
          <w:rFonts w:ascii="Arial" w:hAnsi="Arial" w:cs="Arial"/>
          <w:sz w:val="22"/>
          <w:szCs w:val="22"/>
        </w:rPr>
        <w:t>, abaixo especificados</w:t>
      </w:r>
      <w:r>
        <w:rPr>
          <w:rFonts w:hint="default" w:ascii="Arial" w:hAnsi="Arial" w:cs="Arial"/>
          <w:sz w:val="22"/>
          <w:szCs w:val="22"/>
          <w:lang w:val="pt-BR"/>
        </w:rPr>
        <w:t>.</w:t>
      </w:r>
    </w:p>
    <w:p w14:paraId="3AF77105">
      <w:pPr>
        <w:widowControl w:val="0"/>
        <w:numPr>
          <w:ilvl w:val="1"/>
          <w:numId w:val="25"/>
        </w:numPr>
        <w:tabs>
          <w:tab w:val="left" w:pos="240"/>
          <w:tab w:val="left" w:pos="480"/>
        </w:tabs>
        <w:autoSpaceDE w:val="0"/>
        <w:autoSpaceDN w:val="0"/>
        <w:adjustRightInd w:val="0"/>
        <w:spacing w:line="360" w:lineRule="auto"/>
        <w:ind w:left="0" w:leftChars="0" w:firstLine="0" w:firstLineChars="0"/>
        <w:jc w:val="both"/>
        <w:rPr>
          <w:rFonts w:hint="default" w:ascii="Arial" w:hAnsi="Arial" w:cs="Arial"/>
          <w:sz w:val="22"/>
          <w:szCs w:val="22"/>
        </w:rPr>
      </w:pPr>
      <w:r>
        <w:rPr>
          <w:rFonts w:hint="default" w:ascii="Arial" w:hAnsi="Arial" w:cs="Arial"/>
          <w:sz w:val="22"/>
          <w:szCs w:val="22"/>
        </w:rPr>
        <w:t xml:space="preserve">O presente instrumento caracteriza-se como um </w:t>
      </w:r>
      <w:r>
        <w:rPr>
          <w:rFonts w:hint="default" w:ascii="Arial" w:hAnsi="Arial" w:eastAsia="Calibri" w:cs="Arial"/>
          <w:color w:val="000000"/>
          <w:sz w:val="22"/>
          <w:szCs w:val="22"/>
        </w:rPr>
        <w:t xml:space="preserve">documento vinculativo e obrigacional, com característica de </w:t>
      </w:r>
      <w:r>
        <w:rPr>
          <w:rFonts w:hint="default" w:ascii="Arial" w:hAnsi="Arial" w:eastAsia="Calibri" w:cs="Arial"/>
          <w:b w:val="0"/>
          <w:bCs w:val="0"/>
          <w:color w:val="000000"/>
          <w:sz w:val="22"/>
          <w:szCs w:val="22"/>
          <w:u w:val="none"/>
        </w:rPr>
        <w:t xml:space="preserve">compromisso para futura contratação </w:t>
      </w:r>
      <w:r>
        <w:rPr>
          <w:rFonts w:hint="default" w:ascii="Arial" w:hAnsi="Arial" w:eastAsia="Calibri" w:cs="Arial"/>
          <w:color w:val="000000"/>
          <w:sz w:val="22"/>
          <w:szCs w:val="22"/>
        </w:rPr>
        <w:t xml:space="preserve">dos itens indicados </w:t>
      </w:r>
      <w:r>
        <w:rPr>
          <w:rFonts w:hint="default" w:ascii="Arial" w:hAnsi="Arial" w:eastAsia="Calibri" w:cs="Arial"/>
          <w:color w:val="000000"/>
          <w:sz w:val="22"/>
          <w:szCs w:val="22"/>
          <w:lang w:val="pt-BR"/>
        </w:rPr>
        <w:t>na tabela do</w:t>
      </w:r>
      <w:r>
        <w:rPr>
          <w:rFonts w:hint="default" w:ascii="Arial" w:hAnsi="Arial" w:eastAsia="Calibri" w:cs="Arial"/>
          <w:color w:val="000000"/>
          <w:sz w:val="22"/>
          <w:szCs w:val="22"/>
        </w:rPr>
        <w:t xml:space="preserve"> item </w:t>
      </w:r>
      <w:r>
        <w:rPr>
          <w:rFonts w:hint="default" w:ascii="Arial" w:hAnsi="Arial" w:eastAsia="Calibri" w:cs="Arial"/>
          <w:color w:val="000000"/>
          <w:sz w:val="22"/>
          <w:szCs w:val="22"/>
          <w:lang w:val="pt-BR"/>
        </w:rPr>
        <w:t>2.1.</w:t>
      </w:r>
      <w:r>
        <w:rPr>
          <w:rFonts w:hint="default" w:ascii="Arial" w:hAnsi="Arial" w:cs="Arial"/>
          <w:color w:val="000000"/>
          <w:sz w:val="22"/>
          <w:szCs w:val="22"/>
        </w:rPr>
        <w:t xml:space="preserve">, </w:t>
      </w:r>
      <w:r>
        <w:rPr>
          <w:rFonts w:hint="default" w:ascii="Arial" w:hAnsi="Arial" w:cs="Arial"/>
          <w:sz w:val="22"/>
          <w:szCs w:val="22"/>
        </w:rPr>
        <w:t>nas condições definidas no ato convocatório, seus anexos, propostas de preços e ata do Pregão Eletrônico n</w:t>
      </w:r>
      <w:r>
        <w:rPr>
          <w:rFonts w:hint="default" w:ascii="Arial" w:hAnsi="Arial" w:cs="Arial"/>
          <w:sz w:val="22"/>
          <w:szCs w:val="22"/>
          <w:lang w:val="pt-BR"/>
        </w:rPr>
        <w:t>.</w:t>
      </w:r>
      <w:r>
        <w:rPr>
          <w:rFonts w:hint="default" w:ascii="Arial" w:hAnsi="Arial" w:cs="Arial"/>
          <w:sz w:val="22"/>
          <w:szCs w:val="22"/>
        </w:rPr>
        <w:t xml:space="preserve">º </w:t>
      </w:r>
      <w:r>
        <w:rPr>
          <w:rFonts w:hint="default" w:ascii="Arial" w:hAnsi="Arial" w:cs="Arial"/>
          <w:b w:val="0"/>
          <w:bCs w:val="0"/>
          <w:color w:val="auto"/>
          <w:sz w:val="22"/>
          <w:szCs w:val="22"/>
          <w:lang w:val="pt-BR"/>
        </w:rPr>
        <w:t>09/2025</w:t>
      </w:r>
      <w:r>
        <w:rPr>
          <w:rFonts w:hint="default" w:ascii="Arial" w:hAnsi="Arial" w:cs="Arial"/>
          <w:sz w:val="22"/>
          <w:szCs w:val="22"/>
        </w:rPr>
        <w:t>, que integram este instrumento independente de transcrição, pelo prazo de validade do registro.</w:t>
      </w:r>
    </w:p>
    <w:p w14:paraId="24C80881">
      <w:pPr>
        <w:widowControl w:val="0"/>
        <w:numPr>
          <w:ilvl w:val="0"/>
          <w:numId w:val="0"/>
        </w:numPr>
        <w:autoSpaceDE w:val="0"/>
        <w:autoSpaceDN w:val="0"/>
        <w:adjustRightInd w:val="0"/>
        <w:spacing w:line="240" w:lineRule="auto"/>
        <w:ind w:leftChars="0"/>
        <w:jc w:val="both"/>
        <w:rPr>
          <w:rFonts w:hint="default" w:ascii="Arial" w:hAnsi="Arial" w:cs="Arial"/>
          <w:sz w:val="22"/>
          <w:szCs w:val="22"/>
        </w:rPr>
      </w:pPr>
    </w:p>
    <w:p w14:paraId="5B9A279D">
      <w:pPr>
        <w:widowControl w:val="0"/>
        <w:autoSpaceDE w:val="0"/>
        <w:autoSpaceDN w:val="0"/>
        <w:adjustRightInd w:val="0"/>
        <w:spacing w:line="360" w:lineRule="auto"/>
        <w:jc w:val="both"/>
        <w:rPr>
          <w:rFonts w:hint="default" w:ascii="Arial" w:hAnsi="Arial" w:eastAsia="Calibri" w:cs="Arial"/>
          <w:color w:val="000000"/>
          <w:sz w:val="22"/>
          <w:szCs w:val="22"/>
        </w:rPr>
      </w:pPr>
      <w:r>
        <w:rPr>
          <w:rFonts w:hint="default" w:ascii="Arial" w:hAnsi="Arial" w:cs="Arial"/>
          <w:b/>
          <w:bCs/>
          <w:sz w:val="22"/>
          <w:szCs w:val="22"/>
        </w:rPr>
        <w:t>1.3.</w:t>
      </w:r>
      <w:r>
        <w:rPr>
          <w:rFonts w:hint="default" w:ascii="Arial" w:hAnsi="Arial" w:cs="Arial"/>
          <w:sz w:val="22"/>
          <w:szCs w:val="22"/>
        </w:rPr>
        <w:t xml:space="preserve"> </w:t>
      </w:r>
      <w:r>
        <w:rPr>
          <w:rFonts w:hint="default" w:ascii="Arial" w:hAnsi="Arial" w:eastAsia="Calibri" w:cs="Arial"/>
          <w:color w:val="000000"/>
          <w:sz w:val="22"/>
          <w:szCs w:val="22"/>
        </w:rPr>
        <w:t>A existência de preços registrados implicará</w:t>
      </w:r>
      <w:r>
        <w:rPr>
          <w:rFonts w:hint="default" w:ascii="Arial" w:hAnsi="Arial" w:eastAsia="Calibri" w:cs="Arial"/>
          <w:color w:val="000000"/>
          <w:sz w:val="22"/>
          <w:szCs w:val="22"/>
          <w:lang w:val="pt-BR"/>
        </w:rPr>
        <w:t xml:space="preserve"> no</w:t>
      </w:r>
      <w:r>
        <w:rPr>
          <w:rFonts w:hint="default" w:ascii="Arial" w:hAnsi="Arial" w:eastAsia="Calibri" w:cs="Arial"/>
          <w:color w:val="000000"/>
          <w:sz w:val="22"/>
          <w:szCs w:val="22"/>
        </w:rPr>
        <w:t xml:space="preserve"> compromisso de fornecimento nas condições estabelecidas, mas não obrigará os órgãos e entidades participantes a contratar, facultada a realização de licitação específica para a aquisição pretendida, desde que devidamente motivada.</w:t>
      </w:r>
    </w:p>
    <w:p w14:paraId="1B5CC677">
      <w:pPr>
        <w:widowControl w:val="0"/>
        <w:autoSpaceDE w:val="0"/>
        <w:autoSpaceDN w:val="0"/>
        <w:adjustRightInd w:val="0"/>
        <w:jc w:val="both"/>
        <w:rPr>
          <w:rFonts w:eastAsia="Calibri" w:asciiTheme="minorHAnsi" w:hAnsiTheme="minorHAnsi" w:cstheme="minorHAnsi"/>
          <w:color w:val="000000"/>
          <w:sz w:val="22"/>
          <w:szCs w:val="22"/>
        </w:rPr>
      </w:pPr>
    </w:p>
    <w:p w14:paraId="7E6A8BDE">
      <w:pPr>
        <w:pStyle w:val="122"/>
        <w:pBdr>
          <w:top w:val="double" w:color="auto" w:sz="4" w:space="1"/>
          <w:left w:val="double" w:color="auto" w:sz="4" w:space="4"/>
          <w:bottom w:val="double" w:color="auto" w:sz="4" w:space="1"/>
          <w:right w:val="double" w:color="auto" w:sz="4" w:space="4"/>
        </w:pBdr>
        <w:shd w:val="clear" w:color="auto" w:fill="D9D9D9"/>
        <w:spacing w:line="240" w:lineRule="auto"/>
        <w:jc w:val="center"/>
        <w:rPr>
          <w:rFonts w:ascii="Arial" w:hAnsi="Arial" w:cs="Arial"/>
          <w:b/>
          <w:bCs/>
          <w:szCs w:val="22"/>
        </w:rPr>
      </w:pPr>
      <w:r>
        <w:rPr>
          <w:rFonts w:ascii="Arial" w:hAnsi="Arial" w:cs="Arial"/>
          <w:b/>
          <w:bCs/>
          <w:szCs w:val="22"/>
        </w:rPr>
        <w:t>Cláusula Segunda</w:t>
      </w:r>
    </w:p>
    <w:p w14:paraId="026C74DC">
      <w:pPr>
        <w:pStyle w:val="122"/>
        <w:pBdr>
          <w:top w:val="double" w:color="auto" w:sz="4" w:space="1"/>
          <w:left w:val="double" w:color="auto" w:sz="4" w:space="4"/>
          <w:bottom w:val="double" w:color="auto" w:sz="4" w:space="1"/>
          <w:right w:val="double" w:color="auto" w:sz="4" w:space="4"/>
        </w:pBdr>
        <w:shd w:val="clear" w:color="auto" w:fill="D9D9D9"/>
        <w:spacing w:line="24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OS PREÇOS, ESPECIFICAÇÕES E QUANTITATIVOS</w:t>
      </w:r>
    </w:p>
    <w:p w14:paraId="5C8DBD35">
      <w:pPr>
        <w:pStyle w:val="133"/>
        <w:numPr>
          <w:ilvl w:val="0"/>
          <w:numId w:val="0"/>
        </w:numPr>
        <w:spacing w:line="360" w:lineRule="auto"/>
        <w:ind w:leftChars="0"/>
        <w:rPr>
          <w:sz w:val="22"/>
          <w:szCs w:val="22"/>
        </w:rPr>
      </w:pPr>
      <w:r>
        <w:rPr>
          <w:rFonts w:hint="default"/>
          <w:b/>
          <w:bCs/>
          <w:sz w:val="22"/>
          <w:szCs w:val="22"/>
          <w:lang w:val="pt-BR"/>
        </w:rPr>
        <w:t xml:space="preserve">2.1. </w:t>
      </w:r>
      <w:r>
        <w:rPr>
          <w:sz w:val="22"/>
          <w:szCs w:val="22"/>
        </w:rPr>
        <w:t>O</w:t>
      </w:r>
      <w:r>
        <w:rPr>
          <w:rFonts w:hint="default"/>
          <w:sz w:val="22"/>
          <w:szCs w:val="22"/>
          <w:lang w:val="pt-BR"/>
        </w:rPr>
        <w:t>s</w:t>
      </w:r>
      <w:r>
        <w:rPr>
          <w:sz w:val="22"/>
          <w:szCs w:val="22"/>
        </w:rPr>
        <w:t xml:space="preserve"> preço</w:t>
      </w:r>
      <w:r>
        <w:rPr>
          <w:rFonts w:hint="default"/>
          <w:sz w:val="22"/>
          <w:szCs w:val="22"/>
          <w:lang w:val="pt-BR"/>
        </w:rPr>
        <w:t>s</w:t>
      </w:r>
      <w:r>
        <w:rPr>
          <w:sz w:val="22"/>
          <w:szCs w:val="22"/>
        </w:rPr>
        <w:t xml:space="preserve"> registrado</w:t>
      </w:r>
      <w:r>
        <w:rPr>
          <w:rFonts w:hint="default"/>
          <w:sz w:val="22"/>
          <w:szCs w:val="22"/>
          <w:lang w:val="pt-BR"/>
        </w:rPr>
        <w:t>s</w:t>
      </w:r>
      <w:r>
        <w:rPr>
          <w:sz w:val="22"/>
          <w:szCs w:val="22"/>
        </w:rPr>
        <w:t xml:space="preserve">, as especificações do objeto, as quantidades de cada item, fornecedor(es) e as demais condições ofertadas na(s) proposta(s) são as que seguem: </w:t>
      </w: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14:paraId="281FE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noWrap w:val="0"/>
            <w:vAlign w:val="center"/>
          </w:tcPr>
          <w:p w14:paraId="3A23686E">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14:paraId="2956EFD9">
            <w:pPr>
              <w:widowControl w:val="0"/>
              <w:autoSpaceDE w:val="0"/>
              <w:autoSpaceDN w:val="0"/>
              <w:adjustRightInd w:val="0"/>
              <w:spacing w:line="360" w:lineRule="auto"/>
              <w:ind w:right="-30"/>
              <w:jc w:val="both"/>
              <w:rPr>
                <w:rFonts w:ascii="Arial" w:hAnsi="Arial" w:cs="Arial"/>
                <w:b/>
                <w:bCs/>
                <w:i w:val="0"/>
                <w:iCs w:val="0"/>
                <w:sz w:val="22"/>
                <w:szCs w:val="22"/>
              </w:rPr>
            </w:pPr>
          </w:p>
        </w:tc>
        <w:tc>
          <w:tcPr>
            <w:tcW w:w="8895" w:type="dxa"/>
            <w:gridSpan w:val="8"/>
            <w:noWrap w:val="0"/>
            <w:vAlign w:val="top"/>
          </w:tcPr>
          <w:p w14:paraId="2F82C349">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75477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14:paraId="736C0371">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14:paraId="460DB02F">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150" w:type="dxa"/>
            <w:noWrap w:val="0"/>
            <w:vAlign w:val="top"/>
          </w:tcPr>
          <w:p w14:paraId="6D11FED5">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5C9E801C">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04DC3B32">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3D9BC145">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6C512D35">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5B180EA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7071834A">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31E4C91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6BBD8106">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844" w:type="dxa"/>
            <w:noWrap w:val="0"/>
            <w:vAlign w:val="top"/>
          </w:tcPr>
          <w:p w14:paraId="61DC75FD">
            <w:pPr>
              <w:widowControl w:val="0"/>
              <w:autoSpaceDE w:val="0"/>
              <w:autoSpaceDN w:val="0"/>
              <w:adjustRightInd w:val="0"/>
              <w:spacing w:line="24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79A00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14:paraId="0A581B65">
            <w:pPr>
              <w:widowControl w:val="0"/>
              <w:autoSpaceDE w:val="0"/>
              <w:autoSpaceDN w:val="0"/>
              <w:adjustRightInd w:val="0"/>
              <w:spacing w:line="360" w:lineRule="auto"/>
              <w:ind w:right="-30"/>
              <w:jc w:val="both"/>
              <w:rPr>
                <w:rFonts w:ascii="Arial" w:hAnsi="Arial" w:cs="Arial"/>
                <w:i w:val="0"/>
                <w:iCs w:val="0"/>
                <w:sz w:val="22"/>
                <w:szCs w:val="22"/>
              </w:rPr>
            </w:pPr>
          </w:p>
        </w:tc>
        <w:tc>
          <w:tcPr>
            <w:tcW w:w="1436" w:type="dxa"/>
            <w:noWrap w:val="0"/>
            <w:vAlign w:val="top"/>
          </w:tcPr>
          <w:p w14:paraId="3A832E21">
            <w:pPr>
              <w:widowControl w:val="0"/>
              <w:autoSpaceDE w:val="0"/>
              <w:autoSpaceDN w:val="0"/>
              <w:adjustRightInd w:val="0"/>
              <w:spacing w:line="360" w:lineRule="auto"/>
              <w:ind w:right="-30"/>
              <w:jc w:val="both"/>
              <w:rPr>
                <w:rFonts w:ascii="Arial" w:hAnsi="Arial" w:cs="Arial"/>
                <w:i w:val="0"/>
                <w:iCs w:val="0"/>
                <w:sz w:val="22"/>
                <w:szCs w:val="22"/>
              </w:rPr>
            </w:pPr>
          </w:p>
        </w:tc>
        <w:tc>
          <w:tcPr>
            <w:tcW w:w="1150" w:type="dxa"/>
            <w:noWrap w:val="0"/>
            <w:vAlign w:val="top"/>
          </w:tcPr>
          <w:p w14:paraId="7BAED414">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230E56DD">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5A3DA4B0">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3993256B">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1D32E2AB">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5E369E6B">
            <w:pPr>
              <w:widowControl w:val="0"/>
              <w:autoSpaceDE w:val="0"/>
              <w:autoSpaceDN w:val="0"/>
              <w:adjustRightInd w:val="0"/>
              <w:spacing w:line="360" w:lineRule="auto"/>
              <w:ind w:right="-30"/>
              <w:jc w:val="both"/>
              <w:rPr>
                <w:rFonts w:ascii="Arial" w:hAnsi="Arial" w:cs="Arial"/>
                <w:i w:val="0"/>
                <w:iCs w:val="0"/>
                <w:sz w:val="22"/>
                <w:szCs w:val="22"/>
              </w:rPr>
            </w:pPr>
          </w:p>
        </w:tc>
        <w:tc>
          <w:tcPr>
            <w:tcW w:w="844" w:type="dxa"/>
            <w:noWrap w:val="0"/>
            <w:vAlign w:val="top"/>
          </w:tcPr>
          <w:p w14:paraId="0220AE26">
            <w:pPr>
              <w:widowControl w:val="0"/>
              <w:autoSpaceDE w:val="0"/>
              <w:autoSpaceDN w:val="0"/>
              <w:adjustRightInd w:val="0"/>
              <w:spacing w:line="360" w:lineRule="auto"/>
              <w:ind w:right="-30"/>
              <w:jc w:val="both"/>
              <w:rPr>
                <w:rFonts w:ascii="Arial" w:hAnsi="Arial" w:cs="Arial"/>
                <w:i w:val="0"/>
                <w:iCs w:val="0"/>
                <w:sz w:val="22"/>
                <w:szCs w:val="22"/>
              </w:rPr>
            </w:pPr>
          </w:p>
        </w:tc>
      </w:tr>
    </w:tbl>
    <w:p w14:paraId="6C3864C6">
      <w:pPr>
        <w:pStyle w:val="133"/>
        <w:numPr>
          <w:ilvl w:val="1"/>
          <w:numId w:val="5"/>
        </w:numPr>
        <w:tabs>
          <w:tab w:val="left" w:pos="480"/>
        </w:tabs>
        <w:spacing w:line="360" w:lineRule="auto"/>
        <w:ind w:left="0" w:leftChars="0" w:firstLine="0" w:firstLineChars="0"/>
        <w:rPr>
          <w:sz w:val="22"/>
          <w:szCs w:val="22"/>
          <w:lang w:eastAsia="en-US"/>
        </w:rPr>
      </w:pPr>
      <w:r>
        <w:rPr>
          <w:sz w:val="22"/>
          <w:szCs w:val="22"/>
          <w:lang w:eastAsia="en-US"/>
        </w:rPr>
        <w:t xml:space="preserve">A listagem do cadastro de reserva referente ao presente registro de preços consta </w:t>
      </w:r>
      <w:r>
        <w:rPr>
          <w:rFonts w:hint="default"/>
          <w:sz w:val="22"/>
          <w:szCs w:val="22"/>
          <w:lang w:val="pt-BR" w:eastAsia="en-US"/>
        </w:rPr>
        <w:t>no Anexo V</w:t>
      </w:r>
      <w:r>
        <w:rPr>
          <w:sz w:val="22"/>
          <w:szCs w:val="22"/>
          <w:lang w:eastAsia="en-US"/>
        </w:rPr>
        <w:t>.</w:t>
      </w:r>
    </w:p>
    <w:p w14:paraId="744C665A">
      <w:pPr>
        <w:pStyle w:val="122"/>
        <w:pBdr>
          <w:top w:val="double" w:color="auto" w:sz="4" w:space="1"/>
          <w:left w:val="double" w:color="auto" w:sz="4" w:space="4"/>
          <w:bottom w:val="double" w:color="auto" w:sz="4" w:space="1"/>
          <w:right w:val="double" w:color="auto" w:sz="4" w:space="4"/>
        </w:pBdr>
        <w:shd w:val="clear" w:color="auto" w:fill="D9D9D9"/>
        <w:spacing w:line="24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Terceira</w:t>
      </w:r>
    </w:p>
    <w:p w14:paraId="65EFA9EA">
      <w:pPr>
        <w:pStyle w:val="122"/>
        <w:pBdr>
          <w:top w:val="double" w:color="auto" w:sz="4" w:space="1"/>
          <w:left w:val="double" w:color="auto" w:sz="4" w:space="4"/>
          <w:bottom w:val="double" w:color="auto" w:sz="4" w:space="1"/>
          <w:right w:val="double" w:color="auto" w:sz="4" w:space="4"/>
        </w:pBdr>
        <w:shd w:val="clear" w:color="auto" w:fill="D9D9D9"/>
        <w:spacing w:line="24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O ÓRGÃO GERENCIADOR E PARTICIPANTE(S) E </w:t>
      </w:r>
    </w:p>
    <w:p w14:paraId="6B9782C6">
      <w:pPr>
        <w:pStyle w:val="122"/>
        <w:pBdr>
          <w:top w:val="double" w:color="auto" w:sz="4" w:space="1"/>
          <w:left w:val="double" w:color="auto" w:sz="4" w:space="4"/>
          <w:bottom w:val="double" w:color="auto" w:sz="4" w:space="1"/>
          <w:right w:val="double" w:color="auto" w:sz="4" w:space="4"/>
        </w:pBdr>
        <w:shd w:val="clear" w:color="auto" w:fill="D9D9D9"/>
        <w:spacing w:line="240" w:lineRule="auto"/>
        <w:jc w:val="center"/>
        <w:rPr>
          <w:rFonts w:hint="default" w:ascii="Arial" w:hAnsi="Arial" w:cs="Arial"/>
          <w:szCs w:val="22"/>
          <w:lang w:val="pt-BR"/>
        </w:rPr>
      </w:pPr>
      <w:r>
        <w:rPr>
          <w:rFonts w:hint="default" w:ascii="Arial" w:hAnsi="Arial" w:cs="Arial"/>
          <w:b/>
          <w:bCs/>
          <w:szCs w:val="22"/>
          <w:lang w:val="pt-BR"/>
        </w:rPr>
        <w:t>DA GESTÃO E FISCALIZAÇÃO DA ATA DE REGISTRO DE PREÇOS</w:t>
      </w:r>
    </w:p>
    <w:p w14:paraId="5BBBDCF6">
      <w:pPr>
        <w:pStyle w:val="133"/>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3.1.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será</w:t>
      </w:r>
      <w:r>
        <w:rPr>
          <w:rFonts w:hint="default"/>
          <w:i w:val="0"/>
          <w:iCs w:val="0"/>
          <w:color w:val="auto"/>
          <w:sz w:val="22"/>
          <w:szCs w:val="22"/>
          <w:lang w:val="pt-BR"/>
        </w:rPr>
        <w:t xml:space="preserve"> a</w:t>
      </w:r>
      <w:r>
        <w:rPr>
          <w:i w:val="0"/>
          <w:iCs w:val="0"/>
          <w:color w:val="auto"/>
          <w:sz w:val="22"/>
          <w:szCs w:val="22"/>
        </w:rPr>
        <w:t xml:space="preserve"> </w:t>
      </w:r>
      <w:r>
        <w:rPr>
          <w:rFonts w:ascii="Arial" w:hAnsi="Arial" w:cs="Arial"/>
          <w:b/>
          <w:sz w:val="22"/>
          <w:szCs w:val="22"/>
        </w:rPr>
        <w:t>PREFEITURA MUNICIPAL DE SINOP</w:t>
      </w:r>
      <w:r>
        <w:rPr>
          <w:rFonts w:hint="default" w:cs="Arial"/>
          <w:b/>
          <w:sz w:val="22"/>
          <w:szCs w:val="22"/>
          <w:lang w:val="pt-BR"/>
        </w:rPr>
        <w:t>.</w:t>
      </w:r>
    </w:p>
    <w:p w14:paraId="47A15039">
      <w:pPr>
        <w:pStyle w:val="135"/>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 xml:space="preserve">3.2. </w:t>
      </w:r>
      <w:r>
        <w:rPr>
          <w:i w:val="0"/>
          <w:iCs w:val="0"/>
          <w:color w:val="auto"/>
          <w:sz w:val="22"/>
          <w:szCs w:val="22"/>
        </w:rPr>
        <w:t>Além do</w:t>
      </w:r>
      <w:r>
        <w:rPr>
          <w:rFonts w:hint="default"/>
          <w:i w:val="0"/>
          <w:iCs w:val="0"/>
          <w:color w:val="auto"/>
          <w:sz w:val="22"/>
          <w:szCs w:val="22"/>
          <w:lang w:val="pt-BR"/>
        </w:rPr>
        <w:t xml:space="preserve"> Órgão</w:t>
      </w:r>
      <w:r>
        <w:rPr>
          <w:i w:val="0"/>
          <w:iCs w:val="0"/>
          <w:color w:val="auto"/>
          <w:sz w:val="22"/>
          <w:szCs w:val="22"/>
        </w:rPr>
        <w:t xml:space="preserve"> </w:t>
      </w:r>
      <w:r>
        <w:rPr>
          <w:rFonts w:hint="default"/>
          <w:i w:val="0"/>
          <w:iCs w:val="0"/>
          <w:color w:val="auto"/>
          <w:sz w:val="22"/>
          <w:szCs w:val="22"/>
          <w:lang w:val="pt-BR"/>
        </w:rPr>
        <w:t>G</w:t>
      </w:r>
      <w:r>
        <w:rPr>
          <w:i w:val="0"/>
          <w:iCs w:val="0"/>
          <w:color w:val="auto"/>
          <w:sz w:val="22"/>
          <w:szCs w:val="22"/>
        </w:rPr>
        <w:t>erenciador</w:t>
      </w:r>
      <w:r>
        <w:rPr>
          <w:rFonts w:hint="default"/>
          <w:i w:val="0"/>
          <w:iCs w:val="0"/>
          <w:color w:val="auto"/>
          <w:sz w:val="22"/>
          <w:szCs w:val="22"/>
          <w:lang w:val="pt-BR"/>
        </w:rPr>
        <w:t>,</w:t>
      </w:r>
      <w:r>
        <w:rPr>
          <w:i w:val="0"/>
          <w:iCs w:val="0"/>
          <w:color w:val="auto"/>
          <w:sz w:val="22"/>
          <w:szCs w:val="22"/>
        </w:rPr>
        <w:t xml:space="preserve"> não há órgãos e entidades públicas participantes do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r>
        <w:rPr>
          <w:rFonts w:hint="default"/>
          <w:i w:val="0"/>
          <w:iCs w:val="0"/>
          <w:color w:val="auto"/>
          <w:sz w:val="22"/>
          <w:szCs w:val="22"/>
          <w:lang w:val="pt-BR"/>
        </w:rPr>
        <w:t>.</w:t>
      </w:r>
    </w:p>
    <w:p w14:paraId="6982B5B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3.3.</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5E41B8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3.4.</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7EB5D92">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lang w:val="pt-BR"/>
        </w:rPr>
        <w:t>3.5.</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79"/>
        <w:gridCol w:w="4970"/>
      </w:tblGrid>
      <w:tr w14:paraId="1CD18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79" w:type="dxa"/>
            <w:vAlign w:val="center"/>
          </w:tcPr>
          <w:p w14:paraId="18B822FF">
            <w:pPr>
              <w:numPr>
                <w:ilvl w:val="0"/>
                <w:numId w:val="0"/>
              </w:numPr>
              <w:jc w:val="center"/>
              <w:rPr>
                <w:rFonts w:hint="default" w:ascii="Arial" w:hAnsi="Arial" w:cs="Arial"/>
                <w:b/>
                <w:bCs/>
                <w:color w:val="000000" w:themeColor="text1"/>
                <w:sz w:val="22"/>
                <w:szCs w:val="22"/>
                <w:highlight w:val="none"/>
                <w:vertAlign w:val="baseline"/>
                <w:lang w:val="pt-BR"/>
                <w14:textFill>
                  <w14:solidFill>
                    <w14:schemeClr w14:val="tx1"/>
                  </w14:solidFill>
                </w14:textFill>
              </w:rPr>
            </w:pPr>
            <w:r>
              <w:rPr>
                <w:rFonts w:hint="default" w:ascii="Arial" w:hAnsi="Arial" w:cs="Arial"/>
                <w:b/>
                <w:bCs/>
                <w:color w:val="000000" w:themeColor="text1"/>
                <w:sz w:val="22"/>
                <w:szCs w:val="22"/>
                <w:highlight w:val="none"/>
                <w:vertAlign w:val="baseline"/>
                <w:lang w:val="pt-BR"/>
                <w14:textFill>
                  <w14:solidFill>
                    <w14:schemeClr w14:val="tx1"/>
                  </w14:solidFill>
                </w14:textFill>
              </w:rPr>
              <w:t>FISCAL DA ATA/ CONTRATO</w:t>
            </w:r>
          </w:p>
        </w:tc>
        <w:tc>
          <w:tcPr>
            <w:tcW w:w="4970" w:type="dxa"/>
            <w:vAlign w:val="center"/>
          </w:tcPr>
          <w:p w14:paraId="160CFEE8">
            <w:pPr>
              <w:numPr>
                <w:ilvl w:val="0"/>
                <w:numId w:val="0"/>
              </w:numPr>
              <w:jc w:val="center"/>
              <w:rPr>
                <w:rFonts w:hint="default" w:ascii="Arial" w:hAnsi="Arial" w:cs="Arial"/>
                <w:b/>
                <w:bCs/>
                <w:color w:val="000000" w:themeColor="text1"/>
                <w:sz w:val="22"/>
                <w:szCs w:val="22"/>
                <w:highlight w:val="none"/>
                <w:vertAlign w:val="baseline"/>
                <w:lang w:val="pt-BR"/>
                <w14:textFill>
                  <w14:solidFill>
                    <w14:schemeClr w14:val="tx1"/>
                  </w14:solidFill>
                </w14:textFill>
              </w:rPr>
            </w:pPr>
            <w:r>
              <w:rPr>
                <w:rFonts w:hint="default" w:ascii="Arial" w:hAnsi="Arial" w:cs="Arial"/>
                <w:b/>
                <w:bCs/>
                <w:color w:val="000000" w:themeColor="text1"/>
                <w:sz w:val="22"/>
                <w:szCs w:val="22"/>
                <w:highlight w:val="none"/>
                <w:vertAlign w:val="baseline"/>
                <w:lang w:val="pt-BR"/>
                <w14:textFill>
                  <w14:solidFill>
                    <w14:schemeClr w14:val="tx1"/>
                  </w14:solidFill>
                </w14:textFill>
              </w:rPr>
              <w:t>SUPLENTE</w:t>
            </w:r>
          </w:p>
        </w:tc>
      </w:tr>
      <w:tr w14:paraId="6433A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79" w:type="dxa"/>
            <w:vAlign w:val="center"/>
          </w:tcPr>
          <w:p w14:paraId="5B24477A">
            <w:pPr>
              <w:keepNext w:val="0"/>
              <w:keepLines w:val="0"/>
              <w:pageBreakBefore w:val="0"/>
              <w:widowControl/>
              <w:tabs>
                <w:tab w:val="left" w:pos="426"/>
              </w:tabs>
              <w:kinsoku/>
              <w:wordWrap/>
              <w:overflowPunct/>
              <w:topLinePunct w:val="0"/>
              <w:autoSpaceDE/>
              <w:autoSpaceDN/>
              <w:bidi w:val="0"/>
              <w:adjustRightInd/>
              <w:snapToGrid/>
              <w:spacing w:after="0" w:line="360" w:lineRule="auto"/>
              <w:ind w:left="0" w:firstLine="0"/>
              <w:jc w:val="both"/>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Neocimar Saraiva Correia</w:t>
            </w:r>
          </w:p>
          <w:p w14:paraId="3492610A">
            <w:pPr>
              <w:keepNext w:val="0"/>
              <w:keepLines w:val="0"/>
              <w:pageBreakBefore w:val="0"/>
              <w:widowControl/>
              <w:tabs>
                <w:tab w:val="left" w:pos="426"/>
              </w:tabs>
              <w:kinsoku/>
              <w:wordWrap/>
              <w:overflowPunct/>
              <w:topLinePunct w:val="0"/>
              <w:autoSpaceDE/>
              <w:autoSpaceDN/>
              <w:bidi w:val="0"/>
              <w:adjustRightInd/>
              <w:snapToGrid/>
              <w:spacing w:after="0" w:line="360" w:lineRule="auto"/>
              <w:ind w:left="0" w:firstLine="0"/>
              <w:jc w:val="both"/>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Biomédica</w:t>
            </w:r>
          </w:p>
          <w:p w14:paraId="3241B85B">
            <w:pPr>
              <w:keepNext w:val="0"/>
              <w:keepLines w:val="0"/>
              <w:pageBreakBefore w:val="0"/>
              <w:widowControl/>
              <w:tabs>
                <w:tab w:val="left" w:pos="426"/>
              </w:tabs>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Matrícula: </w:t>
            </w:r>
            <w:r>
              <w:rPr>
                <w:rFonts w:hint="default" w:ascii="Arial" w:hAnsi="Arial" w:cs="Arial"/>
                <w:b w:val="0"/>
                <w:bCs/>
                <w:color w:val="000000" w:themeColor="text1"/>
                <w:sz w:val="22"/>
                <w:szCs w:val="22"/>
                <w:highlight w:val="none"/>
                <w:lang w:val="pt-BR"/>
                <w14:textFill>
                  <w14:solidFill>
                    <w14:schemeClr w14:val="tx1"/>
                  </w14:solidFill>
                </w14:textFill>
              </w:rPr>
              <w:t>8095</w:t>
            </w:r>
          </w:p>
        </w:tc>
        <w:tc>
          <w:tcPr>
            <w:tcW w:w="4970" w:type="dxa"/>
            <w:vAlign w:val="center"/>
          </w:tcPr>
          <w:p w14:paraId="48B376B5">
            <w:pPr>
              <w:keepNext w:val="0"/>
              <w:keepLines w:val="0"/>
              <w:pageBreakBefore w:val="0"/>
              <w:widowControl/>
              <w:tabs>
                <w:tab w:val="left" w:pos="426"/>
              </w:tabs>
              <w:kinsoku/>
              <w:wordWrap/>
              <w:overflowPunct/>
              <w:topLinePunct w:val="0"/>
              <w:autoSpaceDE/>
              <w:autoSpaceDN/>
              <w:bidi w:val="0"/>
              <w:adjustRightInd/>
              <w:snapToGrid/>
              <w:spacing w:after="0" w:line="36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Francielle Rodrigues Dourados</w:t>
            </w:r>
          </w:p>
          <w:p w14:paraId="7F613584">
            <w:pPr>
              <w:keepNext w:val="0"/>
              <w:keepLines w:val="0"/>
              <w:pageBreakBefore w:val="0"/>
              <w:widowControl/>
              <w:tabs>
                <w:tab w:val="left" w:pos="426"/>
              </w:tabs>
              <w:kinsoku/>
              <w:wordWrap/>
              <w:overflowPunct/>
              <w:topLinePunct w:val="0"/>
              <w:autoSpaceDE/>
              <w:autoSpaceDN/>
              <w:bidi w:val="0"/>
              <w:adjustRightInd/>
              <w:snapToGrid/>
              <w:spacing w:after="0" w:line="36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Biomédica</w:t>
            </w:r>
          </w:p>
          <w:p w14:paraId="06262FE8">
            <w:pPr>
              <w:keepNext w:val="0"/>
              <w:keepLines w:val="0"/>
              <w:pageBreakBefore w:val="0"/>
              <w:widowControl/>
              <w:tabs>
                <w:tab w:val="left" w:pos="426"/>
              </w:tabs>
              <w:kinsoku/>
              <w:wordWrap/>
              <w:overflowPunct/>
              <w:topLinePunct w:val="0"/>
              <w:autoSpaceDE/>
              <w:autoSpaceDN/>
              <w:bidi w:val="0"/>
              <w:adjustRightInd/>
              <w:snapToGrid/>
              <w:spacing w:after="0" w:line="36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12266</w:t>
            </w:r>
          </w:p>
        </w:tc>
      </w:tr>
    </w:tbl>
    <w:p w14:paraId="5001DC8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lang w:val="pt-BR"/>
        </w:rPr>
        <w:t>3.6.</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E3B491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lang w:val="pt-BR"/>
        </w:rPr>
        <w:t>3.7.</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772F511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6769DDF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371C94E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7BD28A79">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0EB79E43">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174CF5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4771DEC4">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3.7</w:t>
      </w:r>
      <w:r>
        <w:rPr>
          <w:rFonts w:hint="default" w:ascii="Arial" w:hAnsi="Arial" w:cs="Arial"/>
          <w:b/>
          <w:bCs/>
          <w:color w:val="auto"/>
          <w:sz w:val="22"/>
          <w:szCs w:val="22"/>
        </w:rPr>
        <w:t>.1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56AB5FF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04E6A635">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10E7E47A">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3.7</w:t>
      </w:r>
      <w:r>
        <w:rPr>
          <w:rFonts w:hint="default" w:ascii="Arial" w:hAnsi="Arial" w:cs="Arial"/>
          <w:b/>
          <w:bCs/>
          <w:sz w:val="22"/>
          <w:szCs w:val="22"/>
        </w:rPr>
        <w:t>.2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233D833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3.8.</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4964C90F">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3.9.</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4C9A317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3.10.</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p>
    <w:p w14:paraId="38C6BEF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51DAE83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3.12.</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3889D3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3.13.</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25434D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3.14.</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p w14:paraId="1888BE35">
      <w:pPr>
        <w:pStyle w:val="122"/>
        <w:pBdr>
          <w:top w:val="double" w:color="auto" w:sz="4" w:space="1"/>
          <w:left w:val="double" w:color="auto" w:sz="4" w:space="4"/>
          <w:bottom w:val="double" w:color="auto" w:sz="4" w:space="1"/>
          <w:right w:val="double" w:color="auto" w:sz="4" w:space="4"/>
        </w:pBdr>
        <w:shd w:val="clear" w:color="auto" w:fill="D9D9D9"/>
        <w:spacing w:line="24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Quarta</w:t>
      </w:r>
    </w:p>
    <w:p w14:paraId="7573A016">
      <w:pPr>
        <w:pStyle w:val="122"/>
        <w:pBdr>
          <w:top w:val="double" w:color="auto" w:sz="4" w:space="1"/>
          <w:left w:val="double" w:color="auto" w:sz="4" w:space="4"/>
          <w:bottom w:val="double" w:color="auto" w:sz="4" w:space="1"/>
          <w:right w:val="double" w:color="auto" w:sz="4" w:space="4"/>
        </w:pBdr>
        <w:shd w:val="clear" w:color="auto" w:fill="D9D9D9"/>
        <w:spacing w:line="24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ADESÃO À ATA DE REGISTRO DE PREÇOS</w:t>
      </w:r>
    </w:p>
    <w:p w14:paraId="7278632F">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4.1.</w:t>
      </w:r>
      <w:r>
        <w:rPr>
          <w:rFonts w:hint="default"/>
          <w:i w:val="0"/>
          <w:iCs w:val="0"/>
          <w:color w:val="auto"/>
          <w:sz w:val="22"/>
          <w:szCs w:val="22"/>
          <w:lang w:val="pt-BR"/>
        </w:rPr>
        <w:t xml:space="preserve"> </w:t>
      </w:r>
      <w:r>
        <w:rPr>
          <w:i w:val="0"/>
          <w:iCs w:val="0"/>
          <w:color w:val="auto"/>
          <w:sz w:val="22"/>
          <w:szCs w:val="22"/>
        </w:rPr>
        <w:t xml:space="preserve">Durante a vigência da </w:t>
      </w:r>
      <w:r>
        <w:rPr>
          <w:rFonts w:hint="default"/>
          <w:i w:val="0"/>
          <w:iCs w:val="0"/>
          <w:color w:val="auto"/>
          <w:sz w:val="22"/>
          <w:szCs w:val="22"/>
          <w:lang w:val="pt-BR"/>
        </w:rPr>
        <w:t>A</w:t>
      </w:r>
      <w:r>
        <w:rPr>
          <w:i w:val="0"/>
          <w:iCs w:val="0"/>
          <w:color w:val="auto"/>
          <w:sz w:val="22"/>
          <w:szCs w:val="22"/>
        </w:rPr>
        <w:t>ta, os órgãos e as entidades da Administração Pública</w:t>
      </w:r>
      <w:r>
        <w:rPr>
          <w:rFonts w:hint="default"/>
          <w:i w:val="0"/>
          <w:iCs w:val="0"/>
          <w:color w:val="auto"/>
          <w:sz w:val="22"/>
          <w:szCs w:val="22"/>
          <w:lang w:val="pt-BR"/>
        </w:rPr>
        <w:t xml:space="preserve"> M</w:t>
      </w:r>
      <w:r>
        <w:rPr>
          <w:i w:val="0"/>
          <w:iCs w:val="0"/>
          <w:color w:val="auto"/>
          <w:sz w:val="22"/>
          <w:szCs w:val="22"/>
        </w:rPr>
        <w:t>unicipal que não participaram do procedimento de I</w:t>
      </w:r>
      <w:r>
        <w:rPr>
          <w:rFonts w:hint="default"/>
          <w:i w:val="0"/>
          <w:iCs w:val="0"/>
          <w:color w:val="auto"/>
          <w:sz w:val="22"/>
          <w:szCs w:val="22"/>
          <w:lang w:val="pt-BR"/>
        </w:rPr>
        <w:t xml:space="preserve">ntenção de </w:t>
      </w:r>
      <w:r>
        <w:rPr>
          <w:i w:val="0"/>
          <w:iCs w:val="0"/>
          <w:color w:val="auto"/>
          <w:sz w:val="22"/>
          <w:szCs w:val="22"/>
        </w:rPr>
        <w:t>R</w:t>
      </w:r>
      <w:r>
        <w:rPr>
          <w:rFonts w:hint="default"/>
          <w:i w:val="0"/>
          <w:iCs w:val="0"/>
          <w:color w:val="auto"/>
          <w:sz w:val="22"/>
          <w:szCs w:val="22"/>
          <w:lang w:val="pt-BR"/>
        </w:rPr>
        <w:t xml:space="preserve">egistro de </w:t>
      </w:r>
      <w:r>
        <w:rPr>
          <w:i w:val="0"/>
          <w:iCs w:val="0"/>
          <w:color w:val="auto"/>
          <w:sz w:val="22"/>
          <w:szCs w:val="22"/>
        </w:rPr>
        <w:t>P</w:t>
      </w:r>
      <w:r>
        <w:rPr>
          <w:rFonts w:hint="default"/>
          <w:i w:val="0"/>
          <w:iCs w:val="0"/>
          <w:color w:val="auto"/>
          <w:sz w:val="22"/>
          <w:szCs w:val="22"/>
          <w:lang w:val="pt-BR"/>
        </w:rPr>
        <w:t>reços</w:t>
      </w:r>
      <w:r>
        <w:rPr>
          <w:i w:val="0"/>
          <w:iCs w:val="0"/>
          <w:color w:val="auto"/>
          <w:sz w:val="22"/>
          <w:szCs w:val="22"/>
        </w:rPr>
        <w:t xml:space="preserve"> poderão aderir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na condição de não participantes, observados os seguintes requisitos:</w:t>
      </w:r>
    </w:p>
    <w:p w14:paraId="44901AD1">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4.1.1.</w:t>
      </w:r>
      <w:r>
        <w:rPr>
          <w:rFonts w:hint="default"/>
          <w:i w:val="0"/>
          <w:iCs w:val="0"/>
          <w:color w:val="auto"/>
          <w:sz w:val="22"/>
          <w:szCs w:val="22"/>
          <w:lang w:val="pt-BR"/>
        </w:rPr>
        <w:t xml:space="preserve"> A</w:t>
      </w:r>
      <w:r>
        <w:rPr>
          <w:i w:val="0"/>
          <w:iCs w:val="0"/>
          <w:color w:val="auto"/>
          <w:sz w:val="22"/>
          <w:szCs w:val="22"/>
        </w:rPr>
        <w:t>presentação de justificativa da vantagem da adesão, inclusive em situações de provável desabastecimento ou descontinuidade de serviço público;</w:t>
      </w:r>
    </w:p>
    <w:p w14:paraId="4FB8848F">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4.1.2.</w:t>
      </w:r>
      <w:r>
        <w:rPr>
          <w:rFonts w:hint="default"/>
          <w:i w:val="0"/>
          <w:iCs w:val="0"/>
          <w:color w:val="auto"/>
          <w:sz w:val="22"/>
          <w:szCs w:val="22"/>
          <w:lang w:val="pt-BR"/>
        </w:rPr>
        <w:t xml:space="preserve"> </w:t>
      </w:r>
      <w:r>
        <w:rPr>
          <w:i w:val="0"/>
          <w:iCs w:val="0"/>
          <w:color w:val="auto"/>
          <w:sz w:val="22"/>
          <w:szCs w:val="22"/>
        </w:rPr>
        <w:t xml:space="preserve"> </w:t>
      </w:r>
      <w:r>
        <w:rPr>
          <w:rFonts w:hint="default"/>
          <w:i w:val="0"/>
          <w:iCs w:val="0"/>
          <w:color w:val="auto"/>
          <w:sz w:val="22"/>
          <w:szCs w:val="22"/>
          <w:lang w:val="pt-BR"/>
        </w:rPr>
        <w:t>D</w:t>
      </w:r>
      <w:r>
        <w:rPr>
          <w:i w:val="0"/>
          <w:iCs w:val="0"/>
          <w:color w:val="auto"/>
          <w:sz w:val="22"/>
          <w:szCs w:val="22"/>
        </w:rPr>
        <w:t>emonstração de que os valores registrados estão compatíveis com os valores praticados pelo mercado</w:t>
      </w:r>
      <w:r>
        <w:rPr>
          <w:rFonts w:hint="default"/>
          <w:i w:val="0"/>
          <w:iCs w:val="0"/>
          <w:color w:val="auto"/>
          <w:sz w:val="22"/>
          <w:szCs w:val="22"/>
          <w:lang w:val="pt-BR"/>
        </w:rPr>
        <w:t>,</w:t>
      </w:r>
      <w:r>
        <w:rPr>
          <w:i w:val="0"/>
          <w:iCs w:val="0"/>
          <w:color w:val="auto"/>
          <w:sz w:val="22"/>
          <w:szCs w:val="22"/>
        </w:rPr>
        <w:t xml:space="preserve"> na forma do art. 23 da Lei </w:t>
      </w:r>
      <w:r>
        <w:rPr>
          <w:rFonts w:hint="default"/>
          <w:i w:val="0"/>
          <w:iCs w:val="0"/>
          <w:color w:val="auto"/>
          <w:sz w:val="22"/>
          <w:szCs w:val="22"/>
          <w:lang w:val="pt-BR"/>
        </w:rPr>
        <w:t xml:space="preserve">Federal </w:t>
      </w:r>
      <w:r>
        <w:rPr>
          <w:i w:val="0"/>
          <w:iCs w:val="0"/>
          <w:color w:val="auto"/>
          <w:sz w:val="22"/>
          <w:szCs w:val="22"/>
        </w:rPr>
        <w:t>nº 14.133</w:t>
      </w:r>
      <w:r>
        <w:rPr>
          <w:rFonts w:hint="default"/>
          <w:i w:val="0"/>
          <w:iCs w:val="0"/>
          <w:color w:val="auto"/>
          <w:sz w:val="22"/>
          <w:szCs w:val="22"/>
          <w:lang w:val="pt-BR"/>
        </w:rPr>
        <w:t>/</w:t>
      </w:r>
      <w:r>
        <w:rPr>
          <w:i w:val="0"/>
          <w:iCs w:val="0"/>
          <w:color w:val="auto"/>
          <w:sz w:val="22"/>
          <w:szCs w:val="22"/>
        </w:rPr>
        <w:t>2021; e</w:t>
      </w:r>
    </w:p>
    <w:p w14:paraId="4FCC95CB">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4.1.3.</w:t>
      </w:r>
      <w:r>
        <w:rPr>
          <w:rFonts w:hint="default"/>
          <w:i w:val="0"/>
          <w:iCs w:val="0"/>
          <w:color w:val="auto"/>
          <w:sz w:val="22"/>
          <w:szCs w:val="22"/>
          <w:lang w:val="pt-BR"/>
        </w:rPr>
        <w:t xml:space="preserve"> C</w:t>
      </w:r>
      <w:r>
        <w:rPr>
          <w:i w:val="0"/>
          <w:iCs w:val="0"/>
          <w:color w:val="auto"/>
          <w:sz w:val="22"/>
          <w:szCs w:val="22"/>
        </w:rPr>
        <w:t>onsulta e aceitação prévias do órgão ou da entidade gerenciadora e do fornecedor.</w:t>
      </w:r>
    </w:p>
    <w:p w14:paraId="6BB1ADD8">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4.2.</w:t>
      </w:r>
      <w:r>
        <w:rPr>
          <w:rFonts w:hint="default"/>
          <w:i w:val="0"/>
          <w:iCs w:val="0"/>
          <w:color w:val="auto"/>
          <w:sz w:val="22"/>
          <w:szCs w:val="22"/>
          <w:lang w:val="pt-BR"/>
        </w:rPr>
        <w:t xml:space="preserve"> </w:t>
      </w:r>
      <w:r>
        <w:rPr>
          <w:i w:val="0"/>
          <w:iCs w:val="0"/>
          <w:color w:val="auto"/>
          <w:sz w:val="22"/>
          <w:szCs w:val="22"/>
        </w:rPr>
        <w:t xml:space="preserve">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apenas será realizada após a aceitação da adesão pelo fornecedor.</w:t>
      </w:r>
    </w:p>
    <w:p w14:paraId="3AE55F39">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4.2.1.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poderá rejeitar adesões caso elas possam acarretar prejuízo à execução de seus próprios contratos ou à sua capacidade de gerenciamento.</w:t>
      </w:r>
    </w:p>
    <w:p w14:paraId="77DCD9A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4.3.</w:t>
      </w:r>
      <w:r>
        <w:rPr>
          <w:rFonts w:hint="default"/>
          <w:i w:val="0"/>
          <w:iCs w:val="0"/>
          <w:color w:val="auto"/>
          <w:sz w:val="22"/>
          <w:szCs w:val="22"/>
          <w:lang w:val="pt-BR"/>
        </w:rPr>
        <w:t xml:space="preserve"> </w:t>
      </w:r>
      <w:r>
        <w:rPr>
          <w:i w:val="0"/>
          <w:iCs w:val="0"/>
          <w:color w:val="auto"/>
          <w:sz w:val="22"/>
          <w:szCs w:val="22"/>
        </w:rPr>
        <w:t xml:space="preserve">Após 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o órgão ou entidade não participante deverá efetivar a aquisição ou a contratação solicitada em até </w:t>
      </w:r>
      <w:r>
        <w:rPr>
          <w:rFonts w:hint="default"/>
          <w:i w:val="0"/>
          <w:iCs w:val="0"/>
          <w:color w:val="auto"/>
          <w:sz w:val="22"/>
          <w:szCs w:val="22"/>
          <w:lang w:val="pt-BR"/>
        </w:rPr>
        <w:t>90 (</w:t>
      </w:r>
      <w:r>
        <w:rPr>
          <w:i w:val="0"/>
          <w:iCs w:val="0"/>
          <w:color w:val="auto"/>
          <w:sz w:val="22"/>
          <w:szCs w:val="22"/>
        </w:rPr>
        <w:t>noventa</w:t>
      </w:r>
      <w:r>
        <w:rPr>
          <w:rFonts w:hint="default"/>
          <w:i w:val="0"/>
          <w:iCs w:val="0"/>
          <w:color w:val="auto"/>
          <w:sz w:val="22"/>
          <w:szCs w:val="22"/>
          <w:lang w:val="pt-BR"/>
        </w:rPr>
        <w:t>)</w:t>
      </w:r>
      <w:r>
        <w:rPr>
          <w:i w:val="0"/>
          <w:iCs w:val="0"/>
          <w:color w:val="auto"/>
          <w:sz w:val="22"/>
          <w:szCs w:val="22"/>
        </w:rPr>
        <w:t xml:space="preserve"> dias, observado o prazo de vigência da </w:t>
      </w:r>
      <w:r>
        <w:rPr>
          <w:rFonts w:hint="default"/>
          <w:i w:val="0"/>
          <w:iCs w:val="0"/>
          <w:color w:val="auto"/>
          <w:sz w:val="22"/>
          <w:szCs w:val="22"/>
          <w:lang w:val="pt-BR"/>
        </w:rPr>
        <w:t>A</w:t>
      </w:r>
      <w:r>
        <w:rPr>
          <w:i w:val="0"/>
          <w:iCs w:val="0"/>
          <w:color w:val="auto"/>
          <w:sz w:val="22"/>
          <w:szCs w:val="22"/>
        </w:rPr>
        <w:t>ta.</w:t>
      </w:r>
    </w:p>
    <w:p w14:paraId="4C19D31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4.4.</w:t>
      </w:r>
      <w:r>
        <w:rPr>
          <w:rFonts w:hint="default"/>
          <w:i w:val="0"/>
          <w:iCs w:val="0"/>
          <w:color w:val="auto"/>
          <w:sz w:val="22"/>
          <w:szCs w:val="22"/>
          <w:lang w:val="pt-BR"/>
        </w:rPr>
        <w:t xml:space="preserve"> </w:t>
      </w:r>
      <w:r>
        <w:rPr>
          <w:i w:val="0"/>
          <w:iCs w:val="0"/>
          <w:color w:val="auto"/>
          <w:sz w:val="22"/>
          <w:szCs w:val="22"/>
        </w:rPr>
        <w:t xml:space="preserve">O prazo de que trata o subitem anterior, relativo à efetivação da contratação, poderá ser prorrogado excepcionalmente, mediante solicitação do órgão ou da entidade não participante aceita pelo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desde que respeitado o limite temporal de vigência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64C9510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4.5.</w:t>
      </w:r>
      <w:r>
        <w:rPr>
          <w:rFonts w:hint="default"/>
          <w:i w:val="0"/>
          <w:iCs w:val="0"/>
          <w:color w:val="auto"/>
          <w:sz w:val="22"/>
          <w:szCs w:val="22"/>
          <w:lang w:val="pt-BR"/>
        </w:rPr>
        <w:t xml:space="preserve"> </w:t>
      </w:r>
      <w:r>
        <w:rPr>
          <w:i w:val="0"/>
          <w:iCs w:val="0"/>
          <w:color w:val="auto"/>
          <w:sz w:val="22"/>
          <w:szCs w:val="22"/>
        </w:rPr>
        <w:t xml:space="preserve">O órgão ou a entidade poderá aderir a item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da qual seja integrante, na qualidade de não participante, para aqueles itens para os quais não tenha quantitativo registrado, observados os requisitos do item 4.1.</w:t>
      </w:r>
    </w:p>
    <w:p w14:paraId="54D42442">
      <w:pPr>
        <w:pStyle w:val="149"/>
        <w:spacing w:line="360" w:lineRule="auto"/>
        <w:rPr>
          <w:b w:val="0"/>
          <w:bCs w:val="0"/>
          <w:i w:val="0"/>
          <w:iCs w:val="0"/>
          <w:color w:val="auto"/>
          <w:sz w:val="22"/>
          <w:szCs w:val="22"/>
        </w:rPr>
      </w:pPr>
      <w:r>
        <w:rPr>
          <w:rFonts w:hint="default"/>
          <w:i w:val="0"/>
          <w:iCs w:val="0"/>
          <w:color w:val="auto"/>
          <w:sz w:val="22"/>
          <w:szCs w:val="22"/>
          <w:lang w:val="pt-BR"/>
        </w:rPr>
        <w:t xml:space="preserve">4.6. </w:t>
      </w:r>
      <w:r>
        <w:rPr>
          <w:rFonts w:hint="default"/>
          <w:b w:val="0"/>
          <w:bCs w:val="0"/>
          <w:i w:val="0"/>
          <w:iCs w:val="0"/>
          <w:color w:val="auto"/>
          <w:sz w:val="22"/>
          <w:szCs w:val="22"/>
          <w:lang w:val="pt-BR"/>
        </w:rPr>
        <w:t>As</w:t>
      </w:r>
      <w:r>
        <w:rPr>
          <w:b w:val="0"/>
          <w:bCs w:val="0"/>
          <w:i w:val="0"/>
          <w:iCs w:val="0"/>
          <w:color w:val="auto"/>
          <w:sz w:val="22"/>
          <w:szCs w:val="22"/>
        </w:rPr>
        <w:t xml:space="preserve"> aquisições ou contratações adicionais não poderão exceder, por órgão ou entidade, a </w:t>
      </w:r>
      <w:r>
        <w:rPr>
          <w:rFonts w:hint="default"/>
          <w:b/>
          <w:bCs/>
          <w:i w:val="0"/>
          <w:iCs w:val="0"/>
          <w:color w:val="auto"/>
          <w:sz w:val="22"/>
          <w:szCs w:val="22"/>
          <w:lang w:val="pt-BR"/>
        </w:rPr>
        <w:t>50% (</w:t>
      </w:r>
      <w:r>
        <w:rPr>
          <w:b/>
          <w:bCs/>
          <w:i w:val="0"/>
          <w:iCs w:val="0"/>
          <w:color w:val="auto"/>
          <w:sz w:val="22"/>
          <w:szCs w:val="22"/>
        </w:rPr>
        <w:t>cinquenta por cento</w:t>
      </w:r>
      <w:r>
        <w:rPr>
          <w:rFonts w:hint="default"/>
          <w:b/>
          <w:bCs/>
          <w:i w:val="0"/>
          <w:iCs w:val="0"/>
          <w:color w:val="auto"/>
          <w:sz w:val="22"/>
          <w:szCs w:val="22"/>
          <w:lang w:val="pt-BR"/>
        </w:rPr>
        <w:t>)</w:t>
      </w:r>
      <w:r>
        <w:rPr>
          <w:b w:val="0"/>
          <w:bCs w:val="0"/>
          <w:i w:val="0"/>
          <w:iCs w:val="0"/>
          <w:color w:val="auto"/>
          <w:sz w:val="22"/>
          <w:szCs w:val="22"/>
        </w:rPr>
        <w:t xml:space="preserve"> dos quantitativos dos itens do instrumento convocatório registrados na </w:t>
      </w:r>
      <w:r>
        <w:rPr>
          <w:rFonts w:hint="default"/>
          <w:b w:val="0"/>
          <w:bCs w:val="0"/>
          <w:i w:val="0"/>
          <w:iCs w:val="0"/>
          <w:color w:val="auto"/>
          <w:sz w:val="22"/>
          <w:szCs w:val="22"/>
          <w:lang w:val="pt-BR"/>
        </w:rPr>
        <w:t>A</w:t>
      </w:r>
      <w:r>
        <w:rPr>
          <w:b w:val="0"/>
          <w:bCs w:val="0"/>
          <w:i w:val="0"/>
          <w:iCs w:val="0"/>
          <w:color w:val="auto"/>
          <w:sz w:val="22"/>
          <w:szCs w:val="22"/>
        </w:rPr>
        <w:t xml:space="preserve">ta de </w:t>
      </w:r>
      <w:r>
        <w:rPr>
          <w:rFonts w:hint="default"/>
          <w:b w:val="0"/>
          <w:bCs w:val="0"/>
          <w:i w:val="0"/>
          <w:iCs w:val="0"/>
          <w:color w:val="auto"/>
          <w:sz w:val="22"/>
          <w:szCs w:val="22"/>
          <w:lang w:val="pt-BR"/>
        </w:rPr>
        <w:t>R</w:t>
      </w:r>
      <w:r>
        <w:rPr>
          <w:b w:val="0"/>
          <w:bCs w:val="0"/>
          <w:i w:val="0"/>
          <w:iCs w:val="0"/>
          <w:color w:val="auto"/>
          <w:sz w:val="22"/>
          <w:szCs w:val="22"/>
        </w:rPr>
        <w:t xml:space="preserve">egistro de </w:t>
      </w:r>
      <w:r>
        <w:rPr>
          <w:rFonts w:hint="default"/>
          <w:b w:val="0"/>
          <w:bCs w:val="0"/>
          <w:i w:val="0"/>
          <w:iCs w:val="0"/>
          <w:color w:val="auto"/>
          <w:sz w:val="22"/>
          <w:szCs w:val="22"/>
          <w:lang w:val="pt-BR"/>
        </w:rPr>
        <w:t>P</w:t>
      </w:r>
      <w:r>
        <w:rPr>
          <w:b w:val="0"/>
          <w:bCs w:val="0"/>
          <w:i w:val="0"/>
          <w:iCs w:val="0"/>
          <w:color w:val="auto"/>
          <w:sz w:val="22"/>
          <w:szCs w:val="22"/>
        </w:rPr>
        <w:t>reços para o gerenciador e para os participantes.</w:t>
      </w:r>
    </w:p>
    <w:p w14:paraId="2E2AB7A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4.7.</w:t>
      </w:r>
      <w:r>
        <w:rPr>
          <w:rFonts w:hint="default"/>
          <w:i w:val="0"/>
          <w:iCs w:val="0"/>
          <w:color w:val="auto"/>
          <w:sz w:val="22"/>
          <w:szCs w:val="22"/>
          <w:lang w:val="pt-BR"/>
        </w:rPr>
        <w:t xml:space="preserve"> </w:t>
      </w:r>
      <w:r>
        <w:rPr>
          <w:i w:val="0"/>
          <w:iCs w:val="0"/>
          <w:color w:val="auto"/>
          <w:sz w:val="22"/>
          <w:szCs w:val="22"/>
        </w:rPr>
        <w:t xml:space="preserve">O quantitativo decorrente das adesões não poderá exceder, na totalidade, ao </w:t>
      </w:r>
      <w:r>
        <w:rPr>
          <w:b/>
          <w:bCs/>
          <w:i w:val="0"/>
          <w:iCs w:val="0"/>
          <w:color w:val="auto"/>
          <w:sz w:val="22"/>
          <w:szCs w:val="22"/>
        </w:rPr>
        <w:t xml:space="preserve">dobro </w:t>
      </w:r>
      <w:r>
        <w:rPr>
          <w:i w:val="0"/>
          <w:iCs w:val="0"/>
          <w:color w:val="auto"/>
          <w:sz w:val="22"/>
          <w:szCs w:val="22"/>
        </w:rPr>
        <w:t xml:space="preserve">do quantitativo de cada item registrado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 xml:space="preserve">reços para 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e os participantes, independentemente do número de órgãos ou entidades não participantes que aderirem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681C013">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4.8.</w:t>
      </w:r>
      <w:r>
        <w:rPr>
          <w:rFonts w:hint="default"/>
          <w:i w:val="0"/>
          <w:iCs w:val="0"/>
          <w:color w:val="auto"/>
          <w:sz w:val="22"/>
          <w:szCs w:val="22"/>
          <w:lang w:val="pt-BR"/>
        </w:rPr>
        <w:t xml:space="preserve"> </w:t>
      </w:r>
      <w:r>
        <w:rPr>
          <w:i w:val="0"/>
          <w:iCs w:val="0"/>
          <w:color w:val="auto"/>
          <w:sz w:val="22"/>
          <w:szCs w:val="22"/>
        </w:rPr>
        <w:t xml:space="preserve">É vedado efetuar acréscimos nos quantitativos fixados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2A60331">
      <w:pPr>
        <w:pStyle w:val="133"/>
        <w:numPr>
          <w:ilvl w:val="0"/>
          <w:numId w:val="0"/>
        </w:numPr>
        <w:spacing w:line="360" w:lineRule="auto"/>
        <w:ind w:leftChars="0"/>
        <w:rPr>
          <w:rFonts w:hint="default"/>
          <w:sz w:val="22"/>
          <w:szCs w:val="22"/>
          <w:lang w:val="pt-BR"/>
        </w:rPr>
      </w:pPr>
      <w:r>
        <w:rPr>
          <w:rFonts w:hint="default"/>
          <w:b/>
          <w:bCs/>
          <w:i w:val="0"/>
          <w:iCs w:val="0"/>
          <w:color w:val="auto"/>
          <w:sz w:val="22"/>
          <w:szCs w:val="22"/>
          <w:lang w:val="pt-BR"/>
        </w:rPr>
        <w:t>4.9.</w:t>
      </w:r>
      <w:r>
        <w:rPr>
          <w:rFonts w:hint="default"/>
          <w:i w:val="0"/>
          <w:iCs w:val="0"/>
          <w:color w:val="auto"/>
          <w:sz w:val="22"/>
          <w:szCs w:val="22"/>
          <w:lang w:val="pt-BR"/>
        </w:rPr>
        <w:t xml:space="preserve"> De acordo com o art. 471, XIII, do Decreto Municipal 359/2023, é vedada a p</w:t>
      </w:r>
      <w:r>
        <w:rPr>
          <w:sz w:val="22"/>
          <w:szCs w:val="22"/>
        </w:rPr>
        <w:t>articipação do órgão ou entidade em mais de uma Ata de Registro de Preços com o mesmo objeto no prazo de validade daquela de que</w:t>
      </w:r>
      <w:r>
        <w:rPr>
          <w:spacing w:val="40"/>
          <w:sz w:val="22"/>
          <w:szCs w:val="22"/>
        </w:rPr>
        <w:t xml:space="preserve"> </w:t>
      </w:r>
      <w:r>
        <w:rPr>
          <w:sz w:val="22"/>
          <w:szCs w:val="22"/>
        </w:rPr>
        <w:t>já tiver participado, salvo na ocorrência de ata que tenha registrado quantitativo inferior ao máximo previsto no edital</w:t>
      </w:r>
      <w:r>
        <w:rPr>
          <w:rFonts w:hint="default"/>
          <w:sz w:val="22"/>
          <w:szCs w:val="22"/>
          <w:lang w:val="pt-BR"/>
        </w:rPr>
        <w:t>.</w:t>
      </w:r>
    </w:p>
    <w:p w14:paraId="4F05F45B">
      <w:pPr>
        <w:pStyle w:val="122"/>
        <w:pBdr>
          <w:top w:val="double" w:color="auto" w:sz="4" w:space="1"/>
          <w:left w:val="double" w:color="auto" w:sz="4" w:space="4"/>
          <w:bottom w:val="double" w:color="auto" w:sz="4" w:space="1"/>
          <w:right w:val="double" w:color="auto" w:sz="4" w:space="4"/>
        </w:pBdr>
        <w:shd w:val="clear" w:color="auto" w:fill="D9D9D9"/>
        <w:spacing w:line="24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Quinta</w:t>
      </w:r>
    </w:p>
    <w:p w14:paraId="63CCFC82">
      <w:pPr>
        <w:pStyle w:val="122"/>
        <w:pBdr>
          <w:top w:val="double" w:color="auto" w:sz="4" w:space="1"/>
          <w:left w:val="double" w:color="auto" w:sz="4" w:space="4"/>
          <w:bottom w:val="double" w:color="auto" w:sz="4" w:space="1"/>
          <w:right w:val="double" w:color="auto" w:sz="4" w:space="4"/>
        </w:pBdr>
        <w:shd w:val="clear" w:color="auto" w:fill="D9D9D9"/>
        <w:spacing w:line="24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A VIGÊNCIA, FORMALIZAÇÃO DA ATA DE REGISTRO DE PREÇOS E </w:t>
      </w:r>
    </w:p>
    <w:p w14:paraId="51AFAF11">
      <w:pPr>
        <w:pStyle w:val="122"/>
        <w:pBdr>
          <w:top w:val="double" w:color="auto" w:sz="4" w:space="1"/>
          <w:left w:val="double" w:color="auto" w:sz="4" w:space="4"/>
          <w:bottom w:val="double" w:color="auto" w:sz="4" w:space="1"/>
          <w:right w:val="double" w:color="auto" w:sz="4" w:space="4"/>
        </w:pBdr>
        <w:shd w:val="clear" w:color="auto" w:fill="D9D9D9"/>
        <w:spacing w:line="240" w:lineRule="auto"/>
        <w:jc w:val="center"/>
        <w:rPr>
          <w:rFonts w:hint="default" w:ascii="Arial" w:hAnsi="Arial" w:cs="Arial"/>
          <w:szCs w:val="22"/>
          <w:lang w:val="pt-BR"/>
        </w:rPr>
      </w:pPr>
      <w:r>
        <w:rPr>
          <w:rFonts w:hint="default" w:ascii="Arial" w:hAnsi="Arial" w:cs="Arial"/>
          <w:b/>
          <w:bCs/>
          <w:szCs w:val="22"/>
          <w:lang w:val="pt-BR"/>
        </w:rPr>
        <w:t>CADASTRO DE RESERVA</w:t>
      </w:r>
    </w:p>
    <w:p w14:paraId="47129B4A">
      <w:pPr>
        <w:pStyle w:val="133"/>
        <w:numPr>
          <w:ilvl w:val="0"/>
          <w:numId w:val="0"/>
        </w:numPr>
        <w:spacing w:line="360" w:lineRule="auto"/>
        <w:ind w:leftChars="0"/>
        <w:rPr>
          <w:rFonts w:hint="default" w:ascii="Arial" w:hAnsi="Arial" w:cs="Arial"/>
          <w:iCs/>
          <w:color w:val="auto"/>
          <w:sz w:val="22"/>
          <w:szCs w:val="22"/>
        </w:rPr>
      </w:pPr>
      <w:r>
        <w:rPr>
          <w:rFonts w:hint="default" w:cs="Arial"/>
          <w:b/>
          <w:bCs/>
          <w:color w:val="auto"/>
          <w:sz w:val="22"/>
          <w:szCs w:val="22"/>
          <w:lang w:val="pt-BR"/>
        </w:rPr>
        <w:t xml:space="preserve">5.1.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contado a partir do primeiro dia útil subsequente à data de divulgação no PNCP, podendo ser prorrogada por igual período, mediante a anuência do fornecedor, desde que comprovado o preço vantajoso</w:t>
      </w:r>
      <w:r>
        <w:rPr>
          <w:rFonts w:hint="default" w:cs="Arial"/>
          <w:color w:val="auto"/>
          <w:sz w:val="22"/>
          <w:szCs w:val="22"/>
          <w:lang w:val="pt-BR"/>
        </w:rPr>
        <w:t>, conforme art. 84 da Lei Federal nº 14.133/2021</w:t>
      </w:r>
      <w:r>
        <w:rPr>
          <w:rFonts w:hint="default" w:ascii="Arial" w:hAnsi="Arial" w:cs="Arial"/>
          <w:color w:val="auto"/>
          <w:sz w:val="22"/>
          <w:szCs w:val="22"/>
        </w:rPr>
        <w:t>.</w:t>
      </w:r>
    </w:p>
    <w:p w14:paraId="7F14974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5.1.1.</w:t>
      </w:r>
      <w:r>
        <w:rPr>
          <w:rFonts w:hint="default" w:cs="Arial"/>
          <w:color w:val="auto"/>
          <w:sz w:val="22"/>
          <w:szCs w:val="22"/>
          <w:lang w:val="pt-BR"/>
        </w:rPr>
        <w:t xml:space="preserve"> </w:t>
      </w:r>
      <w:r>
        <w:rPr>
          <w:rFonts w:hint="default" w:ascii="Arial" w:hAnsi="Arial" w:cs="Arial"/>
          <w:color w:val="auto"/>
          <w:sz w:val="22"/>
          <w:szCs w:val="22"/>
        </w:rPr>
        <w:t xml:space="preserve">O </w:t>
      </w:r>
      <w:r>
        <w:rPr>
          <w:rFonts w:hint="default" w:cs="Arial"/>
          <w:color w:val="auto"/>
          <w:sz w:val="22"/>
          <w:szCs w:val="22"/>
          <w:lang w:val="pt-BR"/>
        </w:rPr>
        <w:t>C</w:t>
      </w:r>
      <w:r>
        <w:rPr>
          <w:rFonts w:hint="default" w:ascii="Arial" w:hAnsi="Arial" w:cs="Arial"/>
          <w:color w:val="auto"/>
          <w:sz w:val="22"/>
          <w:szCs w:val="22"/>
        </w:rPr>
        <w:t xml:space="preserve">ontrato decorrente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r>
        <w:rPr>
          <w:rFonts w:hint="default" w:cs="Arial"/>
          <w:color w:val="auto"/>
          <w:sz w:val="22"/>
          <w:szCs w:val="22"/>
          <w:lang w:val="pt-BR"/>
        </w:rPr>
        <w:t>, se houver,</w:t>
      </w:r>
      <w:r>
        <w:rPr>
          <w:rFonts w:hint="default" w:ascii="Arial" w:hAnsi="Arial" w:cs="Arial"/>
          <w:color w:val="auto"/>
          <w:sz w:val="22"/>
          <w:szCs w:val="22"/>
        </w:rPr>
        <w:t xml:space="preserve">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CD1BE7C">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5.1.2. </w:t>
      </w:r>
      <w:r>
        <w:rPr>
          <w:rFonts w:hint="default" w:ascii="Arial" w:hAnsi="Arial" w:cs="Arial"/>
          <w:color w:val="auto"/>
          <w:sz w:val="22"/>
          <w:szCs w:val="22"/>
        </w:rPr>
        <w:t xml:space="preserve">Na formalização do </w:t>
      </w:r>
      <w:r>
        <w:rPr>
          <w:rFonts w:hint="default" w:cs="Arial"/>
          <w:color w:val="auto"/>
          <w:sz w:val="22"/>
          <w:szCs w:val="22"/>
          <w:lang w:val="pt-BR"/>
        </w:rPr>
        <w:t>C</w:t>
      </w:r>
      <w:r>
        <w:rPr>
          <w:rFonts w:hint="default" w:ascii="Arial" w:hAnsi="Arial" w:cs="Arial"/>
          <w:color w:val="auto"/>
          <w:sz w:val="22"/>
          <w:szCs w:val="22"/>
        </w:rPr>
        <w:t>ontrato ou do instrumento substituto deverá haver a indicação da disponibilidade dos créditos orçamentários respectivos.</w:t>
      </w:r>
    </w:p>
    <w:p w14:paraId="25E5398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5.2. </w:t>
      </w:r>
      <w:r>
        <w:rPr>
          <w:rFonts w:hint="default" w:ascii="Arial" w:hAnsi="Arial" w:cs="Arial"/>
          <w:color w:val="auto"/>
          <w:sz w:val="22"/>
          <w:szCs w:val="22"/>
        </w:rPr>
        <w:t xml:space="preserve">A contratação com os fornecedores registrados na </w:t>
      </w:r>
      <w:r>
        <w:rPr>
          <w:rFonts w:hint="default" w:cs="Arial"/>
          <w:color w:val="auto"/>
          <w:sz w:val="22"/>
          <w:szCs w:val="22"/>
          <w:lang w:val="pt-BR"/>
        </w:rPr>
        <w:t>A</w:t>
      </w:r>
      <w:r>
        <w:rPr>
          <w:rFonts w:hint="default" w:ascii="Arial" w:hAnsi="Arial" w:cs="Arial"/>
          <w:color w:val="auto"/>
          <w:sz w:val="22"/>
          <w:szCs w:val="22"/>
        </w:rPr>
        <w:t>ta será formalizada pelo órgão ou pela en</w:t>
      </w:r>
      <w:r>
        <w:rPr>
          <w:rFonts w:hint="default" w:ascii="Arial" w:hAnsi="Arial" w:eastAsia="Arial" w:cs="Arial"/>
          <w:color w:val="auto"/>
          <w:sz w:val="22"/>
          <w:szCs w:val="22"/>
        </w:rPr>
        <w:t>ti</w:t>
      </w:r>
      <w:r>
        <w:rPr>
          <w:rFonts w:hint="default" w:ascii="Arial" w:hAnsi="Arial" w:cs="Arial"/>
          <w:color w:val="auto"/>
          <w:sz w:val="22"/>
          <w:szCs w:val="22"/>
        </w:rPr>
        <w:t xml:space="preserve">dade interessada por intermédio de instrumento contratual, emissão de nota de empenho de despesa, autorização de compra ou outro instrumento hábil, conforme o art. 95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6BD216EA">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5.2.1. </w:t>
      </w:r>
      <w:r>
        <w:rPr>
          <w:rFonts w:hint="default" w:ascii="Arial" w:hAnsi="Arial" w:cs="Arial"/>
          <w:b/>
          <w:bCs/>
          <w:color w:val="auto"/>
          <w:sz w:val="22"/>
          <w:szCs w:val="22"/>
        </w:rPr>
        <w:t xml:space="preserve"> </w:t>
      </w:r>
      <w:r>
        <w:rPr>
          <w:rFonts w:hint="default" w:ascii="Arial" w:hAnsi="Arial" w:cs="Arial"/>
          <w:color w:val="auto"/>
          <w:sz w:val="22"/>
          <w:szCs w:val="22"/>
        </w:rPr>
        <w:t xml:space="preserve">O instrumento contratual de que trata o item 5.2. deverá ser assinado no prazo de validade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egistro de</w:t>
      </w:r>
      <w:r>
        <w:rPr>
          <w:rFonts w:hint="default" w:cs="Arial"/>
          <w:color w:val="auto"/>
          <w:sz w:val="22"/>
          <w:szCs w:val="22"/>
          <w:lang w:val="pt-BR"/>
        </w:rPr>
        <w:t xml:space="preserve"> P</w:t>
      </w:r>
      <w:r>
        <w:rPr>
          <w:rFonts w:hint="default" w:ascii="Arial" w:hAnsi="Arial" w:cs="Arial"/>
          <w:color w:val="auto"/>
          <w:sz w:val="22"/>
          <w:szCs w:val="22"/>
        </w:rPr>
        <w:t>reços.</w:t>
      </w:r>
    </w:p>
    <w:p w14:paraId="7565E988">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5.3.</w:t>
      </w:r>
      <w:r>
        <w:rPr>
          <w:rFonts w:hint="default" w:cs="Arial"/>
          <w:color w:val="auto"/>
          <w:sz w:val="22"/>
          <w:szCs w:val="22"/>
          <w:lang w:val="pt-BR"/>
        </w:rPr>
        <w:t xml:space="preserve"> </w:t>
      </w:r>
      <w:r>
        <w:rPr>
          <w:rFonts w:hint="default" w:ascii="Arial" w:hAnsi="Arial" w:cs="Arial"/>
          <w:color w:val="auto"/>
          <w:sz w:val="22"/>
          <w:szCs w:val="22"/>
        </w:rPr>
        <w:t xml:space="preserve">Os </w:t>
      </w:r>
      <w:r>
        <w:rPr>
          <w:rFonts w:hint="default" w:cs="Arial"/>
          <w:color w:val="auto"/>
          <w:sz w:val="22"/>
          <w:szCs w:val="22"/>
          <w:lang w:val="pt-BR"/>
        </w:rPr>
        <w:t>C</w:t>
      </w:r>
      <w:r>
        <w:rPr>
          <w:rFonts w:hint="default" w:ascii="Arial" w:hAnsi="Arial" w:cs="Arial"/>
          <w:color w:val="auto"/>
          <w:sz w:val="22"/>
          <w:szCs w:val="22"/>
        </w:rPr>
        <w:t xml:space="preserve">ontratos decorrentes do </w:t>
      </w:r>
      <w:r>
        <w:rPr>
          <w:rFonts w:hint="default" w:cs="Arial"/>
          <w:color w:val="auto"/>
          <w:sz w:val="22"/>
          <w:szCs w:val="22"/>
          <w:lang w:val="pt-BR"/>
        </w:rPr>
        <w:t>S</w:t>
      </w:r>
      <w:r>
        <w:rPr>
          <w:rFonts w:hint="default" w:ascii="Arial" w:hAnsi="Arial" w:cs="Arial"/>
          <w:color w:val="auto"/>
          <w:sz w:val="22"/>
          <w:szCs w:val="22"/>
        </w:rPr>
        <w:t xml:space="preserve">istema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poderão ser alterados, observado o art. 124 da Lei</w:t>
      </w:r>
      <w:r>
        <w:rPr>
          <w:rFonts w:hint="default" w:cs="Arial"/>
          <w:color w:val="auto"/>
          <w:sz w:val="22"/>
          <w:szCs w:val="22"/>
          <w:lang w:val="pt-BR"/>
        </w:rPr>
        <w:t xml:space="preserve"> Federal</w:t>
      </w:r>
      <w:r>
        <w:rPr>
          <w:rFonts w:hint="default" w:ascii="Arial" w:hAnsi="Arial" w:cs="Arial"/>
          <w:color w:val="auto"/>
          <w:sz w:val="22"/>
          <w:szCs w:val="22"/>
        </w:rPr>
        <w:t xml:space="preserve"> nº 14.133</w:t>
      </w:r>
      <w:r>
        <w:rPr>
          <w:rFonts w:hint="default" w:cs="Arial"/>
          <w:color w:val="auto"/>
          <w:sz w:val="22"/>
          <w:szCs w:val="22"/>
          <w:lang w:val="pt-BR"/>
        </w:rPr>
        <w:t>/</w:t>
      </w:r>
      <w:r>
        <w:rPr>
          <w:rFonts w:hint="default" w:ascii="Arial" w:hAnsi="Arial" w:cs="Arial"/>
          <w:color w:val="auto"/>
          <w:sz w:val="22"/>
          <w:szCs w:val="22"/>
        </w:rPr>
        <w:t>2021.</w:t>
      </w:r>
    </w:p>
    <w:p w14:paraId="4187A7B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5.4.</w:t>
      </w:r>
      <w:r>
        <w:rPr>
          <w:rFonts w:hint="default" w:cs="Arial"/>
          <w:color w:val="auto"/>
          <w:sz w:val="22"/>
          <w:szCs w:val="22"/>
          <w:lang w:val="pt-BR"/>
        </w:rPr>
        <w:t xml:space="preserve"> </w:t>
      </w:r>
      <w:r>
        <w:rPr>
          <w:rFonts w:hint="default" w:ascii="Arial" w:hAnsi="Arial" w:cs="Arial"/>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AA61C28">
      <w:pPr>
        <w:spacing w:line="360" w:lineRule="auto"/>
        <w:jc w:val="both"/>
        <w:rPr>
          <w:rFonts w:hint="default" w:ascii="Arial" w:hAnsi="Arial" w:cs="Arial"/>
          <w:sz w:val="22"/>
          <w:szCs w:val="22"/>
          <w:lang w:eastAsia="ar-SA"/>
        </w:rPr>
      </w:pPr>
      <w:r>
        <w:rPr>
          <w:rFonts w:hint="default" w:ascii="Arial" w:hAnsi="Arial" w:cs="Arial"/>
          <w:b/>
          <w:sz w:val="22"/>
          <w:szCs w:val="22"/>
          <w:lang w:val="pt-BR" w:eastAsia="ar-SA"/>
        </w:rPr>
        <w:t>5.5.</w:t>
      </w:r>
      <w:r>
        <w:rPr>
          <w:rFonts w:hint="default" w:ascii="Arial" w:hAnsi="Arial" w:cs="Arial"/>
          <w:b/>
          <w:sz w:val="22"/>
          <w:szCs w:val="22"/>
          <w:lang w:eastAsia="ar-SA"/>
        </w:rPr>
        <w:t xml:space="preserve"> </w:t>
      </w:r>
      <w:r>
        <w:rPr>
          <w:rFonts w:hint="default" w:ascii="Arial" w:hAnsi="Arial" w:cs="Arial"/>
          <w:sz w:val="22"/>
          <w:szCs w:val="22"/>
          <w:lang w:eastAsia="ar-SA"/>
        </w:rPr>
        <w:t>Os prazos desta Ata serão contados excluindo-se o dia do começo e incluindo-se o do vencimento.</w:t>
      </w:r>
    </w:p>
    <w:p w14:paraId="6698DAB7">
      <w:pPr>
        <w:spacing w:line="240" w:lineRule="auto"/>
        <w:jc w:val="both"/>
        <w:rPr>
          <w:rFonts w:hint="default" w:ascii="Arial" w:hAnsi="Arial" w:cs="Arial"/>
          <w:sz w:val="22"/>
          <w:szCs w:val="22"/>
          <w:lang w:eastAsia="ar-SA"/>
        </w:rPr>
      </w:pPr>
    </w:p>
    <w:p w14:paraId="3B6C9097">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5.6.</w:t>
      </w:r>
      <w:r>
        <w:rPr>
          <w:rFonts w:hint="default" w:ascii="Arial" w:hAnsi="Arial" w:cs="Arial"/>
          <w:b/>
          <w:bCs/>
          <w:sz w:val="22"/>
          <w:szCs w:val="22"/>
        </w:rPr>
        <w:t xml:space="preserve"> </w:t>
      </w:r>
      <w:r>
        <w:rPr>
          <w:rFonts w:hint="default" w:ascii="Arial" w:hAnsi="Arial" w:cs="Arial"/>
          <w:sz w:val="22"/>
          <w:szCs w:val="22"/>
        </w:rPr>
        <w:t>É vedado efetuar acréscimos nos quantitativos fixados na Ata de Registro de Preços, bem como a renovação de suas quantidades quando houver eventual prorrogação da vigência.</w:t>
      </w:r>
    </w:p>
    <w:p w14:paraId="4C1CD5DB">
      <w:pPr>
        <w:autoSpaceDE w:val="0"/>
        <w:autoSpaceDN w:val="0"/>
        <w:adjustRightInd w:val="0"/>
        <w:spacing w:line="240" w:lineRule="auto"/>
        <w:jc w:val="both"/>
        <w:rPr>
          <w:rFonts w:hint="default" w:ascii="Arial" w:hAnsi="Arial" w:cs="Arial"/>
          <w:sz w:val="22"/>
          <w:szCs w:val="22"/>
        </w:rPr>
      </w:pPr>
    </w:p>
    <w:p w14:paraId="298EE15D">
      <w:pPr>
        <w:pStyle w:val="3"/>
        <w:keepNext w:val="0"/>
        <w:widowControl w:val="0"/>
        <w:spacing w:before="0" w:line="360" w:lineRule="auto"/>
        <w:jc w:val="both"/>
        <w:rPr>
          <w:rFonts w:hint="default" w:ascii="Arial" w:hAnsi="Arial" w:cs="Arial"/>
          <w:b w:val="0"/>
          <w:bCs/>
          <w:color w:val="auto"/>
          <w:sz w:val="22"/>
          <w:szCs w:val="22"/>
          <w:u w:val="none"/>
        </w:rPr>
      </w:pPr>
      <w:r>
        <w:rPr>
          <w:rFonts w:hint="default" w:ascii="Arial" w:hAnsi="Arial" w:cs="Arial"/>
          <w:b/>
          <w:bCs/>
          <w:color w:val="auto"/>
          <w:sz w:val="22"/>
          <w:szCs w:val="22"/>
          <w:u w:val="none"/>
          <w:lang w:val="pt-BR"/>
        </w:rPr>
        <w:t>5.7.</w:t>
      </w:r>
      <w:r>
        <w:rPr>
          <w:rFonts w:hint="default" w:ascii="Arial" w:hAnsi="Arial" w:cs="Arial"/>
          <w:b w:val="0"/>
          <w:bCs/>
          <w:color w:val="auto"/>
          <w:sz w:val="22"/>
          <w:szCs w:val="22"/>
          <w:u w:val="none"/>
        </w:rPr>
        <w:t xml:space="preserve"> A Administração não poderá prorrogar a Ata de Registro de Preços quando o </w:t>
      </w:r>
      <w:r>
        <w:rPr>
          <w:rFonts w:hint="default" w:ascii="Arial" w:hAnsi="Arial" w:cs="Arial"/>
          <w:b w:val="0"/>
          <w:bCs/>
          <w:color w:val="auto"/>
          <w:sz w:val="22"/>
          <w:szCs w:val="22"/>
          <w:u w:val="none"/>
          <w:lang w:val="pt-BR"/>
        </w:rPr>
        <w:t>f</w:t>
      </w:r>
      <w:r>
        <w:rPr>
          <w:rFonts w:hint="default" w:ascii="Arial" w:hAnsi="Arial" w:cs="Arial"/>
          <w:b w:val="0"/>
          <w:bCs/>
          <w:color w:val="auto"/>
          <w:sz w:val="22"/>
          <w:szCs w:val="22"/>
          <w:u w:val="none"/>
        </w:rPr>
        <w:t>ornecedor tiver sido penalizado nas sanções de declaração de inidoneidade, suspensão temporária ou impedimento de licitar e contratar com o poder público, observadas as abrangências de aplicação.</w:t>
      </w:r>
    </w:p>
    <w:p w14:paraId="76F77534">
      <w:pPr>
        <w:rPr>
          <w:rFonts w:hint="default"/>
        </w:rPr>
      </w:pPr>
    </w:p>
    <w:p w14:paraId="2CA6100C">
      <w:pPr>
        <w:pStyle w:val="122"/>
        <w:pBdr>
          <w:top w:val="double" w:color="auto" w:sz="4" w:space="1"/>
          <w:left w:val="double" w:color="auto" w:sz="4" w:space="4"/>
          <w:bottom w:val="double" w:color="auto" w:sz="4" w:space="1"/>
          <w:right w:val="double" w:color="auto" w:sz="4" w:space="4"/>
        </w:pBdr>
        <w:shd w:val="clear" w:color="auto" w:fill="D9D9D9"/>
        <w:spacing w:line="24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Sexta</w:t>
      </w:r>
    </w:p>
    <w:p w14:paraId="562A0085">
      <w:pPr>
        <w:pStyle w:val="122"/>
        <w:pBdr>
          <w:top w:val="double" w:color="auto" w:sz="4" w:space="1"/>
          <w:left w:val="double" w:color="auto" w:sz="4" w:space="4"/>
          <w:bottom w:val="double" w:color="auto" w:sz="4" w:space="1"/>
          <w:right w:val="double" w:color="auto" w:sz="4" w:space="4"/>
        </w:pBdr>
        <w:shd w:val="clear" w:color="auto" w:fill="D9D9D9"/>
        <w:spacing w:line="24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ALTERAÇÃO OU ATUALIZAÇÃO DOS PREÇOS REGISTRADOS</w:t>
      </w:r>
    </w:p>
    <w:p w14:paraId="417883F6">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6.1.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77ABDA3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6.1.1. </w:t>
      </w:r>
      <w:r>
        <w:rPr>
          <w:rFonts w:hint="default" w:ascii="Arial" w:hAnsi="Arial" w:cs="Arial"/>
          <w:sz w:val="22"/>
          <w:szCs w:val="22"/>
        </w:rPr>
        <w:t>Em caso de força maior, caso fortuito ou fato do príncipe ou em decorrência de fatos imprevisíveis ou previsíveis de consequências incalculáveis, que inviabilizem a execução da ata tal como pactuada, nos termos da</w:t>
      </w:r>
      <w:r>
        <w:rPr>
          <w:rFonts w:hint="default" w:ascii="Arial" w:hAnsi="Arial" w:cs="Arial"/>
          <w:color w:val="auto"/>
          <w:sz w:val="22"/>
          <w:szCs w:val="22"/>
        </w:rPr>
        <w:t xml:space="preserve"> 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7672453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6.1.2.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501EED94">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6.1.3. </w:t>
      </w:r>
      <w:r>
        <w:rPr>
          <w:rFonts w:hint="default" w:ascii="Arial" w:hAnsi="Arial" w:cs="Arial"/>
          <w:sz w:val="22"/>
          <w:szCs w:val="22"/>
        </w:rPr>
        <w:t>Na hipótese de previsão no edital ou no aviso de contratação direta de cláusula de reajustamento ou repactuação sobre os preços registrados, nos termos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6D8F908D">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 xml:space="preserve">6.1.3.1. </w:t>
      </w:r>
      <w:r>
        <w:rPr>
          <w:rFonts w:hint="default" w:ascii="Arial" w:hAnsi="Arial" w:cs="Arial"/>
          <w:sz w:val="22"/>
          <w:szCs w:val="22"/>
        </w:rPr>
        <w:t xml:space="preserve">No caso do reajustamento, deverá ser respeitada a contagem da anualidade e o índice previstos para a contratação;  </w:t>
      </w:r>
    </w:p>
    <w:p w14:paraId="3ECBA2CA">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6.1.3.2.</w:t>
      </w:r>
      <w:r>
        <w:rPr>
          <w:rFonts w:hint="default" w:cs="Arial"/>
          <w:sz w:val="22"/>
          <w:szCs w:val="22"/>
          <w:lang w:val="pt-BR"/>
        </w:rPr>
        <w:t xml:space="preserve"> </w:t>
      </w:r>
      <w:r>
        <w:rPr>
          <w:rFonts w:hint="default" w:ascii="Arial" w:hAnsi="Arial" w:cs="Arial"/>
          <w:sz w:val="22"/>
          <w:szCs w:val="22"/>
        </w:rPr>
        <w:t>No caso da repactuação, poderá ser a pedido do interessado, conforme critérios definidos para a contratação.</w:t>
      </w:r>
    </w:p>
    <w:p w14:paraId="49AFD643">
      <w:pPr>
        <w:pStyle w:val="122"/>
        <w:pBdr>
          <w:top w:val="double" w:color="auto" w:sz="4" w:space="1"/>
          <w:left w:val="double" w:color="auto" w:sz="4" w:space="4"/>
          <w:bottom w:val="double" w:color="auto" w:sz="4" w:space="1"/>
          <w:right w:val="double" w:color="auto" w:sz="4" w:space="4"/>
        </w:pBdr>
        <w:shd w:val="clear" w:color="auto" w:fill="D9D9D9"/>
        <w:spacing w:line="24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Sétima</w:t>
      </w:r>
    </w:p>
    <w:p w14:paraId="01B67359">
      <w:pPr>
        <w:pStyle w:val="122"/>
        <w:pBdr>
          <w:top w:val="double" w:color="auto" w:sz="4" w:space="1"/>
          <w:left w:val="double" w:color="auto" w:sz="4" w:space="4"/>
          <w:bottom w:val="double" w:color="auto" w:sz="4" w:space="1"/>
          <w:right w:val="double" w:color="auto" w:sz="4" w:space="4"/>
        </w:pBdr>
        <w:shd w:val="clear" w:color="auto" w:fill="D9D9D9"/>
        <w:spacing w:line="24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NEGOCIAÇÃO DOS PREÇOS REGISTRADOS</w:t>
      </w:r>
    </w:p>
    <w:p w14:paraId="23C4F3C5">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7.1.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 xml:space="preserve">vo superveniente, o </w:t>
      </w:r>
      <w:r>
        <w:rPr>
          <w:rFonts w:hint="default" w:cs="Arial"/>
          <w:sz w:val="22"/>
          <w:szCs w:val="22"/>
          <w:lang w:val="pt-BR"/>
        </w:rPr>
        <w:t>Órgão Gerenciador</w:t>
      </w:r>
      <w:r>
        <w:rPr>
          <w:rFonts w:hint="default" w:ascii="Arial" w:hAnsi="Arial" w:cs="Arial"/>
          <w:sz w:val="22"/>
          <w:szCs w:val="22"/>
        </w:rPr>
        <w:t xml:space="preserve"> convocará o fornecedor para negociar a redução do preço registrado.</w:t>
      </w:r>
    </w:p>
    <w:p w14:paraId="3C15A260">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7.1.1.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6AF72A18">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7.1.2. </w:t>
      </w:r>
      <w:r>
        <w:rPr>
          <w:rFonts w:hint="default" w:ascii="Arial" w:hAnsi="Arial" w:cs="Arial"/>
          <w:sz w:val="22"/>
          <w:szCs w:val="22"/>
        </w:rPr>
        <w:t xml:space="preserve">Na hipótese prevista no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 </w:t>
      </w:r>
    </w:p>
    <w:p w14:paraId="6B55471B">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7.1.3.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p>
    <w:p w14:paraId="18074FBE">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7.1.4. </w:t>
      </w:r>
      <w:r>
        <w:rPr>
          <w:rFonts w:hint="default" w:ascii="Arial" w:hAnsi="Arial" w:cs="Arial"/>
          <w:sz w:val="22"/>
          <w:szCs w:val="22"/>
        </w:rPr>
        <w:t xml:space="preserve">Na hipótese de redução do preço registrado, 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At</w:t>
      </w:r>
      <w:r>
        <w:rPr>
          <w:rFonts w:hint="default" w:ascii="Arial" w:hAnsi="Arial" w:cs="Arial"/>
          <w:sz w:val="22"/>
          <w:szCs w:val="22"/>
        </w:rPr>
        <w:t xml:space="preserve">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para que avaliem a conveniência e a oportunidade de diligenciarem negociação com vistas à alteração contratual, observado o disposto no art. 124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184C0DF4">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7.2. </w:t>
      </w:r>
      <w:r>
        <w:rPr>
          <w:rFonts w:hint="default" w:ascii="Arial" w:hAnsi="Arial" w:cs="Arial"/>
          <w:sz w:val="22"/>
          <w:szCs w:val="22"/>
        </w:rPr>
        <w:t xml:space="preserve">Na hipótese de o preço de mercado tornar-se superior ao preço registrado e o fornecedor não poder cumprir as obrigações estabelecidas na ata, será facultado ao fornecedor requerer ao </w:t>
      </w:r>
      <w:r>
        <w:rPr>
          <w:rFonts w:hint="default" w:cs="Arial"/>
          <w:sz w:val="22"/>
          <w:szCs w:val="22"/>
          <w:lang w:val="pt-BR"/>
        </w:rPr>
        <w:t>Órgão Gerenciador</w:t>
      </w:r>
      <w:r>
        <w:rPr>
          <w:rFonts w:hint="default" w:ascii="Arial" w:hAnsi="Arial" w:cs="Arial"/>
          <w:sz w:val="22"/>
          <w:szCs w:val="22"/>
        </w:rPr>
        <w:t xml:space="preserve"> a alteração do preço registrado</w:t>
      </w:r>
      <w:r>
        <w:rPr>
          <w:rFonts w:hint="default" w:cs="Arial"/>
          <w:sz w:val="22"/>
          <w:szCs w:val="22"/>
          <w:lang w:val="pt-BR"/>
        </w:rPr>
        <w:t xml:space="preserve"> antes do pedido de fornecimento,</w:t>
      </w:r>
      <w:r>
        <w:rPr>
          <w:rFonts w:hint="default" w:ascii="Arial" w:hAnsi="Arial" w:cs="Arial"/>
          <w:sz w:val="22"/>
          <w:szCs w:val="22"/>
        </w:rPr>
        <w:t xml:space="preserve"> mediante comprovação de fato superveniente que supostamente o impossibilite de cumprir o compromisso.</w:t>
      </w:r>
    </w:p>
    <w:p w14:paraId="018EA42B">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7.2.1.</w:t>
      </w:r>
      <w:r>
        <w:rPr>
          <w:rFonts w:hint="default" w:ascii="Arial" w:hAnsi="Arial"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r>
        <w:rPr>
          <w:rFonts w:hint="default" w:ascii="Arial" w:hAnsi="Arial" w:cs="Arial"/>
          <w:sz w:val="22"/>
          <w:szCs w:val="22"/>
          <w:lang w:val="pt-BR"/>
        </w:rPr>
        <w:t>, que passará</w:t>
      </w:r>
      <w:r>
        <w:rPr>
          <w:rFonts w:hint="default" w:ascii="Arial" w:hAnsi="Arial" w:cs="Arial"/>
          <w:sz w:val="22"/>
          <w:szCs w:val="22"/>
        </w:rPr>
        <w:t xml:space="preserve"> por análise contábil e jurídica do Órgão </w:t>
      </w:r>
      <w:r>
        <w:rPr>
          <w:rFonts w:hint="default" w:ascii="Arial" w:hAnsi="Arial" w:cs="Arial"/>
          <w:sz w:val="22"/>
          <w:szCs w:val="22"/>
          <w:lang w:val="pt-BR"/>
        </w:rPr>
        <w:t>G</w:t>
      </w:r>
      <w:r>
        <w:rPr>
          <w:rFonts w:hint="default" w:ascii="Arial" w:hAnsi="Arial" w:cs="Arial"/>
          <w:sz w:val="22"/>
          <w:szCs w:val="22"/>
        </w:rPr>
        <w:t xml:space="preserve">erenciador, cabendo à </w:t>
      </w:r>
      <w:r>
        <w:rPr>
          <w:rFonts w:hint="default" w:ascii="Arial" w:hAnsi="Arial" w:cs="Arial"/>
          <w:sz w:val="22"/>
          <w:szCs w:val="22"/>
          <w:lang w:val="pt-BR"/>
        </w:rPr>
        <w:t>A</w:t>
      </w:r>
      <w:r>
        <w:rPr>
          <w:rFonts w:hint="default" w:ascii="Arial" w:hAnsi="Arial" w:cs="Arial"/>
          <w:sz w:val="22"/>
          <w:szCs w:val="22"/>
        </w:rPr>
        <w:t xml:space="preserve">utoridade </w:t>
      </w:r>
      <w:r>
        <w:rPr>
          <w:rFonts w:hint="default" w:ascii="Arial" w:hAnsi="Arial" w:cs="Arial"/>
          <w:sz w:val="22"/>
          <w:szCs w:val="22"/>
          <w:lang w:val="pt-BR"/>
        </w:rPr>
        <w:t>C</w:t>
      </w:r>
      <w:r>
        <w:rPr>
          <w:rFonts w:hint="default" w:ascii="Arial" w:hAnsi="Arial" w:cs="Arial"/>
          <w:sz w:val="22"/>
          <w:szCs w:val="22"/>
        </w:rPr>
        <w:t>ompetente para a homologação da licitação para registro de preços a decisão sobre o pedido.</w:t>
      </w:r>
    </w:p>
    <w:p w14:paraId="6B4B1276">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7.2.2.</w:t>
      </w:r>
      <w:r>
        <w:rPr>
          <w:rFonts w:hint="default" w:cs="Arial"/>
          <w:sz w:val="22"/>
          <w:szCs w:val="22"/>
          <w:lang w:val="pt-BR"/>
        </w:rPr>
        <w:t xml:space="preserve"> </w:t>
      </w:r>
      <w:r>
        <w:rPr>
          <w:rFonts w:hint="default" w:ascii="Arial" w:hAnsi="Arial" w:cs="Arial"/>
          <w:sz w:val="22"/>
          <w:szCs w:val="22"/>
        </w:rPr>
        <w:t xml:space="preserve">Não hipótese de não comprovação da existência de fato superveniente que inviabilize o preço registrado, o pedido será indeferido pelo </w:t>
      </w:r>
      <w:r>
        <w:rPr>
          <w:rFonts w:hint="default" w:cs="Arial"/>
          <w:sz w:val="22"/>
          <w:szCs w:val="22"/>
          <w:lang w:val="pt-BR"/>
        </w:rPr>
        <w:t xml:space="preserve">Órgão Gerenciador </w:t>
      </w:r>
      <w:r>
        <w:rPr>
          <w:rFonts w:hint="default" w:ascii="Arial" w:hAnsi="Arial" w:cs="Arial"/>
          <w:sz w:val="22"/>
          <w:szCs w:val="22"/>
        </w:rPr>
        <w:t xml:space="preserve">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cancelamento_do_fornecedor \r \h  \* MERGEFORMAT </w:instrText>
      </w:r>
      <w:r>
        <w:rPr>
          <w:rFonts w:hint="default" w:ascii="Arial" w:hAnsi="Arial" w:cs="Arial"/>
          <w:sz w:val="22"/>
          <w:szCs w:val="22"/>
        </w:rPr>
        <w:fldChar w:fldCharType="separate"/>
      </w:r>
      <w:r>
        <w:rPr>
          <w:rFonts w:hint="default" w:ascii="Arial" w:hAnsi="Arial" w:cs="Arial"/>
          <w:sz w:val="22"/>
          <w:szCs w:val="22"/>
        </w:rPr>
        <w:t>9.1</w:t>
      </w:r>
      <w:r>
        <w:rPr>
          <w:rFonts w:hint="default" w:ascii="Arial" w:hAnsi="Arial" w:cs="Arial"/>
          <w:sz w:val="22"/>
          <w:szCs w:val="22"/>
        </w:rPr>
        <w:fldChar w:fldCharType="end"/>
      </w:r>
      <w:r>
        <w:rPr>
          <w:rFonts w:hint="default" w:ascii="Arial" w:hAnsi="Arial" w:cs="Arial"/>
          <w:sz w:val="22"/>
          <w:szCs w:val="22"/>
        </w:rPr>
        <w:t>, sem prejuízo das sanções previstas na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 e na legislação aplicável.</w:t>
      </w:r>
    </w:p>
    <w:p w14:paraId="79C7428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7.2.3.</w:t>
      </w:r>
      <w:r>
        <w:rPr>
          <w:rFonts w:hint="default" w:cs="Arial"/>
          <w:sz w:val="22"/>
          <w:szCs w:val="22"/>
          <w:lang w:val="pt-BR"/>
        </w:rPr>
        <w:t xml:space="preserve"> </w:t>
      </w:r>
      <w:r>
        <w:rPr>
          <w:rFonts w:hint="default" w:ascii="Arial" w:hAnsi="Arial" w:cs="Arial"/>
          <w:sz w:val="22"/>
          <w:szCs w:val="22"/>
        </w:rPr>
        <w:t xml:space="preserve">Na hipótese de cancelamento do registro do fornecedor, nos termos do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manter seus preços registrados, observado o disposto no item 5.7.</w:t>
      </w:r>
    </w:p>
    <w:p w14:paraId="08D2B8EF">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7.2.4.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cancelamento_da_ata \r \h  \* MERGEFORMAT </w:instrText>
      </w:r>
      <w:r>
        <w:rPr>
          <w:rFonts w:hint="default" w:ascii="Arial" w:hAnsi="Arial" w:cs="Arial"/>
          <w:sz w:val="22"/>
          <w:szCs w:val="22"/>
        </w:rPr>
        <w:fldChar w:fldCharType="separate"/>
      </w:r>
      <w:r>
        <w:rPr>
          <w:rFonts w:hint="default" w:ascii="Arial" w:hAnsi="Arial" w:cs="Arial"/>
          <w:sz w:val="22"/>
          <w:szCs w:val="22"/>
        </w:rPr>
        <w:t>9.4</w:t>
      </w:r>
      <w:r>
        <w:rPr>
          <w:rFonts w:hint="default" w:ascii="Arial" w:hAnsi="Arial" w:cs="Arial"/>
          <w:sz w:val="22"/>
          <w:szCs w:val="22"/>
        </w:rPr>
        <w:fldChar w:fldCharType="end"/>
      </w:r>
      <w:r>
        <w:rPr>
          <w:rFonts w:hint="default" w:ascii="Arial" w:hAnsi="Arial" w:cs="Arial"/>
          <w:sz w:val="22"/>
          <w:szCs w:val="22"/>
        </w:rPr>
        <w:t>, e adotará as medidas cabíveis para a obtenção da contratação mais vantajosa.</w:t>
      </w:r>
    </w:p>
    <w:p w14:paraId="7CDCF8DD">
      <w:pPr>
        <w:pStyle w:val="145"/>
        <w:numPr>
          <w:ilvl w:val="0"/>
          <w:numId w:val="0"/>
        </w:numPr>
        <w:spacing w:line="360" w:lineRule="auto"/>
        <w:ind w:left="0" w:leftChars="0" w:firstLine="480" w:firstLineChars="218"/>
        <w:jc w:val="both"/>
        <w:rPr>
          <w:rFonts w:hint="default" w:ascii="Arial" w:hAnsi="Arial" w:cs="Arial"/>
          <w:sz w:val="22"/>
          <w:szCs w:val="22"/>
          <w:lang w:val="pt-BR"/>
        </w:rPr>
      </w:pPr>
      <w:r>
        <w:rPr>
          <w:rFonts w:hint="default" w:cs="Arial"/>
          <w:b/>
          <w:bCs/>
          <w:sz w:val="22"/>
          <w:szCs w:val="22"/>
          <w:lang w:val="pt-BR"/>
        </w:rPr>
        <w:t xml:space="preserve">7.2.5. </w:t>
      </w:r>
      <w:r>
        <w:rPr>
          <w:rFonts w:hint="default" w:ascii="Arial" w:hAnsi="Arial" w:cs="Arial"/>
          <w:sz w:val="22"/>
          <w:szCs w:val="22"/>
        </w:rPr>
        <w:t xml:space="preserve">Na hipótese de comprovação da majoração do preço de mercado que inviabilize o preço registrado, conforme previsto no item </w:t>
      </w:r>
      <w:r>
        <w:rPr>
          <w:rFonts w:hint="default" w:ascii="Arial" w:hAnsi="Arial" w:cs="Arial"/>
          <w:sz w:val="22"/>
          <w:szCs w:val="22"/>
        </w:rPr>
        <w:fldChar w:fldCharType="begin"/>
      </w:r>
      <w:r>
        <w:rPr>
          <w:rFonts w:hint="default" w:ascii="Arial" w:hAnsi="Arial" w:cs="Arial"/>
          <w:sz w:val="22"/>
          <w:szCs w:val="22"/>
        </w:rPr>
        <w:instrText xml:space="preserve"> REF hipotese_preco_mercado_maior \r \h  \* MERGEFORMAT </w:instrText>
      </w:r>
      <w:r>
        <w:rPr>
          <w:rFonts w:hint="default" w:ascii="Arial" w:hAnsi="Arial" w:cs="Arial"/>
          <w:sz w:val="22"/>
          <w:szCs w:val="22"/>
        </w:rPr>
        <w:fldChar w:fldCharType="separate"/>
      </w:r>
      <w:r>
        <w:rPr>
          <w:rFonts w:hint="default" w:ascii="Arial" w:hAnsi="Arial" w:cs="Arial"/>
          <w:sz w:val="22"/>
          <w:szCs w:val="22"/>
        </w:rPr>
        <w:t>7.2</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e no item </w:t>
      </w:r>
      <w:r>
        <w:rPr>
          <w:rFonts w:hint="default" w:ascii="Arial" w:hAnsi="Arial" w:cs="Arial"/>
          <w:sz w:val="22"/>
          <w:szCs w:val="22"/>
        </w:rPr>
        <w:fldChar w:fldCharType="begin"/>
      </w:r>
      <w:r>
        <w:rPr>
          <w:rFonts w:hint="default" w:ascii="Arial" w:hAnsi="Arial" w:cs="Arial"/>
          <w:sz w:val="22"/>
          <w:szCs w:val="22"/>
        </w:rPr>
        <w:instrText xml:space="preserve"> REF prova_preco_mercado_maior \r \h  \* MERGEFORMAT </w:instrText>
      </w:r>
      <w:r>
        <w:rPr>
          <w:rFonts w:hint="default" w:ascii="Arial" w:hAnsi="Arial" w:cs="Arial"/>
          <w:sz w:val="22"/>
          <w:szCs w:val="22"/>
        </w:rPr>
        <w:fldChar w:fldCharType="separate"/>
      </w:r>
      <w:r>
        <w:rPr>
          <w:rFonts w:hint="default" w:ascii="Arial" w:hAnsi="Arial" w:cs="Arial"/>
          <w:sz w:val="22"/>
          <w:szCs w:val="22"/>
        </w:rPr>
        <w:t>7.2.1</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o </w:t>
      </w:r>
      <w:r>
        <w:rPr>
          <w:rFonts w:hint="default" w:cs="Arial"/>
          <w:sz w:val="22"/>
          <w:szCs w:val="22"/>
          <w:lang w:val="pt-BR"/>
        </w:rPr>
        <w:t>Órgão Gerenciador</w:t>
      </w:r>
      <w:r>
        <w:rPr>
          <w:rFonts w:hint="default" w:ascii="Arial" w:hAnsi="Arial" w:cs="Arial"/>
          <w:sz w:val="22"/>
          <w:szCs w:val="22"/>
        </w:rPr>
        <w:t xml:space="preserve"> atualizará o preço registrado, de acordo com a realidade dos valores praticados pelo mercado</w:t>
      </w:r>
      <w:r>
        <w:rPr>
          <w:rFonts w:hint="default" w:cs="Arial"/>
          <w:sz w:val="22"/>
          <w:szCs w:val="22"/>
          <w:lang w:val="pt-BR"/>
        </w:rPr>
        <w:t xml:space="preserve"> e</w:t>
      </w:r>
      <w:r>
        <w:rPr>
          <w:rFonts w:hint="default" w:ascii="Arial" w:hAnsi="Arial" w:cs="Arial"/>
          <w:sz w:val="22"/>
          <w:szCs w:val="22"/>
          <w:lang w:val="pt-BR"/>
        </w:rPr>
        <w:t xml:space="preserve"> </w:t>
      </w:r>
      <w:r>
        <w:rPr>
          <w:rFonts w:hint="default" w:ascii="Arial" w:hAnsi="Arial" w:cs="Arial"/>
          <w:sz w:val="22"/>
          <w:szCs w:val="22"/>
        </w:rPr>
        <w:t>será registrado por aditamento à Ata de Registro de Preços</w:t>
      </w:r>
      <w:r>
        <w:rPr>
          <w:rFonts w:hint="default" w:ascii="Arial" w:hAnsi="Arial" w:cs="Arial"/>
          <w:sz w:val="22"/>
          <w:szCs w:val="22"/>
          <w:lang w:val="pt-BR"/>
        </w:rPr>
        <w:t>.</w:t>
      </w:r>
    </w:p>
    <w:p w14:paraId="229FEF5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7.2.6. </w:t>
      </w:r>
      <w:r>
        <w:rPr>
          <w:rFonts w:hint="default" w:ascii="Arial" w:hAnsi="Arial" w:cs="Arial"/>
          <w:sz w:val="22"/>
          <w:szCs w:val="22"/>
        </w:rPr>
        <w:t xml:space="preserve">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w:t>
      </w:r>
      <w:r>
        <w:rPr>
          <w:rFonts w:hint="default" w:cs="Arial"/>
          <w:sz w:val="22"/>
          <w:szCs w:val="22"/>
          <w:lang w:val="pt-BR"/>
        </w:rPr>
        <w:t>C</w:t>
      </w:r>
      <w:r>
        <w:rPr>
          <w:rFonts w:hint="default" w:ascii="Arial" w:hAnsi="Arial" w:cs="Arial"/>
          <w:sz w:val="22"/>
          <w:szCs w:val="22"/>
        </w:rPr>
        <w:t xml:space="preserve">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nº 14.133</w:t>
      </w:r>
      <w:r>
        <w:rPr>
          <w:rFonts w:hint="default" w:cs="Arial"/>
          <w:sz w:val="22"/>
          <w:szCs w:val="22"/>
          <w:lang w:val="pt-BR"/>
        </w:rPr>
        <w:t>/</w:t>
      </w:r>
      <w:r>
        <w:rPr>
          <w:rFonts w:hint="default" w:ascii="Arial" w:hAnsi="Arial" w:cs="Arial"/>
          <w:sz w:val="22"/>
          <w:szCs w:val="22"/>
        </w:rPr>
        <w:t>2021.</w:t>
      </w:r>
    </w:p>
    <w:p w14:paraId="63B8C089">
      <w:pPr>
        <w:pStyle w:val="122"/>
        <w:pBdr>
          <w:top w:val="double" w:color="auto" w:sz="4" w:space="1"/>
          <w:left w:val="double" w:color="auto" w:sz="4" w:space="4"/>
          <w:bottom w:val="double" w:color="auto" w:sz="4" w:space="1"/>
          <w:right w:val="double" w:color="auto" w:sz="4" w:space="4"/>
        </w:pBdr>
        <w:shd w:val="clear" w:color="auto" w:fill="D9D9D9"/>
        <w:spacing w:line="24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Oitava</w:t>
      </w:r>
    </w:p>
    <w:p w14:paraId="200D0E8D">
      <w:pPr>
        <w:pStyle w:val="122"/>
        <w:pBdr>
          <w:top w:val="double" w:color="auto" w:sz="4" w:space="1"/>
          <w:left w:val="double" w:color="auto" w:sz="4" w:space="4"/>
          <w:bottom w:val="double" w:color="auto" w:sz="4" w:space="1"/>
          <w:right w:val="double" w:color="auto" w:sz="4" w:space="4"/>
        </w:pBdr>
        <w:shd w:val="clear" w:color="auto" w:fill="D9D9D9"/>
        <w:spacing w:line="24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REMANEJAMENTO DAS QUANTIDADES REGISTRADAS NA ATA DE REGISTRO DE PREÇOS</w:t>
      </w:r>
    </w:p>
    <w:p w14:paraId="78A4737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8.1.</w:t>
      </w:r>
      <w:r>
        <w:rPr>
          <w:rFonts w:hint="default" w:cs="Arial"/>
          <w:color w:val="auto"/>
          <w:sz w:val="22"/>
          <w:szCs w:val="22"/>
          <w:lang w:val="pt-BR"/>
        </w:rPr>
        <w:t xml:space="preserve"> </w:t>
      </w:r>
      <w:r>
        <w:rPr>
          <w:rFonts w:hint="default" w:ascii="Arial" w:hAnsi="Arial" w:cs="Arial"/>
          <w:color w:val="auto"/>
          <w:sz w:val="22"/>
          <w:szCs w:val="22"/>
        </w:rPr>
        <w:t>As quan</w:t>
      </w:r>
      <w:r>
        <w:rPr>
          <w:rFonts w:hint="default" w:ascii="Arial" w:hAnsi="Arial" w:eastAsia="Arial" w:cs="Arial"/>
          <w:color w:val="auto"/>
          <w:sz w:val="22"/>
          <w:szCs w:val="22"/>
        </w:rPr>
        <w:t>ti</w:t>
      </w:r>
      <w:r>
        <w:rPr>
          <w:rFonts w:hint="default" w:ascii="Arial" w:hAnsi="Arial" w:cs="Arial"/>
          <w:color w:val="auto"/>
          <w:sz w:val="22"/>
          <w:szCs w:val="22"/>
        </w:rPr>
        <w:t xml:space="preserve">dades previstas para os itens com preços registrados nas </w:t>
      </w:r>
      <w:r>
        <w:rPr>
          <w:rFonts w:hint="default" w:cs="Arial"/>
          <w:color w:val="auto"/>
          <w:sz w:val="22"/>
          <w:szCs w:val="22"/>
          <w:lang w:val="pt-BR"/>
        </w:rPr>
        <w:t>A</w:t>
      </w:r>
      <w:r>
        <w:rPr>
          <w:rFonts w:hint="default" w:ascii="Arial" w:hAnsi="Arial" w:cs="Arial"/>
          <w:color w:val="auto"/>
          <w:sz w:val="22"/>
          <w:szCs w:val="22"/>
        </w:rPr>
        <w:t xml:space="preserve">tas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poderão ser remanejadas pelo </w:t>
      </w:r>
      <w:r>
        <w:rPr>
          <w:rFonts w:hint="default" w:cs="Arial"/>
          <w:color w:val="auto"/>
          <w:sz w:val="22"/>
          <w:szCs w:val="22"/>
          <w:lang w:val="pt-BR"/>
        </w:rPr>
        <w:t>Órgão Gerenciador</w:t>
      </w:r>
      <w:r>
        <w:rPr>
          <w:rFonts w:hint="default" w:ascii="Arial" w:hAnsi="Arial" w:cs="Arial"/>
          <w:color w:val="auto"/>
          <w:sz w:val="22"/>
          <w:szCs w:val="22"/>
        </w:rPr>
        <w:t xml:space="preserve"> entre os órgãos ou as en</w:t>
      </w:r>
      <w:r>
        <w:rPr>
          <w:rFonts w:hint="default" w:ascii="Arial" w:hAnsi="Arial" w:eastAsia="Arial" w:cs="Arial"/>
          <w:color w:val="auto"/>
          <w:sz w:val="22"/>
          <w:szCs w:val="22"/>
        </w:rPr>
        <w:t>ti</w:t>
      </w:r>
      <w:r>
        <w:rPr>
          <w:rFonts w:hint="default" w:ascii="Arial" w:hAnsi="Arial" w:cs="Arial"/>
          <w:color w:val="auto"/>
          <w:sz w:val="22"/>
          <w:szCs w:val="22"/>
        </w:rPr>
        <w:t>dades par</w:t>
      </w:r>
      <w:r>
        <w:rPr>
          <w:rFonts w:hint="default" w:ascii="Arial" w:hAnsi="Arial" w:eastAsia="Arial" w:cs="Arial"/>
          <w:color w:val="auto"/>
          <w:sz w:val="22"/>
          <w:szCs w:val="22"/>
        </w:rPr>
        <w:t>ti</w:t>
      </w:r>
      <w:r>
        <w:rPr>
          <w:rFonts w:hint="default" w:ascii="Arial" w:hAnsi="Arial" w:cs="Arial"/>
          <w:color w:val="auto"/>
          <w:sz w:val="22"/>
          <w:szCs w:val="22"/>
        </w:rPr>
        <w:t>cipantes e não par</w:t>
      </w:r>
      <w:r>
        <w:rPr>
          <w:rFonts w:hint="default" w:ascii="Arial" w:hAnsi="Arial" w:eastAsia="Arial" w:cs="Arial"/>
          <w:color w:val="auto"/>
          <w:sz w:val="22"/>
          <w:szCs w:val="22"/>
        </w:rPr>
        <w:t>ti</w:t>
      </w:r>
      <w:r>
        <w:rPr>
          <w:rFonts w:hint="default" w:ascii="Arial" w:hAnsi="Arial" w:cs="Arial"/>
          <w:color w:val="auto"/>
          <w:sz w:val="22"/>
          <w:szCs w:val="22"/>
        </w:rPr>
        <w:t>cipantes do registro de preços.</w:t>
      </w:r>
    </w:p>
    <w:p w14:paraId="17EFF1D0">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8.2. </w:t>
      </w:r>
      <w:r>
        <w:rPr>
          <w:rFonts w:hint="default" w:ascii="Arial" w:hAnsi="Arial" w:cs="Arial"/>
          <w:color w:val="auto"/>
          <w:sz w:val="22"/>
          <w:szCs w:val="22"/>
        </w:rPr>
        <w:t>O remanejamento somente poderá ser feito:</w:t>
      </w:r>
    </w:p>
    <w:p w14:paraId="13750A7E">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8.2.1.</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ou</w:t>
      </w:r>
    </w:p>
    <w:p w14:paraId="0A448656">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8.2.2.</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w:t>
      </w:r>
    </w:p>
    <w:p w14:paraId="16CF80A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8.3. </w:t>
      </w:r>
      <w:r>
        <w:rPr>
          <w:rFonts w:hint="default" w:ascii="Arial" w:hAnsi="Arial" w:cs="Arial"/>
          <w:color w:val="auto"/>
          <w:sz w:val="22"/>
          <w:szCs w:val="22"/>
        </w:rPr>
        <w:t xml:space="preserve">O </w:t>
      </w:r>
      <w:r>
        <w:rPr>
          <w:rFonts w:hint="default" w:cs="Arial"/>
          <w:color w:val="auto"/>
          <w:sz w:val="22"/>
          <w:szCs w:val="22"/>
          <w:lang w:val="pt-BR"/>
        </w:rPr>
        <w:t>Órgão Gerenciador</w:t>
      </w:r>
      <w:r>
        <w:rPr>
          <w:rFonts w:hint="default" w:ascii="Arial" w:hAnsi="Arial" w:cs="Arial"/>
          <w:color w:val="auto"/>
          <w:sz w:val="22"/>
          <w:szCs w:val="22"/>
        </w:rPr>
        <w:t xml:space="preserve"> que tiver es</w:t>
      </w:r>
      <w:r>
        <w:rPr>
          <w:rFonts w:hint="default" w:ascii="Arial" w:hAnsi="Arial" w:eastAsia="Arial" w:cs="Arial"/>
          <w:color w:val="auto"/>
          <w:sz w:val="22"/>
          <w:szCs w:val="22"/>
        </w:rPr>
        <w:t>ti</w:t>
      </w:r>
      <w:r>
        <w:rPr>
          <w:rFonts w:hint="default" w:ascii="Arial" w:hAnsi="Arial" w:cs="Arial"/>
          <w:color w:val="auto"/>
          <w:sz w:val="22"/>
          <w:szCs w:val="22"/>
        </w:rPr>
        <w:t>mado as quan</w:t>
      </w:r>
      <w:r>
        <w:rPr>
          <w:rFonts w:hint="default" w:ascii="Arial" w:hAnsi="Arial" w:eastAsia="Arial" w:cs="Arial"/>
          <w:color w:val="auto"/>
          <w:sz w:val="22"/>
          <w:szCs w:val="22"/>
        </w:rPr>
        <w:t>ti</w:t>
      </w:r>
      <w:r>
        <w:rPr>
          <w:rFonts w:hint="default" w:ascii="Arial" w:hAnsi="Arial" w:cs="Arial"/>
          <w:color w:val="auto"/>
          <w:sz w:val="22"/>
          <w:szCs w:val="22"/>
        </w:rPr>
        <w:t>dades que pretende contratar será considerado participante para efeito do remanejamento.</w:t>
      </w:r>
      <w:bookmarkStart w:id="87" w:name="gerenciador_estimador_é_partic_em_remane"/>
      <w:bookmarkEnd w:id="87"/>
    </w:p>
    <w:p w14:paraId="39C5279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8.4.</w:t>
      </w:r>
      <w:r>
        <w:rPr>
          <w:rFonts w:hint="default" w:cs="Arial"/>
          <w:color w:val="auto"/>
          <w:sz w:val="22"/>
          <w:szCs w:val="22"/>
          <w:lang w:val="pt-BR"/>
        </w:rPr>
        <w:t xml:space="preserve"> </w:t>
      </w:r>
      <w:r>
        <w:rPr>
          <w:rFonts w:hint="default" w:ascii="Arial" w:hAnsi="Arial" w:cs="Arial"/>
          <w:color w:val="auto"/>
          <w:sz w:val="22"/>
          <w:szCs w:val="22"/>
        </w:rPr>
        <w:t>Na hipótese de remanejamento de órgão ou entidade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 serão observados os limites previstos no</w:t>
      </w:r>
      <w:r>
        <w:rPr>
          <w:rFonts w:hint="default" w:cs="Arial"/>
          <w:color w:val="auto"/>
          <w:sz w:val="22"/>
          <w:szCs w:val="22"/>
          <w:lang w:val="pt-BR"/>
        </w:rPr>
        <w:t>s itens 4.6. e 4.7. desta Ata de Registro de Preços</w:t>
      </w:r>
      <w:r>
        <w:rPr>
          <w:rFonts w:hint="default" w:ascii="Arial" w:hAnsi="Arial" w:cs="Arial"/>
          <w:color w:val="auto"/>
          <w:sz w:val="22"/>
          <w:szCs w:val="22"/>
        </w:rPr>
        <w:t>.</w:t>
      </w:r>
    </w:p>
    <w:p w14:paraId="64CC549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8.5. </w:t>
      </w:r>
      <w:r>
        <w:rPr>
          <w:rFonts w:hint="default" w:ascii="Arial" w:hAnsi="Arial" w:cs="Arial"/>
          <w:color w:val="auto"/>
          <w:sz w:val="22"/>
          <w:szCs w:val="22"/>
        </w:rPr>
        <w:t xml:space="preserve">Competirá ao </w:t>
      </w:r>
      <w:r>
        <w:rPr>
          <w:rFonts w:hint="default" w:cs="Arial"/>
          <w:color w:val="auto"/>
          <w:sz w:val="22"/>
          <w:szCs w:val="22"/>
          <w:lang w:val="pt-BR"/>
        </w:rPr>
        <w:t>Órgão Gerenciador</w:t>
      </w:r>
      <w:r>
        <w:rPr>
          <w:rFonts w:hint="default" w:ascii="Arial" w:hAnsi="Arial" w:cs="Arial"/>
          <w:color w:val="auto"/>
          <w:sz w:val="22"/>
          <w:szCs w:val="22"/>
        </w:rPr>
        <w:t xml:space="preserve"> autorizar o remanejamento solicitado, com a redução do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 inicialmente informado pelo órgão ou pela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desde que haja prévia anuência do órgão ou da en</w:t>
      </w:r>
      <w:r>
        <w:rPr>
          <w:rFonts w:hint="default" w:ascii="Arial" w:hAnsi="Arial" w:eastAsia="Arial" w:cs="Arial"/>
          <w:color w:val="auto"/>
          <w:sz w:val="22"/>
          <w:szCs w:val="22"/>
        </w:rPr>
        <w:t>ti</w:t>
      </w:r>
      <w:r>
        <w:rPr>
          <w:rFonts w:hint="default" w:ascii="Arial" w:hAnsi="Arial" w:cs="Arial"/>
          <w:color w:val="auto"/>
          <w:sz w:val="22"/>
          <w:szCs w:val="22"/>
        </w:rPr>
        <w:t>dade que sofrer redução dos quantitativos informados.</w:t>
      </w:r>
    </w:p>
    <w:p w14:paraId="633F76A8">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8.6.</w:t>
      </w:r>
      <w:r>
        <w:rPr>
          <w:rFonts w:hint="default" w:cs="Arial"/>
          <w:color w:val="auto"/>
          <w:sz w:val="22"/>
          <w:szCs w:val="22"/>
          <w:lang w:val="pt-BR"/>
        </w:rPr>
        <w:t xml:space="preserve"> C</w:t>
      </w:r>
      <w:r>
        <w:rPr>
          <w:rFonts w:hint="default" w:ascii="Arial" w:hAnsi="Arial" w:cs="Arial"/>
          <w:color w:val="auto"/>
          <w:sz w:val="22"/>
          <w:szCs w:val="22"/>
        </w:rPr>
        <w:t xml:space="preserve">aberá ao fornecedor beneficiário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observadas as condições nela estabelecidas, optar pela aceitação ou não do fornecimento decorrente do remanejamento dos itens.</w:t>
      </w:r>
    </w:p>
    <w:p w14:paraId="1F8B3A1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8.7. </w:t>
      </w:r>
      <w:r>
        <w:rPr>
          <w:rFonts w:hint="default" w:ascii="Arial" w:hAnsi="Arial" w:cs="Arial"/>
          <w:color w:val="auto"/>
          <w:sz w:val="22"/>
          <w:szCs w:val="22"/>
        </w:rPr>
        <w:t xml:space="preserve">Na hipótese da compra centralizada, não havendo indicação pelo </w:t>
      </w:r>
      <w:r>
        <w:rPr>
          <w:rFonts w:hint="default" w:cs="Arial"/>
          <w:color w:val="auto"/>
          <w:sz w:val="22"/>
          <w:szCs w:val="22"/>
          <w:lang w:val="pt-BR"/>
        </w:rPr>
        <w:t>Órgão Gerenciador</w:t>
      </w:r>
      <w:r>
        <w:rPr>
          <w:rFonts w:hint="default" w:ascii="Arial" w:hAnsi="Arial" w:cs="Arial"/>
          <w:color w:val="auto"/>
          <w:sz w:val="22"/>
          <w:szCs w:val="22"/>
        </w:rPr>
        <w:t>, dos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vos dos par</w:t>
      </w:r>
      <w:r>
        <w:rPr>
          <w:rFonts w:hint="default" w:ascii="Arial" w:hAnsi="Arial" w:eastAsia="Arial" w:cs="Arial"/>
          <w:color w:val="auto"/>
          <w:sz w:val="22"/>
          <w:szCs w:val="22"/>
        </w:rPr>
        <w:t>ti</w:t>
      </w:r>
      <w:r>
        <w:rPr>
          <w:rFonts w:hint="default" w:ascii="Arial" w:hAnsi="Arial" w:cs="Arial"/>
          <w:color w:val="auto"/>
          <w:sz w:val="22"/>
          <w:szCs w:val="22"/>
        </w:rPr>
        <w:t xml:space="preserve">cipantes da compra centralizada, nos termos do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gerenciador_estimador_é_partic_em_remane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8.3</w:t>
      </w:r>
      <w:r>
        <w:rPr>
          <w:rFonts w:hint="default" w:ascii="Arial" w:hAnsi="Arial" w:cs="Arial"/>
          <w:color w:val="auto"/>
          <w:sz w:val="22"/>
          <w:szCs w:val="22"/>
        </w:rPr>
        <w:fldChar w:fldCharType="end"/>
      </w:r>
      <w:r>
        <w:rPr>
          <w:rFonts w:hint="default" w:ascii="Arial" w:hAnsi="Arial" w:cs="Arial"/>
          <w:color w:val="auto"/>
          <w:sz w:val="22"/>
          <w:szCs w:val="22"/>
        </w:rPr>
        <w:t>, a distribuição das quantidades para a execução descentralizada será por meio do remanejamento.</w:t>
      </w:r>
    </w:p>
    <w:p w14:paraId="5A994CE5">
      <w:pPr>
        <w:pStyle w:val="122"/>
        <w:pBdr>
          <w:top w:val="double" w:color="auto" w:sz="4" w:space="1"/>
          <w:left w:val="double" w:color="auto" w:sz="4" w:space="4"/>
          <w:bottom w:val="double" w:color="auto" w:sz="4" w:space="1"/>
          <w:right w:val="double" w:color="auto" w:sz="4" w:space="4"/>
        </w:pBdr>
        <w:shd w:val="clear" w:color="auto" w:fill="D9D9D9"/>
        <w:spacing w:line="24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Nona</w:t>
      </w:r>
    </w:p>
    <w:p w14:paraId="16E88808">
      <w:pPr>
        <w:pStyle w:val="122"/>
        <w:pBdr>
          <w:top w:val="double" w:color="auto" w:sz="4" w:space="1"/>
          <w:left w:val="double" w:color="auto" w:sz="4" w:space="4"/>
          <w:bottom w:val="double" w:color="auto" w:sz="4" w:space="1"/>
          <w:right w:val="double" w:color="auto" w:sz="4" w:space="4"/>
        </w:pBdr>
        <w:shd w:val="clear" w:color="auto" w:fill="D9D9D9"/>
        <w:spacing w:line="24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CANCELAMENTO DO REGISTRO DO LICITANTE VENCEDOR E DOS PREÇOS REGISTRADOS</w:t>
      </w:r>
    </w:p>
    <w:p w14:paraId="5D84F20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9.1. </w:t>
      </w:r>
      <w:r>
        <w:rPr>
          <w:rFonts w:hint="default" w:ascii="Arial" w:hAnsi="Arial" w:cs="Arial"/>
          <w:color w:val="auto"/>
          <w:sz w:val="22"/>
          <w:szCs w:val="22"/>
        </w:rPr>
        <w:t xml:space="preserve">O registro do fornecedor será cancelado pelo </w:t>
      </w:r>
      <w:r>
        <w:rPr>
          <w:rFonts w:hint="default" w:cs="Arial"/>
          <w:color w:val="auto"/>
          <w:sz w:val="22"/>
          <w:szCs w:val="22"/>
          <w:lang w:val="pt-BR"/>
        </w:rPr>
        <w:t>Órgão Gerenciador</w:t>
      </w:r>
      <w:r>
        <w:rPr>
          <w:rFonts w:hint="default" w:ascii="Arial" w:hAnsi="Arial" w:cs="Arial"/>
          <w:color w:val="auto"/>
          <w:sz w:val="22"/>
          <w:szCs w:val="22"/>
        </w:rPr>
        <w:t>, quando o fornecedor:</w:t>
      </w:r>
      <w:bookmarkStart w:id="88" w:name="cancelamento_do_fornecedor"/>
      <w:bookmarkEnd w:id="88"/>
    </w:p>
    <w:p w14:paraId="62DD5E73">
      <w:pPr>
        <w:pStyle w:val="145"/>
        <w:numPr>
          <w:ilvl w:val="0"/>
          <w:numId w:val="0"/>
        </w:numPr>
        <w:spacing w:line="360" w:lineRule="auto"/>
        <w:ind w:left="0" w:leftChars="0" w:firstLine="480" w:firstLineChars="218"/>
        <w:rPr>
          <w:rFonts w:hint="default" w:cs="Arial"/>
          <w:b w:val="0"/>
          <w:bCs w:val="0"/>
          <w:color w:val="auto"/>
          <w:sz w:val="22"/>
          <w:szCs w:val="22"/>
          <w:lang w:val="pt-BR"/>
        </w:rPr>
      </w:pPr>
      <w:r>
        <w:rPr>
          <w:rFonts w:hint="default" w:cs="Arial"/>
          <w:b/>
          <w:bCs/>
          <w:color w:val="auto"/>
          <w:sz w:val="22"/>
          <w:szCs w:val="22"/>
          <w:lang w:val="pt-BR"/>
        </w:rPr>
        <w:t xml:space="preserve">9.1.1. </w:t>
      </w:r>
      <w:r>
        <w:rPr>
          <w:rFonts w:hint="default" w:cs="Arial"/>
          <w:b w:val="0"/>
          <w:bCs w:val="0"/>
          <w:color w:val="auto"/>
          <w:sz w:val="22"/>
          <w:szCs w:val="22"/>
          <w:lang w:val="pt-BR"/>
        </w:rPr>
        <w:t>For liberado;</w:t>
      </w:r>
    </w:p>
    <w:p w14:paraId="10B2E8B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 xml:space="preserve">Descumprir as condições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sem </w:t>
      </w:r>
      <w:r>
        <w:rPr>
          <w:rFonts w:hint="default" w:cs="Arial"/>
          <w:color w:val="auto"/>
          <w:sz w:val="22"/>
          <w:szCs w:val="22"/>
          <w:lang w:val="pt-BR"/>
        </w:rPr>
        <w:t>justificativa aceitável</w:t>
      </w:r>
      <w:r>
        <w:rPr>
          <w:rFonts w:hint="default" w:ascii="Arial" w:hAnsi="Arial" w:cs="Arial"/>
          <w:color w:val="auto"/>
          <w:sz w:val="22"/>
          <w:szCs w:val="22"/>
        </w:rPr>
        <w:t>;</w:t>
      </w:r>
    </w:p>
    <w:p w14:paraId="6F9F48A3">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Não re</w:t>
      </w:r>
      <w:r>
        <w:rPr>
          <w:rFonts w:hint="default" w:ascii="Arial" w:hAnsi="Arial" w:eastAsia="Arial" w:cs="Arial"/>
          <w:color w:val="auto"/>
          <w:sz w:val="22"/>
          <w:szCs w:val="22"/>
        </w:rPr>
        <w:t>ti</w:t>
      </w:r>
      <w:r>
        <w:rPr>
          <w:rFonts w:hint="default" w:ascii="Arial" w:hAnsi="Arial" w:cs="Arial"/>
          <w:color w:val="auto"/>
          <w:sz w:val="22"/>
          <w:szCs w:val="22"/>
        </w:rPr>
        <w:t>rar a nota de empenho, ou instrumento equivalente, no prazo estabelecido pela Administração sem justificativa razoável;</w:t>
      </w:r>
    </w:p>
    <w:p w14:paraId="4EC7611D">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9.1.3.</w:t>
      </w:r>
      <w:r>
        <w:rPr>
          <w:rFonts w:hint="default" w:cs="Arial"/>
          <w:color w:val="auto"/>
          <w:sz w:val="22"/>
          <w:szCs w:val="22"/>
          <w:lang w:val="pt-BR"/>
        </w:rPr>
        <w:t xml:space="preserve"> </w:t>
      </w:r>
      <w:r>
        <w:rPr>
          <w:rFonts w:hint="default" w:ascii="Arial" w:hAnsi="Arial" w:cs="Arial"/>
          <w:color w:val="auto"/>
          <w:sz w:val="22"/>
          <w:szCs w:val="22"/>
        </w:rPr>
        <w:t xml:space="preserve">Não aceitar manter seu preço registrado, na hipótese </w:t>
      </w:r>
      <w:r>
        <w:rPr>
          <w:rFonts w:ascii="Arial" w:hAnsi="Arial" w:eastAsia="SimSun" w:cs="Arial"/>
          <w:sz w:val="22"/>
          <w:szCs w:val="22"/>
        </w:rPr>
        <w:t>de não comprovação da existência de fato superveniente que inviabilize o preço registrado</w:t>
      </w:r>
      <w:r>
        <w:rPr>
          <w:rFonts w:hint="default" w:ascii="Arial" w:hAnsi="Arial" w:cs="Arial"/>
          <w:color w:val="auto"/>
          <w:sz w:val="22"/>
          <w:szCs w:val="22"/>
        </w:rPr>
        <w:t xml:space="preserve">; </w:t>
      </w:r>
    </w:p>
    <w:p w14:paraId="6A8AC429">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9.1.4. </w:t>
      </w:r>
      <w:r>
        <w:rPr>
          <w:rFonts w:hint="default" w:cs="Arial"/>
          <w:color w:val="auto"/>
          <w:sz w:val="22"/>
          <w:szCs w:val="22"/>
          <w:lang w:val="pt-BR"/>
        </w:rPr>
        <w:t>Não aceitar reduzir o seu preço registrado, na hipótese deste se tornar superior àqueles praticados no mercado;</w:t>
      </w:r>
    </w:p>
    <w:p w14:paraId="1AE11580">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9.1.5. </w:t>
      </w:r>
      <w:r>
        <w:rPr>
          <w:rFonts w:hint="default" w:cs="Arial"/>
          <w:color w:val="auto"/>
          <w:sz w:val="22"/>
          <w:szCs w:val="22"/>
          <w:lang w:val="pt-BR"/>
        </w:rPr>
        <w:t>Não aceitar o preço revisado pela Administração Pública Municipal.</w:t>
      </w:r>
    </w:p>
    <w:p w14:paraId="703DD32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9.1.6. </w:t>
      </w:r>
      <w:r>
        <w:rPr>
          <w:rFonts w:hint="default" w:ascii="Arial" w:hAnsi="Arial" w:cs="Arial"/>
          <w:color w:val="auto"/>
          <w:sz w:val="22"/>
          <w:szCs w:val="22"/>
        </w:rPr>
        <w:t xml:space="preserve"> Sofrer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02553C7B">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9.1.6.1. </w:t>
      </w:r>
      <w:r>
        <w:rPr>
          <w:rFonts w:hint="default" w:ascii="Arial" w:hAnsi="Arial" w:cs="Arial"/>
          <w:color w:val="auto"/>
          <w:sz w:val="22"/>
          <w:szCs w:val="22"/>
        </w:rPr>
        <w:t xml:space="preserve">Na hipótese de aplicação de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/2</w:t>
      </w:r>
      <w:r>
        <w:rPr>
          <w:rFonts w:hint="default" w:ascii="Arial" w:hAnsi="Arial" w:cs="Arial"/>
          <w:color w:val="auto"/>
          <w:sz w:val="22"/>
          <w:szCs w:val="22"/>
        </w:rPr>
        <w:t xml:space="preserve">021, caso a penalidade aplicada ao fornecedor não ultrapasse o prazo de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poderá o </w:t>
      </w:r>
      <w:r>
        <w:rPr>
          <w:rFonts w:hint="default" w:cs="Arial"/>
          <w:color w:val="auto"/>
          <w:sz w:val="22"/>
          <w:szCs w:val="22"/>
          <w:lang w:val="pt-BR"/>
        </w:rPr>
        <w:t>Órgão Gerenciador</w:t>
      </w:r>
      <w:r>
        <w:rPr>
          <w:rFonts w:hint="default" w:ascii="Arial" w:hAnsi="Arial" w:cs="Arial"/>
          <w:color w:val="auto"/>
          <w:sz w:val="22"/>
          <w:szCs w:val="22"/>
        </w:rPr>
        <w:t>, mediante decisão fundamentada, decidir pela manutenção do registro de preços, vedadas contratações derivadas da ata enquanto perdurarem os efeitos da sanção.</w:t>
      </w:r>
    </w:p>
    <w:p w14:paraId="534971D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9.2.</w:t>
      </w:r>
      <w:r>
        <w:rPr>
          <w:rFonts w:hint="default" w:ascii="Arial" w:hAnsi="Arial" w:cs="Arial"/>
          <w:color w:val="auto"/>
          <w:sz w:val="22"/>
          <w:szCs w:val="22"/>
        </w:rPr>
        <w:t xml:space="preserve"> O cancelamento de registros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cancelamento_do_fornecedor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9.1</w:t>
      </w:r>
      <w:r>
        <w:rPr>
          <w:rFonts w:hint="default" w:ascii="Arial" w:hAnsi="Arial" w:cs="Arial"/>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será formalizado por despacho do </w:t>
      </w:r>
      <w:r>
        <w:rPr>
          <w:rFonts w:hint="default" w:cs="Arial"/>
          <w:color w:val="auto"/>
          <w:sz w:val="22"/>
          <w:szCs w:val="22"/>
          <w:lang w:val="pt-BR"/>
        </w:rPr>
        <w:t>Órgão Gerenciador</w:t>
      </w:r>
      <w:r>
        <w:rPr>
          <w:rFonts w:hint="default" w:ascii="Arial" w:hAnsi="Arial" w:cs="Arial"/>
          <w:color w:val="auto"/>
          <w:sz w:val="22"/>
          <w:szCs w:val="22"/>
        </w:rPr>
        <w:t>, garantidos os princípios do contraditório e da ampla defesa.</w:t>
      </w:r>
    </w:p>
    <w:p w14:paraId="7F0FFA7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9.3. </w:t>
      </w:r>
      <w:r>
        <w:rPr>
          <w:rFonts w:hint="default" w:ascii="Arial" w:hAnsi="Arial" w:cs="Arial"/>
          <w:color w:val="auto"/>
          <w:sz w:val="22"/>
          <w:szCs w:val="22"/>
        </w:rPr>
        <w:t xml:space="preserve">Na hipótese de cancelamento do registro do fornecedor, o </w:t>
      </w:r>
      <w:r>
        <w:rPr>
          <w:rFonts w:hint="default" w:cs="Arial"/>
          <w:color w:val="auto"/>
          <w:sz w:val="22"/>
          <w:szCs w:val="22"/>
          <w:lang w:val="pt-BR"/>
        </w:rPr>
        <w:t>Órgão Gerenciador</w:t>
      </w:r>
      <w:r>
        <w:rPr>
          <w:rFonts w:hint="default" w:ascii="Arial" w:hAnsi="Arial" w:cs="Arial"/>
          <w:color w:val="auto"/>
          <w:sz w:val="22"/>
          <w:szCs w:val="22"/>
        </w:rPr>
        <w:t xml:space="preserve"> poderá convocar os licitantes que compõem o cadastro de reserva, observada a ordem de classificação.</w:t>
      </w:r>
    </w:p>
    <w:p w14:paraId="51982917">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9.4.</w:t>
      </w:r>
      <w:r>
        <w:rPr>
          <w:rFonts w:hint="default" w:cs="Arial"/>
          <w:color w:val="auto"/>
          <w:sz w:val="22"/>
          <w:szCs w:val="22"/>
          <w:lang w:val="pt-BR"/>
        </w:rPr>
        <w:t xml:space="preserve"> </w:t>
      </w:r>
      <w:r>
        <w:rPr>
          <w:rFonts w:hint="default" w:ascii="Arial" w:hAnsi="Arial" w:cs="Arial"/>
          <w:color w:val="auto"/>
          <w:sz w:val="22"/>
          <w:szCs w:val="22"/>
        </w:rPr>
        <w:t xml:space="preserve">O cancelamento dos preços registrados poderá ser realizado pelo </w:t>
      </w:r>
      <w:r>
        <w:rPr>
          <w:rFonts w:hint="default" w:cs="Arial"/>
          <w:color w:val="auto"/>
          <w:sz w:val="22"/>
          <w:szCs w:val="22"/>
          <w:lang w:val="pt-BR"/>
        </w:rPr>
        <w:t>Órgão Gerenciador</w:t>
      </w:r>
      <w:r>
        <w:rPr>
          <w:rFonts w:hint="default" w:ascii="Arial" w:hAnsi="Arial" w:cs="Arial"/>
          <w:color w:val="auto"/>
          <w:sz w:val="22"/>
          <w:szCs w:val="22"/>
        </w:rPr>
        <w:t xml:space="preserve">, em determinada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total ou parcialmente, nas seguintes hipóteses, desde que devidamente comprovadas e justificadas:</w:t>
      </w:r>
      <w:bookmarkStart w:id="89" w:name="cancelamento_da_ata"/>
      <w:bookmarkEnd w:id="89"/>
      <w:r>
        <w:rPr>
          <w:rFonts w:hint="default" w:ascii="Arial" w:hAnsi="Arial" w:cs="Arial"/>
          <w:color w:val="auto"/>
          <w:sz w:val="22"/>
          <w:szCs w:val="22"/>
        </w:rPr>
        <w:t xml:space="preserve"> </w:t>
      </w:r>
    </w:p>
    <w:p w14:paraId="2F7F59CC">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9.4.1. </w:t>
      </w:r>
      <w:r>
        <w:rPr>
          <w:rFonts w:hint="default" w:ascii="Arial" w:hAnsi="Arial" w:cs="Arial"/>
          <w:color w:val="auto"/>
          <w:sz w:val="22"/>
          <w:szCs w:val="22"/>
        </w:rPr>
        <w:t>Por razão de interesse público;</w:t>
      </w:r>
    </w:p>
    <w:p w14:paraId="11B29409">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9.4.2.</w:t>
      </w:r>
      <w:r>
        <w:rPr>
          <w:rFonts w:hint="default" w:cs="Arial"/>
          <w:color w:val="auto"/>
          <w:sz w:val="22"/>
          <w:szCs w:val="22"/>
          <w:lang w:val="pt-BR"/>
        </w:rPr>
        <w:t xml:space="preserve"> </w:t>
      </w:r>
      <w:r>
        <w:rPr>
          <w:rFonts w:hint="default" w:ascii="Arial" w:hAnsi="Arial" w:cs="Arial"/>
          <w:color w:val="auto"/>
          <w:sz w:val="22"/>
          <w:szCs w:val="22"/>
        </w:rPr>
        <w:t>A pedido do fornecedor, decorrente de caso fortuito ou força maior; ou</w:t>
      </w:r>
    </w:p>
    <w:p w14:paraId="77621C6A">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9.4.3.</w:t>
      </w:r>
      <w:r>
        <w:rPr>
          <w:rFonts w:hint="default" w:cs="Arial"/>
          <w:color w:val="auto"/>
          <w:sz w:val="22"/>
          <w:szCs w:val="22"/>
          <w:lang w:val="pt-BR"/>
        </w:rPr>
        <w:t xml:space="preserve"> </w:t>
      </w:r>
      <w:r>
        <w:rPr>
          <w:rFonts w:hint="default" w:ascii="Arial" w:hAnsi="Arial" w:cs="Arial"/>
          <w:color w:val="auto"/>
          <w:sz w:val="22"/>
          <w:szCs w:val="22"/>
        </w:rPr>
        <w:t xml:space="preserve">Se não houver êxito nas negociações, nas hipóteses em que o preço de mercado tornar-se superior ou inferior ao preço registrado. </w:t>
      </w:r>
    </w:p>
    <w:p w14:paraId="5BE6453D">
      <w:pPr>
        <w:pStyle w:val="16"/>
        <w:keepNext w:val="0"/>
        <w:keepLines w:val="0"/>
        <w:pageBreakBefore w:val="0"/>
        <w:widowControl/>
        <w:kinsoku/>
        <w:wordWrap/>
        <w:overflowPunct/>
        <w:topLinePunct w:val="0"/>
        <w:autoSpaceDE/>
        <w:autoSpaceDN/>
        <w:bidi w:val="0"/>
        <w:adjustRightInd/>
        <w:snapToGrid/>
        <w:spacing w:line="360" w:lineRule="auto"/>
        <w:ind w:right="0"/>
        <w:jc w:val="both"/>
        <w:textAlignment w:val="auto"/>
        <w:rPr>
          <w:rFonts w:hint="default" w:ascii="Arial" w:hAnsi="Arial" w:cs="Arial"/>
          <w:sz w:val="22"/>
          <w:szCs w:val="22"/>
        </w:rPr>
      </w:pPr>
      <w:r>
        <w:rPr>
          <w:rFonts w:hint="default" w:ascii="Arial" w:hAnsi="Arial" w:cs="Arial"/>
          <w:b/>
          <w:bCs/>
          <w:sz w:val="22"/>
          <w:szCs w:val="22"/>
          <w:lang w:val="pt-BR"/>
        </w:rPr>
        <w:t xml:space="preserve">9.5. </w:t>
      </w:r>
      <w:r>
        <w:rPr>
          <w:rFonts w:hint="default" w:ascii="Arial" w:hAnsi="Arial" w:cs="Arial"/>
          <w:sz w:val="22"/>
          <w:szCs w:val="22"/>
          <w:lang w:val="pt-BR"/>
        </w:rPr>
        <w:t>De acordo com o ar</w:t>
      </w:r>
      <w:r>
        <w:rPr>
          <w:rFonts w:hint="default" w:ascii="Arial" w:hAnsi="Arial" w:cs="Arial"/>
          <w:sz w:val="22"/>
          <w:szCs w:val="22"/>
        </w:rPr>
        <w:t>t.</w:t>
      </w:r>
      <w:r>
        <w:rPr>
          <w:rFonts w:hint="default" w:ascii="Arial" w:hAnsi="Arial" w:cs="Arial"/>
          <w:spacing w:val="22"/>
          <w:sz w:val="22"/>
          <w:szCs w:val="22"/>
        </w:rPr>
        <w:t xml:space="preserve"> </w:t>
      </w:r>
      <w:r>
        <w:rPr>
          <w:rFonts w:hint="default" w:ascii="Arial" w:hAnsi="Arial" w:cs="Arial"/>
          <w:sz w:val="22"/>
          <w:szCs w:val="22"/>
        </w:rPr>
        <w:t>492</w:t>
      </w:r>
      <w:r>
        <w:rPr>
          <w:rFonts w:hint="default" w:ascii="Arial" w:hAnsi="Arial" w:cs="Arial"/>
          <w:sz w:val="22"/>
          <w:szCs w:val="22"/>
          <w:lang w:val="pt-BR"/>
        </w:rPr>
        <w:t xml:space="preserve"> do Decreto Municipal 359/2023, a</w:t>
      </w:r>
      <w:r>
        <w:rPr>
          <w:rFonts w:hint="default" w:ascii="Arial" w:hAnsi="Arial" w:cs="Arial"/>
          <w:spacing w:val="23"/>
          <w:sz w:val="22"/>
          <w:szCs w:val="22"/>
        </w:rPr>
        <w:t xml:space="preserve"> </w:t>
      </w:r>
      <w:r>
        <w:rPr>
          <w:rFonts w:hint="default" w:ascii="Arial" w:hAnsi="Arial" w:cs="Arial"/>
          <w:sz w:val="22"/>
          <w:szCs w:val="22"/>
        </w:rPr>
        <w:t>Ata</w:t>
      </w:r>
      <w:r>
        <w:rPr>
          <w:rFonts w:hint="default" w:ascii="Arial" w:hAnsi="Arial" w:cs="Arial"/>
          <w:spacing w:val="26"/>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Registro</w:t>
      </w:r>
      <w:r>
        <w:rPr>
          <w:rFonts w:hint="default" w:ascii="Arial" w:hAnsi="Arial" w:cs="Arial"/>
          <w:spacing w:val="25"/>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Preços</w:t>
      </w:r>
      <w:r>
        <w:rPr>
          <w:rFonts w:hint="default" w:ascii="Arial" w:hAnsi="Arial" w:cs="Arial"/>
          <w:spacing w:val="25"/>
          <w:sz w:val="22"/>
          <w:szCs w:val="22"/>
        </w:rPr>
        <w:t xml:space="preserve"> </w:t>
      </w:r>
      <w:r>
        <w:rPr>
          <w:rFonts w:hint="default" w:ascii="Arial" w:hAnsi="Arial" w:cs="Arial"/>
          <w:sz w:val="22"/>
          <w:szCs w:val="22"/>
        </w:rPr>
        <w:t>será</w:t>
      </w:r>
      <w:r>
        <w:rPr>
          <w:rFonts w:hint="default" w:ascii="Arial" w:hAnsi="Arial" w:cs="Arial"/>
          <w:spacing w:val="25"/>
          <w:sz w:val="22"/>
          <w:szCs w:val="22"/>
        </w:rPr>
        <w:t xml:space="preserve"> </w:t>
      </w:r>
      <w:r>
        <w:rPr>
          <w:rFonts w:hint="default" w:ascii="Arial" w:hAnsi="Arial" w:cs="Arial"/>
          <w:sz w:val="22"/>
          <w:szCs w:val="22"/>
        </w:rPr>
        <w:t>cancelada,</w:t>
      </w:r>
      <w:r>
        <w:rPr>
          <w:rFonts w:hint="default" w:ascii="Arial" w:hAnsi="Arial" w:cs="Arial"/>
          <w:spacing w:val="27"/>
          <w:sz w:val="22"/>
          <w:szCs w:val="22"/>
        </w:rPr>
        <w:t xml:space="preserve"> </w:t>
      </w:r>
      <w:r>
        <w:rPr>
          <w:rFonts w:hint="default" w:ascii="Arial" w:hAnsi="Arial" w:cs="Arial"/>
          <w:sz w:val="22"/>
          <w:szCs w:val="22"/>
        </w:rPr>
        <w:t>total</w:t>
      </w:r>
      <w:r>
        <w:rPr>
          <w:rFonts w:hint="default" w:ascii="Arial" w:hAnsi="Arial" w:cs="Arial"/>
          <w:spacing w:val="23"/>
          <w:sz w:val="22"/>
          <w:szCs w:val="22"/>
        </w:rPr>
        <w:t xml:space="preserve"> </w:t>
      </w:r>
      <w:r>
        <w:rPr>
          <w:rFonts w:hint="default" w:ascii="Arial" w:hAnsi="Arial" w:cs="Arial"/>
          <w:spacing w:val="-5"/>
          <w:sz w:val="22"/>
          <w:szCs w:val="22"/>
        </w:rPr>
        <w:t>ou</w:t>
      </w:r>
      <w:r>
        <w:rPr>
          <w:rFonts w:hint="default" w:ascii="Arial" w:hAnsi="Arial" w:cs="Arial"/>
          <w:spacing w:val="-5"/>
          <w:sz w:val="22"/>
          <w:szCs w:val="22"/>
          <w:lang w:val="pt-BR"/>
        </w:rPr>
        <w:t xml:space="preserve"> </w:t>
      </w:r>
      <w:r>
        <w:rPr>
          <w:rFonts w:hint="default" w:ascii="Arial" w:hAnsi="Arial" w:cs="Arial"/>
          <w:sz w:val="22"/>
          <w:szCs w:val="22"/>
        </w:rPr>
        <w:t>parcialmente,</w:t>
      </w:r>
      <w:r>
        <w:rPr>
          <w:rFonts w:hint="default" w:ascii="Arial" w:hAnsi="Arial" w:cs="Arial"/>
          <w:spacing w:val="-2"/>
          <w:sz w:val="22"/>
          <w:szCs w:val="22"/>
        </w:rPr>
        <w:t xml:space="preserve"> </w:t>
      </w:r>
      <w:r>
        <w:rPr>
          <w:rFonts w:hint="default" w:ascii="Arial" w:hAnsi="Arial" w:cs="Arial"/>
          <w:sz w:val="22"/>
          <w:szCs w:val="22"/>
        </w:rPr>
        <w:t>pelo</w:t>
      </w:r>
      <w:r>
        <w:rPr>
          <w:rFonts w:hint="default" w:ascii="Arial" w:hAnsi="Arial" w:cs="Arial"/>
          <w:spacing w:val="-2"/>
          <w:sz w:val="22"/>
          <w:szCs w:val="22"/>
        </w:rPr>
        <w:t xml:space="preserve"> </w:t>
      </w:r>
      <w:r>
        <w:rPr>
          <w:rFonts w:hint="default" w:ascii="Arial" w:hAnsi="Arial" w:cs="Arial"/>
          <w:sz w:val="22"/>
          <w:szCs w:val="22"/>
          <w:lang w:val="pt-BR"/>
        </w:rPr>
        <w:t>Ó</w:t>
      </w:r>
      <w:r>
        <w:rPr>
          <w:rFonts w:hint="default" w:ascii="Arial" w:hAnsi="Arial" w:cs="Arial"/>
          <w:sz w:val="22"/>
          <w:szCs w:val="22"/>
        </w:rPr>
        <w:t>rgão</w:t>
      </w:r>
      <w:r>
        <w:rPr>
          <w:rFonts w:hint="default" w:ascii="Arial" w:hAnsi="Arial" w:cs="Arial"/>
          <w:spacing w:val="-1"/>
          <w:sz w:val="22"/>
          <w:szCs w:val="22"/>
        </w:rPr>
        <w:t xml:space="preserve"> </w:t>
      </w:r>
      <w:r>
        <w:rPr>
          <w:rFonts w:hint="default" w:ascii="Arial" w:hAnsi="Arial" w:cs="Arial"/>
          <w:spacing w:val="-1"/>
          <w:sz w:val="22"/>
          <w:szCs w:val="22"/>
          <w:lang w:val="pt-BR"/>
        </w:rPr>
        <w:t>G</w:t>
      </w:r>
      <w:r>
        <w:rPr>
          <w:rFonts w:hint="default" w:ascii="Arial" w:hAnsi="Arial" w:cs="Arial"/>
          <w:spacing w:val="-2"/>
          <w:sz w:val="22"/>
          <w:szCs w:val="22"/>
        </w:rPr>
        <w:t>erenciador:</w:t>
      </w:r>
    </w:p>
    <w:p w14:paraId="755F98B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53761640">
      <w:pPr>
        <w:pStyle w:val="127"/>
        <w:keepNext w:val="0"/>
        <w:keepLines w:val="0"/>
        <w:pageBreakBefore w:val="0"/>
        <w:widowControl/>
        <w:numPr>
          <w:ilvl w:val="0"/>
          <w:numId w:val="0"/>
        </w:numPr>
        <w:tabs>
          <w:tab w:val="left" w:pos="40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9.5.1. </w:t>
      </w:r>
      <w:r>
        <w:rPr>
          <w:rFonts w:hint="default" w:ascii="Arial" w:hAnsi="Arial" w:cs="Arial"/>
          <w:sz w:val="22"/>
          <w:szCs w:val="22"/>
        </w:rPr>
        <w:t>Pelo decurso</w:t>
      </w:r>
      <w:r>
        <w:rPr>
          <w:rFonts w:hint="default" w:ascii="Arial" w:hAnsi="Arial" w:cs="Arial"/>
          <w:spacing w:val="-1"/>
          <w:sz w:val="22"/>
          <w:szCs w:val="22"/>
        </w:rPr>
        <w:t xml:space="preserve"> </w:t>
      </w:r>
      <w:r>
        <w:rPr>
          <w:rFonts w:hint="default" w:ascii="Arial" w:hAnsi="Arial" w:cs="Arial"/>
          <w:sz w:val="22"/>
          <w:szCs w:val="22"/>
        </w:rPr>
        <w:t>do prazo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pacing w:val="-2"/>
          <w:sz w:val="22"/>
          <w:szCs w:val="22"/>
        </w:rPr>
        <w:t>vigência;</w:t>
      </w:r>
    </w:p>
    <w:p w14:paraId="78D85DA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153E8350">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9.5.2.</w:t>
      </w:r>
      <w:r>
        <w:rPr>
          <w:rFonts w:hint="default" w:ascii="Arial" w:hAnsi="Arial" w:cs="Arial"/>
          <w:sz w:val="22"/>
          <w:szCs w:val="22"/>
          <w:lang w:val="pt-BR"/>
        </w:rPr>
        <w:t xml:space="preserve"> </w:t>
      </w:r>
      <w:r>
        <w:rPr>
          <w:rFonts w:hint="default" w:ascii="Arial" w:hAnsi="Arial" w:cs="Arial"/>
          <w:sz w:val="22"/>
          <w:szCs w:val="22"/>
        </w:rPr>
        <w:t>Pelo</w:t>
      </w:r>
      <w:r>
        <w:rPr>
          <w:rFonts w:hint="default" w:ascii="Arial" w:hAnsi="Arial" w:cs="Arial"/>
          <w:spacing w:val="-1"/>
          <w:sz w:val="22"/>
          <w:szCs w:val="22"/>
        </w:rPr>
        <w:t xml:space="preserve"> </w:t>
      </w:r>
      <w:r>
        <w:rPr>
          <w:rFonts w:hint="default" w:ascii="Arial" w:hAnsi="Arial" w:cs="Arial"/>
          <w:sz w:val="22"/>
          <w:szCs w:val="22"/>
        </w:rPr>
        <w:t>cancelamento</w:t>
      </w:r>
      <w:r>
        <w:rPr>
          <w:rFonts w:hint="default" w:ascii="Arial" w:hAnsi="Arial" w:cs="Arial"/>
          <w:spacing w:val="-1"/>
          <w:sz w:val="22"/>
          <w:szCs w:val="22"/>
        </w:rPr>
        <w:t xml:space="preserve"> </w:t>
      </w:r>
      <w:r>
        <w:rPr>
          <w:rFonts w:hint="default" w:ascii="Arial" w:hAnsi="Arial" w:cs="Arial"/>
          <w:sz w:val="22"/>
          <w:szCs w:val="22"/>
        </w:rPr>
        <w:t>de todos</w:t>
      </w:r>
      <w:r>
        <w:rPr>
          <w:rFonts w:hint="default" w:ascii="Arial" w:hAnsi="Arial" w:cs="Arial"/>
          <w:spacing w:val="-4"/>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 xml:space="preserve">preços </w:t>
      </w:r>
      <w:r>
        <w:rPr>
          <w:rFonts w:hint="default" w:ascii="Arial" w:hAnsi="Arial" w:cs="Arial"/>
          <w:spacing w:val="-2"/>
          <w:sz w:val="22"/>
          <w:szCs w:val="22"/>
        </w:rPr>
        <w:t>registrados;</w:t>
      </w:r>
    </w:p>
    <w:p w14:paraId="3A9DDED3">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0FEE3E81">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9.5.3.</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3"/>
          <w:sz w:val="22"/>
          <w:szCs w:val="22"/>
        </w:rPr>
        <w:t xml:space="preserve"> </w:t>
      </w:r>
      <w:r>
        <w:rPr>
          <w:rFonts w:hint="default" w:ascii="Arial" w:hAnsi="Arial" w:cs="Arial"/>
          <w:sz w:val="22"/>
          <w:szCs w:val="22"/>
        </w:rPr>
        <w:t>fato superveniente,</w:t>
      </w:r>
      <w:r>
        <w:rPr>
          <w:rFonts w:hint="default" w:ascii="Arial" w:hAnsi="Arial" w:cs="Arial"/>
          <w:spacing w:val="1"/>
          <w:sz w:val="22"/>
          <w:szCs w:val="22"/>
        </w:rPr>
        <w:t xml:space="preserve"> </w:t>
      </w:r>
      <w:r>
        <w:rPr>
          <w:rFonts w:hint="default" w:ascii="Arial" w:hAnsi="Arial" w:cs="Arial"/>
          <w:sz w:val="22"/>
          <w:szCs w:val="22"/>
        </w:rPr>
        <w:t>decorrente</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2"/>
          <w:sz w:val="22"/>
          <w:szCs w:val="22"/>
        </w:rPr>
        <w:t xml:space="preserve"> </w:t>
      </w:r>
      <w:r>
        <w:rPr>
          <w:rFonts w:hint="default" w:ascii="Arial" w:hAnsi="Arial" w:cs="Arial"/>
          <w:sz w:val="22"/>
          <w:szCs w:val="22"/>
        </w:rPr>
        <w:t>casos</w:t>
      </w:r>
      <w:r>
        <w:rPr>
          <w:rFonts w:hint="default" w:ascii="Arial" w:hAnsi="Arial" w:cs="Arial"/>
          <w:spacing w:val="-1"/>
          <w:sz w:val="22"/>
          <w:szCs w:val="22"/>
        </w:rPr>
        <w:t xml:space="preserve"> </w:t>
      </w:r>
      <w:r>
        <w:rPr>
          <w:rFonts w:hint="default" w:ascii="Arial" w:hAnsi="Arial" w:cs="Arial"/>
          <w:spacing w:val="-5"/>
          <w:sz w:val="22"/>
          <w:szCs w:val="22"/>
        </w:rPr>
        <w:t>de:</w:t>
      </w:r>
    </w:p>
    <w:p w14:paraId="37F4B65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74988DF0">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9.5.3.1. </w:t>
      </w:r>
      <w:r>
        <w:rPr>
          <w:rFonts w:hint="default" w:ascii="Arial" w:hAnsi="Arial" w:cs="Arial"/>
          <w:sz w:val="22"/>
          <w:szCs w:val="22"/>
        </w:rPr>
        <w:t>força</w:t>
      </w:r>
      <w:r>
        <w:rPr>
          <w:rFonts w:hint="default" w:ascii="Arial" w:hAnsi="Arial" w:cs="Arial"/>
          <w:spacing w:val="-2"/>
          <w:sz w:val="22"/>
          <w:szCs w:val="22"/>
        </w:rPr>
        <w:t xml:space="preserve"> maior,</w:t>
      </w:r>
    </w:p>
    <w:p w14:paraId="627BBFA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22" w:firstLineChars="327"/>
        <w:jc w:val="both"/>
        <w:textAlignment w:val="auto"/>
        <w:rPr>
          <w:rFonts w:hint="default" w:ascii="Arial" w:hAnsi="Arial" w:cs="Arial"/>
          <w:b/>
          <w:bCs/>
          <w:sz w:val="22"/>
          <w:szCs w:val="22"/>
        </w:rPr>
      </w:pPr>
    </w:p>
    <w:p w14:paraId="18A2B5AC">
      <w:pPr>
        <w:pStyle w:val="127"/>
        <w:keepNext w:val="0"/>
        <w:keepLines w:val="0"/>
        <w:pageBreakBefore w:val="0"/>
        <w:widowControl/>
        <w:numPr>
          <w:ilvl w:val="0"/>
          <w:numId w:val="0"/>
        </w:numPr>
        <w:tabs>
          <w:tab w:val="left" w:pos="240"/>
        </w:tabs>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9.5.3.2. </w:t>
      </w:r>
      <w:r>
        <w:rPr>
          <w:rFonts w:hint="default" w:ascii="Arial" w:hAnsi="Arial" w:cs="Arial"/>
          <w:sz w:val="22"/>
          <w:szCs w:val="22"/>
        </w:rPr>
        <w:t>caso</w:t>
      </w:r>
      <w:r>
        <w:rPr>
          <w:rFonts w:hint="default" w:ascii="Arial" w:hAnsi="Arial" w:cs="Arial"/>
          <w:spacing w:val="-2"/>
          <w:sz w:val="22"/>
          <w:szCs w:val="22"/>
        </w:rPr>
        <w:t xml:space="preserve"> fortuito;</w:t>
      </w:r>
    </w:p>
    <w:p w14:paraId="50AA980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19" w:firstLineChars="327"/>
        <w:jc w:val="both"/>
        <w:textAlignment w:val="auto"/>
        <w:rPr>
          <w:rFonts w:hint="default" w:ascii="Arial" w:hAnsi="Arial" w:cs="Arial"/>
          <w:sz w:val="22"/>
          <w:szCs w:val="22"/>
        </w:rPr>
      </w:pPr>
    </w:p>
    <w:p w14:paraId="3C7FA73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9.5.3.3. </w:t>
      </w:r>
      <w:r>
        <w:rPr>
          <w:rFonts w:hint="default" w:ascii="Arial" w:hAnsi="Arial" w:cs="Arial"/>
          <w:sz w:val="22"/>
          <w:szCs w:val="22"/>
        </w:rPr>
        <w:t>fato</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pacing w:val="-2"/>
          <w:sz w:val="22"/>
          <w:szCs w:val="22"/>
        </w:rPr>
        <w:t>príncipe;</w:t>
      </w:r>
    </w:p>
    <w:p w14:paraId="1CA5D51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lang w:val="pt-BR"/>
        </w:rPr>
      </w:pPr>
      <w:r>
        <w:rPr>
          <w:rFonts w:hint="default" w:ascii="Arial" w:hAnsi="Arial" w:cs="Arial"/>
          <w:b/>
          <w:bCs/>
          <w:sz w:val="22"/>
          <w:szCs w:val="22"/>
          <w:lang w:val="pt-BR"/>
        </w:rPr>
        <w:t>9.5.3.4.</w:t>
      </w:r>
      <w:r>
        <w:rPr>
          <w:rFonts w:hint="default" w:ascii="Arial" w:hAnsi="Arial" w:cs="Arial"/>
          <w:sz w:val="22"/>
          <w:szCs w:val="22"/>
          <w:lang w:val="pt-BR"/>
        </w:rPr>
        <w:t xml:space="preserve"> </w:t>
      </w:r>
      <w:r>
        <w:rPr>
          <w:rFonts w:hint="default" w:ascii="Arial" w:hAnsi="Arial" w:cs="Arial"/>
          <w:sz w:val="22"/>
          <w:szCs w:val="22"/>
        </w:rPr>
        <w:t>em decorrência de fatos imprevisíveis ou previsíveis de consequências incalculáveis, que inviabilizem a execução obrigações previstas na ata, devidamente demonstrado</w:t>
      </w:r>
      <w:r>
        <w:rPr>
          <w:rFonts w:hint="default" w:ascii="Arial" w:hAnsi="Arial" w:cs="Arial"/>
          <w:sz w:val="22"/>
          <w:szCs w:val="22"/>
          <w:lang w:val="pt-BR"/>
        </w:rPr>
        <w:t>.</w:t>
      </w:r>
    </w:p>
    <w:p w14:paraId="588F50A2">
      <w:pPr>
        <w:pStyle w:val="127"/>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719" w:firstLineChars="327"/>
        <w:jc w:val="both"/>
        <w:textAlignment w:val="auto"/>
        <w:rPr>
          <w:rFonts w:hint="default" w:ascii="Arial" w:hAnsi="Arial" w:cs="Arial"/>
          <w:sz w:val="22"/>
          <w:szCs w:val="22"/>
          <w:lang w:val="pt-BR"/>
        </w:rPr>
      </w:pPr>
    </w:p>
    <w:p w14:paraId="66174BF2">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360" w:lineRule="auto"/>
        <w:ind w:right="0" w:rightChars="0"/>
        <w:jc w:val="both"/>
        <w:textAlignment w:val="auto"/>
        <w:rPr>
          <w:rFonts w:hint="default" w:ascii="Arial" w:hAnsi="Arial" w:cs="Arial"/>
          <w:spacing w:val="-2"/>
          <w:sz w:val="22"/>
          <w:szCs w:val="22"/>
        </w:rPr>
      </w:pPr>
      <w:r>
        <w:rPr>
          <w:rFonts w:hint="default" w:ascii="Arial" w:hAnsi="Arial" w:cs="Arial"/>
          <w:b/>
          <w:bCs/>
          <w:sz w:val="22"/>
          <w:szCs w:val="22"/>
          <w:lang w:val="pt-BR"/>
        </w:rPr>
        <w:t>9.5.4.</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2"/>
          <w:sz w:val="22"/>
          <w:szCs w:val="22"/>
        </w:rPr>
        <w:t xml:space="preserve"> </w:t>
      </w:r>
      <w:r>
        <w:rPr>
          <w:rFonts w:hint="default" w:ascii="Arial" w:hAnsi="Arial" w:cs="Arial"/>
          <w:sz w:val="22"/>
          <w:szCs w:val="22"/>
        </w:rPr>
        <w:t>razões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interesse público,</w:t>
      </w:r>
      <w:r>
        <w:rPr>
          <w:rFonts w:hint="default" w:ascii="Arial" w:hAnsi="Arial" w:cs="Arial"/>
          <w:spacing w:val="-1"/>
          <w:sz w:val="22"/>
          <w:szCs w:val="22"/>
        </w:rPr>
        <w:t xml:space="preserve"> </w:t>
      </w:r>
      <w:r>
        <w:rPr>
          <w:rFonts w:hint="default" w:ascii="Arial" w:hAnsi="Arial" w:cs="Arial"/>
          <w:sz w:val="22"/>
          <w:szCs w:val="22"/>
        </w:rPr>
        <w:t xml:space="preserve">devidamente </w:t>
      </w:r>
      <w:r>
        <w:rPr>
          <w:rFonts w:hint="default" w:ascii="Arial" w:hAnsi="Arial" w:cs="Arial"/>
          <w:spacing w:val="-2"/>
          <w:sz w:val="22"/>
          <w:szCs w:val="22"/>
        </w:rPr>
        <w:t>justificado.</w:t>
      </w:r>
    </w:p>
    <w:p w14:paraId="1B81D665">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240" w:lineRule="auto"/>
        <w:ind w:right="0" w:rightChars="0"/>
        <w:jc w:val="both"/>
        <w:textAlignment w:val="auto"/>
        <w:rPr>
          <w:rFonts w:hint="default" w:ascii="Arial" w:hAnsi="Arial" w:cs="Arial"/>
          <w:spacing w:val="-2"/>
          <w:sz w:val="22"/>
          <w:szCs w:val="22"/>
        </w:rPr>
      </w:pPr>
    </w:p>
    <w:p w14:paraId="189D3889">
      <w:pPr>
        <w:pStyle w:val="122"/>
        <w:pBdr>
          <w:top w:val="double" w:color="auto" w:sz="4" w:space="1"/>
          <w:left w:val="double" w:color="auto" w:sz="4" w:space="4"/>
          <w:bottom w:val="double" w:color="auto" w:sz="4" w:space="1"/>
          <w:right w:val="double" w:color="auto" w:sz="4" w:space="4"/>
        </w:pBdr>
        <w:shd w:val="clear" w:color="auto" w:fill="D9D9D9"/>
        <w:spacing w:line="24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0422FEFC">
      <w:pPr>
        <w:pStyle w:val="122"/>
        <w:pBdr>
          <w:top w:val="double" w:color="auto" w:sz="4" w:space="1"/>
          <w:left w:val="double" w:color="auto" w:sz="4" w:space="4"/>
          <w:bottom w:val="double" w:color="auto" w:sz="4" w:space="1"/>
          <w:right w:val="double" w:color="auto" w:sz="4" w:space="4"/>
        </w:pBdr>
        <w:shd w:val="clear" w:color="auto" w:fill="D9D9D9"/>
        <w:spacing w:line="24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441862D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da Ata de Registro de Preços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E</w:t>
      </w:r>
      <w:r>
        <w:rPr>
          <w:rFonts w:hint="default" w:ascii="Arial" w:hAnsi="Arial" w:cs="Arial"/>
          <w:i w:val="0"/>
          <w:iCs/>
          <w:color w:val="auto"/>
          <w:sz w:val="22"/>
          <w:szCs w:val="22"/>
        </w:rPr>
        <w:t>dital</w:t>
      </w:r>
      <w:r>
        <w:rPr>
          <w:rFonts w:hint="default" w:cs="Arial"/>
          <w:i w:val="0"/>
          <w:iCs/>
          <w:color w:val="auto"/>
          <w:sz w:val="22"/>
          <w:szCs w:val="22"/>
          <w:lang w:val="pt-BR"/>
        </w:rPr>
        <w:t xml:space="preserve"> e no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rFonts w:hint="default" w:ascii="Arial" w:hAnsi="Arial" w:cs="Arial"/>
          <w:i w:val="0"/>
          <w:iCs/>
          <w:color w:val="auto"/>
          <w:sz w:val="22"/>
          <w:szCs w:val="22"/>
        </w:rPr>
        <w:t>.</w:t>
      </w:r>
    </w:p>
    <w:p w14:paraId="14DB086E">
      <w:pPr>
        <w:pStyle w:val="145"/>
        <w:numPr>
          <w:ilvl w:val="0"/>
          <w:numId w:val="0"/>
        </w:numPr>
        <w:tabs>
          <w:tab w:val="left" w:pos="0"/>
        </w:tabs>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10.1.1.</w:t>
      </w:r>
      <w:r>
        <w:rPr>
          <w:rFonts w:hint="default" w:cs="Arial"/>
          <w:color w:val="auto"/>
          <w:sz w:val="22"/>
          <w:szCs w:val="22"/>
          <w:lang w:val="pt-BR"/>
        </w:rPr>
        <w:t xml:space="preserve"> </w:t>
      </w:r>
      <w:r>
        <w:rPr>
          <w:rFonts w:hint="default" w:ascii="Arial" w:hAnsi="Arial" w:cs="Arial"/>
          <w:color w:val="auto"/>
          <w:sz w:val="22"/>
          <w:szCs w:val="22"/>
        </w:rPr>
        <w:t xml:space="preserve">As sanções também se aplicam aos integrantes do cadastro de reserva no registro de preços que, convocados, não honrarem o compromisso assumido injustificadamente após terem assinado a </w:t>
      </w:r>
      <w:r>
        <w:rPr>
          <w:rFonts w:hint="default" w:cs="Arial"/>
          <w:color w:val="auto"/>
          <w:sz w:val="22"/>
          <w:szCs w:val="22"/>
          <w:lang w:val="pt-BR"/>
        </w:rPr>
        <w:t>A</w:t>
      </w:r>
      <w:r>
        <w:rPr>
          <w:rFonts w:hint="default" w:ascii="Arial" w:hAnsi="Arial" w:cs="Arial"/>
          <w:color w:val="auto"/>
          <w:sz w:val="22"/>
          <w:szCs w:val="22"/>
        </w:rPr>
        <w:t xml:space="preserve">ta. </w:t>
      </w:r>
    </w:p>
    <w:p w14:paraId="0D7C167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 xml:space="preserve">É da competência do </w:t>
      </w:r>
      <w:r>
        <w:rPr>
          <w:rFonts w:hint="default" w:cs="Arial"/>
          <w:color w:val="auto"/>
          <w:sz w:val="22"/>
          <w:szCs w:val="22"/>
          <w:lang w:val="pt-BR"/>
        </w:rPr>
        <w:t>Órgão Gerenciador</w:t>
      </w:r>
      <w:r>
        <w:rPr>
          <w:rFonts w:hint="default" w:ascii="Arial" w:hAnsi="Arial" w:cs="Arial"/>
          <w:color w:val="auto"/>
          <w:sz w:val="22"/>
          <w:szCs w:val="22"/>
        </w:rPr>
        <w:t xml:space="preserve"> a aplicação das penalidades decorrentes do descumprimento do pactuado nesta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w:t>
      </w:r>
      <w:r>
        <w:rPr>
          <w:rFonts w:hint="default" w:cs="Arial"/>
          <w:color w:val="auto"/>
          <w:sz w:val="22"/>
          <w:szCs w:val="22"/>
          <w:lang w:val="pt-BR"/>
        </w:rPr>
        <w:t>s</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25CB955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10.3. </w:t>
      </w:r>
      <w:r>
        <w:rPr>
          <w:rFonts w:hint="default" w:ascii="Arial" w:hAnsi="Arial" w:cs="Arial"/>
          <w:color w:val="auto"/>
          <w:sz w:val="22"/>
          <w:szCs w:val="22"/>
        </w:rPr>
        <w:t xml:space="preserve">O órgão ou entidade participante deverá comunicar ao </w:t>
      </w:r>
      <w:r>
        <w:rPr>
          <w:rFonts w:hint="default" w:cs="Arial"/>
          <w:color w:val="auto"/>
          <w:sz w:val="22"/>
          <w:szCs w:val="22"/>
          <w:lang w:val="pt-BR"/>
        </w:rPr>
        <w:t>Órgão Gerenciador</w:t>
      </w:r>
      <w:r>
        <w:rPr>
          <w:rFonts w:hint="default" w:ascii="Arial" w:hAnsi="Arial" w:cs="Arial"/>
          <w:color w:val="auto"/>
          <w:sz w:val="22"/>
          <w:szCs w:val="22"/>
        </w:rPr>
        <w:t xml:space="preserve"> qualquer das ocorrências previstas no item 9.1</w:t>
      </w:r>
      <w:r>
        <w:rPr>
          <w:rFonts w:hint="default" w:cs="Arial"/>
          <w:color w:val="auto"/>
          <w:sz w:val="22"/>
          <w:szCs w:val="22"/>
          <w:lang w:val="pt-BR"/>
        </w:rPr>
        <w:t>.</w:t>
      </w:r>
      <w:r>
        <w:rPr>
          <w:rFonts w:hint="default" w:ascii="Arial" w:hAnsi="Arial" w:cs="Arial"/>
          <w:color w:val="auto"/>
          <w:sz w:val="22"/>
          <w:szCs w:val="22"/>
        </w:rPr>
        <w:t>, dada a necessidade de instauração de procedimento para cancelamento do registro do fornecedor.</w:t>
      </w:r>
    </w:p>
    <w:p w14:paraId="4B26229F">
      <w:pPr>
        <w:pStyle w:val="133"/>
        <w:numPr>
          <w:ilvl w:val="0"/>
          <w:numId w:val="0"/>
        </w:numPr>
        <w:spacing w:line="360" w:lineRule="auto"/>
        <w:ind w:leftChars="0"/>
        <w:rPr>
          <w:sz w:val="22"/>
          <w:szCs w:val="22"/>
          <w:highlight w:val="none"/>
        </w:rPr>
      </w:pPr>
      <w:r>
        <w:rPr>
          <w:rFonts w:hint="default"/>
          <w:b/>
          <w:bCs/>
          <w:sz w:val="22"/>
          <w:szCs w:val="22"/>
          <w:lang w:val="pt-BR"/>
        </w:rPr>
        <w:t>10.4.</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E63FE1A">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5F80635B">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1D642AAE">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FA5A890">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 xml:space="preserve">.4.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p>
    <w:p w14:paraId="5E975BD7">
      <w:pPr>
        <w:pStyle w:val="136"/>
        <w:numPr>
          <w:ilvl w:val="0"/>
          <w:numId w:val="0"/>
        </w:numPr>
        <w:tabs>
          <w:tab w:val="left" w:pos="0"/>
        </w:tabs>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p>
    <w:p w14:paraId="037F2CFF">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57277B8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134CB7C0">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5837FD6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.5.4.</w:t>
      </w:r>
      <w:r>
        <w:rPr>
          <w:rFonts w:hint="default"/>
          <w:sz w:val="22"/>
          <w:szCs w:val="22"/>
          <w:highlight w:val="none"/>
          <w:lang w:val="pt-BR"/>
        </w:rPr>
        <w:t xml:space="preserve"> D</w:t>
      </w:r>
      <w:r>
        <w:rPr>
          <w:sz w:val="22"/>
          <w:szCs w:val="22"/>
          <w:highlight w:val="none"/>
        </w:rPr>
        <w:t>eixar de apresentar amostra;</w:t>
      </w:r>
    </w:p>
    <w:p w14:paraId="2AFC4D65">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21766619">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EBB6E54">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7C4FD146">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r>
        <w:rPr>
          <w:rFonts w:hint="default"/>
          <w:sz w:val="22"/>
          <w:szCs w:val="22"/>
          <w:highlight w:val="none"/>
          <w:lang w:val="pt-BR"/>
        </w:rPr>
        <w:t xml:space="preserve"> ou durante a execução da Ata de Registro de Preços;</w:t>
      </w:r>
    </w:p>
    <w:p w14:paraId="518A2917">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.9.</w:t>
      </w:r>
      <w:r>
        <w:rPr>
          <w:rFonts w:hint="default"/>
          <w:sz w:val="22"/>
          <w:szCs w:val="22"/>
          <w:highlight w:val="none"/>
          <w:lang w:val="pt-BR"/>
        </w:rPr>
        <w:t xml:space="preserve"> F</w:t>
      </w:r>
      <w:r>
        <w:rPr>
          <w:sz w:val="22"/>
          <w:szCs w:val="22"/>
          <w:highlight w:val="none"/>
        </w:rPr>
        <w:t>raudar a licitação</w:t>
      </w:r>
      <w:r>
        <w:rPr>
          <w:rFonts w:hint="default"/>
          <w:sz w:val="22"/>
          <w:szCs w:val="22"/>
          <w:highlight w:val="none"/>
          <w:lang w:val="pt-BR"/>
        </w:rPr>
        <w:t xml:space="preserve"> ou praticar ato fraudulento na execução da Ata de Registro de Preços;</w:t>
      </w:r>
    </w:p>
    <w:p w14:paraId="074AF0D1">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p>
    <w:p w14:paraId="4649FB6B">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 xml:space="preserve">.10.1. </w:t>
      </w:r>
      <w:r>
        <w:rPr>
          <w:rFonts w:hint="default"/>
          <w:b w:val="0"/>
          <w:bCs w:val="0"/>
          <w:sz w:val="22"/>
          <w:szCs w:val="22"/>
          <w:highlight w:val="none"/>
          <w:lang w:val="pt-BR"/>
        </w:rPr>
        <w:t>A</w:t>
      </w:r>
      <w:r>
        <w:rPr>
          <w:sz w:val="22"/>
          <w:szCs w:val="22"/>
          <w:highlight w:val="none"/>
        </w:rPr>
        <w:t xml:space="preserve">gir em conluio ou em desconformidade com a lei; </w:t>
      </w:r>
    </w:p>
    <w:p w14:paraId="0E286D1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.10.2.</w:t>
      </w:r>
      <w:r>
        <w:rPr>
          <w:rFonts w:hint="default"/>
          <w:sz w:val="22"/>
          <w:szCs w:val="22"/>
          <w:highlight w:val="none"/>
          <w:lang w:val="pt-BR"/>
        </w:rPr>
        <w:t xml:space="preserve"> I</w:t>
      </w:r>
      <w:r>
        <w:rPr>
          <w:sz w:val="22"/>
          <w:szCs w:val="22"/>
          <w:highlight w:val="none"/>
        </w:rPr>
        <w:t xml:space="preserve">nduzir deliberadamente a erro no julgamento; </w:t>
      </w:r>
    </w:p>
    <w:p w14:paraId="6E04435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4FC1A0A7">
      <w:pPr>
        <w:pStyle w:val="136"/>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.11.</w:t>
      </w:r>
      <w:r>
        <w:rPr>
          <w:rFonts w:hint="default"/>
          <w:sz w:val="22"/>
          <w:szCs w:val="22"/>
          <w:highlight w:val="none"/>
          <w:lang w:val="pt-BR"/>
        </w:rPr>
        <w:t xml:space="preserve"> P</w:t>
      </w:r>
      <w:r>
        <w:rPr>
          <w:sz w:val="22"/>
          <w:szCs w:val="22"/>
          <w:highlight w:val="none"/>
        </w:rPr>
        <w:t>raticar atos ilícitos com vistas a frustrar os objetivos da licitação</w:t>
      </w:r>
      <w:r>
        <w:rPr>
          <w:rFonts w:hint="default"/>
          <w:sz w:val="22"/>
          <w:szCs w:val="22"/>
          <w:highlight w:val="none"/>
          <w:lang w:val="pt-BR"/>
        </w:rPr>
        <w:t>;</w:t>
      </w:r>
    </w:p>
    <w:p w14:paraId="2F77E49E">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p>
    <w:p w14:paraId="094AB576">
      <w:pPr>
        <w:pStyle w:val="133"/>
        <w:numPr>
          <w:ilvl w:val="0"/>
          <w:numId w:val="0"/>
        </w:numPr>
        <w:spacing w:line="360" w:lineRule="auto"/>
        <w:ind w:leftChars="0"/>
        <w:rPr>
          <w:sz w:val="22"/>
          <w:szCs w:val="22"/>
        </w:rPr>
      </w:pPr>
      <w:r>
        <w:rPr>
          <w:rFonts w:hint="default"/>
          <w:b/>
          <w:bCs/>
          <w:sz w:val="22"/>
          <w:szCs w:val="22"/>
          <w:lang w:val="pt-BR"/>
        </w:rPr>
        <w:t xml:space="preserve">10.5.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FD6C5E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10.5.1. </w:t>
      </w:r>
      <w:r>
        <w:rPr>
          <w:rFonts w:hint="default"/>
          <w:sz w:val="22"/>
          <w:szCs w:val="22"/>
          <w:lang w:val="pt-BR"/>
        </w:rPr>
        <w:t>A</w:t>
      </w:r>
      <w:r>
        <w:rPr>
          <w:sz w:val="22"/>
          <w:szCs w:val="22"/>
        </w:rPr>
        <w:t xml:space="preserve">dvertência; </w:t>
      </w:r>
    </w:p>
    <w:p w14:paraId="354AEB5E">
      <w:pPr>
        <w:pStyle w:val="136"/>
        <w:numPr>
          <w:ilvl w:val="0"/>
          <w:numId w:val="0"/>
        </w:numPr>
        <w:spacing w:line="360" w:lineRule="auto"/>
        <w:ind w:left="0" w:leftChars="0" w:firstLine="481" w:firstLineChars="218"/>
        <w:rPr>
          <w:sz w:val="22"/>
          <w:szCs w:val="22"/>
        </w:rPr>
      </w:pPr>
      <w:r>
        <w:rPr>
          <w:rFonts w:hint="default"/>
          <w:b/>
          <w:bCs/>
          <w:sz w:val="22"/>
          <w:szCs w:val="22"/>
          <w:lang w:val="pt-BR"/>
        </w:rPr>
        <w:t>10.5.2.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15760267">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254D623D">
      <w:pPr>
        <w:pStyle w:val="136"/>
        <w:numPr>
          <w:ilvl w:val="0"/>
          <w:numId w:val="0"/>
        </w:numPr>
        <w:spacing w:line="360" w:lineRule="auto"/>
        <w:ind w:left="0" w:leftChars="0" w:firstLine="481" w:firstLineChars="218"/>
        <w:rPr>
          <w:sz w:val="22"/>
          <w:szCs w:val="22"/>
        </w:rPr>
      </w:pPr>
      <w:r>
        <w:rPr>
          <w:rFonts w:hint="default"/>
          <w:b/>
          <w:bCs/>
          <w:sz w:val="22"/>
          <w:szCs w:val="22"/>
          <w:lang w:val="pt-BR"/>
        </w:rPr>
        <w:t>10.5.4.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43AECB38">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Na aplicação das sanções serão considerados:</w:t>
      </w:r>
    </w:p>
    <w:p w14:paraId="7597696E">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634BE9CA">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10.6.2. </w:t>
      </w:r>
      <w:r>
        <w:rPr>
          <w:rFonts w:hint="default"/>
          <w:sz w:val="22"/>
          <w:szCs w:val="22"/>
          <w:lang w:val="pt-BR"/>
        </w:rPr>
        <w:t>A</w:t>
      </w:r>
      <w:r>
        <w:rPr>
          <w:sz w:val="22"/>
          <w:szCs w:val="22"/>
        </w:rPr>
        <w:t>s peculiaridades do caso concreto</w:t>
      </w:r>
      <w:r>
        <w:rPr>
          <w:rFonts w:hint="default"/>
          <w:sz w:val="22"/>
          <w:szCs w:val="22"/>
          <w:lang w:val="pt-BR"/>
        </w:rPr>
        <w:t>;</w:t>
      </w:r>
    </w:p>
    <w:p w14:paraId="5FC84979">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10.6.3.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05B9270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616BDCBF">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10.6.5.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0A7B22C4">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10.7.</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3EAE7DB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w:t>
      </w:r>
      <w:r>
        <w:rPr>
          <w:rFonts w:hint="default" w:ascii="Arial" w:hAnsi="Arial" w:cs="Arial"/>
          <w:sz w:val="22"/>
          <w:szCs w:val="22"/>
          <w:highlight w:val="none"/>
          <w:lang w:val="pt-BR"/>
        </w:rPr>
        <w:t>0</w:t>
      </w:r>
      <w:r>
        <w:rPr>
          <w:rFonts w:hint="default" w:ascii="Arial" w:hAnsi="Arial" w:cs="Arial"/>
          <w:sz w:val="22"/>
          <w:szCs w:val="22"/>
          <w:highlight w:val="none"/>
        </w:rPr>
        <w:t>.1.4</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.1.5.</w:t>
      </w:r>
    </w:p>
    <w:p w14:paraId="1A04CFF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0</w:t>
      </w:r>
      <w:r>
        <w:rPr>
          <w:rFonts w:hint="default" w:ascii="Arial" w:hAnsi="Arial" w:cs="Arial"/>
          <w:sz w:val="22"/>
          <w:szCs w:val="22"/>
          <w:highlight w:val="none"/>
        </w:rPr>
        <w:t>.1.6.</w:t>
      </w:r>
    </w:p>
    <w:p w14:paraId="4AA391D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w:t>
      </w:r>
      <w:r>
        <w:rPr>
          <w:rFonts w:hint="default" w:ascii="Arial" w:hAnsi="Arial" w:cs="Arial"/>
          <w:sz w:val="22"/>
          <w:szCs w:val="22"/>
          <w:highlight w:val="none"/>
          <w:lang w:val="pt-BR"/>
        </w:rPr>
        <w:t>0</w:t>
      </w:r>
      <w:r>
        <w:rPr>
          <w:rFonts w:hint="default" w:ascii="Arial" w:hAnsi="Arial" w:cs="Arial"/>
          <w:sz w:val="22"/>
          <w:szCs w:val="22"/>
          <w:highlight w:val="none"/>
        </w:rPr>
        <w:t>.1.1.</w:t>
      </w:r>
    </w:p>
    <w:p w14:paraId="757BC2A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w:t>
      </w:r>
      <w:r>
        <w:rPr>
          <w:rFonts w:hint="default" w:ascii="Arial" w:hAnsi="Arial" w:cs="Arial"/>
          <w:sz w:val="22"/>
          <w:szCs w:val="22"/>
          <w:highlight w:val="none"/>
          <w:lang w:val="pt-BR"/>
        </w:rPr>
        <w:t>0</w:t>
      </w:r>
      <w:r>
        <w:rPr>
          <w:rFonts w:hint="default" w:ascii="Arial" w:hAnsi="Arial" w:cs="Arial"/>
          <w:sz w:val="22"/>
          <w:szCs w:val="22"/>
          <w:highlight w:val="none"/>
        </w:rPr>
        <w:t>.1.3.</w:t>
      </w:r>
    </w:p>
    <w:p w14:paraId="1103AB8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w:t>
      </w:r>
      <w:r>
        <w:rPr>
          <w:rFonts w:hint="default" w:ascii="Arial" w:hAnsi="Arial" w:cs="Arial"/>
          <w:sz w:val="22"/>
          <w:szCs w:val="22"/>
          <w:highlight w:val="none"/>
          <w:lang w:val="pt-BR"/>
        </w:rPr>
        <w:t>0</w:t>
      </w:r>
      <w:r>
        <w:rPr>
          <w:rFonts w:hint="default" w:ascii="Arial" w:hAnsi="Arial" w:cs="Arial"/>
          <w:sz w:val="22"/>
          <w:szCs w:val="22"/>
          <w:highlight w:val="none"/>
        </w:rPr>
        <w:t>.1.2</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.1.7</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.1.8</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.1.9</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.1.10</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.1.11</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.1.12.</w:t>
      </w:r>
    </w:p>
    <w:p w14:paraId="08ADBC2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59BF272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D65D05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1B7DAB5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53D201C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159123A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0.9.</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BE30B7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w:t>
      </w:r>
      <w:r>
        <w:rPr>
          <w:rStyle w:val="152"/>
          <w:rFonts w:hint="default" w:ascii="Arial" w:hAnsi="Arial" w:eastAsia="Calibri" w:cs="Arial"/>
          <w:b/>
          <w:bCs/>
          <w:sz w:val="22"/>
          <w:szCs w:val="22"/>
          <w:highlight w:val="none"/>
        </w:rPr>
        <w:t>.</w:t>
      </w:r>
      <w:r>
        <w:rPr>
          <w:rStyle w:val="152"/>
          <w:rFonts w:hint="default" w:ascii="Arial" w:hAnsi="Arial" w:eastAsia="Calibri" w:cs="Arial"/>
          <w:b/>
          <w:bCs/>
          <w:sz w:val="22"/>
          <w:szCs w:val="22"/>
          <w:highlight w:val="none"/>
          <w:lang w:val="pt-BR"/>
        </w:rPr>
        <w:t>10.</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618ADD6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0.11.</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704EC71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0.12.</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48876E3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0.13.</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2003579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0.14.</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0</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690FB4D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1C7ED21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5777D74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03E4A43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682EFB7D">
      <w:pPr>
        <w:pStyle w:val="133"/>
        <w:numPr>
          <w:ilvl w:val="0"/>
          <w:numId w:val="0"/>
        </w:numPr>
        <w:spacing w:line="360" w:lineRule="auto"/>
        <w:ind w:left="0" w:leftChars="0" w:firstLine="481" w:firstLineChars="218"/>
        <w:rPr>
          <w:sz w:val="22"/>
          <w:szCs w:val="22"/>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7EC5EC9C">
      <w:pPr>
        <w:pStyle w:val="133"/>
        <w:numPr>
          <w:ilvl w:val="0"/>
          <w:numId w:val="0"/>
        </w:numPr>
        <w:spacing w:line="360" w:lineRule="auto"/>
        <w:ind w:leftChars="0"/>
        <w:rPr>
          <w:sz w:val="22"/>
          <w:szCs w:val="22"/>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na Ata de Registro de Preços</w:t>
      </w:r>
      <w:r>
        <w:rPr>
          <w:sz w:val="22"/>
          <w:szCs w:val="22"/>
        </w:rPr>
        <w:t xml:space="preserve"> não exclui, em hipótese alguma, a obrigação de reparação integral dos danos causados.</w:t>
      </w:r>
    </w:p>
    <w:p w14:paraId="273293E7">
      <w:pPr>
        <w:pBdr>
          <w:top w:val="double" w:color="auto" w:sz="4" w:space="1"/>
          <w:left w:val="double" w:color="auto" w:sz="4" w:space="4"/>
          <w:bottom w:val="double" w:color="auto" w:sz="4" w:space="1"/>
          <w:right w:val="double" w:color="auto" w:sz="4" w:space="4"/>
        </w:pBdr>
        <w:shd w:val="clear" w:color="auto" w:fill="D9D9D9"/>
        <w:spacing w:line="240" w:lineRule="auto"/>
        <w:jc w:val="center"/>
        <w:rPr>
          <w:rFonts w:hint="default" w:ascii="Arial" w:hAnsi="Arial" w:cs="Arial"/>
          <w:b/>
          <w:bCs/>
          <w:sz w:val="22"/>
          <w:szCs w:val="22"/>
          <w:lang w:val="pt-BR"/>
        </w:rPr>
      </w:pPr>
      <w:r>
        <w:rPr>
          <w:rFonts w:ascii="Arial" w:hAnsi="Arial" w:cs="Arial"/>
          <w:b/>
          <w:bCs/>
          <w:sz w:val="22"/>
          <w:szCs w:val="22"/>
        </w:rPr>
        <w:t xml:space="preserve">Cláusula </w:t>
      </w:r>
      <w:r>
        <w:rPr>
          <w:rFonts w:hint="default" w:ascii="Arial" w:hAnsi="Arial" w:cs="Arial"/>
          <w:b/>
          <w:bCs/>
          <w:sz w:val="22"/>
          <w:szCs w:val="22"/>
          <w:lang w:val="pt-BR"/>
        </w:rPr>
        <w:t>Décima Primeira</w:t>
      </w:r>
    </w:p>
    <w:p w14:paraId="59A41361">
      <w:pPr>
        <w:pBdr>
          <w:top w:val="double" w:color="auto" w:sz="4" w:space="1"/>
          <w:left w:val="double" w:color="auto" w:sz="4" w:space="4"/>
          <w:bottom w:val="double" w:color="auto" w:sz="4" w:space="1"/>
          <w:right w:val="double" w:color="auto" w:sz="4" w:space="4"/>
        </w:pBdr>
        <w:shd w:val="clear" w:color="auto" w:fill="D9D9D9"/>
        <w:spacing w:line="240" w:lineRule="auto"/>
        <w:jc w:val="center"/>
        <w:rPr>
          <w:rFonts w:ascii="Arial" w:hAnsi="Arial" w:cs="Arial"/>
          <w:b/>
          <w:sz w:val="22"/>
          <w:szCs w:val="22"/>
        </w:rPr>
      </w:pPr>
      <w:r>
        <w:rPr>
          <w:rFonts w:hint="default" w:ascii="Arial" w:hAnsi="Arial" w:cs="Arial"/>
          <w:b/>
          <w:bCs/>
          <w:sz w:val="22"/>
          <w:szCs w:val="22"/>
          <w:lang w:val="pt-BR"/>
        </w:rPr>
        <w:t xml:space="preserve">DAS CONDIÇÕES </w:t>
      </w:r>
      <w:r>
        <w:rPr>
          <w:rFonts w:ascii="Arial" w:hAnsi="Arial" w:cs="Arial"/>
          <w:b/>
          <w:bCs/>
          <w:sz w:val="22"/>
          <w:szCs w:val="22"/>
        </w:rPr>
        <w:t>DO PAGAMENTO</w:t>
      </w:r>
    </w:p>
    <w:p w14:paraId="30877E88">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1.1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14.133/2021</w:t>
      </w:r>
      <w:r>
        <w:rPr>
          <w:rFonts w:hint="default" w:ascii="Arial" w:hAnsi="Arial" w:cs="Arial"/>
          <w:sz w:val="22"/>
          <w:szCs w:val="22"/>
          <w:highlight w:val="none"/>
          <w:lang w:val="pt-BR"/>
        </w:rPr>
        <w:t>,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do Decreto Municipal n.º 129/2024.</w:t>
      </w:r>
    </w:p>
    <w:p w14:paraId="68C3426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 </w:t>
      </w:r>
      <w:r>
        <w:rPr>
          <w:rFonts w:hint="default" w:ascii="Arial" w:hAnsi="Arial" w:cs="Arial"/>
          <w:sz w:val="22"/>
          <w:szCs w:val="22"/>
          <w:lang w:eastAsia="en-US"/>
        </w:rPr>
        <w:t>Será considerada data do pagamento o dia em que constar como emitida a ordem bancária para pagamento.</w:t>
      </w:r>
    </w:p>
    <w:p w14:paraId="0A891B4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1.3.</w:t>
      </w:r>
      <w:r>
        <w:rPr>
          <w:rFonts w:hint="default" w:ascii="Arial" w:hAnsi="Arial" w:cs="Arial"/>
          <w:sz w:val="22"/>
          <w:szCs w:val="22"/>
        </w:rPr>
        <w:t xml:space="preserve"> A contagem do prazo para pagamento terá início e encerramento em dias de expediente na Administração Pública Municipal.</w:t>
      </w:r>
    </w:p>
    <w:p w14:paraId="6C9B6EFC">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11.4.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5FFE8DA6">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1.5.</w:t>
      </w:r>
      <w:r>
        <w:rPr>
          <w:rFonts w:hint="default" w:ascii="Arial" w:hAnsi="Arial" w:cs="Arial"/>
          <w:sz w:val="22"/>
          <w:szCs w:val="22"/>
        </w:rPr>
        <w:t xml:space="preserve"> Não aplicar-se-á o previsto no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2916544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4D4F132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77AA1D5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45AE7DE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3525ED7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1.10.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p w14:paraId="445FD1E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45AEC26A">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022DDA5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214A357E">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13742084">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4C201C92">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013CCC9A">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w:t>
      </w:r>
      <w:r>
        <w:rPr>
          <w:rFonts w:hint="default" w:cs="Arial"/>
          <w:b/>
          <w:bCs/>
          <w:sz w:val="22"/>
          <w:szCs w:val="22"/>
          <w:highlight w:val="none"/>
          <w:lang w:val="pt-BR" w:eastAsia="en-US"/>
        </w:rPr>
        <w:t>1</w:t>
      </w:r>
      <w:r>
        <w:rPr>
          <w:rFonts w:hint="default" w:ascii="Arial" w:hAnsi="Arial" w:cs="Arial"/>
          <w:b/>
          <w:bCs/>
          <w:sz w:val="22"/>
          <w:szCs w:val="22"/>
          <w:highlight w:val="none"/>
          <w:lang w:val="pt-BR" w:eastAsia="en-US"/>
        </w:rPr>
        <w:t>.</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1F6B9843">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75FF8034">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11.19.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3C9CA154">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5DEA6D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4214E1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7618008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04C70D4B">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58875CE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4830E6D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7A43755F">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12B00E4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36FEFA1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6939CE8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E2BB4E3">
      <w:pPr>
        <w:spacing w:before="240" w:after="240" w:line="360" w:lineRule="auto"/>
        <w:jc w:val="both"/>
        <w:rPr>
          <w:rFonts w:ascii="Arial" w:hAnsi="Arial" w:cs="Arial"/>
          <w:sz w:val="22"/>
          <w:szCs w:val="22"/>
        </w:rPr>
      </w:pPr>
      <w:r>
        <w:rPr>
          <w:rFonts w:hint="default" w:ascii="Arial" w:hAnsi="Arial" w:cs="Arial"/>
          <w:b/>
          <w:sz w:val="22"/>
          <w:szCs w:val="22"/>
          <w:lang w:val="pt-BR"/>
        </w:rPr>
        <w:t>11.25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555DF52E">
      <w:pPr>
        <w:pStyle w:val="118"/>
        <w:suppressLineNumbers w:val="0"/>
        <w:spacing w:before="240" w:after="240" w:line="360" w:lineRule="auto"/>
      </w:pPr>
      <w:r>
        <w:rPr>
          <w:rFonts w:hint="default"/>
          <w:b/>
          <w:lang w:val="pt-BR"/>
        </w:rPr>
        <w:t>11.26</w:t>
      </w:r>
      <w:r>
        <w:rPr>
          <w:b/>
        </w:rPr>
        <w:t>.</w:t>
      </w:r>
      <w:r>
        <w:t xml:space="preserve"> Na eventualidade de aplicação de multas, estas deverão ser liquidadas simultaneamente com parcela vinculada ao evento cujo descumprimento der origem à aplicação da penalidade.</w:t>
      </w:r>
    </w:p>
    <w:p w14:paraId="6DB52DDA">
      <w:pPr>
        <w:spacing w:before="240" w:after="240" w:line="360" w:lineRule="auto"/>
        <w:jc w:val="both"/>
        <w:rPr>
          <w:rFonts w:ascii="Arial" w:hAnsi="Arial" w:cs="Arial"/>
          <w:sz w:val="22"/>
          <w:szCs w:val="22"/>
        </w:rPr>
      </w:pPr>
      <w:r>
        <w:rPr>
          <w:rFonts w:hint="default" w:ascii="Arial" w:hAnsi="Arial" w:cs="Arial"/>
          <w:b/>
          <w:sz w:val="22"/>
          <w:szCs w:val="22"/>
          <w:lang w:val="pt-BR"/>
        </w:rPr>
        <w:t>11.27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4F647BA7">
      <w:pPr>
        <w:spacing w:before="240" w:after="240" w:line="360" w:lineRule="auto"/>
        <w:jc w:val="both"/>
        <w:rPr>
          <w:rFonts w:ascii="Arial" w:hAnsi="Arial" w:cs="Arial"/>
          <w:sz w:val="22"/>
          <w:szCs w:val="22"/>
        </w:rPr>
      </w:pPr>
      <w:r>
        <w:rPr>
          <w:rFonts w:hint="default" w:ascii="Arial" w:hAnsi="Arial" w:cs="Arial"/>
          <w:b/>
          <w:sz w:val="22"/>
          <w:szCs w:val="22"/>
          <w:lang w:val="pt-BR"/>
        </w:rPr>
        <w:t>11.28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42EF8265">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11.29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161"/>
        <w:tblW w:w="8217"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098"/>
        <w:gridCol w:w="1985"/>
        <w:gridCol w:w="1134"/>
      </w:tblGrid>
      <w:tr w14:paraId="685EA5F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5098" w:type="dxa"/>
            <w:shd w:val="clear" w:color="auto" w:fill="D8D8D8" w:themeFill="background1" w:themeFillShade="D9"/>
            <w:noWrap/>
            <w:vAlign w:val="center"/>
          </w:tcPr>
          <w:p w14:paraId="72D7AB6C">
            <w:pPr>
              <w:spacing w:after="0" w:line="240" w:lineRule="auto"/>
              <w:jc w:val="center"/>
              <w:rPr>
                <w:rFonts w:hint="default" w:ascii="Arial" w:hAnsi="Arial" w:eastAsia="Calibri" w:cs="Arial"/>
                <w:b/>
                <w:bCs/>
                <w:sz w:val="18"/>
                <w:szCs w:val="18"/>
                <w:lang w:eastAsia="pt-BR"/>
              </w:rPr>
            </w:pPr>
            <w:r>
              <w:rPr>
                <w:rFonts w:hint="default" w:ascii="Arial" w:hAnsi="Arial" w:eastAsia="Calibri" w:cs="Arial"/>
                <w:b/>
                <w:bCs/>
                <w:sz w:val="18"/>
                <w:szCs w:val="18"/>
                <w:lang w:eastAsia="pt-BR"/>
              </w:rPr>
              <w:t>FONTE DE RECURSO</w:t>
            </w:r>
          </w:p>
        </w:tc>
        <w:tc>
          <w:tcPr>
            <w:tcW w:w="1985" w:type="dxa"/>
            <w:shd w:val="clear" w:color="auto" w:fill="D8D8D8" w:themeFill="background1" w:themeFillShade="D9"/>
            <w:noWrap/>
            <w:vAlign w:val="center"/>
          </w:tcPr>
          <w:p w14:paraId="680A0B1D">
            <w:pPr>
              <w:spacing w:after="0" w:line="240" w:lineRule="auto"/>
              <w:jc w:val="center"/>
              <w:rPr>
                <w:rFonts w:hint="default" w:ascii="Arial" w:hAnsi="Arial" w:eastAsia="Calibri" w:cs="Arial"/>
                <w:b/>
                <w:bCs/>
                <w:sz w:val="18"/>
                <w:szCs w:val="18"/>
                <w:lang w:eastAsia="pt-BR"/>
              </w:rPr>
            </w:pPr>
            <w:r>
              <w:rPr>
                <w:rFonts w:hint="default" w:ascii="Arial" w:hAnsi="Arial" w:eastAsia="Calibri" w:cs="Arial"/>
                <w:b/>
                <w:bCs/>
                <w:sz w:val="18"/>
                <w:szCs w:val="18"/>
                <w:lang w:eastAsia="pt-BR"/>
              </w:rPr>
              <w:t>RECURSO</w:t>
            </w:r>
          </w:p>
        </w:tc>
        <w:tc>
          <w:tcPr>
            <w:tcW w:w="1134" w:type="dxa"/>
            <w:shd w:val="clear" w:color="auto" w:fill="D8D8D8" w:themeFill="background1" w:themeFillShade="D9"/>
            <w:vAlign w:val="center"/>
          </w:tcPr>
          <w:p w14:paraId="2BBEA80F">
            <w:pPr>
              <w:spacing w:after="0" w:line="240" w:lineRule="auto"/>
              <w:jc w:val="center"/>
              <w:rPr>
                <w:rFonts w:hint="default" w:ascii="Arial" w:hAnsi="Arial" w:eastAsia="Calibri" w:cs="Arial"/>
                <w:b/>
                <w:bCs/>
                <w:sz w:val="18"/>
                <w:szCs w:val="18"/>
                <w:lang w:eastAsia="pt-BR"/>
              </w:rPr>
            </w:pPr>
            <w:r>
              <w:rPr>
                <w:rFonts w:hint="default" w:ascii="Arial" w:hAnsi="Arial" w:eastAsia="Calibri" w:cs="Arial"/>
                <w:b/>
                <w:bCs/>
                <w:sz w:val="18"/>
                <w:szCs w:val="18"/>
                <w:lang w:eastAsia="pt-BR"/>
              </w:rPr>
              <w:t>C/C</w:t>
            </w:r>
          </w:p>
        </w:tc>
      </w:tr>
      <w:tr w14:paraId="27EEF4F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5098" w:type="dxa"/>
            <w:vAlign w:val="center"/>
          </w:tcPr>
          <w:p w14:paraId="75FB6A69">
            <w:pPr>
              <w:spacing w:after="0" w:line="240" w:lineRule="auto"/>
              <w:jc w:val="center"/>
              <w:rPr>
                <w:rFonts w:hint="default" w:ascii="Arial" w:hAnsi="Arial" w:eastAsia="Calibri" w:cs="Arial"/>
                <w:color w:val="000000"/>
                <w:sz w:val="18"/>
                <w:szCs w:val="18"/>
                <w:lang w:eastAsia="pt-BR"/>
              </w:rPr>
            </w:pPr>
            <w:r>
              <w:rPr>
                <w:rFonts w:hint="default" w:ascii="Arial" w:hAnsi="Arial" w:eastAsia="Calibri" w:cs="Arial"/>
                <w:color w:val="000000"/>
                <w:sz w:val="18"/>
                <w:szCs w:val="18"/>
                <w:lang w:eastAsia="pt-BR"/>
              </w:rPr>
              <w:t>14.001.10.305.0025.2088.3.3.90.30.0000.1.600.0000.605</w:t>
            </w:r>
          </w:p>
        </w:tc>
        <w:tc>
          <w:tcPr>
            <w:tcW w:w="1985" w:type="dxa"/>
            <w:vAlign w:val="center"/>
          </w:tcPr>
          <w:p w14:paraId="3C0C80F1">
            <w:pPr>
              <w:spacing w:before="120" w:beforeLines="50" w:after="0" w:line="240" w:lineRule="auto"/>
              <w:jc w:val="center"/>
              <w:rPr>
                <w:rFonts w:hint="default" w:ascii="Arial" w:hAnsi="Arial" w:eastAsia="Calibri" w:cs="Arial"/>
                <w:sz w:val="18"/>
                <w:szCs w:val="18"/>
                <w:lang w:eastAsia="pt-BR"/>
              </w:rPr>
            </w:pPr>
            <w:r>
              <w:rPr>
                <w:rFonts w:hint="default" w:ascii="Arial" w:hAnsi="Arial" w:eastAsia="Calibri" w:cs="Arial"/>
                <w:sz w:val="18"/>
                <w:szCs w:val="18"/>
                <w:lang w:eastAsia="pt-BR"/>
              </w:rPr>
              <w:t>CUSTEIO SUS</w:t>
            </w:r>
          </w:p>
        </w:tc>
        <w:tc>
          <w:tcPr>
            <w:tcW w:w="1134" w:type="dxa"/>
            <w:vAlign w:val="center"/>
          </w:tcPr>
          <w:p w14:paraId="4163C1F2">
            <w:pPr>
              <w:spacing w:after="0" w:line="240" w:lineRule="auto"/>
              <w:jc w:val="center"/>
              <w:rPr>
                <w:rFonts w:hint="default" w:ascii="Arial" w:hAnsi="Arial" w:eastAsia="Calibri" w:cs="Arial"/>
                <w:sz w:val="18"/>
                <w:szCs w:val="18"/>
                <w:lang w:eastAsia="pt-BR"/>
              </w:rPr>
            </w:pPr>
            <w:r>
              <w:rPr>
                <w:rFonts w:hint="default" w:ascii="Arial" w:hAnsi="Arial" w:eastAsia="Calibri" w:cs="Arial"/>
                <w:sz w:val="18"/>
                <w:szCs w:val="18"/>
                <w:lang w:eastAsia="pt-BR"/>
              </w:rPr>
              <w:t>23.646-2</w:t>
            </w:r>
          </w:p>
        </w:tc>
      </w:tr>
      <w:tr w14:paraId="1FB4C1F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5098" w:type="dxa"/>
            <w:vAlign w:val="center"/>
          </w:tcPr>
          <w:p w14:paraId="7BADBA79">
            <w:pPr>
              <w:spacing w:after="0" w:line="240" w:lineRule="auto"/>
              <w:jc w:val="center"/>
              <w:rPr>
                <w:rFonts w:hint="default" w:ascii="Arial" w:hAnsi="Arial" w:eastAsia="Calibri" w:cs="Arial"/>
                <w:color w:val="000000"/>
                <w:sz w:val="18"/>
                <w:szCs w:val="18"/>
                <w:lang w:eastAsia="pt-BR"/>
              </w:rPr>
            </w:pPr>
            <w:r>
              <w:rPr>
                <w:rFonts w:hint="default" w:ascii="Arial" w:hAnsi="Arial" w:eastAsia="Calibri" w:cs="Arial"/>
                <w:color w:val="000000"/>
                <w:sz w:val="18"/>
                <w:szCs w:val="18"/>
                <w:lang w:eastAsia="pt-BR"/>
              </w:rPr>
              <w:t>14.001.10.305.0025.2089.3.3.90.30.0000.1.600.0000.605</w:t>
            </w:r>
          </w:p>
        </w:tc>
        <w:tc>
          <w:tcPr>
            <w:tcW w:w="1985" w:type="dxa"/>
            <w:vAlign w:val="center"/>
          </w:tcPr>
          <w:p w14:paraId="7D36BEEB">
            <w:pPr>
              <w:spacing w:before="120" w:beforeLines="50" w:after="0" w:line="240" w:lineRule="auto"/>
              <w:jc w:val="center"/>
              <w:rPr>
                <w:rFonts w:hint="default" w:ascii="Arial" w:hAnsi="Arial" w:eastAsia="Calibri" w:cs="Arial"/>
                <w:sz w:val="18"/>
                <w:szCs w:val="18"/>
                <w:lang w:eastAsia="pt-BR"/>
              </w:rPr>
            </w:pPr>
            <w:r>
              <w:rPr>
                <w:rFonts w:hint="default" w:ascii="Arial" w:hAnsi="Arial" w:eastAsia="Calibri" w:cs="Arial"/>
                <w:sz w:val="18"/>
                <w:szCs w:val="18"/>
                <w:lang w:eastAsia="pt-BR"/>
              </w:rPr>
              <w:t>CUSTEIO SUS</w:t>
            </w:r>
          </w:p>
        </w:tc>
        <w:tc>
          <w:tcPr>
            <w:tcW w:w="1134" w:type="dxa"/>
            <w:vAlign w:val="center"/>
          </w:tcPr>
          <w:p w14:paraId="12637FEA">
            <w:pPr>
              <w:spacing w:after="0" w:line="240" w:lineRule="auto"/>
              <w:jc w:val="center"/>
              <w:rPr>
                <w:rFonts w:hint="default" w:ascii="Arial" w:hAnsi="Arial" w:eastAsia="Calibri" w:cs="Arial"/>
                <w:sz w:val="18"/>
                <w:szCs w:val="18"/>
                <w:lang w:eastAsia="pt-BR"/>
              </w:rPr>
            </w:pPr>
            <w:r>
              <w:rPr>
                <w:rFonts w:hint="default" w:ascii="Arial" w:hAnsi="Arial" w:eastAsia="Calibri" w:cs="Arial"/>
                <w:sz w:val="18"/>
                <w:szCs w:val="18"/>
                <w:lang w:eastAsia="pt-BR"/>
              </w:rPr>
              <w:t>23.646-2</w:t>
            </w:r>
          </w:p>
        </w:tc>
      </w:tr>
      <w:tr w14:paraId="0598C01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5098" w:type="dxa"/>
            <w:vAlign w:val="center"/>
          </w:tcPr>
          <w:p w14:paraId="00746174">
            <w:pPr>
              <w:spacing w:after="0" w:line="240" w:lineRule="auto"/>
              <w:jc w:val="center"/>
              <w:rPr>
                <w:rFonts w:hint="default" w:ascii="Arial" w:hAnsi="Arial" w:eastAsia="Calibri" w:cs="Arial"/>
                <w:color w:val="000000"/>
                <w:sz w:val="18"/>
                <w:szCs w:val="18"/>
                <w:lang w:eastAsia="pt-BR"/>
              </w:rPr>
            </w:pPr>
            <w:r>
              <w:rPr>
                <w:rFonts w:hint="default" w:ascii="Arial" w:hAnsi="Arial" w:eastAsia="Calibri" w:cs="Arial"/>
                <w:color w:val="000000"/>
                <w:sz w:val="18"/>
                <w:szCs w:val="18"/>
                <w:lang w:eastAsia="pt-BR"/>
              </w:rPr>
              <w:t>14.001.10.302.0027.2099.3.3.90.30.0000.1.500.1002.000</w:t>
            </w:r>
          </w:p>
        </w:tc>
        <w:tc>
          <w:tcPr>
            <w:tcW w:w="1985" w:type="dxa"/>
            <w:vAlign w:val="center"/>
          </w:tcPr>
          <w:p w14:paraId="5C5C193D">
            <w:pPr>
              <w:spacing w:before="120" w:beforeLines="50" w:after="0" w:line="240" w:lineRule="auto"/>
              <w:jc w:val="center"/>
              <w:rPr>
                <w:rFonts w:hint="default" w:ascii="Arial" w:hAnsi="Arial" w:eastAsia="Calibri" w:cs="Arial"/>
                <w:sz w:val="18"/>
                <w:szCs w:val="18"/>
                <w:lang w:eastAsia="pt-BR"/>
              </w:rPr>
            </w:pPr>
            <w:r>
              <w:rPr>
                <w:rFonts w:hint="default" w:ascii="Arial" w:hAnsi="Arial" w:eastAsia="Calibri" w:cs="Arial"/>
                <w:sz w:val="18"/>
                <w:szCs w:val="18"/>
                <w:lang w:eastAsia="pt-BR"/>
              </w:rPr>
              <w:t>PROPRIO</w:t>
            </w:r>
          </w:p>
        </w:tc>
        <w:tc>
          <w:tcPr>
            <w:tcW w:w="1134" w:type="dxa"/>
            <w:vAlign w:val="center"/>
          </w:tcPr>
          <w:p w14:paraId="5F01C177">
            <w:pPr>
              <w:spacing w:after="0" w:line="240" w:lineRule="auto"/>
              <w:jc w:val="center"/>
              <w:rPr>
                <w:rFonts w:hint="default" w:ascii="Arial" w:hAnsi="Arial" w:eastAsia="Calibri" w:cs="Arial"/>
                <w:sz w:val="18"/>
                <w:szCs w:val="18"/>
                <w:lang w:eastAsia="pt-BR"/>
              </w:rPr>
            </w:pPr>
            <w:r>
              <w:rPr>
                <w:rFonts w:hint="default" w:ascii="Arial" w:hAnsi="Arial" w:eastAsia="Calibri" w:cs="Arial"/>
                <w:sz w:val="18"/>
                <w:szCs w:val="18"/>
                <w:lang w:eastAsia="pt-BR"/>
              </w:rPr>
              <w:t>111.984-2</w:t>
            </w:r>
          </w:p>
        </w:tc>
      </w:tr>
      <w:tr w14:paraId="398607F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5098" w:type="dxa"/>
            <w:vAlign w:val="center"/>
          </w:tcPr>
          <w:p w14:paraId="722E195F">
            <w:pPr>
              <w:spacing w:after="0" w:line="240" w:lineRule="auto"/>
              <w:jc w:val="center"/>
              <w:rPr>
                <w:rFonts w:hint="default" w:ascii="Arial" w:hAnsi="Arial" w:eastAsia="Calibri" w:cs="Arial"/>
                <w:color w:val="000000"/>
                <w:sz w:val="18"/>
                <w:szCs w:val="18"/>
                <w:lang w:eastAsia="pt-BR"/>
              </w:rPr>
            </w:pPr>
            <w:r>
              <w:rPr>
                <w:rFonts w:hint="default" w:ascii="Arial" w:hAnsi="Arial" w:eastAsia="Calibri" w:cs="Arial"/>
                <w:color w:val="000000"/>
                <w:sz w:val="18"/>
                <w:szCs w:val="18"/>
                <w:lang w:eastAsia="pt-BR"/>
              </w:rPr>
              <w:t>14.001.10.302.0027.2099.3.3.90.30.0000.1.600.0000.603</w:t>
            </w:r>
          </w:p>
        </w:tc>
        <w:tc>
          <w:tcPr>
            <w:tcW w:w="1985" w:type="dxa"/>
            <w:vAlign w:val="center"/>
          </w:tcPr>
          <w:p w14:paraId="6E37BCF6">
            <w:pPr>
              <w:spacing w:before="120" w:beforeLines="50" w:after="0" w:line="240" w:lineRule="auto"/>
              <w:jc w:val="center"/>
              <w:rPr>
                <w:rFonts w:hint="default" w:ascii="Arial" w:hAnsi="Arial" w:eastAsia="Calibri" w:cs="Arial"/>
                <w:sz w:val="18"/>
                <w:szCs w:val="18"/>
                <w:lang w:eastAsia="pt-BR"/>
              </w:rPr>
            </w:pPr>
            <w:r>
              <w:rPr>
                <w:rFonts w:hint="default" w:ascii="Arial" w:hAnsi="Arial" w:eastAsia="Calibri" w:cs="Arial"/>
                <w:sz w:val="18"/>
                <w:szCs w:val="18"/>
                <w:lang w:eastAsia="pt-BR"/>
              </w:rPr>
              <w:t>CUSTEIO SUS</w:t>
            </w:r>
          </w:p>
        </w:tc>
        <w:tc>
          <w:tcPr>
            <w:tcW w:w="1134" w:type="dxa"/>
            <w:vAlign w:val="center"/>
          </w:tcPr>
          <w:p w14:paraId="55D61848">
            <w:pPr>
              <w:spacing w:after="0" w:line="240" w:lineRule="auto"/>
              <w:jc w:val="center"/>
              <w:rPr>
                <w:rFonts w:hint="default" w:ascii="Arial" w:hAnsi="Arial" w:eastAsia="Calibri" w:cs="Arial"/>
                <w:sz w:val="18"/>
                <w:szCs w:val="18"/>
                <w:lang w:eastAsia="pt-BR"/>
              </w:rPr>
            </w:pPr>
            <w:r>
              <w:rPr>
                <w:rFonts w:hint="default" w:ascii="Arial" w:hAnsi="Arial" w:eastAsia="Calibri" w:cs="Arial"/>
                <w:sz w:val="18"/>
                <w:szCs w:val="18"/>
                <w:lang w:eastAsia="pt-BR"/>
              </w:rPr>
              <w:t>23.646-2</w:t>
            </w:r>
          </w:p>
        </w:tc>
      </w:tr>
      <w:tr w14:paraId="595CF40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5098" w:type="dxa"/>
            <w:vAlign w:val="center"/>
          </w:tcPr>
          <w:p w14:paraId="6E6E5AB3">
            <w:pPr>
              <w:spacing w:after="0" w:line="240" w:lineRule="auto"/>
              <w:jc w:val="center"/>
              <w:rPr>
                <w:rFonts w:hint="default" w:ascii="Arial" w:hAnsi="Arial" w:eastAsia="Calibri" w:cs="Arial"/>
                <w:color w:val="000000"/>
                <w:sz w:val="18"/>
                <w:szCs w:val="18"/>
                <w:lang w:eastAsia="pt-BR"/>
              </w:rPr>
            </w:pPr>
            <w:r>
              <w:rPr>
                <w:rFonts w:hint="default" w:ascii="Arial" w:hAnsi="Arial" w:eastAsia="Calibri" w:cs="Arial"/>
                <w:color w:val="000000"/>
                <w:sz w:val="18"/>
                <w:szCs w:val="18"/>
                <w:lang w:eastAsia="pt-BR"/>
              </w:rPr>
              <w:t>14.001.10.302.0027.2103.3.3.90.30.0000.1.500.1002.000</w:t>
            </w:r>
          </w:p>
        </w:tc>
        <w:tc>
          <w:tcPr>
            <w:tcW w:w="1985" w:type="dxa"/>
            <w:vAlign w:val="center"/>
          </w:tcPr>
          <w:p w14:paraId="446336A0">
            <w:pPr>
              <w:spacing w:before="120" w:beforeLines="50" w:after="0" w:line="240" w:lineRule="auto"/>
              <w:jc w:val="center"/>
              <w:rPr>
                <w:rFonts w:hint="default" w:ascii="Arial" w:hAnsi="Arial" w:eastAsia="Calibri" w:cs="Arial"/>
                <w:sz w:val="18"/>
                <w:szCs w:val="18"/>
                <w:lang w:eastAsia="pt-BR"/>
              </w:rPr>
            </w:pPr>
            <w:r>
              <w:rPr>
                <w:rFonts w:hint="default" w:ascii="Arial" w:hAnsi="Arial" w:eastAsia="Calibri" w:cs="Arial"/>
                <w:sz w:val="18"/>
                <w:szCs w:val="18"/>
                <w:lang w:eastAsia="pt-BR"/>
              </w:rPr>
              <w:t>PROPRIO</w:t>
            </w:r>
          </w:p>
        </w:tc>
        <w:tc>
          <w:tcPr>
            <w:tcW w:w="1134" w:type="dxa"/>
            <w:vAlign w:val="center"/>
          </w:tcPr>
          <w:p w14:paraId="03CAAC34">
            <w:pPr>
              <w:spacing w:after="0" w:line="240" w:lineRule="auto"/>
              <w:jc w:val="center"/>
              <w:rPr>
                <w:rFonts w:hint="default" w:ascii="Arial" w:hAnsi="Arial" w:eastAsia="Calibri" w:cs="Arial"/>
                <w:sz w:val="18"/>
                <w:szCs w:val="18"/>
                <w:lang w:eastAsia="pt-BR"/>
              </w:rPr>
            </w:pPr>
            <w:r>
              <w:rPr>
                <w:rFonts w:hint="default" w:ascii="Arial" w:hAnsi="Arial" w:eastAsia="Calibri" w:cs="Arial"/>
                <w:sz w:val="18"/>
                <w:szCs w:val="18"/>
                <w:lang w:eastAsia="pt-BR"/>
              </w:rPr>
              <w:t>111.984-2</w:t>
            </w:r>
          </w:p>
        </w:tc>
      </w:tr>
      <w:tr w14:paraId="6AD8017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5098" w:type="dxa"/>
            <w:vAlign w:val="center"/>
          </w:tcPr>
          <w:p w14:paraId="0BE82E47">
            <w:pPr>
              <w:spacing w:after="0" w:line="240" w:lineRule="auto"/>
              <w:jc w:val="center"/>
              <w:rPr>
                <w:rFonts w:hint="default" w:ascii="Arial" w:hAnsi="Arial" w:eastAsia="Calibri" w:cs="Arial"/>
                <w:color w:val="000000"/>
                <w:sz w:val="18"/>
                <w:szCs w:val="18"/>
                <w:lang w:eastAsia="pt-BR"/>
              </w:rPr>
            </w:pPr>
            <w:r>
              <w:rPr>
                <w:rFonts w:hint="default" w:ascii="Arial" w:hAnsi="Arial" w:eastAsia="Calibri" w:cs="Arial"/>
                <w:color w:val="000000"/>
                <w:sz w:val="18"/>
                <w:szCs w:val="18"/>
                <w:lang w:eastAsia="pt-BR"/>
              </w:rPr>
              <w:t>14.001.10.301.0028.2104.3.3.90.30.0000.1.600.0000.600</w:t>
            </w:r>
          </w:p>
        </w:tc>
        <w:tc>
          <w:tcPr>
            <w:tcW w:w="1985" w:type="dxa"/>
            <w:vAlign w:val="center"/>
          </w:tcPr>
          <w:p w14:paraId="748BE0E9">
            <w:pPr>
              <w:spacing w:before="120" w:beforeLines="50" w:after="0" w:line="240" w:lineRule="auto"/>
              <w:jc w:val="center"/>
              <w:rPr>
                <w:rFonts w:hint="default" w:ascii="Arial" w:hAnsi="Arial" w:eastAsia="Calibri" w:cs="Arial"/>
                <w:sz w:val="18"/>
                <w:szCs w:val="18"/>
                <w:lang w:eastAsia="pt-BR"/>
              </w:rPr>
            </w:pPr>
            <w:r>
              <w:rPr>
                <w:rFonts w:hint="default" w:ascii="Arial" w:hAnsi="Arial" w:eastAsia="Calibri" w:cs="Arial"/>
                <w:sz w:val="18"/>
                <w:szCs w:val="18"/>
                <w:lang w:eastAsia="pt-BR"/>
              </w:rPr>
              <w:t>CUSTEIO SUS</w:t>
            </w:r>
          </w:p>
        </w:tc>
        <w:tc>
          <w:tcPr>
            <w:tcW w:w="1134" w:type="dxa"/>
            <w:vAlign w:val="center"/>
          </w:tcPr>
          <w:p w14:paraId="46501204">
            <w:pPr>
              <w:spacing w:after="0" w:line="240" w:lineRule="auto"/>
              <w:jc w:val="center"/>
              <w:rPr>
                <w:rFonts w:hint="default" w:ascii="Arial" w:hAnsi="Arial" w:eastAsia="Calibri" w:cs="Arial"/>
                <w:sz w:val="18"/>
                <w:szCs w:val="18"/>
                <w:lang w:eastAsia="pt-BR"/>
              </w:rPr>
            </w:pPr>
            <w:r>
              <w:rPr>
                <w:rFonts w:hint="default" w:ascii="Arial" w:hAnsi="Arial" w:eastAsia="Calibri" w:cs="Arial"/>
                <w:sz w:val="18"/>
                <w:szCs w:val="18"/>
                <w:lang w:eastAsia="pt-BR"/>
              </w:rPr>
              <w:t>23.646-2</w:t>
            </w:r>
          </w:p>
        </w:tc>
      </w:tr>
    </w:tbl>
    <w:p w14:paraId="474EED57">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2812A0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highlight w:val="none"/>
          <w:lang w:val="pt-BR"/>
        </w:rPr>
      </w:pPr>
      <w:r>
        <w:rPr>
          <w:rFonts w:ascii="Arial" w:hAnsi="Arial" w:cs="Arial"/>
          <w:b/>
          <w:bCs/>
          <w:szCs w:val="22"/>
          <w:highlight w:val="none"/>
        </w:rPr>
        <w:t xml:space="preserve">Cláusula </w:t>
      </w:r>
      <w:r>
        <w:rPr>
          <w:rFonts w:hint="default" w:ascii="Arial" w:hAnsi="Arial" w:cs="Arial"/>
          <w:b/>
          <w:bCs/>
          <w:szCs w:val="22"/>
          <w:highlight w:val="none"/>
          <w:lang w:val="pt-BR"/>
        </w:rPr>
        <w:t>Décima Segunda</w:t>
      </w:r>
    </w:p>
    <w:p w14:paraId="31EF0F1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highlight w:val="none"/>
          <w:lang w:val="pt-BR"/>
        </w:rPr>
      </w:pPr>
      <w:r>
        <w:rPr>
          <w:rFonts w:hint="default" w:ascii="Arial" w:hAnsi="Arial" w:cs="Arial"/>
          <w:b/>
          <w:bCs/>
          <w:szCs w:val="22"/>
          <w:highlight w:val="none"/>
          <w:lang w:val="pt-BR"/>
        </w:rPr>
        <w:t>DAS CONDIÇÕES DE FORNECIMENTO</w:t>
      </w:r>
    </w:p>
    <w:p w14:paraId="3991B51B">
      <w:pPr>
        <w:pStyle w:val="16"/>
        <w:widowControl w:val="0"/>
        <w:numPr>
          <w:ilvl w:val="0"/>
          <w:numId w:val="0"/>
        </w:numPr>
        <w:autoSpaceDE w:val="0"/>
        <w:autoSpaceDN w:val="0"/>
        <w:adjustRightInd w:val="0"/>
        <w:spacing w:before="240" w:after="240" w:line="360" w:lineRule="auto"/>
        <w:ind w:left="-1" w:leftChars="0" w:firstLine="0" w:firstLineChars="0"/>
        <w:jc w:val="both"/>
        <w:textAlignment w:val="baseline"/>
        <w:rPr>
          <w:rFonts w:hint="default" w:ascii="Arial" w:hAnsi="Arial" w:eastAsia="Calibri" w:cs="Arial"/>
          <w:sz w:val="22"/>
          <w:szCs w:val="22"/>
        </w:rPr>
      </w:pPr>
      <w:r>
        <w:rPr>
          <w:rFonts w:hint="default" w:ascii="Arial" w:hAnsi="Arial" w:cs="Arial"/>
          <w:b/>
          <w:bCs/>
          <w:color w:val="000000" w:themeColor="text1"/>
          <w:sz w:val="22"/>
          <w:szCs w:val="22"/>
          <w:highlight w:val="none"/>
          <w:lang w:val="pt-BR"/>
          <w14:textFill>
            <w14:solidFill>
              <w14:schemeClr w14:val="tx1"/>
            </w14:solidFill>
          </w14:textFill>
        </w:rPr>
        <w:t xml:space="preserve">12.1. </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eastAsia="Times New Roman" w:cs="Arial"/>
          <w:sz w:val="22"/>
          <w:szCs w:val="22"/>
        </w:rPr>
        <w:t>A licitante vencedora se obriga a entregar os materiais objetos desta licitação de forma parcelada mediante a emissão de ordem de fornecimento pela Secretaria Municipal de Saúde, a partir da data da assinatura da Ata de Registro de Preços.</w:t>
      </w:r>
    </w:p>
    <w:p w14:paraId="7E1B2525">
      <w:pPr>
        <w:pStyle w:val="16"/>
        <w:widowControl w:val="0"/>
        <w:numPr>
          <w:ilvl w:val="0"/>
          <w:numId w:val="0"/>
        </w:numPr>
        <w:tabs>
          <w:tab w:val="left" w:pos="709"/>
          <w:tab w:val="left" w:pos="993"/>
        </w:tabs>
        <w:autoSpaceDE w:val="0"/>
        <w:autoSpaceDN w:val="0"/>
        <w:adjustRightInd w:val="0"/>
        <w:spacing w:before="240" w:after="240" w:line="360" w:lineRule="auto"/>
        <w:ind w:left="-1" w:leftChars="0" w:firstLine="0" w:firstLineChars="0"/>
        <w:jc w:val="both"/>
        <w:textAlignment w:val="baseline"/>
        <w:rPr>
          <w:rFonts w:hint="default" w:ascii="Arial" w:hAnsi="Arial" w:cs="Arial"/>
          <w:b/>
          <w:bCs/>
          <w:sz w:val="22"/>
          <w:szCs w:val="22"/>
        </w:rPr>
      </w:pPr>
      <w:r>
        <w:rPr>
          <w:rFonts w:hint="default" w:ascii="Arial" w:hAnsi="Arial" w:eastAsia="Times New Roman" w:cs="Arial"/>
          <w:b/>
          <w:bCs/>
          <w:sz w:val="22"/>
          <w:szCs w:val="22"/>
          <w:lang w:val="pt-BR"/>
        </w:rPr>
        <w:t>12.2</w:t>
      </w:r>
      <w:r>
        <w:rPr>
          <w:rFonts w:hint="default" w:ascii="Arial" w:hAnsi="Arial" w:eastAsia="Times New Roman" w:cs="Arial"/>
          <w:sz w:val="22"/>
          <w:szCs w:val="22"/>
          <w:lang w:val="pt-BR"/>
        </w:rPr>
        <w:t xml:space="preserve"> </w:t>
      </w:r>
      <w:r>
        <w:rPr>
          <w:rFonts w:hint="default" w:ascii="Arial" w:hAnsi="Arial" w:eastAsia="Times New Roman" w:cs="Arial"/>
          <w:sz w:val="22"/>
          <w:szCs w:val="22"/>
        </w:rPr>
        <w:t xml:space="preserve">A entrega dos materiais deverá ocorrer em até </w:t>
      </w:r>
      <w:r>
        <w:rPr>
          <w:rFonts w:hint="default" w:ascii="Arial" w:hAnsi="Arial" w:eastAsia="Times New Roman" w:cs="Arial"/>
          <w:b/>
          <w:sz w:val="22"/>
          <w:szCs w:val="22"/>
        </w:rPr>
        <w:t>10 (dez) dias</w:t>
      </w:r>
      <w:r>
        <w:rPr>
          <w:rFonts w:hint="default" w:ascii="Arial" w:hAnsi="Arial" w:eastAsia="Times New Roman" w:cs="Arial"/>
          <w:sz w:val="22"/>
          <w:szCs w:val="22"/>
        </w:rPr>
        <w:t xml:space="preserve"> contados a partir da data de envio da nota de empenho ou da requisição. </w:t>
      </w:r>
    </w:p>
    <w:p w14:paraId="333CF5B7">
      <w:pPr>
        <w:pStyle w:val="127"/>
        <w:widowControl w:val="0"/>
        <w:numPr>
          <w:ilvl w:val="0"/>
          <w:numId w:val="0"/>
        </w:numPr>
        <w:tabs>
          <w:tab w:val="left" w:pos="709"/>
        </w:tabs>
        <w:autoSpaceDE w:val="0"/>
        <w:autoSpaceDN w:val="0"/>
        <w:spacing w:before="240" w:after="240" w:line="360" w:lineRule="auto"/>
        <w:ind w:left="-1" w:leftChars="0" w:firstLine="0" w:firstLineChars="0"/>
        <w:contextualSpacing w:val="0"/>
        <w:jc w:val="both"/>
        <w:rPr>
          <w:rFonts w:hint="default" w:ascii="Arial" w:hAnsi="Arial" w:cs="Arial"/>
          <w:sz w:val="22"/>
          <w:szCs w:val="22"/>
        </w:rPr>
      </w:pPr>
      <w:r>
        <w:rPr>
          <w:rFonts w:hint="default" w:ascii="Arial" w:hAnsi="Arial" w:eastAsia="Calibri" w:cs="Arial"/>
          <w:b/>
          <w:bCs/>
          <w:sz w:val="22"/>
          <w:szCs w:val="22"/>
          <w:lang w:val="pt-BR"/>
        </w:rPr>
        <w:t>12.3</w:t>
      </w:r>
      <w:r>
        <w:rPr>
          <w:rFonts w:hint="default" w:ascii="Arial" w:hAnsi="Arial" w:eastAsia="Calibri" w:cs="Arial"/>
          <w:sz w:val="22"/>
          <w:szCs w:val="22"/>
          <w:lang w:val="pt-BR"/>
        </w:rPr>
        <w:t xml:space="preserve"> </w:t>
      </w:r>
      <w:r>
        <w:rPr>
          <w:rFonts w:hint="default" w:ascii="Arial" w:hAnsi="Arial" w:eastAsia="Calibri" w:cs="Arial"/>
          <w:sz w:val="22"/>
          <w:szCs w:val="22"/>
        </w:rPr>
        <w:t xml:space="preserve">Os materiais deveram ser entregues </w:t>
      </w:r>
      <w:r>
        <w:rPr>
          <w:rFonts w:hint="default" w:ascii="Arial" w:hAnsi="Arial" w:cs="Arial"/>
          <w:sz w:val="22"/>
          <w:szCs w:val="22"/>
        </w:rPr>
        <w:t xml:space="preserve">de segunda a sexta-feira, das 08h00min às 20h00min (horário de Brasília/DF), no </w:t>
      </w:r>
      <w:r>
        <w:rPr>
          <w:rFonts w:hint="default" w:ascii="Arial" w:hAnsi="Arial" w:cs="Arial"/>
          <w:b/>
          <w:sz w:val="22"/>
          <w:szCs w:val="22"/>
        </w:rPr>
        <w:t>Laboratório Municipal da Análises Clínicas</w:t>
      </w:r>
      <w:r>
        <w:rPr>
          <w:rFonts w:hint="default" w:ascii="Arial" w:hAnsi="Arial" w:cs="Arial"/>
          <w:sz w:val="22"/>
          <w:szCs w:val="22"/>
        </w:rPr>
        <w:t>, localizado na Rua das Primaveras, Nº 1270 esquina com Pitombeiras, Jardim Jacarandás, na cidade de Sinop/MT</w:t>
      </w:r>
      <w:r>
        <w:rPr>
          <w:rFonts w:hint="default" w:ascii="Arial" w:hAnsi="Arial" w:eastAsia="Calibri" w:cs="Arial"/>
          <w:sz w:val="22"/>
          <w:szCs w:val="22"/>
        </w:rPr>
        <w:t>.</w:t>
      </w:r>
    </w:p>
    <w:p w14:paraId="2B799FB5">
      <w:pPr>
        <w:pStyle w:val="127"/>
        <w:widowControl w:val="0"/>
        <w:numPr>
          <w:ilvl w:val="0"/>
          <w:numId w:val="0"/>
        </w:numPr>
        <w:tabs>
          <w:tab w:val="left" w:pos="709"/>
        </w:tabs>
        <w:autoSpaceDE w:val="0"/>
        <w:autoSpaceDN w:val="0"/>
        <w:spacing w:before="240" w:after="240" w:line="360" w:lineRule="auto"/>
        <w:ind w:left="-1" w:leftChars="0" w:firstLine="0" w:firstLineChars="0"/>
        <w:contextualSpacing w:val="0"/>
        <w:jc w:val="both"/>
        <w:rPr>
          <w:rFonts w:hint="default" w:ascii="Arial" w:hAnsi="Arial" w:cs="Arial"/>
          <w:sz w:val="22"/>
          <w:szCs w:val="22"/>
        </w:rPr>
      </w:pPr>
      <w:r>
        <w:rPr>
          <w:rFonts w:hint="default" w:ascii="Arial" w:hAnsi="Arial" w:eastAsia="Times New Roman" w:cs="Arial"/>
          <w:b/>
          <w:bCs/>
          <w:sz w:val="22"/>
          <w:szCs w:val="22"/>
          <w:lang w:val="pt-BR"/>
        </w:rPr>
        <w:t>12.4</w:t>
      </w:r>
      <w:r>
        <w:rPr>
          <w:rFonts w:hint="default" w:ascii="Arial" w:hAnsi="Arial" w:eastAsia="Times New Roman" w:cs="Arial"/>
          <w:sz w:val="22"/>
          <w:szCs w:val="22"/>
          <w:lang w:val="pt-BR"/>
        </w:rPr>
        <w:t xml:space="preserve"> </w:t>
      </w:r>
      <w:r>
        <w:rPr>
          <w:rFonts w:hint="default" w:ascii="Arial" w:hAnsi="Arial" w:eastAsia="Times New Roman" w:cs="Arial"/>
          <w:sz w:val="22"/>
          <w:szCs w:val="22"/>
        </w:rPr>
        <w:t xml:space="preserve">Os itens devem ser entregues em embalagens originais, contendo informações quando as suas características, tais como: marca, número de referência, número de lote da fabricação, registro na ANVISA (quando for o caso), prazo de </w:t>
      </w:r>
      <w:r>
        <w:rPr>
          <w:rFonts w:hint="default" w:ascii="Arial" w:hAnsi="Arial" w:eastAsia="Times New Roman" w:cs="Arial"/>
          <w:b/>
          <w:bCs/>
          <w:sz w:val="22"/>
          <w:szCs w:val="22"/>
          <w:u w:val="single"/>
        </w:rPr>
        <w:t>validade mínimo 18 meses</w:t>
      </w:r>
      <w:r>
        <w:rPr>
          <w:rFonts w:hint="default" w:ascii="Arial" w:hAnsi="Arial" w:eastAsia="Times New Roman" w:cs="Arial"/>
          <w:sz w:val="22"/>
          <w:szCs w:val="22"/>
        </w:rPr>
        <w:t xml:space="preserve"> e outras informações de acordo com a legislação pertinente.  </w:t>
      </w:r>
    </w:p>
    <w:p w14:paraId="2485D213">
      <w:pPr>
        <w:pStyle w:val="16"/>
        <w:widowControl w:val="0"/>
        <w:numPr>
          <w:ilvl w:val="0"/>
          <w:numId w:val="0"/>
        </w:numPr>
        <w:tabs>
          <w:tab w:val="left" w:pos="709"/>
        </w:tabs>
        <w:autoSpaceDE w:val="0"/>
        <w:autoSpaceDN w:val="0"/>
        <w:adjustRightInd w:val="0"/>
        <w:spacing w:before="240" w:after="240" w:line="360" w:lineRule="auto"/>
        <w:ind w:left="-1" w:leftChars="0" w:firstLine="0" w:firstLineChars="0"/>
        <w:jc w:val="both"/>
        <w:textAlignment w:val="baseline"/>
        <w:rPr>
          <w:rFonts w:hint="default" w:ascii="Arial" w:hAnsi="Arial" w:eastAsia="Times New Roman" w:cs="Arial"/>
          <w:sz w:val="22"/>
          <w:szCs w:val="22"/>
        </w:rPr>
      </w:pPr>
      <w:r>
        <w:rPr>
          <w:rFonts w:hint="default" w:ascii="Arial" w:hAnsi="Arial" w:eastAsia="Times New Roman" w:cs="Arial"/>
          <w:b/>
          <w:bCs/>
          <w:sz w:val="22"/>
          <w:szCs w:val="22"/>
          <w:lang w:val="pt-BR"/>
        </w:rPr>
        <w:t>12.5</w:t>
      </w:r>
      <w:r>
        <w:rPr>
          <w:rFonts w:hint="default" w:ascii="Arial" w:hAnsi="Arial" w:eastAsia="Times New Roman" w:cs="Arial"/>
          <w:sz w:val="22"/>
          <w:szCs w:val="22"/>
          <w:lang w:val="pt-BR"/>
        </w:rPr>
        <w:t xml:space="preserve"> </w:t>
      </w:r>
      <w:r>
        <w:rPr>
          <w:rFonts w:hint="default" w:ascii="Arial" w:hAnsi="Arial" w:eastAsia="Times New Roman" w:cs="Arial"/>
          <w:sz w:val="22"/>
          <w:szCs w:val="22"/>
        </w:rPr>
        <w:t>Imediatamente após a entrega dos materiais, objetos desta Licitação, os mesmos serão devidamente inspecionados pelo setor responsável. No caso de se constatar qualquer irregularidade ou incompatibilidade nos itens fornecidos em relação à proposta comercial da contratada ou em relação às condições expressa neste Edital, os mesmos serão sumariamente rejeitados, sujeitando-se a contratada às penalidades.</w:t>
      </w:r>
    </w:p>
    <w:p w14:paraId="2B9573D5">
      <w:pPr>
        <w:pStyle w:val="127"/>
        <w:widowControl w:val="0"/>
        <w:numPr>
          <w:ilvl w:val="0"/>
          <w:numId w:val="0"/>
        </w:numPr>
        <w:tabs>
          <w:tab w:val="left" w:pos="0"/>
        </w:tabs>
        <w:suppressAutoHyphens/>
        <w:autoSpaceDE w:val="0"/>
        <w:autoSpaceDN w:val="0"/>
        <w:spacing w:before="240" w:after="240" w:line="336" w:lineRule="auto"/>
        <w:ind w:left="-1" w:leftChars="0" w:firstLine="0" w:firstLineChars="0"/>
        <w:contextualSpacing w:val="0"/>
        <w:jc w:val="both"/>
        <w:rPr>
          <w:rFonts w:hint="default" w:ascii="Arial" w:hAnsi="Arial" w:cs="Arial"/>
          <w:sz w:val="22"/>
          <w:szCs w:val="22"/>
          <w:shd w:val="clear" w:color="auto" w:fill="FFFFFF"/>
        </w:rPr>
      </w:pPr>
      <w:r>
        <w:rPr>
          <w:rFonts w:hint="default" w:ascii="Arial" w:hAnsi="Arial" w:cs="Arial"/>
          <w:b/>
          <w:bCs/>
          <w:sz w:val="22"/>
          <w:szCs w:val="22"/>
          <w:shd w:val="clear" w:color="auto" w:fill="FFFFFF"/>
          <w:lang w:val="pt-BR"/>
        </w:rPr>
        <w:t>12.6</w:t>
      </w:r>
      <w:r>
        <w:rPr>
          <w:rFonts w:hint="default" w:ascii="Arial" w:hAnsi="Arial" w:cs="Arial"/>
          <w:sz w:val="22"/>
          <w:szCs w:val="22"/>
          <w:shd w:val="clear" w:color="auto" w:fill="FFFFFF"/>
          <w:lang w:val="pt-BR"/>
        </w:rPr>
        <w:t xml:space="preserve"> </w:t>
      </w:r>
      <w:r>
        <w:rPr>
          <w:rFonts w:hint="default" w:ascii="Arial" w:hAnsi="Arial" w:cs="Arial"/>
          <w:sz w:val="22"/>
          <w:szCs w:val="22"/>
          <w:shd w:val="clear" w:color="auto" w:fill="FFFFFF"/>
        </w:rPr>
        <w:t>Os reagentes deverão ser entregues em embalagens originais para comercialização contendo a data e o nº do lote de fabricação, o prazo de validade, nº de registro na ANVISA e nº de série (quando se aplicar), sempre acompanhados da nota fiscal, identificados quanto ao número da licitação, nome da empresa, número do item a que se refere e outras informações de acordo com a legislação pertinente.</w:t>
      </w:r>
    </w:p>
    <w:p w14:paraId="21495D1C">
      <w:pPr>
        <w:pStyle w:val="127"/>
        <w:suppressAutoHyphens/>
        <w:spacing w:before="240" w:after="240" w:line="336" w:lineRule="auto"/>
        <w:ind w:left="0" w:leftChars="0" w:firstLine="0" w:firstLineChars="0"/>
        <w:jc w:val="both"/>
        <w:rPr>
          <w:rFonts w:hint="default" w:ascii="Arial" w:hAnsi="Arial" w:cs="Arial"/>
          <w:sz w:val="22"/>
          <w:szCs w:val="22"/>
        </w:rPr>
      </w:pPr>
      <w:r>
        <w:rPr>
          <w:rFonts w:hint="default" w:ascii="Arial" w:hAnsi="Arial" w:cs="Arial"/>
          <w:b/>
          <w:bCs/>
          <w:sz w:val="22"/>
          <w:szCs w:val="22"/>
          <w:shd w:val="clear" w:color="auto" w:fill="FFFFFF"/>
          <w:lang w:val="pt-BR"/>
        </w:rPr>
        <w:t>12.7</w:t>
      </w:r>
      <w:r>
        <w:rPr>
          <w:rFonts w:hint="default" w:ascii="Arial" w:hAnsi="Arial" w:cs="Arial"/>
          <w:sz w:val="22"/>
          <w:szCs w:val="22"/>
          <w:shd w:val="clear" w:color="auto" w:fill="FFFFFF"/>
          <w:lang w:val="pt-BR"/>
        </w:rPr>
        <w:t xml:space="preserve"> </w:t>
      </w:r>
      <w:r>
        <w:rPr>
          <w:rFonts w:hint="default" w:ascii="Arial" w:hAnsi="Arial" w:cs="Arial"/>
          <w:sz w:val="22"/>
          <w:szCs w:val="22"/>
          <w:shd w:val="clear" w:color="auto" w:fill="FFFFFF"/>
        </w:rPr>
        <w:t xml:space="preserve">O recebimento dos produtos da presente licitação será feito de forma provisória no prazo de 05 (cinco) dias úteis a partir das datas de entrega para avaliação da comissão de recebimento ou fiscal da ata. Caso o produto seja </w:t>
      </w:r>
      <w:r>
        <w:rPr>
          <w:rFonts w:hint="default" w:ascii="Arial" w:hAnsi="Arial" w:cs="Arial"/>
          <w:b/>
          <w:sz w:val="22"/>
          <w:szCs w:val="22"/>
          <w:shd w:val="clear" w:color="auto" w:fill="FFFFFF"/>
        </w:rPr>
        <w:t>rejeitado</w:t>
      </w:r>
      <w:r>
        <w:rPr>
          <w:rFonts w:hint="default" w:ascii="Arial" w:hAnsi="Arial" w:cs="Arial"/>
          <w:sz w:val="22"/>
          <w:szCs w:val="22"/>
          <w:shd w:val="clear" w:color="auto" w:fill="FFFFFF"/>
        </w:rPr>
        <w:t>, no todo ou em parte quando em desacordo com as especificações constantes no Termo de Referência e na proposta, fica a CONTRATADA obrigada a efetuar a troca dos mesmos nas quantidades e qualidades relativas, no prazo de 05 (cinco) dias úteis a partir da notificação da contratada, às suas custas, sem prejuízo da aplicação das penalidades.</w:t>
      </w:r>
    </w:p>
    <w:p w14:paraId="3D068012">
      <w:pPr>
        <w:pStyle w:val="127"/>
        <w:suppressAutoHyphens/>
        <w:spacing w:before="240" w:after="240" w:line="336" w:lineRule="auto"/>
        <w:ind w:left="0" w:leftChars="0" w:firstLine="0" w:firstLineChars="0"/>
        <w:jc w:val="both"/>
        <w:rPr>
          <w:rFonts w:hint="default" w:ascii="Arial" w:hAnsi="Arial" w:cs="Arial"/>
          <w:sz w:val="22"/>
          <w:szCs w:val="22"/>
        </w:rPr>
      </w:pPr>
      <w:r>
        <w:rPr>
          <w:rFonts w:hint="default" w:ascii="Arial" w:hAnsi="Arial" w:cs="Arial"/>
          <w:b/>
          <w:bCs/>
          <w:sz w:val="22"/>
          <w:szCs w:val="22"/>
          <w:shd w:val="clear" w:color="auto" w:fill="FFFFFF"/>
          <w:lang w:val="pt-BR"/>
        </w:rPr>
        <w:t>12.8</w:t>
      </w:r>
      <w:r>
        <w:rPr>
          <w:rFonts w:hint="default" w:ascii="Arial" w:hAnsi="Arial" w:cs="Arial"/>
          <w:sz w:val="22"/>
          <w:szCs w:val="22"/>
          <w:shd w:val="clear" w:color="auto" w:fill="FFFFFF"/>
          <w:lang w:val="pt-BR"/>
        </w:rPr>
        <w:t xml:space="preserve"> </w:t>
      </w:r>
      <w:r>
        <w:rPr>
          <w:rFonts w:hint="default" w:ascii="Arial" w:hAnsi="Arial" w:cs="Arial"/>
          <w:sz w:val="22"/>
          <w:szCs w:val="22"/>
          <w:shd w:val="clear" w:color="auto" w:fill="FFFFFF"/>
        </w:rPr>
        <w:t>Caso os produtos/equipamentos venham a sofrer alterações que impliquem em perda de qualidade no prazo de sua validade, fica a CONTRATADA obrigada a efetuar a troca dos mesmos nas qualidades e quantidades relativas, sem ônus para a Administração Pública, no prazo de 05 (cinco) dias úteis do prazo da notificação.</w:t>
      </w:r>
    </w:p>
    <w:p w14:paraId="48121520">
      <w:pPr>
        <w:pStyle w:val="127"/>
        <w:suppressAutoHyphens/>
        <w:spacing w:before="240" w:after="240" w:line="336" w:lineRule="auto"/>
        <w:ind w:left="0" w:leftChars="0" w:firstLine="0" w:firstLineChars="0"/>
        <w:jc w:val="both"/>
        <w:rPr>
          <w:rFonts w:hint="default" w:ascii="Arial" w:hAnsi="Arial" w:cs="Arial"/>
          <w:sz w:val="22"/>
          <w:szCs w:val="22"/>
        </w:rPr>
      </w:pPr>
      <w:r>
        <w:rPr>
          <w:rFonts w:hint="default" w:ascii="Arial" w:hAnsi="Arial" w:cs="Arial"/>
          <w:b/>
          <w:bCs/>
          <w:sz w:val="22"/>
          <w:szCs w:val="22"/>
          <w:shd w:val="clear" w:color="auto" w:fill="FFFFFF"/>
          <w:lang w:val="pt-BR"/>
        </w:rPr>
        <w:t>12.9</w:t>
      </w:r>
      <w:r>
        <w:rPr>
          <w:rFonts w:hint="default" w:ascii="Arial" w:hAnsi="Arial" w:cs="Arial"/>
          <w:sz w:val="22"/>
          <w:szCs w:val="22"/>
          <w:shd w:val="clear" w:color="auto" w:fill="FFFFFF"/>
        </w:rPr>
        <w:t xml:space="preserve"> Caso os reagentes percam suas características ou deteriorem-se, e, estando estes dentro do prazo de validade ou tempo de vida útil, assim como em condições normais de estocagem, uso e manuseio, deverão ser trocados no prazo máximo a ser determinado pelo Fiscal do Contrato, contados a partir da comunicação formal, ficando por conta e ônus da CONTRATADA todas as despesas decorrentes para a efetivação da troca.</w:t>
      </w:r>
    </w:p>
    <w:p w14:paraId="2479EAA9">
      <w:pPr>
        <w:pStyle w:val="127"/>
        <w:suppressAutoHyphens/>
        <w:spacing w:before="240" w:after="240" w:line="336" w:lineRule="auto"/>
        <w:ind w:left="0" w:leftChars="0" w:firstLine="0" w:firstLineChars="0"/>
        <w:jc w:val="both"/>
        <w:rPr>
          <w:rFonts w:hint="default" w:ascii="Arial" w:hAnsi="Arial" w:cs="Arial"/>
          <w:sz w:val="22"/>
          <w:szCs w:val="22"/>
          <w:shd w:val="clear" w:color="auto" w:fill="FFFFFF"/>
        </w:rPr>
      </w:pPr>
      <w:r>
        <w:rPr>
          <w:rFonts w:hint="default" w:ascii="Arial" w:hAnsi="Arial" w:cs="Arial"/>
          <w:b/>
          <w:bCs/>
          <w:sz w:val="22"/>
          <w:szCs w:val="22"/>
          <w:shd w:val="clear" w:color="auto" w:fill="FFFFFF"/>
          <w:lang w:val="pt-BR"/>
        </w:rPr>
        <w:t>12.10</w:t>
      </w:r>
      <w:r>
        <w:rPr>
          <w:rFonts w:hint="default" w:ascii="Arial" w:hAnsi="Arial" w:cs="Arial"/>
          <w:sz w:val="22"/>
          <w:szCs w:val="22"/>
          <w:shd w:val="clear" w:color="auto" w:fill="FFFFFF"/>
          <w:lang w:val="pt-BR"/>
        </w:rPr>
        <w:t xml:space="preserve"> </w:t>
      </w:r>
      <w:r>
        <w:rPr>
          <w:rFonts w:hint="default" w:ascii="Arial" w:hAnsi="Arial" w:cs="Arial"/>
          <w:sz w:val="22"/>
          <w:szCs w:val="22"/>
          <w:shd w:val="clear" w:color="auto" w:fill="FFFFFF"/>
        </w:rPr>
        <w:t xml:space="preserve">O período de validade será oferecido pela CONTRATADA em sua proposta comercial, observado o prazo mínimo exigido neste Termo de Referência. </w:t>
      </w:r>
    </w:p>
    <w:p w14:paraId="4CF3CD83">
      <w:pPr>
        <w:pStyle w:val="127"/>
        <w:suppressAutoHyphens/>
        <w:spacing w:before="240" w:after="240" w:line="336" w:lineRule="auto"/>
        <w:ind w:left="0" w:leftChars="0" w:firstLine="0" w:firstLineChars="0"/>
        <w:jc w:val="both"/>
        <w:rPr>
          <w:rFonts w:hint="default" w:ascii="Arial" w:hAnsi="Arial" w:cs="Arial"/>
          <w:sz w:val="22"/>
          <w:szCs w:val="22"/>
        </w:rPr>
      </w:pPr>
      <w:r>
        <w:rPr>
          <w:rFonts w:hint="default" w:ascii="Arial" w:hAnsi="Arial" w:cs="Arial"/>
          <w:b/>
          <w:bCs/>
          <w:sz w:val="22"/>
          <w:szCs w:val="22"/>
          <w:shd w:val="clear" w:color="auto" w:fill="FFFFFF"/>
          <w:lang w:val="pt-BR"/>
        </w:rPr>
        <w:t>12.11</w:t>
      </w:r>
      <w:r>
        <w:rPr>
          <w:rFonts w:hint="default" w:ascii="Arial" w:hAnsi="Arial" w:cs="Arial"/>
          <w:sz w:val="22"/>
          <w:szCs w:val="22"/>
          <w:shd w:val="clear" w:color="auto" w:fill="FFFFFF"/>
          <w:lang w:val="pt-BR"/>
        </w:rPr>
        <w:t xml:space="preserve"> </w:t>
      </w:r>
      <w:r>
        <w:rPr>
          <w:rFonts w:hint="default" w:ascii="Arial" w:hAnsi="Arial" w:cs="Arial"/>
          <w:sz w:val="22"/>
          <w:szCs w:val="22"/>
          <w:shd w:val="clear" w:color="auto" w:fill="FFFFFF"/>
        </w:rPr>
        <w:t>A CONTRATADA fica obrigada, durante o período de validade e em caso de necessidade de substituição de reagentes que não mais existam no mercado, ou que estejam fora de linha de fabricação, em razão de evolução tecnológica ou que, por qualquer outro motivo o fabricante não mais o produza, a proceder à substituição por produto equivalente ou superior.</w:t>
      </w:r>
    </w:p>
    <w:p w14:paraId="1DF4090D">
      <w:pPr>
        <w:spacing w:before="120" w:beforeLines="50" w:after="120" w:afterLines="50" w:line="360" w:lineRule="auto"/>
        <w:ind w:left="0" w:leftChars="0" w:firstLine="0" w:firstLineChars="0"/>
        <w:jc w:val="both"/>
        <w:rPr>
          <w:rFonts w:hint="default" w:ascii="Arial" w:hAnsi="Arial" w:cs="Arial"/>
          <w:sz w:val="22"/>
          <w:szCs w:val="22"/>
        </w:rPr>
      </w:pPr>
      <w:r>
        <w:rPr>
          <w:rFonts w:hint="default" w:ascii="Arial" w:hAnsi="Arial" w:cs="Arial"/>
          <w:b/>
          <w:bCs/>
          <w:sz w:val="22"/>
          <w:szCs w:val="22"/>
          <w:lang w:val="pt-BR"/>
        </w:rPr>
        <w:t>12.12</w:t>
      </w:r>
      <w:r>
        <w:rPr>
          <w:rFonts w:hint="default" w:ascii="Arial" w:hAnsi="Arial" w:cs="Arial"/>
          <w:sz w:val="22"/>
          <w:szCs w:val="22"/>
          <w:lang w:val="pt-BR"/>
        </w:rPr>
        <w:t xml:space="preserve"> </w:t>
      </w:r>
      <w:r>
        <w:rPr>
          <w:rFonts w:hint="default" w:ascii="Arial" w:hAnsi="Arial" w:cs="Arial"/>
          <w:sz w:val="22"/>
          <w:szCs w:val="22"/>
        </w:rPr>
        <w:t>Fornecer o objeto nas especificações e com a qualidade exigida dentro das normas da OMS.</w:t>
      </w:r>
    </w:p>
    <w:p w14:paraId="292E6F1E">
      <w:pPr>
        <w:spacing w:before="120" w:beforeLines="50" w:after="120" w:afterLines="50" w:line="360" w:lineRule="auto"/>
        <w:jc w:val="both"/>
        <w:rPr>
          <w:rFonts w:hint="default" w:ascii="Arial" w:hAnsi="Arial" w:cs="Arial"/>
          <w:sz w:val="22"/>
          <w:szCs w:val="22"/>
        </w:rPr>
      </w:pPr>
      <w:r>
        <w:rPr>
          <w:rFonts w:hint="default" w:ascii="Arial" w:hAnsi="Arial" w:cs="Arial"/>
          <w:b/>
          <w:bCs/>
          <w:sz w:val="22"/>
          <w:szCs w:val="22"/>
          <w:lang w:val="pt-BR"/>
        </w:rPr>
        <w:t>12.13</w:t>
      </w:r>
      <w:r>
        <w:rPr>
          <w:rFonts w:hint="default" w:ascii="Arial" w:hAnsi="Arial" w:cs="Arial"/>
          <w:sz w:val="22"/>
          <w:szCs w:val="22"/>
          <w:lang w:val="pt-BR"/>
        </w:rPr>
        <w:t xml:space="preserve"> </w:t>
      </w:r>
      <w:r>
        <w:rPr>
          <w:rFonts w:hint="default" w:ascii="Arial" w:hAnsi="Arial" w:cs="Arial"/>
          <w:sz w:val="22"/>
          <w:szCs w:val="22"/>
        </w:rPr>
        <w:t>A solicitação de amostras das empresas ganhadoras, catálogos, folders, prospectos ou laudos analíticos e laboratoriais, os mesmos deverão ser apresentados na quantidade solicitada no prazo máximo de 72 horas contadas do recebimento da solicitação.</w:t>
      </w:r>
    </w:p>
    <w:p w14:paraId="090E0DC1">
      <w:pPr>
        <w:spacing w:before="120" w:beforeLines="50" w:after="120" w:afterLines="50" w:line="360" w:lineRule="auto"/>
        <w:jc w:val="both"/>
        <w:rPr>
          <w:rFonts w:hint="default" w:ascii="Arial" w:hAnsi="Arial" w:cs="Arial"/>
          <w:sz w:val="22"/>
          <w:szCs w:val="22"/>
        </w:rPr>
      </w:pPr>
      <w:r>
        <w:rPr>
          <w:rFonts w:hint="default" w:ascii="Arial" w:hAnsi="Arial" w:cs="Arial"/>
          <w:b/>
          <w:bCs/>
          <w:sz w:val="22"/>
          <w:szCs w:val="22"/>
          <w:lang w:val="pt-BR"/>
        </w:rPr>
        <w:t>12.14</w:t>
      </w:r>
      <w:r>
        <w:rPr>
          <w:rFonts w:hint="default" w:ascii="Arial" w:hAnsi="Arial" w:cs="Arial"/>
          <w:b/>
          <w:bCs/>
          <w:sz w:val="22"/>
          <w:szCs w:val="22"/>
        </w:rPr>
        <w:t xml:space="preserve"> </w:t>
      </w:r>
      <w:r>
        <w:rPr>
          <w:rFonts w:hint="default" w:ascii="Arial" w:hAnsi="Arial" w:cs="Arial"/>
          <w:sz w:val="22"/>
          <w:szCs w:val="22"/>
        </w:rPr>
        <w:t xml:space="preserve">Todo produto que apresente má qualidade, prazo de validade inferior a 18 meses, ou 80% de sua validade, contados da data de recebimento, deverá ser substituído imediatamente pelo fornecedor. </w:t>
      </w:r>
    </w:p>
    <w:p w14:paraId="2741574A">
      <w:pPr>
        <w:spacing w:before="120" w:beforeLines="50" w:after="120" w:afterLines="50" w:line="360" w:lineRule="auto"/>
        <w:jc w:val="both"/>
        <w:rPr>
          <w:rFonts w:hint="default" w:ascii="Arial" w:hAnsi="Arial" w:cs="Arial"/>
          <w:sz w:val="22"/>
          <w:szCs w:val="22"/>
        </w:rPr>
      </w:pPr>
      <w:r>
        <w:rPr>
          <w:rFonts w:hint="default" w:ascii="Arial" w:hAnsi="Arial" w:cs="Arial"/>
          <w:b/>
          <w:bCs/>
          <w:sz w:val="22"/>
          <w:szCs w:val="22"/>
          <w:lang w:val="pt-BR"/>
        </w:rPr>
        <w:t>12.15</w:t>
      </w:r>
      <w:r>
        <w:rPr>
          <w:rFonts w:hint="default" w:ascii="Arial" w:hAnsi="Arial" w:cs="Arial"/>
          <w:sz w:val="22"/>
          <w:szCs w:val="22"/>
          <w:lang w:val="pt-BR"/>
        </w:rPr>
        <w:t xml:space="preserve"> </w:t>
      </w:r>
      <w:r>
        <w:rPr>
          <w:rFonts w:hint="default" w:ascii="Arial" w:hAnsi="Arial" w:cs="Arial"/>
          <w:sz w:val="22"/>
          <w:szCs w:val="22"/>
        </w:rPr>
        <w:t>Se no ato do recebimento dos produtos for constatado que a quantidade entregue é menor que a constante na nota fiscal, deverá ser imediatamente complementada.</w:t>
      </w:r>
    </w:p>
    <w:p w14:paraId="0E6332A9">
      <w:pPr>
        <w:pStyle w:val="122"/>
        <w:pBdr>
          <w:top w:val="double" w:color="auto" w:sz="4" w:space="1"/>
          <w:left w:val="double" w:color="auto" w:sz="4" w:space="4"/>
          <w:bottom w:val="double" w:color="auto" w:sz="4" w:space="1"/>
          <w:right w:val="double" w:color="auto" w:sz="4" w:space="4"/>
        </w:pBdr>
        <w:shd w:val="clear" w:color="auto" w:fill="D9D9D9"/>
        <w:spacing w:line="24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Terceira</w:t>
      </w:r>
    </w:p>
    <w:p w14:paraId="3AAA9C4A">
      <w:pPr>
        <w:pStyle w:val="122"/>
        <w:pBdr>
          <w:top w:val="double" w:color="auto" w:sz="4" w:space="1"/>
          <w:left w:val="double" w:color="auto" w:sz="4" w:space="4"/>
          <w:bottom w:val="double" w:color="auto" w:sz="4" w:space="1"/>
          <w:right w:val="double" w:color="auto" w:sz="4" w:space="4"/>
        </w:pBdr>
        <w:shd w:val="clear" w:color="auto" w:fill="D9D9D9"/>
        <w:spacing w:line="240" w:lineRule="auto"/>
        <w:jc w:val="center"/>
        <w:rPr>
          <w:rFonts w:hint="default" w:ascii="Arial" w:hAnsi="Arial" w:cs="Arial"/>
          <w:szCs w:val="22"/>
          <w:lang w:val="pt-BR"/>
        </w:rPr>
      </w:pPr>
      <w:r>
        <w:rPr>
          <w:rFonts w:ascii="Arial" w:hAnsi="Arial" w:cs="Arial"/>
          <w:b/>
          <w:bCs/>
          <w:szCs w:val="22"/>
        </w:rPr>
        <w:t>DAS OBRIGAÇÕES</w:t>
      </w:r>
      <w:r>
        <w:rPr>
          <w:rFonts w:ascii="Arial" w:hAnsi="Arial" w:cs="Arial"/>
          <w:szCs w:val="22"/>
        </w:rPr>
        <w:t xml:space="preserve">  </w:t>
      </w:r>
      <w:r>
        <w:rPr>
          <w:rFonts w:hint="default" w:ascii="Arial" w:hAnsi="Arial" w:cs="Arial"/>
          <w:b/>
          <w:bCs/>
          <w:szCs w:val="22"/>
          <w:lang w:val="pt-BR"/>
        </w:rPr>
        <w:t>DA CONTRATANTE E DA CONTRATADA</w:t>
      </w:r>
    </w:p>
    <w:p w14:paraId="1B1A323D">
      <w:pPr>
        <w:pStyle w:val="21"/>
        <w:spacing w:before="240" w:after="240" w:line="360" w:lineRule="auto"/>
        <w:rPr>
          <w:sz w:val="22"/>
          <w:szCs w:val="22"/>
        </w:rPr>
      </w:pPr>
      <w:r>
        <w:rPr>
          <w:b/>
          <w:sz w:val="22"/>
          <w:szCs w:val="22"/>
        </w:rPr>
        <w:t>1</w:t>
      </w:r>
      <w:r>
        <w:rPr>
          <w:rFonts w:hint="default"/>
          <w:b/>
          <w:sz w:val="22"/>
          <w:szCs w:val="22"/>
          <w:lang w:val="pt-BR"/>
        </w:rPr>
        <w:t>3</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w:t>
      </w:r>
      <w:r>
        <w:rPr>
          <w:b w:val="0"/>
          <w:bCs/>
          <w:sz w:val="22"/>
          <w:szCs w:val="22"/>
        </w:rPr>
        <w:t>:</w:t>
      </w:r>
    </w:p>
    <w:p w14:paraId="48792CB3">
      <w:pPr>
        <w:pStyle w:val="133"/>
        <w:numPr>
          <w:ilvl w:val="0"/>
          <w:numId w:val="0"/>
        </w:numPr>
        <w:spacing w:line="360" w:lineRule="auto"/>
        <w:ind w:left="0" w:leftChars="0" w:firstLine="481" w:firstLineChars="218"/>
        <w:rPr>
          <w:sz w:val="22"/>
          <w:szCs w:val="22"/>
        </w:rPr>
      </w:pPr>
      <w:r>
        <w:rPr>
          <w:rFonts w:hint="default"/>
          <w:b/>
          <w:bCs/>
          <w:sz w:val="22"/>
          <w:szCs w:val="22"/>
          <w:lang w:val="pt-BR"/>
        </w:rPr>
        <w:t>13.1.1.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3474A5AB">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13.1.2. </w:t>
      </w:r>
      <w:r>
        <w:rPr>
          <w:sz w:val="22"/>
          <w:szCs w:val="22"/>
        </w:rPr>
        <w:t>Receber o objeto no prazo e condições estabelecidas no Termo de Referência</w:t>
      </w:r>
      <w:r>
        <w:rPr>
          <w:rFonts w:hint="default"/>
          <w:sz w:val="22"/>
          <w:szCs w:val="22"/>
          <w:lang w:val="pt-BR"/>
        </w:rPr>
        <w:t xml:space="preserve"> e na Ata de Registro de Preços</w:t>
      </w:r>
      <w:r>
        <w:rPr>
          <w:sz w:val="22"/>
          <w:szCs w:val="22"/>
        </w:rPr>
        <w:t>;</w:t>
      </w:r>
    </w:p>
    <w:p w14:paraId="4BAD5C85">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622A2E1A">
      <w:pPr>
        <w:pStyle w:val="133"/>
        <w:numPr>
          <w:ilvl w:val="0"/>
          <w:numId w:val="0"/>
        </w:numPr>
        <w:spacing w:line="360" w:lineRule="auto"/>
        <w:ind w:left="0" w:leftChars="0" w:firstLine="481" w:firstLineChars="218"/>
        <w:rPr>
          <w:sz w:val="22"/>
          <w:szCs w:val="22"/>
        </w:rPr>
      </w:pPr>
      <w:r>
        <w:rPr>
          <w:rFonts w:hint="default"/>
          <w:b/>
          <w:bCs/>
          <w:sz w:val="22"/>
          <w:szCs w:val="22"/>
          <w:lang w:val="pt-BR"/>
        </w:rPr>
        <w:t>13.1.4.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objeto da contratação</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836F725">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13.1.5.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22BA1485">
      <w:pPr>
        <w:pStyle w:val="133"/>
        <w:numPr>
          <w:ilvl w:val="0"/>
          <w:numId w:val="0"/>
        </w:numPr>
        <w:spacing w:line="360" w:lineRule="auto"/>
        <w:ind w:left="0" w:leftChars="0" w:firstLine="481" w:firstLineChars="218"/>
        <w:rPr>
          <w:sz w:val="22"/>
          <w:szCs w:val="22"/>
        </w:rPr>
      </w:pPr>
      <w:r>
        <w:rPr>
          <w:rFonts w:hint="default"/>
          <w:b/>
          <w:bCs/>
          <w:sz w:val="22"/>
          <w:szCs w:val="22"/>
          <w:lang w:val="pt-BR"/>
        </w:rPr>
        <w:t>13.1.6.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3EF098D8">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13.1.7.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1D5495F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13.1.8.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5E448FE9">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13.1.9.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da contratação</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223385CC">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13.1.10.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69ADB525">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13.1.11.</w:t>
      </w:r>
      <w:r>
        <w:rPr>
          <w:rFonts w:ascii="Arial" w:hAnsi="Arial" w:cs="Arial"/>
          <w:sz w:val="22"/>
          <w:szCs w:val="22"/>
        </w:rPr>
        <w:t xml:space="preserve"> Prestar à detentora da Ata toda e qualquer informação, por esta solicitada, necessária à perfeita execução do objeto;</w:t>
      </w:r>
    </w:p>
    <w:p w14:paraId="69A24BF2">
      <w:pPr>
        <w:pStyle w:val="118"/>
        <w:suppressLineNumbers w:val="0"/>
        <w:spacing w:before="240" w:after="240" w:line="360" w:lineRule="auto"/>
        <w:ind w:left="0" w:leftChars="0" w:firstLine="481" w:firstLineChars="218"/>
        <w:rPr>
          <w:rFonts w:hint="default"/>
          <w:lang w:val="pt-BR"/>
        </w:rPr>
      </w:pPr>
      <w:r>
        <w:rPr>
          <w:rFonts w:hint="default"/>
          <w:b/>
          <w:lang w:val="pt-BR"/>
        </w:rPr>
        <w:t>13.1.12.</w:t>
      </w:r>
      <w:r>
        <w:t xml:space="preserve"> Efetuar o pagamento à detentora da Ata no prazo avençado, após a entrega da nota fiscal, devidamente atestada pelo fiscal</w:t>
      </w:r>
      <w:r>
        <w:rPr>
          <w:rFonts w:hint="default"/>
          <w:lang w:val="pt-BR"/>
        </w:rPr>
        <w:t>.</w:t>
      </w:r>
    </w:p>
    <w:p w14:paraId="65AA6258">
      <w:pPr>
        <w:spacing w:before="240" w:after="240" w:line="360" w:lineRule="auto"/>
        <w:jc w:val="both"/>
        <w:rPr>
          <w:rFonts w:hint="default"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w:t>
      </w:r>
      <w:r>
        <w:rPr>
          <w:rFonts w:hint="default" w:ascii="Arial" w:hAnsi="Arial" w:cs="Arial"/>
          <w:b w:val="0"/>
          <w:bCs/>
          <w:sz w:val="22"/>
          <w:szCs w:val="22"/>
        </w:rPr>
        <w:t>:</w:t>
      </w:r>
    </w:p>
    <w:p w14:paraId="25DD0AB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13.2.1.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0012F3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13.2.2.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4B16B79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3425205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13.2.4.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1E83EC4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2556DD5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248E0B4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do </w:t>
      </w:r>
      <w:r>
        <w:rPr>
          <w:rFonts w:hint="default"/>
          <w:sz w:val="22"/>
          <w:szCs w:val="22"/>
          <w:lang w:val="pt-BR"/>
        </w:rPr>
        <w:t>c</w:t>
      </w:r>
      <w:r>
        <w:rPr>
          <w:sz w:val="22"/>
          <w:szCs w:val="22"/>
        </w:rPr>
        <w:t>ontrato;</w:t>
      </w:r>
    </w:p>
    <w:p w14:paraId="75873B5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1D11931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7127FA3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0F1162A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13.2.11.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22508AA5">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5E6C19D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sz w:val="22"/>
          <w:szCs w:val="22"/>
          <w:lang w:val="pt-BR"/>
        </w:rPr>
        <w:t>da contratação</w:t>
      </w:r>
      <w:r>
        <w:rPr>
          <w:sz w:val="22"/>
          <w:szCs w:val="22"/>
        </w:rPr>
        <w:t xml:space="preserve">; </w:t>
      </w:r>
    </w:p>
    <w:p w14:paraId="5A266A6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20269EE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65F7F014">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3</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1E35D4D9">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4C04E32C">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08EEEA75">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13.2.19.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6EE61BB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13.2.20.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1431F62A">
      <w:pPr>
        <w:pStyle w:val="122"/>
        <w:pBdr>
          <w:top w:val="double" w:color="auto" w:sz="4" w:space="1"/>
          <w:left w:val="double" w:color="auto" w:sz="4" w:space="4"/>
          <w:bottom w:val="double" w:color="auto" w:sz="4" w:space="1"/>
          <w:right w:val="double" w:color="auto" w:sz="4" w:space="4"/>
        </w:pBdr>
        <w:shd w:val="clear" w:color="auto" w:fill="D9D9D9"/>
        <w:spacing w:line="24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Quarta</w:t>
      </w:r>
    </w:p>
    <w:p w14:paraId="37AFC8F9">
      <w:pPr>
        <w:pStyle w:val="122"/>
        <w:pBdr>
          <w:top w:val="double" w:color="auto" w:sz="4" w:space="1"/>
          <w:left w:val="double" w:color="auto" w:sz="4" w:space="4"/>
          <w:bottom w:val="double" w:color="auto" w:sz="4" w:space="1"/>
          <w:right w:val="double" w:color="auto" w:sz="4" w:space="4"/>
        </w:pBdr>
        <w:shd w:val="clear" w:color="auto" w:fill="D9D9D9"/>
        <w:spacing w:line="240" w:lineRule="auto"/>
        <w:jc w:val="center"/>
        <w:rPr>
          <w:rFonts w:hint="default" w:ascii="Arial" w:hAnsi="Arial" w:cs="Arial"/>
          <w:szCs w:val="22"/>
          <w:lang w:val="pt-BR"/>
        </w:rPr>
      </w:pPr>
      <w:r>
        <w:rPr>
          <w:rFonts w:ascii="Arial" w:hAnsi="Arial" w:cs="Arial"/>
          <w:b/>
          <w:bCs/>
          <w:szCs w:val="22"/>
        </w:rPr>
        <w:t xml:space="preserve">DAS </w:t>
      </w:r>
      <w:r>
        <w:rPr>
          <w:rFonts w:hint="default" w:ascii="Arial" w:hAnsi="Arial" w:cs="Arial"/>
          <w:b/>
          <w:bCs/>
          <w:szCs w:val="22"/>
          <w:lang w:val="pt-BR"/>
        </w:rPr>
        <w:t>CONDIÇÕES GERAIS</w:t>
      </w:r>
    </w:p>
    <w:p w14:paraId="423288F9">
      <w:pPr>
        <w:rPr>
          <w:rFonts w:ascii="Arial" w:hAnsi="Arial" w:cs="Arial"/>
          <w:sz w:val="22"/>
          <w:szCs w:val="22"/>
        </w:rPr>
      </w:pPr>
    </w:p>
    <w:p w14:paraId="7943F358">
      <w:pPr>
        <w:pStyle w:val="122"/>
        <w:tabs>
          <w:tab w:val="left" w:pos="1701"/>
        </w:tabs>
        <w:spacing w:line="360" w:lineRule="auto"/>
        <w:rPr>
          <w:rFonts w:ascii="Arial" w:hAnsi="Arial" w:cs="Arial"/>
          <w:szCs w:val="22"/>
        </w:rPr>
      </w:pPr>
      <w:r>
        <w:rPr>
          <w:rFonts w:ascii="Arial" w:hAnsi="Arial" w:cs="Arial"/>
          <w:b/>
          <w:szCs w:val="22"/>
          <w:lang w:val="pt-BR"/>
        </w:rPr>
        <w:t>1</w:t>
      </w:r>
      <w:r>
        <w:rPr>
          <w:rFonts w:hint="default" w:ascii="Arial" w:hAnsi="Arial" w:cs="Arial"/>
          <w:b/>
          <w:szCs w:val="22"/>
          <w:lang w:val="pt-BR"/>
        </w:rPr>
        <w:t>4</w:t>
      </w:r>
      <w:r>
        <w:rPr>
          <w:rFonts w:ascii="Arial" w:hAnsi="Arial" w:cs="Arial"/>
          <w:b/>
          <w:szCs w:val="22"/>
        </w:rPr>
        <w:t>.1</w:t>
      </w:r>
      <w:r>
        <w:rPr>
          <w:rFonts w:ascii="Arial" w:hAnsi="Arial" w:cs="Arial"/>
          <w:b/>
          <w:szCs w:val="22"/>
          <w:lang w:val="pt-BR"/>
        </w:rPr>
        <w:t>.</w:t>
      </w:r>
      <w:r>
        <w:rPr>
          <w:rFonts w:ascii="Arial" w:hAnsi="Arial" w:cs="Arial"/>
          <w:szCs w:val="22"/>
          <w:lang w:val="pt-BR"/>
        </w:rPr>
        <w:t xml:space="preserve"> </w:t>
      </w:r>
      <w:r>
        <w:rPr>
          <w:rFonts w:ascii="Arial" w:hAnsi="Arial" w:cs="Arial"/>
          <w:szCs w:val="22"/>
        </w:rPr>
        <w:t>Integram esta Ata</w:t>
      </w:r>
      <w:r>
        <w:rPr>
          <w:rFonts w:hint="default" w:ascii="Arial" w:hAnsi="Arial" w:cs="Arial"/>
          <w:szCs w:val="22"/>
          <w:lang w:val="pt-BR"/>
        </w:rPr>
        <w:t xml:space="preserve"> de Registro de Preços</w:t>
      </w:r>
      <w:r>
        <w:rPr>
          <w:rFonts w:ascii="Arial" w:hAnsi="Arial" w:cs="Arial"/>
          <w:szCs w:val="22"/>
        </w:rPr>
        <w:t xml:space="preserve">, o </w:t>
      </w:r>
      <w:r>
        <w:rPr>
          <w:rFonts w:hint="default" w:ascii="Arial" w:hAnsi="Arial" w:cs="Arial"/>
          <w:szCs w:val="22"/>
          <w:lang w:val="pt-BR"/>
        </w:rPr>
        <w:t>E</w:t>
      </w:r>
      <w:r>
        <w:rPr>
          <w:rFonts w:ascii="Arial" w:hAnsi="Arial" w:cs="Arial"/>
          <w:szCs w:val="22"/>
        </w:rPr>
        <w:t>dital d</w:t>
      </w:r>
      <w:r>
        <w:rPr>
          <w:rFonts w:ascii="Arial" w:hAnsi="Arial" w:cs="Arial"/>
          <w:szCs w:val="22"/>
          <w:lang w:val="pt-BR"/>
        </w:rPr>
        <w:t>o</w:t>
      </w:r>
      <w:r>
        <w:rPr>
          <w:rFonts w:ascii="Arial" w:hAnsi="Arial" w:cs="Arial"/>
          <w:szCs w:val="22"/>
        </w:rPr>
        <w:t xml:space="preserve"> Pregão Eletrônico nº</w:t>
      </w:r>
      <w:r>
        <w:rPr>
          <w:rFonts w:hint="default" w:ascii="Arial" w:hAnsi="Arial" w:cs="Arial"/>
          <w:szCs w:val="22"/>
          <w:lang w:val="pt-BR"/>
        </w:rPr>
        <w:t>09/2025, o Termo de Referência</w:t>
      </w:r>
      <w:r>
        <w:rPr>
          <w:rFonts w:ascii="Arial" w:hAnsi="Arial" w:cs="Arial"/>
          <w:szCs w:val="22"/>
        </w:rPr>
        <w:t xml:space="preserve"> e a </w:t>
      </w:r>
      <w:r>
        <w:rPr>
          <w:rFonts w:hint="default" w:ascii="Arial" w:hAnsi="Arial" w:cs="Arial"/>
          <w:szCs w:val="22"/>
          <w:lang w:val="pt-BR"/>
        </w:rPr>
        <w:t>P</w:t>
      </w:r>
      <w:r>
        <w:rPr>
          <w:rFonts w:ascii="Arial" w:hAnsi="Arial" w:cs="Arial"/>
          <w:szCs w:val="22"/>
        </w:rPr>
        <w:t xml:space="preserve">roposta </w:t>
      </w:r>
      <w:r>
        <w:rPr>
          <w:rFonts w:hint="default" w:ascii="Arial" w:hAnsi="Arial" w:cs="Arial"/>
          <w:szCs w:val="22"/>
          <w:lang w:val="pt-BR"/>
        </w:rPr>
        <w:t xml:space="preserve">de Preços </w:t>
      </w:r>
      <w:r>
        <w:rPr>
          <w:rFonts w:ascii="Arial" w:hAnsi="Arial" w:cs="Arial"/>
          <w:szCs w:val="22"/>
        </w:rPr>
        <w:t xml:space="preserve">da empresa classificada em </w:t>
      </w:r>
      <w:r>
        <w:rPr>
          <w:rFonts w:hint="default" w:ascii="Arial" w:hAnsi="Arial" w:cs="Arial"/>
          <w:szCs w:val="22"/>
          <w:lang w:val="pt-BR"/>
        </w:rPr>
        <w:t xml:space="preserve">primeiro </w:t>
      </w:r>
      <w:r>
        <w:rPr>
          <w:rFonts w:ascii="Arial" w:hAnsi="Arial" w:cs="Arial"/>
          <w:szCs w:val="22"/>
        </w:rPr>
        <w:t>lugar no certame supranumerado.</w:t>
      </w:r>
    </w:p>
    <w:p w14:paraId="6C54BE7D">
      <w:pPr>
        <w:pStyle w:val="135"/>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rPr>
        <w:t>1</w:t>
      </w:r>
      <w:r>
        <w:rPr>
          <w:rFonts w:hint="default" w:cs="Arial"/>
          <w:b/>
          <w:bCs/>
          <w:i w:val="0"/>
          <w:iCs w:val="0"/>
          <w:color w:val="auto"/>
          <w:sz w:val="22"/>
          <w:szCs w:val="22"/>
          <w:lang w:val="pt-BR"/>
        </w:rPr>
        <w:t>4</w:t>
      </w:r>
      <w:r>
        <w:rPr>
          <w:rFonts w:hint="default" w:ascii="Arial" w:hAnsi="Arial" w:cs="Arial"/>
          <w:b/>
          <w:bCs/>
          <w:i w:val="0"/>
          <w:iCs w:val="0"/>
          <w:color w:val="auto"/>
          <w:sz w:val="22"/>
          <w:szCs w:val="22"/>
        </w:rPr>
        <w:t>.2</w:t>
      </w:r>
      <w:r>
        <w:rPr>
          <w:rFonts w:hint="default" w:ascii="Arial" w:hAnsi="Arial" w:cs="Arial"/>
          <w:i w:val="0"/>
          <w:iCs w:val="0"/>
          <w:color w:val="auto"/>
          <w:sz w:val="22"/>
          <w:szCs w:val="22"/>
        </w:rPr>
        <w:t xml:space="preserve"> Os casos omissos serão decididos pela Administração Pública,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14.133</w:t>
      </w:r>
      <w:r>
        <w:rPr>
          <w:rStyle w:val="14"/>
          <w:rFonts w:hint="default" w:cs="Arial"/>
          <w:i w:val="0"/>
          <w:iCs w:val="0"/>
          <w:color w:val="auto"/>
          <w:sz w:val="22"/>
          <w:szCs w:val="22"/>
          <w:u w:val="none"/>
          <w:lang w:val="pt-BR"/>
        </w:rPr>
        <w:t>/2</w:t>
      </w:r>
      <w:r>
        <w:rPr>
          <w:rStyle w:val="14"/>
          <w:rFonts w:hint="default" w:ascii="Arial" w:hAnsi="Arial" w:cs="Arial"/>
          <w:i w:val="0"/>
          <w:iCs w:val="0"/>
          <w:color w:val="auto"/>
          <w:sz w:val="22"/>
          <w:szCs w:val="22"/>
          <w:u w:val="none"/>
        </w:rPr>
        <w:t>021</w:t>
      </w:r>
      <w:r>
        <w:rPr>
          <w:rStyle w:val="14"/>
          <w:rFonts w:hint="default" w:ascii="Arial" w:hAnsi="Arial" w:cs="Arial"/>
          <w:i w:val="0"/>
          <w:iCs w:val="0"/>
          <w:color w:val="auto"/>
          <w:sz w:val="22"/>
          <w:szCs w:val="22"/>
          <w:u w:val="none"/>
        </w:rPr>
        <w:fldChar w:fldCharType="end"/>
      </w:r>
      <w:r>
        <w:rPr>
          <w:rStyle w:val="14"/>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rPr>
        <w:t xml:space="preserve">e, subsidiariamente,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"https://www.planalto.gov.br/ccivil_03/leis/l8078compilado.htm"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8.078</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1990 – Código de Defesa do Consumidor</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 – e normas e </w:t>
      </w:r>
      <w:r>
        <w:rPr>
          <w:rFonts w:hint="default" w:cs="Arial"/>
          <w:i w:val="0"/>
          <w:iCs w:val="0"/>
          <w:color w:val="auto"/>
          <w:sz w:val="22"/>
          <w:szCs w:val="22"/>
          <w:lang w:val="pt-BR"/>
        </w:rPr>
        <w:t>P</w:t>
      </w:r>
      <w:r>
        <w:rPr>
          <w:rFonts w:hint="default" w:ascii="Arial" w:hAnsi="Arial" w:cs="Arial"/>
          <w:i w:val="0"/>
          <w:iCs w:val="0"/>
          <w:color w:val="auto"/>
          <w:sz w:val="22"/>
          <w:szCs w:val="22"/>
        </w:rPr>
        <w:t xml:space="preserve">rincípios </w:t>
      </w:r>
      <w:r>
        <w:rPr>
          <w:rFonts w:hint="default" w:cs="Arial"/>
          <w:i w:val="0"/>
          <w:iCs w:val="0"/>
          <w:color w:val="auto"/>
          <w:sz w:val="22"/>
          <w:szCs w:val="22"/>
          <w:lang w:val="pt-BR"/>
        </w:rPr>
        <w:t>G</w:t>
      </w:r>
      <w:r>
        <w:rPr>
          <w:rFonts w:hint="default" w:ascii="Arial" w:hAnsi="Arial" w:cs="Arial"/>
          <w:i w:val="0"/>
          <w:iCs w:val="0"/>
          <w:color w:val="auto"/>
          <w:sz w:val="22"/>
          <w:szCs w:val="22"/>
        </w:rPr>
        <w:t xml:space="preserve">erais dos </w:t>
      </w:r>
      <w:r>
        <w:rPr>
          <w:rFonts w:hint="default" w:cs="Arial"/>
          <w:i w:val="0"/>
          <w:iCs w:val="0"/>
          <w:color w:val="auto"/>
          <w:sz w:val="22"/>
          <w:szCs w:val="22"/>
          <w:lang w:val="pt-BR"/>
        </w:rPr>
        <w:t>C</w:t>
      </w:r>
      <w:r>
        <w:rPr>
          <w:rFonts w:hint="default" w:ascii="Arial" w:hAnsi="Arial" w:cs="Arial"/>
          <w:i w:val="0"/>
          <w:iCs w:val="0"/>
          <w:color w:val="auto"/>
          <w:sz w:val="22"/>
          <w:szCs w:val="22"/>
        </w:rPr>
        <w:t>ontratos.</w:t>
      </w:r>
    </w:p>
    <w:p w14:paraId="6B5D4EAB">
      <w:pPr>
        <w:pStyle w:val="155"/>
        <w:keepNext w:val="0"/>
        <w:keepLines w:val="0"/>
        <w:pageBreakBefore w:val="0"/>
        <w:tabs>
          <w:tab w:val="left" w:pos="180"/>
        </w:tabs>
        <w:kinsoku/>
        <w:wordWrap/>
        <w:overflowPunct/>
        <w:topLinePunct w:val="0"/>
        <w:autoSpaceDE/>
        <w:autoSpaceDN/>
        <w:bidi w:val="0"/>
        <w:adjustRightInd/>
        <w:snapToGrid/>
        <w:spacing w:before="181" w:beforeLines="50" w:after="181" w:afterLines="50" w:line="360" w:lineRule="auto"/>
        <w:ind w:right="-1" w:firstLine="0"/>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w:t>
      </w:r>
      <w:r>
        <w:rPr>
          <w:rFonts w:hint="default" w:ascii="Arial" w:hAnsi="Arial" w:cs="Arial"/>
          <w:b/>
          <w:bCs/>
          <w:sz w:val="22"/>
          <w:szCs w:val="22"/>
        </w:rPr>
        <w:t>.3</w:t>
      </w:r>
      <w:r>
        <w:rPr>
          <w:rFonts w:hint="default" w:ascii="Arial" w:hAnsi="Arial" w:cs="Arial"/>
          <w:sz w:val="22"/>
          <w:szCs w:val="22"/>
        </w:rPr>
        <w:t xml:space="preserve"> Todas as alterações que se fizerem necessárias serão registradas por intermédio de lavratura de </w:t>
      </w:r>
      <w:r>
        <w:rPr>
          <w:rFonts w:hint="default" w:ascii="Arial" w:hAnsi="Arial" w:cs="Arial"/>
          <w:sz w:val="22"/>
          <w:szCs w:val="22"/>
          <w:lang w:val="pt-BR"/>
        </w:rPr>
        <w:t>T</w:t>
      </w:r>
      <w:r>
        <w:rPr>
          <w:rFonts w:hint="default" w:ascii="Arial" w:hAnsi="Arial" w:cs="Arial"/>
          <w:sz w:val="22"/>
          <w:szCs w:val="22"/>
        </w:rPr>
        <w:t xml:space="preserve">ermo </w:t>
      </w:r>
      <w:r>
        <w:rPr>
          <w:rFonts w:hint="default" w:ascii="Arial" w:hAnsi="Arial" w:cs="Arial"/>
          <w:sz w:val="22"/>
          <w:szCs w:val="22"/>
          <w:lang w:val="pt-BR"/>
        </w:rPr>
        <w:t>A</w:t>
      </w:r>
      <w:r>
        <w:rPr>
          <w:rFonts w:hint="default" w:ascii="Arial" w:hAnsi="Arial" w:cs="Arial"/>
          <w:sz w:val="22"/>
          <w:szCs w:val="22"/>
        </w:rPr>
        <w:t>ditivo a presente Ata de Registro de Preços.</w:t>
      </w:r>
    </w:p>
    <w:p w14:paraId="4F6FB92F">
      <w:pPr>
        <w:pStyle w:val="133"/>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color w:val="auto"/>
          <w:sz w:val="22"/>
          <w:szCs w:val="22"/>
        </w:rPr>
      </w:pPr>
      <w:r>
        <w:rPr>
          <w:rFonts w:hint="default" w:ascii="Arial" w:hAnsi="Arial" w:cs="Arial"/>
          <w:b/>
          <w:bCs/>
          <w:color w:val="auto"/>
          <w:sz w:val="22"/>
          <w:szCs w:val="22"/>
        </w:rPr>
        <w:t>1</w:t>
      </w:r>
      <w:r>
        <w:rPr>
          <w:rFonts w:hint="default" w:cs="Arial"/>
          <w:b/>
          <w:bCs/>
          <w:color w:val="auto"/>
          <w:sz w:val="22"/>
          <w:szCs w:val="22"/>
          <w:lang w:val="pt-BR"/>
        </w:rPr>
        <w:t>4</w:t>
      </w:r>
      <w:r>
        <w:rPr>
          <w:rFonts w:hint="default" w:ascii="Arial" w:hAnsi="Arial" w:cs="Arial"/>
          <w:b/>
          <w:bCs/>
          <w:color w:val="auto"/>
          <w:sz w:val="22"/>
          <w:szCs w:val="22"/>
        </w:rPr>
        <w:t>.4</w:t>
      </w:r>
      <w:r>
        <w:rPr>
          <w:rFonts w:hint="default" w:ascii="Arial" w:hAnsi="Arial" w:cs="Arial"/>
          <w:color w:val="auto"/>
          <w:sz w:val="22"/>
          <w:szCs w:val="22"/>
        </w:rPr>
        <w:t xml:space="preserve"> Incumbirá à Administração Pública divulgar o presente instrumento no Portal Nacional de Contratações Públicas (PNCP), na forma prevista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"art94" </w:instrText>
      </w:r>
      <w:r>
        <w:rPr>
          <w:rFonts w:hint="default" w:ascii="Arial" w:hAnsi="Arial" w:cs="Arial"/>
          <w:sz w:val="22"/>
          <w:szCs w:val="22"/>
        </w:rPr>
        <w:fldChar w:fldCharType="separate"/>
      </w:r>
      <w:r>
        <w:rPr>
          <w:rStyle w:val="14"/>
          <w:rFonts w:hint="default" w:ascii="Arial" w:hAnsi="Arial" w:cs="Arial"/>
          <w:color w:val="auto"/>
          <w:sz w:val="22"/>
          <w:szCs w:val="22"/>
          <w:u w:val="none"/>
        </w:rPr>
        <w:t xml:space="preserve">art. 94 da Lei </w:t>
      </w:r>
      <w:r>
        <w:rPr>
          <w:rStyle w:val="14"/>
          <w:rFonts w:hint="default" w:cs="Arial"/>
          <w:color w:val="auto"/>
          <w:sz w:val="22"/>
          <w:szCs w:val="22"/>
          <w:u w:val="none"/>
          <w:lang w:val="pt-BR"/>
        </w:rPr>
        <w:t>Federal n.°</w:t>
      </w:r>
      <w:r>
        <w:rPr>
          <w:rStyle w:val="14"/>
          <w:rFonts w:hint="default" w:ascii="Arial" w:hAnsi="Arial" w:cs="Arial"/>
          <w:color w:val="auto"/>
          <w:sz w:val="22"/>
          <w:szCs w:val="22"/>
          <w:u w:val="none"/>
        </w:rPr>
        <w:t>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rPr>
        <w:t>, bem como no respectivo sítio oficial na Internet, assim como no Diário Oficial do Estado de Mato Grosso e Diário Oficial do Tribunal de Contas do Estado de Mato Grosso.</w:t>
      </w:r>
    </w:p>
    <w:p w14:paraId="12A8FC27">
      <w:pPr>
        <w:pStyle w:val="122"/>
        <w:pBdr>
          <w:top w:val="double" w:color="auto" w:sz="4" w:space="1"/>
          <w:left w:val="double" w:color="auto" w:sz="4" w:space="4"/>
          <w:bottom w:val="double" w:color="auto" w:sz="4" w:space="1"/>
          <w:right w:val="double" w:color="auto" w:sz="4" w:space="4"/>
        </w:pBdr>
        <w:shd w:val="clear" w:color="auto" w:fill="D9D9D9"/>
        <w:spacing w:line="240" w:lineRule="auto"/>
        <w:jc w:val="center"/>
        <w:rPr>
          <w:rFonts w:ascii="Arial" w:hAnsi="Arial" w:cs="Arial"/>
          <w:b/>
          <w:bCs/>
          <w:szCs w:val="22"/>
        </w:rPr>
      </w:pPr>
      <w:r>
        <w:rPr>
          <w:rFonts w:ascii="Arial" w:hAnsi="Arial" w:cs="Arial"/>
          <w:b/>
          <w:bCs/>
          <w:szCs w:val="22"/>
        </w:rPr>
        <w:t xml:space="preserve">Cláusula Décima </w:t>
      </w:r>
      <w:r>
        <w:rPr>
          <w:rFonts w:hint="default" w:ascii="Arial" w:hAnsi="Arial" w:cs="Arial"/>
          <w:b/>
          <w:bCs/>
          <w:szCs w:val="22"/>
          <w:lang w:val="pt-BR"/>
        </w:rPr>
        <w:t>Quint</w:t>
      </w:r>
      <w:r>
        <w:rPr>
          <w:rFonts w:ascii="Arial" w:hAnsi="Arial" w:cs="Arial"/>
          <w:b/>
          <w:bCs/>
          <w:szCs w:val="22"/>
        </w:rPr>
        <w:t>a</w:t>
      </w:r>
    </w:p>
    <w:p w14:paraId="61F56501">
      <w:pPr>
        <w:pStyle w:val="122"/>
        <w:pBdr>
          <w:top w:val="double" w:color="auto" w:sz="4" w:space="1"/>
          <w:left w:val="double" w:color="auto" w:sz="4" w:space="4"/>
          <w:bottom w:val="double" w:color="auto" w:sz="4" w:space="1"/>
          <w:right w:val="double" w:color="auto" w:sz="4" w:space="4"/>
        </w:pBdr>
        <w:shd w:val="clear" w:color="auto" w:fill="D9D9D9"/>
        <w:spacing w:line="24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O FORO</w:t>
      </w:r>
    </w:p>
    <w:p w14:paraId="36C5AB52">
      <w:pPr>
        <w:pStyle w:val="26"/>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As partes elegem o foro da comarca de Sinop, Estado de Mato Grosso, como único competente para dirimir quaisquer ações oriundas desta Ata </w:t>
      </w:r>
      <w:r>
        <w:rPr>
          <w:rFonts w:hint="default" w:ascii="Arial" w:hAnsi="Arial" w:cs="Arial"/>
          <w:sz w:val="22"/>
          <w:szCs w:val="22"/>
          <w:lang w:val="pt-BR"/>
        </w:rPr>
        <w:t xml:space="preserve">de Registro de Preços </w:t>
      </w:r>
      <w:r>
        <w:rPr>
          <w:rFonts w:ascii="Arial" w:hAnsi="Arial" w:cs="Arial"/>
          <w:sz w:val="22"/>
          <w:szCs w:val="22"/>
        </w:rPr>
        <w:t>com exclusão de qualquer outro, por mais privilegiado que seja.</w:t>
      </w:r>
    </w:p>
    <w:p w14:paraId="23D1BD78">
      <w:pPr>
        <w:pStyle w:val="122"/>
        <w:spacing w:line="360" w:lineRule="auto"/>
        <w:jc w:val="center"/>
        <w:rPr>
          <w:rFonts w:ascii="Arial" w:hAnsi="Arial" w:cs="Arial"/>
          <w:b/>
          <w:szCs w:val="22"/>
          <w:lang w:val="pt-BR"/>
        </w:rPr>
      </w:pPr>
    </w:p>
    <w:p w14:paraId="233F2EA5">
      <w:pPr>
        <w:pStyle w:val="122"/>
        <w:spacing w:line="360" w:lineRule="auto"/>
        <w:jc w:val="center"/>
        <w:rPr>
          <w:rFonts w:ascii="Arial" w:hAnsi="Arial" w:cs="Arial"/>
          <w:b/>
          <w:szCs w:val="22"/>
          <w:lang w:val="pt-BR"/>
        </w:rPr>
      </w:pPr>
    </w:p>
    <w:p w14:paraId="394A8411">
      <w:pPr>
        <w:pStyle w:val="122"/>
        <w:spacing w:line="360" w:lineRule="auto"/>
        <w:jc w:val="center"/>
        <w:rPr>
          <w:rFonts w:ascii="Arial" w:hAnsi="Arial" w:cs="Arial"/>
          <w:b/>
          <w:szCs w:val="22"/>
          <w:lang w:val="pt-BR"/>
        </w:rPr>
      </w:pPr>
    </w:p>
    <w:p w14:paraId="79DAF7DE">
      <w:pPr>
        <w:pStyle w:val="122"/>
        <w:spacing w:line="360" w:lineRule="auto"/>
        <w:jc w:val="center"/>
        <w:rPr>
          <w:rFonts w:ascii="Arial" w:hAnsi="Arial" w:cs="Arial"/>
          <w:b/>
          <w:szCs w:val="22"/>
          <w:lang w:val="pt-BR"/>
        </w:rPr>
      </w:pPr>
      <w:r>
        <w:rPr>
          <w:rFonts w:ascii="Arial" w:hAnsi="Arial" w:cs="Arial"/>
          <w:b/>
          <w:szCs w:val="22"/>
          <w:lang w:val="pt-BR"/>
        </w:rPr>
        <w:t>PREFEITURA MUNICIPAL DE SINOP</w:t>
      </w:r>
    </w:p>
    <w:p w14:paraId="36F2CB80">
      <w:pPr>
        <w:pStyle w:val="122"/>
        <w:spacing w:line="360" w:lineRule="auto"/>
        <w:jc w:val="center"/>
        <w:rPr>
          <w:rFonts w:ascii="Arial" w:hAnsi="Arial" w:cs="Arial"/>
          <w:b/>
          <w:szCs w:val="22"/>
          <w:lang w:val="pt-BR"/>
        </w:rPr>
      </w:pPr>
      <w:r>
        <w:rPr>
          <w:rFonts w:ascii="Arial" w:hAnsi="Arial" w:cs="Arial"/>
          <w:b/>
          <w:szCs w:val="22"/>
          <w:lang w:val="pt-BR"/>
        </w:rPr>
        <w:t>ROBERTO DORNER</w:t>
      </w:r>
    </w:p>
    <w:p w14:paraId="6210CAD1">
      <w:pPr>
        <w:pStyle w:val="122"/>
        <w:spacing w:line="360" w:lineRule="auto"/>
        <w:jc w:val="center"/>
        <w:rPr>
          <w:rFonts w:ascii="Arial" w:hAnsi="Arial" w:cs="Arial"/>
          <w:b/>
          <w:szCs w:val="22"/>
          <w:lang w:val="pt-BR"/>
        </w:rPr>
      </w:pPr>
      <w:r>
        <w:rPr>
          <w:rFonts w:ascii="Arial" w:hAnsi="Arial" w:cs="Arial"/>
          <w:b/>
          <w:szCs w:val="22"/>
          <w:lang w:val="pt-BR"/>
        </w:rPr>
        <w:t xml:space="preserve">Prefeito Municipal </w:t>
      </w:r>
    </w:p>
    <w:p w14:paraId="6FE35EF8">
      <w:pPr>
        <w:pStyle w:val="122"/>
        <w:spacing w:line="360" w:lineRule="auto"/>
        <w:jc w:val="center"/>
        <w:rPr>
          <w:rFonts w:ascii="Arial" w:hAnsi="Arial" w:cs="Arial"/>
          <w:b/>
          <w:szCs w:val="22"/>
          <w:lang w:val="pt-BR"/>
        </w:rPr>
      </w:pPr>
    </w:p>
    <w:p w14:paraId="170290B1">
      <w:pPr>
        <w:pStyle w:val="122"/>
        <w:spacing w:line="360" w:lineRule="auto"/>
        <w:jc w:val="center"/>
        <w:rPr>
          <w:rFonts w:ascii="Arial" w:hAnsi="Arial" w:cs="Arial"/>
          <w:b/>
          <w:szCs w:val="22"/>
          <w:lang w:val="pt-BR"/>
        </w:rPr>
      </w:pPr>
    </w:p>
    <w:p w14:paraId="34F11D63">
      <w:pPr>
        <w:pStyle w:val="122"/>
        <w:spacing w:line="360" w:lineRule="auto"/>
        <w:jc w:val="center"/>
        <w:rPr>
          <w:rFonts w:ascii="Arial" w:hAnsi="Arial" w:cs="Arial"/>
          <w:b/>
          <w:szCs w:val="22"/>
          <w:lang w:val="pt-BR"/>
        </w:rPr>
      </w:pPr>
    </w:p>
    <w:p w14:paraId="08B9C6ED">
      <w:pPr>
        <w:spacing w:line="360" w:lineRule="auto"/>
        <w:jc w:val="center"/>
        <w:rPr>
          <w:rFonts w:ascii="Arial" w:hAnsi="Arial" w:cs="Arial"/>
          <w:b/>
          <w:sz w:val="22"/>
          <w:szCs w:val="22"/>
        </w:rPr>
      </w:pPr>
      <w:r>
        <w:rPr>
          <w:rFonts w:ascii="Arial" w:hAnsi="Arial" w:cs="Arial"/>
          <w:b/>
          <w:sz w:val="22"/>
          <w:szCs w:val="22"/>
        </w:rPr>
        <w:t>EMPRESA DETENTORA DO PREÇO REGISTRADO</w:t>
      </w:r>
    </w:p>
    <w:p w14:paraId="0D79D7C7">
      <w:pPr>
        <w:pStyle w:val="122"/>
        <w:spacing w:line="360" w:lineRule="auto"/>
        <w:jc w:val="center"/>
        <w:rPr>
          <w:rFonts w:ascii="Arial" w:hAnsi="Arial" w:cs="Arial"/>
          <w:b/>
          <w:szCs w:val="22"/>
        </w:rPr>
      </w:pPr>
      <w:r>
        <w:rPr>
          <w:rFonts w:ascii="Arial" w:hAnsi="Arial" w:cs="Arial"/>
          <w:b/>
          <w:szCs w:val="22"/>
        </w:rPr>
        <w:t>(Futura contratada)</w:t>
      </w:r>
    </w:p>
    <w:p w14:paraId="142A71E6">
      <w:pPr>
        <w:rPr>
          <w:rFonts w:ascii="Arial" w:hAnsi="Arial" w:cs="Arial"/>
          <w:b/>
          <w:szCs w:val="22"/>
        </w:rPr>
      </w:pPr>
      <w:r>
        <w:rPr>
          <w:rFonts w:ascii="Arial" w:hAnsi="Arial" w:cs="Arial"/>
          <w:b/>
          <w:szCs w:val="22"/>
        </w:rPr>
        <w:br w:type="page"/>
      </w:r>
    </w:p>
    <w:p w14:paraId="64402028">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hint="default" w:ascii="Arial" w:hAnsi="Arial" w:cs="Arial"/>
          <w:bCs/>
          <w:color w:val="auto"/>
          <w:sz w:val="22"/>
          <w:szCs w:val="22"/>
          <w:u w:val="none"/>
        </w:rPr>
        <w:t xml:space="preserve">ANEXO </w:t>
      </w:r>
      <w:r>
        <w:rPr>
          <w:rFonts w:hint="default" w:ascii="Arial" w:hAnsi="Arial" w:cs="Arial"/>
          <w:bCs/>
          <w:color w:val="auto"/>
          <w:sz w:val="22"/>
          <w:szCs w:val="22"/>
          <w:u w:val="none"/>
          <w:lang w:val="pt-BR"/>
        </w:rPr>
        <w:t>V</w:t>
      </w:r>
    </w:p>
    <w:p w14:paraId="69944EEC">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w:t>
      </w:r>
      <w:r>
        <w:rPr>
          <w:rFonts w:hint="default" w:ascii="Arial" w:hAnsi="Arial" w:cs="Arial"/>
          <w:bCs/>
          <w:color w:val="auto"/>
          <w:sz w:val="22"/>
          <w:szCs w:val="22"/>
          <w:u w:val="none"/>
          <w:lang w:val="pt-BR"/>
        </w:rPr>
        <w:t xml:space="preserve">CADASTRO RESERVA </w:t>
      </w:r>
    </w:p>
    <w:p w14:paraId="0E660066">
      <w:pPr>
        <w:widowControl w:val="0"/>
        <w:autoSpaceDE w:val="0"/>
        <w:autoSpaceDN w:val="0"/>
        <w:adjustRightInd w:val="0"/>
        <w:spacing w:line="360" w:lineRule="auto"/>
        <w:ind w:right="-30"/>
        <w:jc w:val="center"/>
        <w:rPr>
          <w:rFonts w:hint="default" w:ascii="Arial" w:hAnsi="Arial" w:cs="Arial"/>
          <w:color w:val="auto"/>
          <w:sz w:val="22"/>
          <w:szCs w:val="22"/>
        </w:rPr>
      </w:pPr>
    </w:p>
    <w:p w14:paraId="5CBF075B">
      <w:pPr>
        <w:widowControl w:val="0"/>
        <w:autoSpaceDE w:val="0"/>
        <w:autoSpaceDN w:val="0"/>
        <w:adjustRightInd w:val="0"/>
        <w:spacing w:line="360" w:lineRule="auto"/>
        <w:ind w:right="-30"/>
        <w:jc w:val="center"/>
        <w:rPr>
          <w:rFonts w:hint="default" w:ascii="Arial" w:hAnsi="Arial" w:cs="Arial"/>
          <w:color w:val="auto"/>
          <w:sz w:val="22"/>
          <w:szCs w:val="22"/>
        </w:rPr>
      </w:pPr>
    </w:p>
    <w:p w14:paraId="2078E2D0">
      <w:pPr>
        <w:widowControl w:val="0"/>
        <w:numPr>
          <w:ilvl w:val="1"/>
          <w:numId w:val="26"/>
        </w:numPr>
        <w:autoSpaceDE w:val="0"/>
        <w:autoSpaceDN w:val="0"/>
        <w:adjustRightInd w:val="0"/>
        <w:spacing w:line="360" w:lineRule="auto"/>
        <w:ind w:right="-3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aceitaram cotar os itens com preços iguais ao adjudicatário:</w:t>
      </w:r>
    </w:p>
    <w:p w14:paraId="651F8E40">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14:paraId="7F9CB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noWrap w:val="0"/>
            <w:vAlign w:val="center"/>
          </w:tcPr>
          <w:p w14:paraId="2BCBF6A7">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14:paraId="1851E1B2">
            <w:pPr>
              <w:widowControl w:val="0"/>
              <w:autoSpaceDE w:val="0"/>
              <w:autoSpaceDN w:val="0"/>
              <w:adjustRightInd w:val="0"/>
              <w:spacing w:line="360" w:lineRule="auto"/>
              <w:ind w:right="-30"/>
              <w:jc w:val="both"/>
              <w:rPr>
                <w:rFonts w:ascii="Arial" w:hAnsi="Arial" w:cs="Arial"/>
                <w:b/>
                <w:bCs/>
                <w:i w:val="0"/>
                <w:iCs w:val="0"/>
                <w:sz w:val="22"/>
                <w:szCs w:val="22"/>
              </w:rPr>
            </w:pPr>
          </w:p>
        </w:tc>
        <w:tc>
          <w:tcPr>
            <w:tcW w:w="8895" w:type="dxa"/>
            <w:gridSpan w:val="8"/>
            <w:noWrap w:val="0"/>
            <w:vAlign w:val="top"/>
          </w:tcPr>
          <w:p w14:paraId="21E2460F">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201B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14:paraId="4FCDFB25">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14:paraId="15C2B641">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150" w:type="dxa"/>
            <w:noWrap w:val="0"/>
            <w:vAlign w:val="top"/>
          </w:tcPr>
          <w:p w14:paraId="76768CE8">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5F65BD2C">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1BAFB64B">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289CA81B">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42E4F144">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4F614FC9">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3EDDA42E">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5DCE14E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30006F70">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844" w:type="dxa"/>
            <w:noWrap w:val="0"/>
            <w:vAlign w:val="top"/>
          </w:tcPr>
          <w:p w14:paraId="189520F2">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7103D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14:paraId="7E05E128">
            <w:pPr>
              <w:widowControl w:val="0"/>
              <w:autoSpaceDE w:val="0"/>
              <w:autoSpaceDN w:val="0"/>
              <w:adjustRightInd w:val="0"/>
              <w:spacing w:line="360" w:lineRule="auto"/>
              <w:ind w:right="-30"/>
              <w:jc w:val="both"/>
              <w:rPr>
                <w:rFonts w:ascii="Arial" w:hAnsi="Arial" w:cs="Arial"/>
                <w:i w:val="0"/>
                <w:iCs w:val="0"/>
                <w:sz w:val="22"/>
                <w:szCs w:val="22"/>
              </w:rPr>
            </w:pPr>
          </w:p>
        </w:tc>
        <w:tc>
          <w:tcPr>
            <w:tcW w:w="1436" w:type="dxa"/>
            <w:noWrap w:val="0"/>
            <w:vAlign w:val="top"/>
          </w:tcPr>
          <w:p w14:paraId="4BFAA989">
            <w:pPr>
              <w:widowControl w:val="0"/>
              <w:autoSpaceDE w:val="0"/>
              <w:autoSpaceDN w:val="0"/>
              <w:adjustRightInd w:val="0"/>
              <w:spacing w:line="360" w:lineRule="auto"/>
              <w:ind w:right="-30"/>
              <w:jc w:val="both"/>
              <w:rPr>
                <w:rFonts w:ascii="Arial" w:hAnsi="Arial" w:cs="Arial"/>
                <w:i w:val="0"/>
                <w:iCs w:val="0"/>
                <w:sz w:val="22"/>
                <w:szCs w:val="22"/>
              </w:rPr>
            </w:pPr>
          </w:p>
        </w:tc>
        <w:tc>
          <w:tcPr>
            <w:tcW w:w="1150" w:type="dxa"/>
            <w:noWrap w:val="0"/>
            <w:vAlign w:val="top"/>
          </w:tcPr>
          <w:p w14:paraId="0605B277">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2E30CDD8">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67BA7EC6">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1058AD81">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77A92EA9">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01DA271F">
            <w:pPr>
              <w:widowControl w:val="0"/>
              <w:autoSpaceDE w:val="0"/>
              <w:autoSpaceDN w:val="0"/>
              <w:adjustRightInd w:val="0"/>
              <w:spacing w:line="360" w:lineRule="auto"/>
              <w:ind w:right="-30"/>
              <w:jc w:val="both"/>
              <w:rPr>
                <w:rFonts w:ascii="Arial" w:hAnsi="Arial" w:cs="Arial"/>
                <w:i w:val="0"/>
                <w:iCs w:val="0"/>
                <w:sz w:val="22"/>
                <w:szCs w:val="22"/>
              </w:rPr>
            </w:pPr>
          </w:p>
        </w:tc>
        <w:tc>
          <w:tcPr>
            <w:tcW w:w="844" w:type="dxa"/>
            <w:noWrap w:val="0"/>
            <w:vAlign w:val="top"/>
          </w:tcPr>
          <w:p w14:paraId="6BE355E3">
            <w:pPr>
              <w:widowControl w:val="0"/>
              <w:autoSpaceDE w:val="0"/>
              <w:autoSpaceDN w:val="0"/>
              <w:adjustRightInd w:val="0"/>
              <w:spacing w:line="360" w:lineRule="auto"/>
              <w:ind w:right="-30"/>
              <w:jc w:val="both"/>
              <w:rPr>
                <w:rFonts w:ascii="Arial" w:hAnsi="Arial" w:cs="Arial"/>
                <w:i w:val="0"/>
                <w:iCs w:val="0"/>
                <w:sz w:val="22"/>
                <w:szCs w:val="22"/>
              </w:rPr>
            </w:pPr>
          </w:p>
        </w:tc>
      </w:tr>
    </w:tbl>
    <w:p w14:paraId="265B6792">
      <w:pPr>
        <w:widowControl w:val="0"/>
        <w:autoSpaceDE w:val="0"/>
        <w:autoSpaceDN w:val="0"/>
        <w:adjustRightInd w:val="0"/>
        <w:spacing w:line="360" w:lineRule="auto"/>
        <w:ind w:right="-30"/>
        <w:jc w:val="center"/>
        <w:rPr>
          <w:rFonts w:hint="default" w:ascii="Arial" w:hAnsi="Arial" w:cs="Arial"/>
          <w:color w:val="auto"/>
          <w:sz w:val="22"/>
          <w:szCs w:val="22"/>
        </w:rPr>
      </w:pPr>
    </w:p>
    <w:p w14:paraId="523DC934">
      <w:pPr>
        <w:widowControl w:val="0"/>
        <w:numPr>
          <w:ilvl w:val="1"/>
          <w:numId w:val="26"/>
        </w:numPr>
        <w:autoSpaceDE w:val="0"/>
        <w:autoSpaceDN w:val="0"/>
        <w:adjustRightInd w:val="0"/>
        <w:spacing w:line="360" w:lineRule="auto"/>
        <w:ind w:left="0" w:leftChars="0" w:right="-30" w:firstLine="0" w:firstLineChars="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mantiveram sua proposta original:</w:t>
      </w:r>
    </w:p>
    <w:p w14:paraId="53EB19C9">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14:paraId="59F22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noWrap w:val="0"/>
            <w:vAlign w:val="center"/>
          </w:tcPr>
          <w:p w14:paraId="321CF2A7">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14:paraId="70EAB5EE">
            <w:pPr>
              <w:widowControl w:val="0"/>
              <w:autoSpaceDE w:val="0"/>
              <w:autoSpaceDN w:val="0"/>
              <w:adjustRightInd w:val="0"/>
              <w:spacing w:line="360" w:lineRule="auto"/>
              <w:ind w:right="-30"/>
              <w:jc w:val="both"/>
              <w:rPr>
                <w:rFonts w:ascii="Arial" w:hAnsi="Arial" w:cs="Arial"/>
                <w:b/>
                <w:bCs/>
                <w:i w:val="0"/>
                <w:iCs w:val="0"/>
                <w:sz w:val="22"/>
                <w:szCs w:val="22"/>
              </w:rPr>
            </w:pPr>
          </w:p>
        </w:tc>
        <w:tc>
          <w:tcPr>
            <w:tcW w:w="8895" w:type="dxa"/>
            <w:gridSpan w:val="8"/>
            <w:noWrap w:val="0"/>
            <w:vAlign w:val="top"/>
          </w:tcPr>
          <w:p w14:paraId="788D49FB">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9693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14:paraId="095741C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14:paraId="6171E600">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150" w:type="dxa"/>
            <w:noWrap w:val="0"/>
            <w:vAlign w:val="top"/>
          </w:tcPr>
          <w:p w14:paraId="3D564310">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113B2119">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2FC527A3">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5E1DAF42">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1C90B4FC">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6CE4329A">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564B37B8">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6A3C0B77">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5375D536">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844" w:type="dxa"/>
            <w:noWrap w:val="0"/>
            <w:vAlign w:val="top"/>
          </w:tcPr>
          <w:p w14:paraId="3AB8406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6AC0F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14:paraId="010E42A5">
            <w:pPr>
              <w:widowControl w:val="0"/>
              <w:autoSpaceDE w:val="0"/>
              <w:autoSpaceDN w:val="0"/>
              <w:adjustRightInd w:val="0"/>
              <w:spacing w:line="360" w:lineRule="auto"/>
              <w:ind w:right="-30"/>
              <w:jc w:val="both"/>
              <w:rPr>
                <w:rFonts w:ascii="Arial" w:hAnsi="Arial" w:cs="Arial"/>
                <w:i w:val="0"/>
                <w:iCs w:val="0"/>
                <w:sz w:val="22"/>
                <w:szCs w:val="22"/>
              </w:rPr>
            </w:pPr>
          </w:p>
        </w:tc>
        <w:tc>
          <w:tcPr>
            <w:tcW w:w="1436" w:type="dxa"/>
            <w:noWrap w:val="0"/>
            <w:vAlign w:val="top"/>
          </w:tcPr>
          <w:p w14:paraId="38B535FE">
            <w:pPr>
              <w:widowControl w:val="0"/>
              <w:autoSpaceDE w:val="0"/>
              <w:autoSpaceDN w:val="0"/>
              <w:adjustRightInd w:val="0"/>
              <w:spacing w:line="360" w:lineRule="auto"/>
              <w:ind w:right="-30"/>
              <w:jc w:val="both"/>
              <w:rPr>
                <w:rFonts w:ascii="Arial" w:hAnsi="Arial" w:cs="Arial"/>
                <w:i w:val="0"/>
                <w:iCs w:val="0"/>
                <w:sz w:val="22"/>
                <w:szCs w:val="22"/>
              </w:rPr>
            </w:pPr>
          </w:p>
        </w:tc>
        <w:tc>
          <w:tcPr>
            <w:tcW w:w="1150" w:type="dxa"/>
            <w:noWrap w:val="0"/>
            <w:vAlign w:val="top"/>
          </w:tcPr>
          <w:p w14:paraId="4FF0A49B">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142BC399">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385625B4">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73AB7715">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585E88EB">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448A3462">
            <w:pPr>
              <w:widowControl w:val="0"/>
              <w:autoSpaceDE w:val="0"/>
              <w:autoSpaceDN w:val="0"/>
              <w:adjustRightInd w:val="0"/>
              <w:spacing w:line="360" w:lineRule="auto"/>
              <w:ind w:right="-30"/>
              <w:jc w:val="both"/>
              <w:rPr>
                <w:rFonts w:ascii="Arial" w:hAnsi="Arial" w:cs="Arial"/>
                <w:i w:val="0"/>
                <w:iCs w:val="0"/>
                <w:sz w:val="22"/>
                <w:szCs w:val="22"/>
              </w:rPr>
            </w:pPr>
          </w:p>
        </w:tc>
        <w:tc>
          <w:tcPr>
            <w:tcW w:w="844" w:type="dxa"/>
            <w:noWrap w:val="0"/>
            <w:vAlign w:val="top"/>
          </w:tcPr>
          <w:p w14:paraId="343A8074">
            <w:pPr>
              <w:widowControl w:val="0"/>
              <w:autoSpaceDE w:val="0"/>
              <w:autoSpaceDN w:val="0"/>
              <w:adjustRightInd w:val="0"/>
              <w:spacing w:line="360" w:lineRule="auto"/>
              <w:ind w:right="-30"/>
              <w:jc w:val="both"/>
              <w:rPr>
                <w:rFonts w:ascii="Arial" w:hAnsi="Arial" w:cs="Arial"/>
                <w:i w:val="0"/>
                <w:iCs w:val="0"/>
                <w:sz w:val="22"/>
                <w:szCs w:val="22"/>
              </w:rPr>
            </w:pPr>
          </w:p>
        </w:tc>
      </w:tr>
    </w:tbl>
    <w:p w14:paraId="0351CBE2">
      <w:pPr>
        <w:widowControl w:val="0"/>
        <w:autoSpaceDE w:val="0"/>
        <w:autoSpaceDN w:val="0"/>
        <w:adjustRightInd w:val="0"/>
        <w:spacing w:line="360" w:lineRule="auto"/>
        <w:ind w:right="-30"/>
        <w:jc w:val="center"/>
        <w:rPr>
          <w:rFonts w:hint="default" w:ascii="Arial" w:hAnsi="Arial" w:cs="Arial"/>
          <w:color w:val="auto"/>
          <w:sz w:val="22"/>
          <w:szCs w:val="22"/>
        </w:rPr>
      </w:pPr>
    </w:p>
    <w:p w14:paraId="7383A5B0">
      <w:pPr>
        <w:spacing w:line="360" w:lineRule="auto"/>
        <w:rPr>
          <w:rFonts w:hint="default" w:ascii="Arial" w:hAnsi="Arial" w:cs="Arial"/>
          <w:color w:val="auto"/>
          <w:sz w:val="22"/>
          <w:szCs w:val="22"/>
        </w:rPr>
      </w:pPr>
    </w:p>
    <w:p w14:paraId="7919D22F">
      <w:pPr>
        <w:pStyle w:val="122"/>
        <w:tabs>
          <w:tab w:val="left" w:pos="1701"/>
        </w:tabs>
        <w:spacing w:before="240" w:after="240" w:line="360" w:lineRule="auto"/>
        <w:rPr>
          <w:rFonts w:ascii="Arial" w:hAnsi="Arial" w:cs="Arial"/>
          <w:b/>
          <w:szCs w:val="22"/>
        </w:rPr>
      </w:pPr>
    </w:p>
    <w:sectPr>
      <w:headerReference r:id="rId5" w:type="default"/>
      <w:footerReference r:id="rId6" w:type="default"/>
      <w:footerReference r:id="rId7" w:type="even"/>
      <w:pgSz w:w="11907" w:h="16840"/>
      <w:pgMar w:top="1620" w:right="1129" w:bottom="993" w:left="1418" w:header="0" w:footer="0" w:gutter="0"/>
      <w:pgBorders>
        <w:top w:val="none" w:sz="0" w:space="0"/>
        <w:left w:val="none" w:sz="0" w:space="0"/>
        <w:bottom w:val="none" w:sz="0" w:space="0"/>
        <w:right w:val="none" w:sz="0" w:space="0"/>
      </w:pgBorders>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Lohit Hindi">
    <w:altName w:val="Times New Roman"/>
    <w:panose1 w:val="00000000000000000000"/>
    <w:charset w:val="00"/>
    <w:family w:val="roman"/>
    <w:pitch w:val="default"/>
    <w:sig w:usb0="00000000" w:usb1="00000000" w:usb2="00000000" w:usb3="00000000" w:csb0="00040001" w:csb1="00000000"/>
  </w:font>
  <w:font w:name="TimesNewRomanPS-BoldMT">
    <w:altName w:val="Times New Roman"/>
    <w:panose1 w:val="00000000000000000000"/>
    <w:charset w:val="00"/>
    <w:family w:val="roman"/>
    <w:pitch w:val="default"/>
    <w:sig w:usb0="00000000" w:usb1="00000000" w:usb2="00000000" w:usb3="00000000" w:csb0="00000000" w:csb1="00000000"/>
  </w:font>
  <w:font w:name="Arial MT">
    <w:altName w:val="Arial"/>
    <w:panose1 w:val="00000000000000000000"/>
    <w:charset w:val="01"/>
    <w:family w:val="swiss"/>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8000012" w:usb3="00000000" w:csb0="0002009F" w:csb1="00000000"/>
  </w:font>
  <w:font w:name="Trebuchet MS">
    <w:panose1 w:val="020B0603020202020204"/>
    <w:charset w:val="00"/>
    <w:family w:val="swiss"/>
    <w:pitch w:val="default"/>
    <w:sig w:usb0="00000687" w:usb1="00000000" w:usb2="00000000" w:usb3="00000000" w:csb0="2000009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C2499E">
    <w:pPr>
      <w:pStyle w:val="130"/>
      <w:jc w:val="center"/>
      <w:rPr>
        <w:b/>
      </w:rPr>
    </w:pPr>
    <w:r>
      <w:rPr>
        <w:b/>
      </w:rPr>
      <w:t>Av. das Embaúbas, nº 1386, Setor Comercial, Sinop/MT, CEP 78550-206, Caixa Postal 500</w:t>
    </w:r>
  </w:p>
  <w:p w14:paraId="71993B5D">
    <w:pPr>
      <w:pStyle w:val="130"/>
      <w:jc w:val="center"/>
      <w:rPr>
        <w:b/>
      </w:rPr>
    </w:pPr>
    <w:r>
      <w:rPr>
        <w:b/>
      </w:rPr>
      <w:t>Telefones: (066)</w:t>
    </w:r>
    <w:r>
      <w:rPr>
        <w:rFonts w:hint="default"/>
        <w:b/>
        <w:lang w:val="pt-BR"/>
      </w:rPr>
      <w:t xml:space="preserve"> </w:t>
    </w:r>
    <w:r>
      <w:rPr>
        <w:b/>
      </w:rPr>
      <w:t>3520-7523/3520-7267</w:t>
    </w:r>
  </w:p>
  <w:p w14:paraId="0C35C54D">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14:paraId="1C4148F6">
    <w:pPr>
      <w:pStyle w:val="23"/>
      <w:tabs>
        <w:tab w:val="center" w:pos="4252"/>
        <w:tab w:val="left" w:pos="6036"/>
        <w:tab w:val="right" w:pos="8504"/>
        <w:tab w:val="clear" w:pos="4419"/>
        <w:tab w:val="clear" w:pos="8838"/>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3902F">
    <w:pPr>
      <w:pStyle w:val="24"/>
      <w:jc w:val="center"/>
      <w:rPr>
        <w:rFonts w:hint="default" w:ascii="Calibri" w:hAnsi="Calibri" w:cs="Calibri"/>
        <w:b/>
        <w:sz w:val="22"/>
        <w:szCs w:val="22"/>
      </w:rPr>
    </w:pPr>
    <w:r>
      <w:rPr>
        <w:rFonts w:hint="default" w:ascii="Calibri" w:hAnsi="Calibri" w:cs="Calibri"/>
        <w:sz w:val="22"/>
        <w:szCs w:val="22"/>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48" name="Caixa de Texto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06927A">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NJWO7Q&#10;AAAABQEAAA8AAAAAAAAAAQAgAAAAIgAAAGRycy9kb3ducmV2LnhtbFBLAQIUABQAAAAIAIdO4kDx&#10;7gNKKAIAAGgEAAAOAAAAAAAAAAEAIAAAAB8BAABkcnMvZTJvRG9jLnhtbFBLBQYAAAAABgAGAFkB&#10;AAC5BQAAAAA=&#10;">
              <v:fill on="f" focussize="0,0"/>
              <v:stroke on="f" weight="0.5pt"/>
              <v:imagedata o:title=""/>
              <o:lock v:ext="edit" aspectratio="f"/>
              <v:textbox inset="0mm,0mm,0mm,0mm" style="mso-fit-shape-to-text:t;">
                <w:txbxContent>
                  <w:p w14:paraId="3506927A">
                    <w:pPr>
                      <w:pStyle w:val="24"/>
                    </w:pPr>
                    <w:r>
                      <w:fldChar w:fldCharType="begin"/>
                    </w:r>
                    <w:r>
                      <w:instrText xml:space="preserve"> PAGE  \* MERGEFORMAT </w:instrText>
                    </w:r>
                    <w:r>
                      <w:fldChar w:fldCharType="separate"/>
                    </w:r>
                    <w:r>
                      <w:t>1</w:t>
                    </w:r>
                    <w:r>
                      <w:fldChar w:fldCharType="end"/>
                    </w:r>
                  </w:p>
                </w:txbxContent>
              </v:textbox>
            </v:shape>
          </w:pict>
        </mc:Fallback>
      </mc:AlternateContent>
    </w:r>
    <w:r>
      <w:rPr>
        <w:rFonts w:hint="default" w:ascii="Calibri" w:hAnsi="Calibri" w:cs="Calibri"/>
        <w:b/>
        <w:sz w:val="22"/>
        <w:szCs w:val="22"/>
      </w:rPr>
      <w:t>Av. das Embaúbas, nº 1386, Setor Comercial, Sinop/MT, CEP 78550-206, Caixa Postal 500</w:t>
    </w:r>
  </w:p>
  <w:p w14:paraId="5B7536DA">
    <w:pPr>
      <w:pStyle w:val="130"/>
      <w:jc w:val="center"/>
      <w:rPr>
        <w:b/>
      </w:rPr>
    </w:pPr>
    <w:r>
      <w:rPr>
        <w:b/>
      </w:rPr>
      <w:t>Telefones: (066)</w:t>
    </w:r>
    <w:r>
      <w:rPr>
        <w:rFonts w:hint="default"/>
        <w:b/>
        <w:lang w:val="pt-BR"/>
      </w:rPr>
      <w:t xml:space="preserve"> </w:t>
    </w:r>
    <w:r>
      <w:rPr>
        <w:b/>
      </w:rPr>
      <w:t>3520-7523/3520-7267</w:t>
    </w:r>
  </w:p>
  <w:p w14:paraId="636DE4C3">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14:paraId="56C88075">
    <w:pPr>
      <w:pStyle w:val="130"/>
      <w:jc w:val="center"/>
      <w:rPr>
        <w:b/>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8BB24">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14:paraId="415244BA">
    <w:pPr>
      <w:pStyle w:val="2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76425">
    <w:pPr>
      <w:pStyle w:val="23"/>
      <w:tabs>
        <w:tab w:val="center" w:pos="4252"/>
        <w:tab w:val="right" w:pos="8504"/>
        <w:tab w:val="clear" w:pos="4419"/>
        <w:tab w:val="clear" w:pos="8838"/>
      </w:tabs>
      <w:jc w:val="center"/>
      <w:rPr>
        <w:rFonts w:ascii="Times New Roman" w:hAnsi="Times New Roman" w:cs="Times New Roman"/>
        <w:sz w:val="24"/>
        <w:szCs w:val="24"/>
      </w:rPr>
    </w:pPr>
    <w:bookmarkStart w:id="90" w:name="_Hlk158009937"/>
    <w:bookmarkStart w:id="91" w:name="_Hlk171334113"/>
    <w:bookmarkStart w:id="92" w:name="_Hlk158009938"/>
    <w:bookmarkStart w:id="93" w:name="_Hlk171334112"/>
    <w:r>
      <w:rPr>
        <w:sz w:val="24"/>
      </w:rPr>
      <w:drawing>
        <wp:anchor distT="0" distB="0" distL="114300" distR="114300" simplePos="0" relativeHeight="251662336" behindDoc="1" locked="0" layoutInCell="1" allowOverlap="1">
          <wp:simplePos x="0" y="0"/>
          <wp:positionH relativeFrom="margin">
            <wp:posOffset>5410200</wp:posOffset>
          </wp:positionH>
          <wp:positionV relativeFrom="margin">
            <wp:posOffset>-1227455</wp:posOffset>
          </wp:positionV>
          <wp:extent cx="1100455" cy="937260"/>
          <wp:effectExtent l="0" t="0" r="4445" b="15240"/>
          <wp:wrapNone/>
          <wp:docPr id="29" name="WordPictureWatermark16557" descr="test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WordPictureWatermark16557" descr="teste3"/>
                  <pic:cNvPicPr>
                    <a:picLocks noChangeAspect="1"/>
                  </pic:cNvPicPr>
                </pic:nvPicPr>
                <pic:blipFill>
                  <a:blip r:embed="rId1"/>
                  <a:stretch>
                    <a:fillRect/>
                  </a:stretch>
                </pic:blipFill>
                <pic:spPr>
                  <a:xfrm>
                    <a:off x="0" y="0"/>
                    <a:ext cx="1100455" cy="937260"/>
                  </a:xfrm>
                  <a:prstGeom prst="rect">
                    <a:avLst/>
                  </a:prstGeom>
                </pic:spPr>
              </pic:pic>
            </a:graphicData>
          </a:graphic>
        </wp:anchor>
      </w:drawing>
    </w:r>
  </w:p>
  <w:bookmarkEnd w:id="90"/>
  <w:bookmarkEnd w:id="91"/>
  <w:bookmarkEnd w:id="92"/>
  <w:bookmarkEnd w:id="93"/>
  <w:p w14:paraId="3A3F2636">
    <w:pPr>
      <w:pStyle w:val="23"/>
      <w:tabs>
        <w:tab w:val="center" w:pos="4252"/>
        <w:tab w:val="left" w:pos="6036"/>
        <w:tab w:val="right" w:pos="8504"/>
        <w:tab w:val="clear" w:pos="4419"/>
        <w:tab w:val="clear" w:pos="8838"/>
      </w:tabs>
      <w:jc w:val="center"/>
      <w:rPr>
        <w:rFonts w:ascii="Times New Roman" w:hAnsi="Times New Roman" w:cs="Times New Roman"/>
        <w:b/>
        <w:sz w:val="24"/>
        <w:szCs w:val="24"/>
      </w:rPr>
    </w:pPr>
    <w:r>
      <w:drawing>
        <wp:inline distT="0" distB="0" distL="114300" distR="114300">
          <wp:extent cx="1162685" cy="800735"/>
          <wp:effectExtent l="0" t="0" r="18415" b="18415"/>
          <wp:docPr id="28"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m 1" descr="logo2"/>
                  <pic:cNvPicPr>
                    <a:picLocks noChangeAspect="1"/>
                  </pic:cNvPicPr>
                </pic:nvPicPr>
                <pic:blipFill>
                  <a:blip r:embed="rId2"/>
                  <a:stretch>
                    <a:fillRect/>
                  </a:stretch>
                </pic:blipFill>
                <pic:spPr>
                  <a:xfrm>
                    <a:off x="0" y="0"/>
                    <a:ext cx="1162685" cy="80073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F2647">
    <w:pPr>
      <w:pStyle w:val="23"/>
      <w:jc w:val="center"/>
    </w:pPr>
  </w:p>
  <w:p w14:paraId="4FFAD97E">
    <w:pPr>
      <w:pStyle w:val="23"/>
      <w:jc w:val="center"/>
    </w:pPr>
    <w:r>
      <w:rPr>
        <w:sz w:val="24"/>
      </w:rPr>
      <w:drawing>
        <wp:anchor distT="0" distB="0" distL="114300" distR="114300" simplePos="0" relativeHeight="251661312" behindDoc="1" locked="0" layoutInCell="1" allowOverlap="1">
          <wp:simplePos x="0" y="0"/>
          <wp:positionH relativeFrom="margin">
            <wp:posOffset>5400675</wp:posOffset>
          </wp:positionH>
          <wp:positionV relativeFrom="margin">
            <wp:posOffset>-878205</wp:posOffset>
          </wp:positionV>
          <wp:extent cx="1100455" cy="937260"/>
          <wp:effectExtent l="0" t="0" r="4445" b="15240"/>
          <wp:wrapNone/>
          <wp:docPr id="1" name="WordPictureWatermark16557" descr="test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6557" descr="teste3"/>
                  <pic:cNvPicPr>
                    <a:picLocks noChangeAspect="1"/>
                  </pic:cNvPicPr>
                </pic:nvPicPr>
                <pic:blipFill>
                  <a:blip r:embed="rId1"/>
                  <a:stretch>
                    <a:fillRect/>
                  </a:stretch>
                </pic:blipFill>
                <pic:spPr>
                  <a:xfrm>
                    <a:off x="0" y="0"/>
                    <a:ext cx="1100455" cy="937260"/>
                  </a:xfrm>
                  <a:prstGeom prst="rect">
                    <a:avLst/>
                  </a:prstGeom>
                </pic:spPr>
              </pic:pic>
            </a:graphicData>
          </a:graphic>
        </wp:anchor>
      </w:drawing>
    </w: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2"/>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8316D3"/>
    <w:multiLevelType w:val="singleLevel"/>
    <w:tmpl w:val="C18316D3"/>
    <w:lvl w:ilvl="0" w:tentative="0">
      <w:start w:val="1"/>
      <w:numFmt w:val="lowerLetter"/>
      <w:lvlText w:val="%1)"/>
      <w:lvlJc w:val="left"/>
      <w:pPr>
        <w:tabs>
          <w:tab w:val="left" w:pos="851"/>
        </w:tabs>
        <w:ind w:left="851" w:hanging="425"/>
      </w:pPr>
      <w:rPr>
        <w:b w:val="0"/>
        <w:bCs w:val="0"/>
      </w:rPr>
    </w:lvl>
  </w:abstractNum>
  <w:abstractNum w:abstractNumId="1">
    <w:nsid w:val="C886ADEC"/>
    <w:multiLevelType w:val="multilevel"/>
    <w:tmpl w:val="C886ADEC"/>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ascii="Arial" w:hAnsi="Arial" w:cs="Arial"/>
        <w:b/>
        <w:bCs/>
        <w:sz w:val="22"/>
        <w:szCs w:val="22"/>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
    <w:nsid w:val="0309311B"/>
    <w:multiLevelType w:val="multilevel"/>
    <w:tmpl w:val="0309311B"/>
    <w:lvl w:ilvl="0" w:tentative="0">
      <w:start w:val="5"/>
      <w:numFmt w:val="decimal"/>
      <w:lvlText w:val="%1"/>
      <w:lvlJc w:val="left"/>
      <w:pPr>
        <w:ind w:left="360" w:hanging="360"/>
      </w:pPr>
      <w:rPr>
        <w:rFonts w:hint="default"/>
      </w:rPr>
    </w:lvl>
    <w:lvl w:ilvl="1" w:tentative="0">
      <w:start w:val="1"/>
      <w:numFmt w:val="decimal"/>
      <w:lvlText w:val="%1.%2"/>
      <w:lvlJc w:val="left"/>
      <w:pPr>
        <w:ind w:left="502" w:hanging="360"/>
      </w:pPr>
      <w:rPr>
        <w:rFonts w:hint="default"/>
      </w:rPr>
    </w:lvl>
    <w:lvl w:ilvl="2" w:tentative="0">
      <w:start w:val="1"/>
      <w:numFmt w:val="decimal"/>
      <w:lvlText w:val="%1.%2.%3"/>
      <w:lvlJc w:val="left"/>
      <w:pPr>
        <w:ind w:left="1004" w:hanging="720"/>
      </w:pPr>
      <w:rPr>
        <w:rFonts w:hint="default"/>
      </w:rPr>
    </w:lvl>
    <w:lvl w:ilvl="3" w:tentative="0">
      <w:start w:val="1"/>
      <w:numFmt w:val="decimal"/>
      <w:lvlText w:val="%1.%2.%3.%4"/>
      <w:lvlJc w:val="left"/>
      <w:pPr>
        <w:ind w:left="1146" w:hanging="720"/>
      </w:pPr>
      <w:rPr>
        <w:rFonts w:hint="default" w:ascii="Arial" w:hAnsi="Arial" w:cs="Arial"/>
        <w:b w:val="0"/>
        <w:bCs w:val="0"/>
        <w:sz w:val="22"/>
        <w:szCs w:val="22"/>
      </w:rPr>
    </w:lvl>
    <w:lvl w:ilvl="4" w:tentative="0">
      <w:start w:val="1"/>
      <w:numFmt w:val="decimal"/>
      <w:lvlText w:val="%1.%2.%3.%4.%5"/>
      <w:lvlJc w:val="left"/>
      <w:pPr>
        <w:ind w:left="1648" w:hanging="1080"/>
      </w:pPr>
      <w:rPr>
        <w:rFonts w:hint="default"/>
      </w:rPr>
    </w:lvl>
    <w:lvl w:ilvl="5" w:tentative="0">
      <w:start w:val="1"/>
      <w:numFmt w:val="decimal"/>
      <w:lvlText w:val="%1.%2.%3.%4.%5.%6"/>
      <w:lvlJc w:val="left"/>
      <w:pPr>
        <w:ind w:left="1790" w:hanging="1080"/>
      </w:pPr>
      <w:rPr>
        <w:rFonts w:hint="default"/>
      </w:rPr>
    </w:lvl>
    <w:lvl w:ilvl="6" w:tentative="0">
      <w:start w:val="1"/>
      <w:numFmt w:val="decimal"/>
      <w:lvlText w:val="%1.%2.%3.%4.%5.%6.%7"/>
      <w:lvlJc w:val="left"/>
      <w:pPr>
        <w:ind w:left="2292" w:hanging="1440"/>
      </w:pPr>
      <w:rPr>
        <w:rFonts w:hint="default"/>
      </w:rPr>
    </w:lvl>
    <w:lvl w:ilvl="7" w:tentative="0">
      <w:start w:val="1"/>
      <w:numFmt w:val="decimal"/>
      <w:lvlText w:val="%1.%2.%3.%4.%5.%6.%7.%8"/>
      <w:lvlJc w:val="left"/>
      <w:pPr>
        <w:ind w:left="2434" w:hanging="1440"/>
      </w:pPr>
      <w:rPr>
        <w:rFonts w:hint="default"/>
      </w:rPr>
    </w:lvl>
    <w:lvl w:ilvl="8" w:tentative="0">
      <w:start w:val="1"/>
      <w:numFmt w:val="decimal"/>
      <w:lvlText w:val="%1.%2.%3.%4.%5.%6.%7.%8.%9"/>
      <w:lvlJc w:val="left"/>
      <w:pPr>
        <w:ind w:left="2936" w:hanging="1800"/>
      </w:pPr>
      <w:rPr>
        <w:rFonts w:hint="default"/>
      </w:rPr>
    </w:lvl>
  </w:abstractNum>
  <w:abstractNum w:abstractNumId="3">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4">
    <w:nsid w:val="16DC22D8"/>
    <w:multiLevelType w:val="multilevel"/>
    <w:tmpl w:val="16DC22D8"/>
    <w:lvl w:ilvl="0" w:tentative="0">
      <w:start w:val="1"/>
      <w:numFmt w:val="decimal"/>
      <w:lvlText w:val="%1."/>
      <w:lvlJc w:val="left"/>
      <w:pPr>
        <w:ind w:left="376" w:hanging="360"/>
      </w:pPr>
    </w:lvl>
    <w:lvl w:ilvl="1" w:tentative="0">
      <w:start w:val="1"/>
      <w:numFmt w:val="lowerLetter"/>
      <w:lvlText w:val="%2."/>
      <w:lvlJc w:val="left"/>
      <w:pPr>
        <w:ind w:left="1096" w:hanging="360"/>
      </w:pPr>
    </w:lvl>
    <w:lvl w:ilvl="2" w:tentative="0">
      <w:start w:val="1"/>
      <w:numFmt w:val="lowerRoman"/>
      <w:lvlText w:val="%3."/>
      <w:lvlJc w:val="right"/>
      <w:pPr>
        <w:ind w:left="1816" w:hanging="180"/>
      </w:pPr>
    </w:lvl>
    <w:lvl w:ilvl="3" w:tentative="0">
      <w:start w:val="1"/>
      <w:numFmt w:val="decimal"/>
      <w:lvlText w:val="%4."/>
      <w:lvlJc w:val="left"/>
      <w:pPr>
        <w:ind w:left="2536" w:hanging="360"/>
      </w:pPr>
    </w:lvl>
    <w:lvl w:ilvl="4" w:tentative="0">
      <w:start w:val="1"/>
      <w:numFmt w:val="lowerLetter"/>
      <w:lvlText w:val="%5."/>
      <w:lvlJc w:val="left"/>
      <w:pPr>
        <w:ind w:left="3256" w:hanging="360"/>
      </w:pPr>
    </w:lvl>
    <w:lvl w:ilvl="5" w:tentative="0">
      <w:start w:val="1"/>
      <w:numFmt w:val="lowerRoman"/>
      <w:lvlText w:val="%6."/>
      <w:lvlJc w:val="right"/>
      <w:pPr>
        <w:ind w:left="3976" w:hanging="180"/>
      </w:pPr>
    </w:lvl>
    <w:lvl w:ilvl="6" w:tentative="0">
      <w:start w:val="1"/>
      <w:numFmt w:val="decimal"/>
      <w:lvlText w:val="%7."/>
      <w:lvlJc w:val="left"/>
      <w:pPr>
        <w:ind w:left="4696" w:hanging="360"/>
      </w:pPr>
    </w:lvl>
    <w:lvl w:ilvl="7" w:tentative="0">
      <w:start w:val="1"/>
      <w:numFmt w:val="lowerLetter"/>
      <w:lvlText w:val="%8."/>
      <w:lvlJc w:val="left"/>
      <w:pPr>
        <w:ind w:left="5416" w:hanging="360"/>
      </w:pPr>
    </w:lvl>
    <w:lvl w:ilvl="8" w:tentative="0">
      <w:start w:val="1"/>
      <w:numFmt w:val="lowerRoman"/>
      <w:lvlText w:val="%9."/>
      <w:lvlJc w:val="right"/>
      <w:pPr>
        <w:ind w:left="6136" w:hanging="180"/>
      </w:pPr>
    </w:lvl>
  </w:abstractNum>
  <w:abstractNum w:abstractNumId="5">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6">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val="0"/>
        <w:i w:val="0"/>
        <w:strike w:val="0"/>
        <w:color w:val="auto"/>
        <w:sz w:val="20"/>
        <w:szCs w:val="20"/>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7">
    <w:nsid w:val="1DEA4A55"/>
    <w:multiLevelType w:val="multilevel"/>
    <w:tmpl w:val="1DEA4A55"/>
    <w:lvl w:ilvl="0" w:tentative="0">
      <w:start w:val="6"/>
      <w:numFmt w:val="decimal"/>
      <w:lvlText w:val="%1"/>
      <w:lvlJc w:val="left"/>
      <w:pPr>
        <w:ind w:left="480" w:hanging="480"/>
      </w:pPr>
      <w:rPr>
        <w:rFonts w:hint="default" w:eastAsiaTheme="minorHAnsi"/>
        <w:color w:val="000000" w:themeColor="text1"/>
        <w14:textFill>
          <w14:solidFill>
            <w14:schemeClr w14:val="tx1"/>
          </w14:solidFill>
        </w14:textFill>
      </w:rPr>
    </w:lvl>
    <w:lvl w:ilvl="1" w:tentative="0">
      <w:start w:val="2"/>
      <w:numFmt w:val="decimal"/>
      <w:lvlText w:val="%1.%2"/>
      <w:lvlJc w:val="left"/>
      <w:pPr>
        <w:ind w:left="551" w:hanging="480"/>
      </w:pPr>
      <w:rPr>
        <w:rFonts w:hint="default" w:eastAsiaTheme="minorHAnsi"/>
        <w:color w:val="000000" w:themeColor="text1"/>
        <w14:textFill>
          <w14:solidFill>
            <w14:schemeClr w14:val="tx1"/>
          </w14:solidFill>
        </w14:textFill>
      </w:rPr>
    </w:lvl>
    <w:lvl w:ilvl="2" w:tentative="0">
      <w:start w:val="1"/>
      <w:numFmt w:val="decimal"/>
      <w:lvlText w:val="%1.%2.%3"/>
      <w:lvlJc w:val="left"/>
      <w:pPr>
        <w:ind w:left="862" w:hanging="720"/>
      </w:pPr>
      <w:rPr>
        <w:rFonts w:hint="default" w:eastAsiaTheme="minorHAnsi"/>
        <w:color w:val="000000" w:themeColor="text1"/>
        <w14:textFill>
          <w14:solidFill>
            <w14:schemeClr w14:val="tx1"/>
          </w14:solidFill>
        </w14:textFill>
      </w:rPr>
    </w:lvl>
    <w:lvl w:ilvl="3" w:tentative="0">
      <w:start w:val="1"/>
      <w:numFmt w:val="decimal"/>
      <w:lvlText w:val="%1.%2.%3.%4"/>
      <w:lvlJc w:val="left"/>
      <w:pPr>
        <w:ind w:left="933" w:hanging="720"/>
      </w:pPr>
      <w:rPr>
        <w:rFonts w:hint="default" w:eastAsiaTheme="minorHAnsi"/>
        <w:color w:val="000000" w:themeColor="text1"/>
        <w14:textFill>
          <w14:solidFill>
            <w14:schemeClr w14:val="tx1"/>
          </w14:solidFill>
        </w14:textFill>
      </w:rPr>
    </w:lvl>
    <w:lvl w:ilvl="4" w:tentative="0">
      <w:start w:val="1"/>
      <w:numFmt w:val="decimal"/>
      <w:lvlText w:val="%1.%2.%3.%4.%5"/>
      <w:lvlJc w:val="left"/>
      <w:pPr>
        <w:ind w:left="1364" w:hanging="1080"/>
      </w:pPr>
      <w:rPr>
        <w:rFonts w:hint="default" w:eastAsiaTheme="minorHAnsi"/>
        <w:color w:val="000000" w:themeColor="text1"/>
        <w14:textFill>
          <w14:solidFill>
            <w14:schemeClr w14:val="tx1"/>
          </w14:solidFill>
        </w14:textFill>
      </w:rPr>
    </w:lvl>
    <w:lvl w:ilvl="5" w:tentative="0">
      <w:start w:val="1"/>
      <w:numFmt w:val="decimal"/>
      <w:lvlText w:val="%1.%2.%3.%4.%5.%6"/>
      <w:lvlJc w:val="left"/>
      <w:pPr>
        <w:ind w:left="1435" w:hanging="1080"/>
      </w:pPr>
      <w:rPr>
        <w:rFonts w:hint="default" w:eastAsiaTheme="minorHAnsi"/>
        <w:color w:val="000000" w:themeColor="text1"/>
        <w14:textFill>
          <w14:solidFill>
            <w14:schemeClr w14:val="tx1"/>
          </w14:solidFill>
        </w14:textFill>
      </w:rPr>
    </w:lvl>
    <w:lvl w:ilvl="6" w:tentative="0">
      <w:start w:val="1"/>
      <w:numFmt w:val="decimal"/>
      <w:lvlText w:val="%1.%2.%3.%4.%5.%6.%7"/>
      <w:lvlJc w:val="left"/>
      <w:pPr>
        <w:ind w:left="1866" w:hanging="1440"/>
      </w:pPr>
      <w:rPr>
        <w:rFonts w:hint="default" w:eastAsiaTheme="minorHAnsi"/>
        <w:color w:val="000000" w:themeColor="text1"/>
        <w14:textFill>
          <w14:solidFill>
            <w14:schemeClr w14:val="tx1"/>
          </w14:solidFill>
        </w14:textFill>
      </w:rPr>
    </w:lvl>
    <w:lvl w:ilvl="7" w:tentative="0">
      <w:start w:val="1"/>
      <w:numFmt w:val="decimal"/>
      <w:lvlText w:val="%1.%2.%3.%4.%5.%6.%7.%8"/>
      <w:lvlJc w:val="left"/>
      <w:pPr>
        <w:ind w:left="1937" w:hanging="1440"/>
      </w:pPr>
      <w:rPr>
        <w:rFonts w:hint="default" w:eastAsiaTheme="minorHAnsi"/>
        <w:color w:val="000000" w:themeColor="text1"/>
        <w14:textFill>
          <w14:solidFill>
            <w14:schemeClr w14:val="tx1"/>
          </w14:solidFill>
        </w14:textFill>
      </w:rPr>
    </w:lvl>
    <w:lvl w:ilvl="8" w:tentative="0">
      <w:start w:val="1"/>
      <w:numFmt w:val="decimal"/>
      <w:lvlText w:val="%1.%2.%3.%4.%5.%6.%7.%8.%9"/>
      <w:lvlJc w:val="left"/>
      <w:pPr>
        <w:ind w:left="2368" w:hanging="1800"/>
      </w:pPr>
      <w:rPr>
        <w:rFonts w:hint="default" w:eastAsiaTheme="minorHAnsi"/>
        <w:color w:val="000000" w:themeColor="text1"/>
        <w14:textFill>
          <w14:solidFill>
            <w14:schemeClr w14:val="tx1"/>
          </w14:solidFill>
        </w14:textFill>
      </w:rPr>
    </w:lvl>
  </w:abstractNum>
  <w:abstractNum w:abstractNumId="8">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9">
    <w:nsid w:val="239D6F17"/>
    <w:multiLevelType w:val="multilevel"/>
    <w:tmpl w:val="239D6F17"/>
    <w:lvl w:ilvl="0" w:tentative="0">
      <w:start w:val="6"/>
      <w:numFmt w:val="decimal"/>
      <w:lvlText w:val="%1"/>
      <w:lvlJc w:val="left"/>
      <w:pPr>
        <w:ind w:left="480" w:hanging="480"/>
      </w:pPr>
      <w:rPr>
        <w:rFonts w:hint="default"/>
      </w:rPr>
    </w:lvl>
    <w:lvl w:ilvl="1" w:tentative="0">
      <w:start w:val="3"/>
      <w:numFmt w:val="decimal"/>
      <w:lvlText w:val="%1.%2"/>
      <w:lvlJc w:val="left"/>
      <w:pPr>
        <w:ind w:left="551" w:hanging="480"/>
      </w:pPr>
      <w:rPr>
        <w:rFonts w:hint="default"/>
      </w:rPr>
    </w:lvl>
    <w:lvl w:ilvl="2" w:tentative="0">
      <w:start w:val="5"/>
      <w:numFmt w:val="decimal"/>
      <w:lvlText w:val="%1.%2.%3"/>
      <w:lvlJc w:val="left"/>
      <w:pPr>
        <w:ind w:left="862" w:hanging="720"/>
      </w:pPr>
      <w:rPr>
        <w:rFonts w:hint="default"/>
      </w:rPr>
    </w:lvl>
    <w:lvl w:ilvl="3" w:tentative="0">
      <w:start w:val="1"/>
      <w:numFmt w:val="decimal"/>
      <w:lvlText w:val="%1.%2.%3.%4"/>
      <w:lvlJc w:val="left"/>
      <w:pPr>
        <w:ind w:left="933" w:hanging="720"/>
      </w:pPr>
      <w:rPr>
        <w:rFonts w:hint="default"/>
      </w:rPr>
    </w:lvl>
    <w:lvl w:ilvl="4" w:tentative="0">
      <w:start w:val="1"/>
      <w:numFmt w:val="decimal"/>
      <w:lvlText w:val="%1.%2.%3.%4.%5"/>
      <w:lvlJc w:val="left"/>
      <w:pPr>
        <w:ind w:left="1364" w:hanging="1080"/>
      </w:pPr>
      <w:rPr>
        <w:rFonts w:hint="default"/>
      </w:rPr>
    </w:lvl>
    <w:lvl w:ilvl="5" w:tentative="0">
      <w:start w:val="1"/>
      <w:numFmt w:val="decimal"/>
      <w:lvlText w:val="%1.%2.%3.%4.%5.%6"/>
      <w:lvlJc w:val="left"/>
      <w:pPr>
        <w:ind w:left="1435" w:hanging="1080"/>
      </w:pPr>
      <w:rPr>
        <w:rFonts w:hint="default"/>
      </w:rPr>
    </w:lvl>
    <w:lvl w:ilvl="6" w:tentative="0">
      <w:start w:val="1"/>
      <w:numFmt w:val="decimal"/>
      <w:lvlText w:val="%1.%2.%3.%4.%5.%6.%7"/>
      <w:lvlJc w:val="left"/>
      <w:pPr>
        <w:ind w:left="1866" w:hanging="1440"/>
      </w:pPr>
      <w:rPr>
        <w:rFonts w:hint="default"/>
      </w:rPr>
    </w:lvl>
    <w:lvl w:ilvl="7" w:tentative="0">
      <w:start w:val="1"/>
      <w:numFmt w:val="decimal"/>
      <w:lvlText w:val="%1.%2.%3.%4.%5.%6.%7.%8"/>
      <w:lvlJc w:val="left"/>
      <w:pPr>
        <w:ind w:left="1937" w:hanging="1440"/>
      </w:pPr>
      <w:rPr>
        <w:rFonts w:hint="default"/>
      </w:rPr>
    </w:lvl>
    <w:lvl w:ilvl="8" w:tentative="0">
      <w:start w:val="1"/>
      <w:numFmt w:val="decimal"/>
      <w:lvlText w:val="%1.%2.%3.%4.%5.%6.%7.%8.%9"/>
      <w:lvlJc w:val="left"/>
      <w:pPr>
        <w:ind w:left="2368" w:hanging="1800"/>
      </w:pPr>
      <w:rPr>
        <w:rFonts w:hint="default"/>
      </w:rPr>
    </w:lvl>
  </w:abstractNum>
  <w:abstractNum w:abstractNumId="10">
    <w:nsid w:val="28B60C00"/>
    <w:multiLevelType w:val="multilevel"/>
    <w:tmpl w:val="28B60C00"/>
    <w:lvl w:ilvl="0" w:tentative="0">
      <w:start w:val="6"/>
      <w:numFmt w:val="decimal"/>
      <w:lvlText w:val="%1."/>
      <w:lvlJc w:val="left"/>
      <w:pPr>
        <w:ind w:left="540" w:hanging="540"/>
      </w:pPr>
      <w:rPr>
        <w:rFonts w:hint="default"/>
      </w:rPr>
    </w:lvl>
    <w:lvl w:ilvl="1" w:tentative="0">
      <w:start w:val="6"/>
      <w:numFmt w:val="decimal"/>
      <w:lvlText w:val="%1.%2."/>
      <w:lvlJc w:val="left"/>
      <w:pPr>
        <w:ind w:left="894" w:hanging="540"/>
      </w:pPr>
      <w:rPr>
        <w:rFonts w:hint="default"/>
      </w:rPr>
    </w:lvl>
    <w:lvl w:ilvl="2" w:tentative="0">
      <w:start w:val="1"/>
      <w:numFmt w:val="decimal"/>
      <w:lvlText w:val="%1.%2.%3."/>
      <w:lvlJc w:val="left"/>
      <w:pPr>
        <w:ind w:left="1428" w:hanging="720"/>
      </w:pPr>
      <w:rPr>
        <w:rFonts w:hint="default"/>
        <w:b w:val="0"/>
        <w:bCs w:val="0"/>
      </w:rPr>
    </w:lvl>
    <w:lvl w:ilvl="3" w:tentative="0">
      <w:start w:val="1"/>
      <w:numFmt w:val="decimal"/>
      <w:lvlText w:val="%1.%2.%3.%4."/>
      <w:lvlJc w:val="left"/>
      <w:pPr>
        <w:ind w:left="1782" w:hanging="720"/>
      </w:pPr>
      <w:rPr>
        <w:rFonts w:hint="default"/>
      </w:rPr>
    </w:lvl>
    <w:lvl w:ilvl="4" w:tentative="0">
      <w:start w:val="1"/>
      <w:numFmt w:val="decimal"/>
      <w:lvlText w:val="%1.%2.%3.%4.%5."/>
      <w:lvlJc w:val="left"/>
      <w:pPr>
        <w:ind w:left="2496" w:hanging="1080"/>
      </w:pPr>
      <w:rPr>
        <w:rFonts w:hint="default"/>
      </w:rPr>
    </w:lvl>
    <w:lvl w:ilvl="5" w:tentative="0">
      <w:start w:val="1"/>
      <w:numFmt w:val="decimal"/>
      <w:lvlText w:val="%1.%2.%3.%4.%5.%6."/>
      <w:lvlJc w:val="left"/>
      <w:pPr>
        <w:ind w:left="2850" w:hanging="1080"/>
      </w:pPr>
      <w:rPr>
        <w:rFonts w:hint="default"/>
      </w:rPr>
    </w:lvl>
    <w:lvl w:ilvl="6" w:tentative="0">
      <w:start w:val="1"/>
      <w:numFmt w:val="decimal"/>
      <w:lvlText w:val="%1.%2.%3.%4.%5.%6.%7."/>
      <w:lvlJc w:val="left"/>
      <w:pPr>
        <w:ind w:left="3564" w:hanging="1440"/>
      </w:pPr>
      <w:rPr>
        <w:rFonts w:hint="default"/>
      </w:rPr>
    </w:lvl>
    <w:lvl w:ilvl="7" w:tentative="0">
      <w:start w:val="1"/>
      <w:numFmt w:val="decimal"/>
      <w:lvlText w:val="%1.%2.%3.%4.%5.%6.%7.%8."/>
      <w:lvlJc w:val="left"/>
      <w:pPr>
        <w:ind w:left="3918" w:hanging="1440"/>
      </w:pPr>
      <w:rPr>
        <w:rFonts w:hint="default"/>
      </w:rPr>
    </w:lvl>
    <w:lvl w:ilvl="8" w:tentative="0">
      <w:start w:val="1"/>
      <w:numFmt w:val="decimal"/>
      <w:lvlText w:val="%1.%2.%3.%4.%5.%6.%7.%8.%9."/>
      <w:lvlJc w:val="left"/>
      <w:pPr>
        <w:ind w:left="4632" w:hanging="1800"/>
      </w:pPr>
      <w:rPr>
        <w:rFonts w:hint="default"/>
      </w:rPr>
    </w:lvl>
  </w:abstractNum>
  <w:abstractNum w:abstractNumId="11">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12">
    <w:nsid w:val="2ACC7FD2"/>
    <w:multiLevelType w:val="multilevel"/>
    <w:tmpl w:val="2ACC7FD2"/>
    <w:lvl w:ilvl="0" w:tentative="0">
      <w:start w:val="1"/>
      <w:numFmt w:val="decimal"/>
      <w:lvlText w:val="%1."/>
      <w:lvlJc w:val="left"/>
      <w:pPr>
        <w:ind w:left="360" w:hanging="360"/>
      </w:pPr>
      <w:rPr>
        <w:rFonts w:hint="default"/>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3">
    <w:nsid w:val="35B21BD3"/>
    <w:multiLevelType w:val="multilevel"/>
    <w:tmpl w:val="35B21BD3"/>
    <w:lvl w:ilvl="0" w:tentative="0">
      <w:start w:val="4"/>
      <w:numFmt w:val="decimal"/>
      <w:lvlText w:val="%1"/>
      <w:lvlJc w:val="left"/>
      <w:pPr>
        <w:ind w:left="480" w:hanging="480"/>
      </w:pPr>
      <w:rPr>
        <w:b w:val="0"/>
      </w:rPr>
    </w:lvl>
    <w:lvl w:ilvl="1" w:tentative="0">
      <w:start w:val="5"/>
      <w:numFmt w:val="decimal"/>
      <w:lvlText w:val="%1.%2"/>
      <w:lvlJc w:val="left"/>
      <w:pPr>
        <w:ind w:left="693" w:hanging="480"/>
      </w:pPr>
      <w:rPr>
        <w:b/>
        <w:bCs w:val="0"/>
      </w:rPr>
    </w:lvl>
    <w:lvl w:ilvl="2" w:tentative="0">
      <w:start w:val="1"/>
      <w:numFmt w:val="decimal"/>
      <w:lvlText w:val="7.%3"/>
      <w:lvlJc w:val="left"/>
      <w:pPr>
        <w:ind w:left="1146" w:hanging="720"/>
      </w:pPr>
      <w:rPr>
        <w:b w:val="0"/>
        <w:bCs/>
      </w:rPr>
    </w:lvl>
    <w:lvl w:ilvl="3" w:tentative="0">
      <w:start w:val="1"/>
      <w:numFmt w:val="decimal"/>
      <w:lvlText w:val="7.%3.%4"/>
      <w:lvlJc w:val="left"/>
      <w:pPr>
        <w:ind w:left="1359" w:hanging="720"/>
      </w:pPr>
      <w:rPr>
        <w:b w:val="0"/>
      </w:rPr>
    </w:lvl>
    <w:lvl w:ilvl="4" w:tentative="0">
      <w:start w:val="1"/>
      <w:numFmt w:val="decimal"/>
      <w:lvlText w:val="%1.%2.%3.%4.%5"/>
      <w:lvlJc w:val="left"/>
      <w:pPr>
        <w:ind w:left="1932" w:hanging="1080"/>
      </w:pPr>
      <w:rPr>
        <w:b w:val="0"/>
      </w:rPr>
    </w:lvl>
    <w:lvl w:ilvl="5" w:tentative="0">
      <w:start w:val="1"/>
      <w:numFmt w:val="decimal"/>
      <w:lvlText w:val="%1.%2.%3.%4.%5.%6"/>
      <w:lvlJc w:val="left"/>
      <w:pPr>
        <w:ind w:left="2145" w:hanging="1080"/>
      </w:pPr>
      <w:rPr>
        <w:b w:val="0"/>
      </w:rPr>
    </w:lvl>
    <w:lvl w:ilvl="6" w:tentative="0">
      <w:start w:val="1"/>
      <w:numFmt w:val="decimal"/>
      <w:lvlText w:val="%1.%2.%3.%4.%5.%6.%7"/>
      <w:lvlJc w:val="left"/>
      <w:pPr>
        <w:ind w:left="2718" w:hanging="1440"/>
      </w:pPr>
      <w:rPr>
        <w:b w:val="0"/>
      </w:rPr>
    </w:lvl>
    <w:lvl w:ilvl="7" w:tentative="0">
      <w:start w:val="1"/>
      <w:numFmt w:val="decimal"/>
      <w:lvlText w:val="%1.%2.%3.%4.%5.%6.%7.%8"/>
      <w:lvlJc w:val="left"/>
      <w:pPr>
        <w:ind w:left="2931" w:hanging="1440"/>
      </w:pPr>
      <w:rPr>
        <w:b w:val="0"/>
      </w:rPr>
    </w:lvl>
    <w:lvl w:ilvl="8" w:tentative="0">
      <w:start w:val="1"/>
      <w:numFmt w:val="decimal"/>
      <w:lvlText w:val="%1.%2.%3.%4.%5.%6.%7.%8.%9"/>
      <w:lvlJc w:val="left"/>
      <w:pPr>
        <w:ind w:left="3504" w:hanging="1800"/>
      </w:pPr>
      <w:rPr>
        <w:b w:val="0"/>
      </w:rPr>
    </w:lvl>
  </w:abstractNum>
  <w:abstractNum w:abstractNumId="14">
    <w:nsid w:val="35CC025F"/>
    <w:multiLevelType w:val="multilevel"/>
    <w:tmpl w:val="35CC025F"/>
    <w:lvl w:ilvl="0" w:tentative="0">
      <w:start w:val="12"/>
      <w:numFmt w:val="decimal"/>
      <w:suff w:val="space"/>
      <w:lvlText w:val="%1."/>
      <w:lvlJc w:val="left"/>
      <w:pPr>
        <w:ind w:left="0" w:firstLine="0"/>
      </w:pPr>
    </w:lvl>
    <w:lvl w:ilvl="1" w:tentative="0">
      <w:start w:val="1"/>
      <w:numFmt w:val="decimal"/>
      <w:suff w:val="space"/>
      <w:lvlText w:val="%1.%2."/>
      <w:lvlJc w:val="left"/>
      <w:pPr>
        <w:ind w:left="0" w:firstLine="0"/>
      </w:pPr>
      <w:rPr>
        <w:b/>
        <w:bCs/>
      </w:rPr>
    </w:lvl>
    <w:lvl w:ilvl="2" w:tentative="0">
      <w:start w:val="1"/>
      <w:numFmt w:val="decimal"/>
      <w:suff w:val="space"/>
      <w:lvlText w:val="%1.%2.%3."/>
      <w:lvlJc w:val="left"/>
      <w:pPr>
        <w:ind w:left="0" w:firstLine="0"/>
      </w:pPr>
      <w:rPr>
        <w:b/>
        <w:bCs/>
      </w:rPr>
    </w:lvl>
    <w:lvl w:ilvl="3" w:tentative="0">
      <w:start w:val="1"/>
      <w:numFmt w:val="decimal"/>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suff w:val="space"/>
      <w:lvlText w:val="%1.%2.%3.%4.%5.%6."/>
      <w:lvlJc w:val="left"/>
      <w:pPr>
        <w:ind w:left="0" w:firstLine="0"/>
      </w:pPr>
    </w:lvl>
    <w:lvl w:ilvl="6" w:tentative="0">
      <w:start w:val="1"/>
      <w:numFmt w:val="decimal"/>
      <w:suff w:val="space"/>
      <w:lvlText w:val="%1.%2.%3.%4.%5.%6.%7."/>
      <w:lvlJc w:val="left"/>
      <w:pPr>
        <w:ind w:left="0" w:firstLine="0"/>
      </w:pPr>
    </w:lvl>
    <w:lvl w:ilvl="7" w:tentative="0">
      <w:start w:val="1"/>
      <w:numFmt w:val="decimal"/>
      <w:suff w:val="space"/>
      <w:lvlText w:val="%1.%2.%3.%4.%5.%6.%7.%8."/>
      <w:lvlJc w:val="left"/>
      <w:pPr>
        <w:ind w:left="0" w:firstLine="0"/>
      </w:pPr>
    </w:lvl>
    <w:lvl w:ilvl="8" w:tentative="0">
      <w:start w:val="1"/>
      <w:numFmt w:val="decimal"/>
      <w:suff w:val="space"/>
      <w:lvlText w:val="%1.%2.%3.%4.%5.%6.%7.%8.%9."/>
      <w:lvlJc w:val="left"/>
      <w:pPr>
        <w:ind w:left="0" w:firstLine="0"/>
      </w:pPr>
    </w:lvl>
  </w:abstractNum>
  <w:abstractNum w:abstractNumId="15">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6">
    <w:nsid w:val="3BFC7012"/>
    <w:multiLevelType w:val="multilevel"/>
    <w:tmpl w:val="3BFC7012"/>
    <w:lvl w:ilvl="0" w:tentative="0">
      <w:start w:val="5"/>
      <w:numFmt w:val="decimal"/>
      <w:lvlText w:val="%1."/>
      <w:lvlJc w:val="left"/>
      <w:pPr>
        <w:ind w:left="720" w:hanging="720"/>
      </w:pPr>
      <w:rPr>
        <w:rFonts w:hint="default"/>
      </w:rPr>
    </w:lvl>
    <w:lvl w:ilvl="1" w:tentative="0">
      <w:start w:val="2"/>
      <w:numFmt w:val="decimal"/>
      <w:lvlText w:val="%1.%2."/>
      <w:lvlJc w:val="left"/>
      <w:pPr>
        <w:ind w:left="720" w:hanging="720"/>
      </w:pPr>
      <w:rPr>
        <w:rFonts w:hint="default"/>
      </w:rPr>
    </w:lvl>
    <w:lvl w:ilvl="2" w:tentative="0">
      <w:start w:val="5"/>
      <w:numFmt w:val="decimal"/>
      <w:lvlText w:val="%1.%2.%3."/>
      <w:lvlJc w:val="left"/>
      <w:pPr>
        <w:ind w:left="720" w:hanging="720"/>
      </w:pPr>
      <w:rPr>
        <w:rFonts w:hint="default"/>
      </w:rPr>
    </w:lvl>
    <w:lvl w:ilvl="3" w:tentative="0">
      <w:start w:val="3"/>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7">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18">
    <w:nsid w:val="4C67434A"/>
    <w:multiLevelType w:val="multilevel"/>
    <w:tmpl w:val="4C67434A"/>
    <w:lvl w:ilvl="0" w:tentative="0">
      <w:start w:val="1"/>
      <w:numFmt w:val="lowerLetter"/>
      <w:lvlText w:val="%1)"/>
      <w:lvlJc w:val="left"/>
      <w:pPr>
        <w:ind w:left="2160" w:hanging="360"/>
      </w:pPr>
    </w:lvl>
    <w:lvl w:ilvl="1" w:tentative="0">
      <w:start w:val="1"/>
      <w:numFmt w:val="lowerLetter"/>
      <w:lvlText w:val="%2."/>
      <w:lvlJc w:val="left"/>
      <w:pPr>
        <w:ind w:left="2880" w:hanging="360"/>
      </w:pPr>
    </w:lvl>
    <w:lvl w:ilvl="2" w:tentative="0">
      <w:start w:val="1"/>
      <w:numFmt w:val="lowerRoman"/>
      <w:lvlText w:val="%3."/>
      <w:lvlJc w:val="right"/>
      <w:pPr>
        <w:ind w:left="3600" w:hanging="180"/>
      </w:pPr>
    </w:lvl>
    <w:lvl w:ilvl="3" w:tentative="0">
      <w:start w:val="1"/>
      <w:numFmt w:val="decimal"/>
      <w:lvlText w:val="%4."/>
      <w:lvlJc w:val="left"/>
      <w:pPr>
        <w:ind w:left="4320" w:hanging="360"/>
      </w:pPr>
    </w:lvl>
    <w:lvl w:ilvl="4" w:tentative="0">
      <w:start w:val="1"/>
      <w:numFmt w:val="lowerLetter"/>
      <w:lvlText w:val="%5."/>
      <w:lvlJc w:val="left"/>
      <w:pPr>
        <w:ind w:left="5040" w:hanging="360"/>
      </w:pPr>
    </w:lvl>
    <w:lvl w:ilvl="5" w:tentative="0">
      <w:start w:val="1"/>
      <w:numFmt w:val="lowerRoman"/>
      <w:lvlText w:val="%6."/>
      <w:lvlJc w:val="right"/>
      <w:pPr>
        <w:ind w:left="5760" w:hanging="180"/>
      </w:pPr>
    </w:lvl>
    <w:lvl w:ilvl="6" w:tentative="0">
      <w:start w:val="1"/>
      <w:numFmt w:val="decimal"/>
      <w:lvlText w:val="%7."/>
      <w:lvlJc w:val="left"/>
      <w:pPr>
        <w:ind w:left="6480" w:hanging="360"/>
      </w:pPr>
    </w:lvl>
    <w:lvl w:ilvl="7" w:tentative="0">
      <w:start w:val="1"/>
      <w:numFmt w:val="lowerLetter"/>
      <w:lvlText w:val="%8."/>
      <w:lvlJc w:val="left"/>
      <w:pPr>
        <w:ind w:left="7200" w:hanging="360"/>
      </w:pPr>
    </w:lvl>
    <w:lvl w:ilvl="8" w:tentative="0">
      <w:start w:val="1"/>
      <w:numFmt w:val="lowerRoman"/>
      <w:lvlText w:val="%9."/>
      <w:lvlJc w:val="right"/>
      <w:pPr>
        <w:ind w:left="7920" w:hanging="180"/>
      </w:pPr>
    </w:lvl>
  </w:abstractNum>
  <w:abstractNum w:abstractNumId="19">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b/>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20">
    <w:nsid w:val="5BC55EB5"/>
    <w:multiLevelType w:val="multilevel"/>
    <w:tmpl w:val="5BC55EB5"/>
    <w:lvl w:ilvl="0" w:tentative="0">
      <w:start w:val="6"/>
      <w:numFmt w:val="decimal"/>
      <w:lvlText w:val="%1"/>
      <w:lvlJc w:val="left"/>
      <w:pPr>
        <w:ind w:left="480" w:hanging="480"/>
      </w:pPr>
      <w:rPr>
        <w:rFonts w:hint="default"/>
      </w:rPr>
    </w:lvl>
    <w:lvl w:ilvl="1" w:tentative="0">
      <w:start w:val="3"/>
      <w:numFmt w:val="decimal"/>
      <w:lvlText w:val="%1.%2"/>
      <w:lvlJc w:val="left"/>
      <w:pPr>
        <w:ind w:left="534" w:hanging="480"/>
      </w:pPr>
      <w:rPr>
        <w:rFonts w:hint="default"/>
      </w:rPr>
    </w:lvl>
    <w:lvl w:ilvl="2" w:tentative="0">
      <w:start w:val="3"/>
      <w:numFmt w:val="decimal"/>
      <w:lvlText w:val="%1.%2.%3"/>
      <w:lvlJc w:val="left"/>
      <w:pPr>
        <w:ind w:left="828" w:hanging="720"/>
      </w:pPr>
      <w:rPr>
        <w:rFonts w:hint="default"/>
      </w:rPr>
    </w:lvl>
    <w:lvl w:ilvl="3" w:tentative="0">
      <w:start w:val="1"/>
      <w:numFmt w:val="decimal"/>
      <w:lvlText w:val="%1.%2.%3.%4"/>
      <w:lvlJc w:val="left"/>
      <w:pPr>
        <w:ind w:left="882" w:hanging="720"/>
      </w:pPr>
      <w:rPr>
        <w:rFonts w:hint="default"/>
      </w:rPr>
    </w:lvl>
    <w:lvl w:ilvl="4" w:tentative="0">
      <w:start w:val="1"/>
      <w:numFmt w:val="decimal"/>
      <w:lvlText w:val="%1.%2.%3.%4.%5"/>
      <w:lvlJc w:val="left"/>
      <w:pPr>
        <w:ind w:left="1296" w:hanging="1080"/>
      </w:pPr>
      <w:rPr>
        <w:rFonts w:hint="default"/>
      </w:rPr>
    </w:lvl>
    <w:lvl w:ilvl="5" w:tentative="0">
      <w:start w:val="1"/>
      <w:numFmt w:val="decimal"/>
      <w:lvlText w:val="%1.%2.%3.%4.%5.%6"/>
      <w:lvlJc w:val="left"/>
      <w:pPr>
        <w:ind w:left="1350" w:hanging="1080"/>
      </w:pPr>
      <w:rPr>
        <w:rFonts w:hint="default"/>
      </w:rPr>
    </w:lvl>
    <w:lvl w:ilvl="6" w:tentative="0">
      <w:start w:val="1"/>
      <w:numFmt w:val="decimal"/>
      <w:lvlText w:val="%1.%2.%3.%4.%5.%6.%7"/>
      <w:lvlJc w:val="left"/>
      <w:pPr>
        <w:ind w:left="1764" w:hanging="1440"/>
      </w:pPr>
      <w:rPr>
        <w:rFonts w:hint="default"/>
      </w:rPr>
    </w:lvl>
    <w:lvl w:ilvl="7" w:tentative="0">
      <w:start w:val="1"/>
      <w:numFmt w:val="decimal"/>
      <w:lvlText w:val="%1.%2.%3.%4.%5.%6.%7.%8"/>
      <w:lvlJc w:val="left"/>
      <w:pPr>
        <w:ind w:left="1818" w:hanging="1440"/>
      </w:pPr>
      <w:rPr>
        <w:rFonts w:hint="default"/>
      </w:rPr>
    </w:lvl>
    <w:lvl w:ilvl="8" w:tentative="0">
      <w:start w:val="1"/>
      <w:numFmt w:val="decimal"/>
      <w:lvlText w:val="%1.%2.%3.%4.%5.%6.%7.%8.%9"/>
      <w:lvlJc w:val="left"/>
      <w:pPr>
        <w:ind w:left="2232" w:hanging="1800"/>
      </w:pPr>
      <w:rPr>
        <w:rFonts w:hint="default"/>
      </w:rPr>
    </w:lvl>
  </w:abstractNum>
  <w:abstractNum w:abstractNumId="21">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22">
    <w:nsid w:val="66E353D2"/>
    <w:multiLevelType w:val="multilevel"/>
    <w:tmpl w:val="66E353D2"/>
    <w:lvl w:ilvl="0" w:tentative="0">
      <w:start w:val="5"/>
      <w:numFmt w:val="decimal"/>
      <w:lvlText w:val="%1."/>
      <w:lvlJc w:val="left"/>
      <w:pPr>
        <w:ind w:left="720" w:hanging="720"/>
      </w:pPr>
      <w:rPr>
        <w:rFonts w:hint="default"/>
      </w:rPr>
    </w:lvl>
    <w:lvl w:ilvl="1" w:tentative="0">
      <w:start w:val="2"/>
      <w:numFmt w:val="decimal"/>
      <w:lvlText w:val="%1.%2."/>
      <w:lvlJc w:val="left"/>
      <w:pPr>
        <w:ind w:left="720" w:hanging="720"/>
      </w:pPr>
      <w:rPr>
        <w:rFonts w:hint="default"/>
      </w:rPr>
    </w:lvl>
    <w:lvl w:ilvl="2" w:tentative="0">
      <w:start w:val="4"/>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23">
    <w:nsid w:val="723C4113"/>
    <w:multiLevelType w:val="multilevel"/>
    <w:tmpl w:val="723C4113"/>
    <w:lvl w:ilvl="0" w:tentative="0">
      <w:start w:val="1"/>
      <w:numFmt w:val="lowerLetter"/>
      <w:lvlText w:val="%1)"/>
      <w:lvlJc w:val="left"/>
      <w:pPr>
        <w:ind w:left="926" w:hanging="360"/>
      </w:pPr>
      <w:rPr>
        <w:b w:val="0"/>
        <w:bCs w:val="0"/>
      </w:rPr>
    </w:lvl>
    <w:lvl w:ilvl="1" w:tentative="0">
      <w:start w:val="1"/>
      <w:numFmt w:val="lowerLetter"/>
      <w:lvlText w:val="%2."/>
      <w:lvlJc w:val="left"/>
      <w:pPr>
        <w:ind w:left="1646" w:hanging="360"/>
      </w:pPr>
    </w:lvl>
    <w:lvl w:ilvl="2" w:tentative="0">
      <w:start w:val="1"/>
      <w:numFmt w:val="lowerRoman"/>
      <w:lvlText w:val="%3."/>
      <w:lvlJc w:val="right"/>
      <w:pPr>
        <w:ind w:left="2366" w:hanging="180"/>
      </w:pPr>
    </w:lvl>
    <w:lvl w:ilvl="3" w:tentative="0">
      <w:start w:val="1"/>
      <w:numFmt w:val="decimal"/>
      <w:lvlText w:val="%4."/>
      <w:lvlJc w:val="left"/>
      <w:pPr>
        <w:ind w:left="3086" w:hanging="360"/>
      </w:pPr>
    </w:lvl>
    <w:lvl w:ilvl="4" w:tentative="0">
      <w:start w:val="1"/>
      <w:numFmt w:val="lowerLetter"/>
      <w:lvlText w:val="%5."/>
      <w:lvlJc w:val="left"/>
      <w:pPr>
        <w:ind w:left="3806" w:hanging="360"/>
      </w:pPr>
    </w:lvl>
    <w:lvl w:ilvl="5" w:tentative="0">
      <w:start w:val="1"/>
      <w:numFmt w:val="lowerRoman"/>
      <w:lvlText w:val="%6."/>
      <w:lvlJc w:val="right"/>
      <w:pPr>
        <w:ind w:left="4526" w:hanging="180"/>
      </w:pPr>
    </w:lvl>
    <w:lvl w:ilvl="6" w:tentative="0">
      <w:start w:val="1"/>
      <w:numFmt w:val="decimal"/>
      <w:lvlText w:val="%7."/>
      <w:lvlJc w:val="left"/>
      <w:pPr>
        <w:ind w:left="5246" w:hanging="360"/>
      </w:pPr>
    </w:lvl>
    <w:lvl w:ilvl="7" w:tentative="0">
      <w:start w:val="1"/>
      <w:numFmt w:val="lowerLetter"/>
      <w:lvlText w:val="%8."/>
      <w:lvlJc w:val="left"/>
      <w:pPr>
        <w:ind w:left="5966" w:hanging="360"/>
      </w:pPr>
    </w:lvl>
    <w:lvl w:ilvl="8" w:tentative="0">
      <w:start w:val="1"/>
      <w:numFmt w:val="lowerRoman"/>
      <w:lvlText w:val="%9."/>
      <w:lvlJc w:val="right"/>
      <w:pPr>
        <w:ind w:left="6686" w:hanging="180"/>
      </w:pPr>
    </w:lvl>
  </w:abstractNum>
  <w:abstractNum w:abstractNumId="24">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5">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17"/>
  </w:num>
  <w:num w:numId="2">
    <w:abstractNumId w:val="6"/>
  </w:num>
  <w:num w:numId="3">
    <w:abstractNumId w:val="11"/>
  </w:num>
  <w:num w:numId="4">
    <w:abstractNumId w:val="15"/>
  </w:num>
  <w:num w:numId="5">
    <w:abstractNumId w:val="19"/>
  </w:num>
  <w:num w:numId="6">
    <w:abstractNumId w:val="8"/>
  </w:num>
  <w:num w:numId="7">
    <w:abstractNumId w:val="2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1"/>
  </w:num>
  <w:num w:numId="10">
    <w:abstractNumId w:val="25"/>
  </w:num>
  <w:num w:numId="11">
    <w:abstractNumId w:val="4"/>
  </w:num>
  <w:num w:numId="12">
    <w:abstractNumId w:val="23"/>
  </w:num>
  <w:num w:numId="13">
    <w:abstractNumId w:val="2"/>
  </w:num>
  <w:num w:numId="14">
    <w:abstractNumId w:val="22"/>
  </w:num>
  <w:num w:numId="15">
    <w:abstractNumId w:val="16"/>
  </w:num>
  <w:num w:numId="16">
    <w:abstractNumId w:val="0"/>
  </w:num>
  <w:num w:numId="17">
    <w:abstractNumId w:val="7"/>
  </w:num>
  <w:num w:numId="18">
    <w:abstractNumId w:val="20"/>
  </w:num>
  <w:num w:numId="19">
    <w:abstractNumId w:val="9"/>
  </w:num>
  <w:num w:numId="20">
    <w:abstractNumId w:val="18"/>
  </w:num>
  <w:num w:numId="21">
    <w:abstractNumId w:val="10"/>
  </w:num>
  <w:num w:numId="22">
    <w:abstractNumId w:val="13"/>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3"/>
    </o:shapelayout>
  </w:hdrShapeDefaults>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676C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2A7AF5"/>
    <w:rsid w:val="01437C9C"/>
    <w:rsid w:val="01645C85"/>
    <w:rsid w:val="01730A51"/>
    <w:rsid w:val="01865798"/>
    <w:rsid w:val="019564EB"/>
    <w:rsid w:val="01D3030E"/>
    <w:rsid w:val="024102C5"/>
    <w:rsid w:val="02AA528C"/>
    <w:rsid w:val="02BF044F"/>
    <w:rsid w:val="02DA7EC4"/>
    <w:rsid w:val="031306CE"/>
    <w:rsid w:val="03372728"/>
    <w:rsid w:val="037903BA"/>
    <w:rsid w:val="04D01847"/>
    <w:rsid w:val="057C5132"/>
    <w:rsid w:val="05851DAB"/>
    <w:rsid w:val="059B30A3"/>
    <w:rsid w:val="05AB2274"/>
    <w:rsid w:val="05D816C5"/>
    <w:rsid w:val="05FA50B3"/>
    <w:rsid w:val="05FC26AB"/>
    <w:rsid w:val="061F255D"/>
    <w:rsid w:val="06624AAB"/>
    <w:rsid w:val="06BC4F91"/>
    <w:rsid w:val="06C5600C"/>
    <w:rsid w:val="06CE15F2"/>
    <w:rsid w:val="06D34A2A"/>
    <w:rsid w:val="06DD56D3"/>
    <w:rsid w:val="075035D6"/>
    <w:rsid w:val="07D55044"/>
    <w:rsid w:val="086B3AAE"/>
    <w:rsid w:val="089645E3"/>
    <w:rsid w:val="08CB210B"/>
    <w:rsid w:val="08D375A5"/>
    <w:rsid w:val="08DB66AB"/>
    <w:rsid w:val="08E25FED"/>
    <w:rsid w:val="09391B6D"/>
    <w:rsid w:val="09421298"/>
    <w:rsid w:val="0957029C"/>
    <w:rsid w:val="096E03EB"/>
    <w:rsid w:val="09822F5D"/>
    <w:rsid w:val="09A64169"/>
    <w:rsid w:val="09B74D83"/>
    <w:rsid w:val="09F57797"/>
    <w:rsid w:val="0A711B0C"/>
    <w:rsid w:val="0A8908F6"/>
    <w:rsid w:val="0AD03089"/>
    <w:rsid w:val="0B235A96"/>
    <w:rsid w:val="0B986376"/>
    <w:rsid w:val="0BB21CA6"/>
    <w:rsid w:val="0BC47D21"/>
    <w:rsid w:val="0C474AE5"/>
    <w:rsid w:val="0C6A7A4B"/>
    <w:rsid w:val="0CD72B89"/>
    <w:rsid w:val="0CE214E8"/>
    <w:rsid w:val="0D926C23"/>
    <w:rsid w:val="0D936F98"/>
    <w:rsid w:val="0D9C49BC"/>
    <w:rsid w:val="0DD52CE6"/>
    <w:rsid w:val="0DFD5C70"/>
    <w:rsid w:val="0E1409F6"/>
    <w:rsid w:val="0E340C2C"/>
    <w:rsid w:val="0E4007C3"/>
    <w:rsid w:val="0E4660AC"/>
    <w:rsid w:val="0F56470A"/>
    <w:rsid w:val="0F8507F1"/>
    <w:rsid w:val="102967CE"/>
    <w:rsid w:val="102D51F6"/>
    <w:rsid w:val="10A83B80"/>
    <w:rsid w:val="10E87F18"/>
    <w:rsid w:val="113C0F5A"/>
    <w:rsid w:val="1151357D"/>
    <w:rsid w:val="11CF7E80"/>
    <w:rsid w:val="11F20F86"/>
    <w:rsid w:val="1201594F"/>
    <w:rsid w:val="120D74BC"/>
    <w:rsid w:val="128B1B14"/>
    <w:rsid w:val="12C50107"/>
    <w:rsid w:val="12E1445A"/>
    <w:rsid w:val="130E26BF"/>
    <w:rsid w:val="13973556"/>
    <w:rsid w:val="13990FC2"/>
    <w:rsid w:val="13AD1073"/>
    <w:rsid w:val="13DB5561"/>
    <w:rsid w:val="140E2277"/>
    <w:rsid w:val="14830684"/>
    <w:rsid w:val="14D93E23"/>
    <w:rsid w:val="15181FD0"/>
    <w:rsid w:val="154E4F49"/>
    <w:rsid w:val="15C457C5"/>
    <w:rsid w:val="16257534"/>
    <w:rsid w:val="1629587A"/>
    <w:rsid w:val="162B6A8A"/>
    <w:rsid w:val="165255A9"/>
    <w:rsid w:val="16815C9E"/>
    <w:rsid w:val="1683077C"/>
    <w:rsid w:val="168968EC"/>
    <w:rsid w:val="16980722"/>
    <w:rsid w:val="16B82892"/>
    <w:rsid w:val="16BA101B"/>
    <w:rsid w:val="16DA045E"/>
    <w:rsid w:val="16E25A95"/>
    <w:rsid w:val="16E417FD"/>
    <w:rsid w:val="170F0767"/>
    <w:rsid w:val="17974DC1"/>
    <w:rsid w:val="17D46469"/>
    <w:rsid w:val="18353A7B"/>
    <w:rsid w:val="197477D9"/>
    <w:rsid w:val="1990174F"/>
    <w:rsid w:val="1992787F"/>
    <w:rsid w:val="19CF0524"/>
    <w:rsid w:val="19E211FE"/>
    <w:rsid w:val="1A7C601C"/>
    <w:rsid w:val="1A8C47C9"/>
    <w:rsid w:val="1AD970C5"/>
    <w:rsid w:val="1AE16488"/>
    <w:rsid w:val="1B381BE7"/>
    <w:rsid w:val="1B7121C0"/>
    <w:rsid w:val="1BC377C9"/>
    <w:rsid w:val="1C4C3304"/>
    <w:rsid w:val="1C8C2366"/>
    <w:rsid w:val="1CCE0BD0"/>
    <w:rsid w:val="1CCE4466"/>
    <w:rsid w:val="1CD4275A"/>
    <w:rsid w:val="1CF42382"/>
    <w:rsid w:val="1D24426A"/>
    <w:rsid w:val="1D6E7342"/>
    <w:rsid w:val="1DA11B98"/>
    <w:rsid w:val="1EA07516"/>
    <w:rsid w:val="1EA1074C"/>
    <w:rsid w:val="1EA72655"/>
    <w:rsid w:val="1EAF038D"/>
    <w:rsid w:val="1EB30504"/>
    <w:rsid w:val="1EE46284"/>
    <w:rsid w:val="1F4B69E7"/>
    <w:rsid w:val="1F4E7B71"/>
    <w:rsid w:val="1F857893"/>
    <w:rsid w:val="1FB73684"/>
    <w:rsid w:val="1FF03AF8"/>
    <w:rsid w:val="20835C64"/>
    <w:rsid w:val="208445B0"/>
    <w:rsid w:val="20BA2413"/>
    <w:rsid w:val="20C51318"/>
    <w:rsid w:val="20E52F05"/>
    <w:rsid w:val="20E67C36"/>
    <w:rsid w:val="20F72DCF"/>
    <w:rsid w:val="214370BF"/>
    <w:rsid w:val="21B0613F"/>
    <w:rsid w:val="21B520E8"/>
    <w:rsid w:val="21DB30F2"/>
    <w:rsid w:val="21E14164"/>
    <w:rsid w:val="223F1A77"/>
    <w:rsid w:val="22EA1B00"/>
    <w:rsid w:val="23201794"/>
    <w:rsid w:val="23D41D37"/>
    <w:rsid w:val="23EE40BC"/>
    <w:rsid w:val="240B0680"/>
    <w:rsid w:val="24167DF1"/>
    <w:rsid w:val="2451683B"/>
    <w:rsid w:val="248F0487"/>
    <w:rsid w:val="24946F6A"/>
    <w:rsid w:val="24C278C4"/>
    <w:rsid w:val="25071BA6"/>
    <w:rsid w:val="257A6025"/>
    <w:rsid w:val="25C14C9E"/>
    <w:rsid w:val="25E81DC3"/>
    <w:rsid w:val="262D07A5"/>
    <w:rsid w:val="26B80F6C"/>
    <w:rsid w:val="275B3E1E"/>
    <w:rsid w:val="27803C2E"/>
    <w:rsid w:val="284C520A"/>
    <w:rsid w:val="2905168A"/>
    <w:rsid w:val="29972AF3"/>
    <w:rsid w:val="2A127040"/>
    <w:rsid w:val="2A234160"/>
    <w:rsid w:val="2A4167AE"/>
    <w:rsid w:val="2AA268BA"/>
    <w:rsid w:val="2AB27175"/>
    <w:rsid w:val="2AB939DB"/>
    <w:rsid w:val="2AC90F3D"/>
    <w:rsid w:val="2AF53506"/>
    <w:rsid w:val="2B1C69DC"/>
    <w:rsid w:val="2B5877BE"/>
    <w:rsid w:val="2B6C3B18"/>
    <w:rsid w:val="2C0159DB"/>
    <w:rsid w:val="2C24239E"/>
    <w:rsid w:val="2C6D4A63"/>
    <w:rsid w:val="2C93405F"/>
    <w:rsid w:val="2CBA0563"/>
    <w:rsid w:val="2CC95C9A"/>
    <w:rsid w:val="2CDF66D9"/>
    <w:rsid w:val="2CEA0182"/>
    <w:rsid w:val="2D1F5AEB"/>
    <w:rsid w:val="2D232C01"/>
    <w:rsid w:val="2D267D82"/>
    <w:rsid w:val="2D6F532D"/>
    <w:rsid w:val="2DA160BB"/>
    <w:rsid w:val="2DD45243"/>
    <w:rsid w:val="2E9662EC"/>
    <w:rsid w:val="2EE943BB"/>
    <w:rsid w:val="2EF94868"/>
    <w:rsid w:val="2F0B2CA1"/>
    <w:rsid w:val="2FEC5675"/>
    <w:rsid w:val="2FEF1027"/>
    <w:rsid w:val="30477D6D"/>
    <w:rsid w:val="30A125D2"/>
    <w:rsid w:val="30C3452A"/>
    <w:rsid w:val="30C35F0F"/>
    <w:rsid w:val="30DB2514"/>
    <w:rsid w:val="30E04C32"/>
    <w:rsid w:val="31107F0B"/>
    <w:rsid w:val="31357A44"/>
    <w:rsid w:val="313C611B"/>
    <w:rsid w:val="314C2B43"/>
    <w:rsid w:val="31D5359C"/>
    <w:rsid w:val="32140407"/>
    <w:rsid w:val="321E7FE4"/>
    <w:rsid w:val="321F76C3"/>
    <w:rsid w:val="32200DF3"/>
    <w:rsid w:val="3256215F"/>
    <w:rsid w:val="32BF5086"/>
    <w:rsid w:val="32C41A8E"/>
    <w:rsid w:val="334F0B1B"/>
    <w:rsid w:val="33523753"/>
    <w:rsid w:val="33961B8A"/>
    <w:rsid w:val="339A68C0"/>
    <w:rsid w:val="33B54162"/>
    <w:rsid w:val="345A7477"/>
    <w:rsid w:val="352A25F3"/>
    <w:rsid w:val="35977750"/>
    <w:rsid w:val="360824D9"/>
    <w:rsid w:val="36224FD3"/>
    <w:rsid w:val="36837875"/>
    <w:rsid w:val="3688641C"/>
    <w:rsid w:val="370E2B8E"/>
    <w:rsid w:val="372F3639"/>
    <w:rsid w:val="375032AF"/>
    <w:rsid w:val="377B3121"/>
    <w:rsid w:val="37D6506A"/>
    <w:rsid w:val="38463C93"/>
    <w:rsid w:val="385F0979"/>
    <w:rsid w:val="39A31C9F"/>
    <w:rsid w:val="39BA7B46"/>
    <w:rsid w:val="39EC5F8E"/>
    <w:rsid w:val="3A5B66F5"/>
    <w:rsid w:val="3B6822C8"/>
    <w:rsid w:val="3B942FB8"/>
    <w:rsid w:val="3BCD7641"/>
    <w:rsid w:val="3C1E66E7"/>
    <w:rsid w:val="3C3C1395"/>
    <w:rsid w:val="3C761BB8"/>
    <w:rsid w:val="3C826855"/>
    <w:rsid w:val="3C8365E7"/>
    <w:rsid w:val="3CB21194"/>
    <w:rsid w:val="3D1D3908"/>
    <w:rsid w:val="3D3C423A"/>
    <w:rsid w:val="3D4E1058"/>
    <w:rsid w:val="3D5C1CBB"/>
    <w:rsid w:val="3D861107"/>
    <w:rsid w:val="3D992107"/>
    <w:rsid w:val="3DBF0534"/>
    <w:rsid w:val="3DD20BC2"/>
    <w:rsid w:val="3DDE328E"/>
    <w:rsid w:val="3E172631"/>
    <w:rsid w:val="3EAE48CA"/>
    <w:rsid w:val="3EBC4144"/>
    <w:rsid w:val="3F1C59E2"/>
    <w:rsid w:val="3F333AC3"/>
    <w:rsid w:val="3F656A54"/>
    <w:rsid w:val="3FCE3812"/>
    <w:rsid w:val="4074609E"/>
    <w:rsid w:val="40B52DCF"/>
    <w:rsid w:val="40D07486"/>
    <w:rsid w:val="41190C2C"/>
    <w:rsid w:val="41210DD9"/>
    <w:rsid w:val="4164564A"/>
    <w:rsid w:val="41994BB1"/>
    <w:rsid w:val="41F3194D"/>
    <w:rsid w:val="41FA119F"/>
    <w:rsid w:val="4246264E"/>
    <w:rsid w:val="42C43140"/>
    <w:rsid w:val="42D45FA5"/>
    <w:rsid w:val="42E45EE2"/>
    <w:rsid w:val="43104BD1"/>
    <w:rsid w:val="433078C8"/>
    <w:rsid w:val="434E1DB1"/>
    <w:rsid w:val="43A5310A"/>
    <w:rsid w:val="444D2A9F"/>
    <w:rsid w:val="44586B43"/>
    <w:rsid w:val="44B85878"/>
    <w:rsid w:val="455C51B0"/>
    <w:rsid w:val="455D001C"/>
    <w:rsid w:val="45B42D58"/>
    <w:rsid w:val="45EA6BDE"/>
    <w:rsid w:val="464B230A"/>
    <w:rsid w:val="465A360C"/>
    <w:rsid w:val="4664740A"/>
    <w:rsid w:val="466665A4"/>
    <w:rsid w:val="46AE2F17"/>
    <w:rsid w:val="46EE78B6"/>
    <w:rsid w:val="46FB7DC6"/>
    <w:rsid w:val="47367DA9"/>
    <w:rsid w:val="478F38F4"/>
    <w:rsid w:val="479E104E"/>
    <w:rsid w:val="47B467C1"/>
    <w:rsid w:val="480A7A53"/>
    <w:rsid w:val="48661D83"/>
    <w:rsid w:val="48B203D3"/>
    <w:rsid w:val="48B819A3"/>
    <w:rsid w:val="48C51C78"/>
    <w:rsid w:val="49060F61"/>
    <w:rsid w:val="490D4436"/>
    <w:rsid w:val="494F631E"/>
    <w:rsid w:val="49524B34"/>
    <w:rsid w:val="49575660"/>
    <w:rsid w:val="49585909"/>
    <w:rsid w:val="49806748"/>
    <w:rsid w:val="49AB42ED"/>
    <w:rsid w:val="49AE30E1"/>
    <w:rsid w:val="49B20A69"/>
    <w:rsid w:val="4A144F3E"/>
    <w:rsid w:val="4A2A39EB"/>
    <w:rsid w:val="4B1F459C"/>
    <w:rsid w:val="4B607197"/>
    <w:rsid w:val="4B7C315C"/>
    <w:rsid w:val="4B7E419A"/>
    <w:rsid w:val="4B8C5EE1"/>
    <w:rsid w:val="4BDC6B69"/>
    <w:rsid w:val="4C7E4676"/>
    <w:rsid w:val="4CDB3BA6"/>
    <w:rsid w:val="4D06649F"/>
    <w:rsid w:val="4D6D256E"/>
    <w:rsid w:val="4D8A4122"/>
    <w:rsid w:val="4DD545EF"/>
    <w:rsid w:val="4E010E92"/>
    <w:rsid w:val="4E59030A"/>
    <w:rsid w:val="4E74013B"/>
    <w:rsid w:val="4FC25B36"/>
    <w:rsid w:val="4FD54495"/>
    <w:rsid w:val="4FE31995"/>
    <w:rsid w:val="507B4154"/>
    <w:rsid w:val="50B84933"/>
    <w:rsid w:val="51C16E61"/>
    <w:rsid w:val="51DE1EDE"/>
    <w:rsid w:val="52354064"/>
    <w:rsid w:val="527B131E"/>
    <w:rsid w:val="528F2803"/>
    <w:rsid w:val="52B762E4"/>
    <w:rsid w:val="52BC28BF"/>
    <w:rsid w:val="53071238"/>
    <w:rsid w:val="533B713E"/>
    <w:rsid w:val="536229EE"/>
    <w:rsid w:val="538D4BC8"/>
    <w:rsid w:val="5391679A"/>
    <w:rsid w:val="539E1632"/>
    <w:rsid w:val="53A6599A"/>
    <w:rsid w:val="53B52C6B"/>
    <w:rsid w:val="53EF05CA"/>
    <w:rsid w:val="5420784A"/>
    <w:rsid w:val="54675AE4"/>
    <w:rsid w:val="546C5F9D"/>
    <w:rsid w:val="547E1E04"/>
    <w:rsid w:val="5480798C"/>
    <w:rsid w:val="54B43CEF"/>
    <w:rsid w:val="55415CA6"/>
    <w:rsid w:val="555111B5"/>
    <w:rsid w:val="555852EF"/>
    <w:rsid w:val="56C0202D"/>
    <w:rsid w:val="56C74FDA"/>
    <w:rsid w:val="56EE2C08"/>
    <w:rsid w:val="57376624"/>
    <w:rsid w:val="573872F2"/>
    <w:rsid w:val="577809AE"/>
    <w:rsid w:val="58017BA6"/>
    <w:rsid w:val="581A00F4"/>
    <w:rsid w:val="582D5130"/>
    <w:rsid w:val="586B1D14"/>
    <w:rsid w:val="589B6C70"/>
    <w:rsid w:val="58B00F1F"/>
    <w:rsid w:val="58FD67E1"/>
    <w:rsid w:val="59A16A9D"/>
    <w:rsid w:val="59C20870"/>
    <w:rsid w:val="5A247C7A"/>
    <w:rsid w:val="5A440825"/>
    <w:rsid w:val="5B2563EF"/>
    <w:rsid w:val="5B2B4B5D"/>
    <w:rsid w:val="5B5A5B54"/>
    <w:rsid w:val="5B6B4754"/>
    <w:rsid w:val="5B7976B8"/>
    <w:rsid w:val="5B926533"/>
    <w:rsid w:val="5BC3600C"/>
    <w:rsid w:val="5CFE369B"/>
    <w:rsid w:val="5D003E2D"/>
    <w:rsid w:val="5DB41A2E"/>
    <w:rsid w:val="5E323B4E"/>
    <w:rsid w:val="5E8A15AB"/>
    <w:rsid w:val="5E8C72E3"/>
    <w:rsid w:val="5EA53106"/>
    <w:rsid w:val="5EC11C60"/>
    <w:rsid w:val="5F973966"/>
    <w:rsid w:val="5FB67FFF"/>
    <w:rsid w:val="607B7DD1"/>
    <w:rsid w:val="608E7E90"/>
    <w:rsid w:val="60B81150"/>
    <w:rsid w:val="60CB20A0"/>
    <w:rsid w:val="60D97401"/>
    <w:rsid w:val="60E72896"/>
    <w:rsid w:val="61163299"/>
    <w:rsid w:val="61165D5D"/>
    <w:rsid w:val="615611C5"/>
    <w:rsid w:val="6170678A"/>
    <w:rsid w:val="617E2341"/>
    <w:rsid w:val="618952C9"/>
    <w:rsid w:val="61994C6D"/>
    <w:rsid w:val="62464748"/>
    <w:rsid w:val="6252473B"/>
    <w:rsid w:val="62C04F42"/>
    <w:rsid w:val="62D02523"/>
    <w:rsid w:val="62FA3985"/>
    <w:rsid w:val="633D40CF"/>
    <w:rsid w:val="63460387"/>
    <w:rsid w:val="637D3E38"/>
    <w:rsid w:val="638B6F39"/>
    <w:rsid w:val="63BA74E3"/>
    <w:rsid w:val="64093F30"/>
    <w:rsid w:val="643A45C6"/>
    <w:rsid w:val="64440487"/>
    <w:rsid w:val="64640A84"/>
    <w:rsid w:val="649A6D79"/>
    <w:rsid w:val="64DE4057"/>
    <w:rsid w:val="64EF5413"/>
    <w:rsid w:val="65322A32"/>
    <w:rsid w:val="653A7EC6"/>
    <w:rsid w:val="653E6E2D"/>
    <w:rsid w:val="65753CD6"/>
    <w:rsid w:val="65A91670"/>
    <w:rsid w:val="65D62BF8"/>
    <w:rsid w:val="65F01CCB"/>
    <w:rsid w:val="664C4511"/>
    <w:rsid w:val="665F5816"/>
    <w:rsid w:val="668F27A0"/>
    <w:rsid w:val="66A15DAD"/>
    <w:rsid w:val="66C407E5"/>
    <w:rsid w:val="66C94B94"/>
    <w:rsid w:val="66D4157A"/>
    <w:rsid w:val="67072C66"/>
    <w:rsid w:val="67343D7A"/>
    <w:rsid w:val="67390C13"/>
    <w:rsid w:val="674A4A90"/>
    <w:rsid w:val="67C9178A"/>
    <w:rsid w:val="67CC7768"/>
    <w:rsid w:val="67F72090"/>
    <w:rsid w:val="68243CDA"/>
    <w:rsid w:val="68531E47"/>
    <w:rsid w:val="68932CE2"/>
    <w:rsid w:val="68DF42A4"/>
    <w:rsid w:val="68FB4742"/>
    <w:rsid w:val="69640A9B"/>
    <w:rsid w:val="69787099"/>
    <w:rsid w:val="6995728F"/>
    <w:rsid w:val="69A668E3"/>
    <w:rsid w:val="69D2433E"/>
    <w:rsid w:val="6A7F65E8"/>
    <w:rsid w:val="6A9C7878"/>
    <w:rsid w:val="6AA869C9"/>
    <w:rsid w:val="6ADE5470"/>
    <w:rsid w:val="6AE140DD"/>
    <w:rsid w:val="6AF74F8C"/>
    <w:rsid w:val="6B062E76"/>
    <w:rsid w:val="6B20545A"/>
    <w:rsid w:val="6C105F7E"/>
    <w:rsid w:val="6C7D1CCA"/>
    <w:rsid w:val="6CAD3358"/>
    <w:rsid w:val="6CBF11A2"/>
    <w:rsid w:val="6CBF49CF"/>
    <w:rsid w:val="6D870D7B"/>
    <w:rsid w:val="6D88378A"/>
    <w:rsid w:val="6E0A3294"/>
    <w:rsid w:val="6E0A5DEA"/>
    <w:rsid w:val="6E3631E6"/>
    <w:rsid w:val="6EA46DF2"/>
    <w:rsid w:val="6EBD5A38"/>
    <w:rsid w:val="6EE90986"/>
    <w:rsid w:val="6F184237"/>
    <w:rsid w:val="6F193770"/>
    <w:rsid w:val="6F3B74AE"/>
    <w:rsid w:val="6FB777CA"/>
    <w:rsid w:val="6FC3111E"/>
    <w:rsid w:val="6FED6525"/>
    <w:rsid w:val="70CA2CF9"/>
    <w:rsid w:val="71A52B5D"/>
    <w:rsid w:val="71B2379B"/>
    <w:rsid w:val="71D713B7"/>
    <w:rsid w:val="71DE0216"/>
    <w:rsid w:val="72760B7D"/>
    <w:rsid w:val="72A33D23"/>
    <w:rsid w:val="72BD051F"/>
    <w:rsid w:val="73DB1CB9"/>
    <w:rsid w:val="743F3744"/>
    <w:rsid w:val="747D6865"/>
    <w:rsid w:val="74E1294F"/>
    <w:rsid w:val="74E437D5"/>
    <w:rsid w:val="74E93048"/>
    <w:rsid w:val="758C3D64"/>
    <w:rsid w:val="75F6348D"/>
    <w:rsid w:val="76094035"/>
    <w:rsid w:val="7630179E"/>
    <w:rsid w:val="76832F7C"/>
    <w:rsid w:val="76870B01"/>
    <w:rsid w:val="777D6C25"/>
    <w:rsid w:val="7800305B"/>
    <w:rsid w:val="7803551D"/>
    <w:rsid w:val="78691319"/>
    <w:rsid w:val="789E4005"/>
    <w:rsid w:val="78CC5356"/>
    <w:rsid w:val="79187000"/>
    <w:rsid w:val="792636B2"/>
    <w:rsid w:val="796F0D94"/>
    <w:rsid w:val="7A2261E4"/>
    <w:rsid w:val="7AC0203E"/>
    <w:rsid w:val="7AFA2B2A"/>
    <w:rsid w:val="7B081488"/>
    <w:rsid w:val="7B0C1557"/>
    <w:rsid w:val="7B2022D0"/>
    <w:rsid w:val="7B463603"/>
    <w:rsid w:val="7B5F1E9F"/>
    <w:rsid w:val="7B68255B"/>
    <w:rsid w:val="7B7D67EA"/>
    <w:rsid w:val="7B8A2AE1"/>
    <w:rsid w:val="7B955588"/>
    <w:rsid w:val="7B9B1FB8"/>
    <w:rsid w:val="7BAB68B3"/>
    <w:rsid w:val="7BD7260D"/>
    <w:rsid w:val="7BDD5A60"/>
    <w:rsid w:val="7BF821B1"/>
    <w:rsid w:val="7C1A0552"/>
    <w:rsid w:val="7C22568B"/>
    <w:rsid w:val="7C956474"/>
    <w:rsid w:val="7C9E3081"/>
    <w:rsid w:val="7CA8514D"/>
    <w:rsid w:val="7CCD0158"/>
    <w:rsid w:val="7D19514C"/>
    <w:rsid w:val="7D313822"/>
    <w:rsid w:val="7D543A39"/>
    <w:rsid w:val="7DF65F92"/>
    <w:rsid w:val="7E5376D4"/>
    <w:rsid w:val="7E8B6C36"/>
    <w:rsid w:val="7EA764FC"/>
    <w:rsid w:val="7EC05FA8"/>
    <w:rsid w:val="7F016EF9"/>
    <w:rsid w:val="7F0B366E"/>
    <w:rsid w:val="7F2421C0"/>
    <w:rsid w:val="7FCB307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rPr>
      <w:rFonts w:ascii="Times New Roman" w:hAnsi="Times New Roman" w:eastAsia="SimSun" w:cs="Times New Roman"/>
      <w:sz w:val="24"/>
      <w:szCs w:val="24"/>
      <w:lang w:val="pt-BR" w:eastAsia="pt-BR" w:bidi="ar-SA"/>
    </w:rPr>
  </w:style>
  <w:style w:type="paragraph" w:styleId="2">
    <w:name w:val="heading 1"/>
    <w:basedOn w:val="1"/>
    <w:next w:val="1"/>
    <w:qFormat/>
    <w:uiPriority w:val="0"/>
    <w:pPr>
      <w:keepNext/>
      <w:jc w:val="center"/>
      <w:outlineLvl w:val="0"/>
    </w:pPr>
    <w:rPr>
      <w:rFonts w:ascii="Arial" w:hAnsi="Arial"/>
      <w:color w:val="000080"/>
      <w:sz w:val="28"/>
      <w:szCs w:val="20"/>
    </w:rPr>
  </w:style>
  <w:style w:type="paragraph" w:styleId="3">
    <w:name w:val="heading 2"/>
    <w:basedOn w:val="1"/>
    <w:next w:val="1"/>
    <w:link w:val="29"/>
    <w:qFormat/>
    <w:uiPriority w:val="0"/>
    <w:pPr>
      <w:keepNext/>
      <w:jc w:val="both"/>
      <w:outlineLvl w:val="1"/>
    </w:pPr>
    <w:rPr>
      <w:b/>
      <w:u w:val="single"/>
    </w:rPr>
  </w:style>
  <w:style w:type="paragraph" w:styleId="4">
    <w:name w:val="heading 3"/>
    <w:basedOn w:val="3"/>
    <w:next w:val="1"/>
    <w:qFormat/>
    <w:uiPriority w:val="0"/>
    <w:pPr>
      <w:keepNext/>
      <w:jc w:val="center"/>
      <w:outlineLvl w:val="2"/>
    </w:pPr>
    <w:rPr>
      <w:rFonts w:ascii="Arial Narrow" w:hAnsi="Arial Narrow"/>
      <w:b w:val="0"/>
      <w:i/>
      <w:sz w:val="32"/>
      <w:szCs w:val="20"/>
    </w:rPr>
  </w:style>
  <w:style w:type="paragraph" w:styleId="5">
    <w:name w:val="heading 4"/>
    <w:basedOn w:val="1"/>
    <w:next w:val="1"/>
    <w:qFormat/>
    <w:uiPriority w:val="0"/>
    <w:pPr>
      <w:keepNext/>
      <w:spacing w:before="240" w:after="60"/>
      <w:outlineLvl w:val="3"/>
    </w:pPr>
    <w:rPr>
      <w:b/>
      <w:bCs/>
      <w:sz w:val="28"/>
      <w:szCs w:val="28"/>
    </w:rPr>
  </w:style>
  <w:style w:type="paragraph" w:styleId="6">
    <w:name w:val="heading 5"/>
    <w:basedOn w:val="1"/>
    <w:next w:val="1"/>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autoRedefine/>
    <w:qFormat/>
    <w:uiPriority w:val="0"/>
    <w:pPr>
      <w:spacing w:before="240" w:after="60"/>
      <w:outlineLvl w:val="8"/>
    </w:pPr>
    <w:rPr>
      <w:rFonts w:ascii="Arial" w:hAnsi="Arial" w:cs="Arial"/>
      <w:sz w:val="22"/>
      <w:szCs w:val="22"/>
    </w:rPr>
  </w:style>
  <w:style w:type="character" w:default="1" w:styleId="9">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character" w:styleId="11">
    <w:name w:val="Strong"/>
    <w:basedOn w:val="9"/>
    <w:qFormat/>
    <w:uiPriority w:val="0"/>
    <w:rPr>
      <w:b/>
      <w:bCs/>
    </w:rPr>
  </w:style>
  <w:style w:type="character" w:styleId="12">
    <w:name w:val="FollowedHyperlink"/>
    <w:basedOn w:val="9"/>
    <w:autoRedefine/>
    <w:qFormat/>
    <w:uiPriority w:val="99"/>
    <w:rPr>
      <w:color w:val="800080"/>
      <w:u w:val="single"/>
    </w:rPr>
  </w:style>
  <w:style w:type="character" w:styleId="13">
    <w:name w:val="Emphasis"/>
    <w:basedOn w:val="9"/>
    <w:qFormat/>
    <w:uiPriority w:val="20"/>
    <w:rPr>
      <w:i/>
      <w:iCs/>
    </w:rPr>
  </w:style>
  <w:style w:type="character" w:styleId="14">
    <w:name w:val="Hyperlink"/>
    <w:basedOn w:val="9"/>
    <w:qFormat/>
    <w:uiPriority w:val="99"/>
    <w:rPr>
      <w:color w:val="0000FF"/>
      <w:u w:val="single"/>
    </w:rPr>
  </w:style>
  <w:style w:type="character" w:styleId="15">
    <w:name w:val="page number"/>
    <w:basedOn w:val="9"/>
    <w:qFormat/>
    <w:uiPriority w:val="0"/>
  </w:style>
  <w:style w:type="paragraph" w:styleId="16">
    <w:name w:val="Body Text"/>
    <w:basedOn w:val="1"/>
    <w:qFormat/>
    <w:uiPriority w:val="0"/>
    <w:pPr>
      <w:jc w:val="both"/>
    </w:pPr>
    <w:rPr>
      <w:szCs w:val="20"/>
    </w:rPr>
  </w:style>
  <w:style w:type="paragraph" w:styleId="17">
    <w:name w:val="annotation text"/>
    <w:basedOn w:val="1"/>
    <w:unhideWhenUsed/>
    <w:qFormat/>
    <w:uiPriority w:val="0"/>
    <w:rPr>
      <w:sz w:val="20"/>
      <w:szCs w:val="20"/>
    </w:rPr>
  </w:style>
  <w:style w:type="paragraph" w:styleId="18">
    <w:name w:val="Body Text Indent 2"/>
    <w:basedOn w:val="1"/>
    <w:qFormat/>
    <w:uiPriority w:val="0"/>
    <w:pPr>
      <w:ind w:firstLine="1416"/>
      <w:jc w:val="both"/>
    </w:pPr>
    <w:rPr>
      <w:sz w:val="20"/>
      <w:szCs w:val="20"/>
    </w:rPr>
  </w:style>
  <w:style w:type="paragraph" w:styleId="19">
    <w:name w:val="Title"/>
    <w:basedOn w:val="1"/>
    <w:autoRedefine/>
    <w:qFormat/>
    <w:uiPriority w:val="0"/>
    <w:pPr>
      <w:jc w:val="center"/>
    </w:pPr>
    <w:rPr>
      <w:b/>
      <w:bCs/>
      <w:sz w:val="22"/>
    </w:rPr>
  </w:style>
  <w:style w:type="paragraph" w:styleId="20">
    <w:name w:val="Normal (Web)"/>
    <w:basedOn w:val="1"/>
    <w:qFormat/>
    <w:uiPriority w:val="0"/>
    <w:pPr>
      <w:spacing w:before="100" w:beforeAutospacing="1" w:after="100" w:afterAutospacing="1"/>
    </w:pPr>
  </w:style>
  <w:style w:type="paragraph" w:styleId="21">
    <w:name w:val="Body Text 3"/>
    <w:basedOn w:val="1"/>
    <w:qFormat/>
    <w:uiPriority w:val="0"/>
    <w:pPr>
      <w:jc w:val="both"/>
    </w:pPr>
    <w:rPr>
      <w:rFonts w:ascii="Arial" w:hAnsi="Arial" w:cs="Arial"/>
      <w:sz w:val="20"/>
    </w:rPr>
  </w:style>
  <w:style w:type="paragraph" w:styleId="22">
    <w:name w:val="Body Text 2"/>
    <w:basedOn w:val="1"/>
    <w:qFormat/>
    <w:uiPriority w:val="0"/>
    <w:pPr>
      <w:jc w:val="both"/>
    </w:pPr>
    <w:rPr>
      <w:b/>
      <w:szCs w:val="20"/>
    </w:rPr>
  </w:style>
  <w:style w:type="paragraph" w:styleId="23">
    <w:name w:val="header"/>
    <w:basedOn w:val="1"/>
    <w:link w:val="30"/>
    <w:qFormat/>
    <w:uiPriority w:val="0"/>
    <w:pPr>
      <w:tabs>
        <w:tab w:val="center" w:pos="4419"/>
        <w:tab w:val="right" w:pos="8838"/>
      </w:tabs>
    </w:pPr>
  </w:style>
  <w:style w:type="paragraph" w:styleId="24">
    <w:name w:val="footer"/>
    <w:basedOn w:val="1"/>
    <w:link w:val="31"/>
    <w:qFormat/>
    <w:uiPriority w:val="0"/>
    <w:pPr>
      <w:tabs>
        <w:tab w:val="center" w:pos="4419"/>
        <w:tab w:val="right" w:pos="8838"/>
      </w:tabs>
    </w:pPr>
  </w:style>
  <w:style w:type="paragraph" w:styleId="25">
    <w:name w:val="Body Text Indent 3"/>
    <w:basedOn w:val="1"/>
    <w:link w:val="32"/>
    <w:autoRedefine/>
    <w:qFormat/>
    <w:uiPriority w:val="0"/>
    <w:pPr>
      <w:ind w:firstLine="1418"/>
      <w:jc w:val="both"/>
    </w:pPr>
    <w:rPr>
      <w:szCs w:val="20"/>
    </w:rPr>
  </w:style>
  <w:style w:type="paragraph" w:styleId="26">
    <w:name w:val="Balloon Text"/>
    <w:basedOn w:val="1"/>
    <w:semiHidden/>
    <w:qFormat/>
    <w:uiPriority w:val="0"/>
    <w:rPr>
      <w:rFonts w:ascii="Tahoma" w:hAnsi="Tahoma" w:cs="Tahoma"/>
      <w:sz w:val="16"/>
      <w:szCs w:val="16"/>
    </w:rPr>
  </w:style>
  <w:style w:type="paragraph" w:styleId="27">
    <w:name w:val="Body Text Indent"/>
    <w:basedOn w:val="1"/>
    <w:qFormat/>
    <w:uiPriority w:val="0"/>
    <w:pPr>
      <w:ind w:left="708"/>
      <w:jc w:val="both"/>
    </w:pPr>
    <w:rPr>
      <w:sz w:val="22"/>
      <w:szCs w:val="20"/>
    </w:rPr>
  </w:style>
  <w:style w:type="table" w:styleId="28">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autoRedefine/>
    <w:qFormat/>
    <w:uiPriority w:val="0"/>
    <w:rPr>
      <w:b/>
      <w:sz w:val="24"/>
      <w:szCs w:val="24"/>
      <w:u w:val="single"/>
    </w:rPr>
  </w:style>
  <w:style w:type="character" w:customStyle="1" w:styleId="30">
    <w:name w:val="Cabeçalho Char"/>
    <w:basedOn w:val="9"/>
    <w:link w:val="23"/>
    <w:autoRedefine/>
    <w:qFormat/>
    <w:uiPriority w:val="0"/>
    <w:rPr>
      <w:sz w:val="24"/>
      <w:szCs w:val="24"/>
    </w:rPr>
  </w:style>
  <w:style w:type="character" w:customStyle="1" w:styleId="31">
    <w:name w:val="Rodapé Char"/>
    <w:basedOn w:val="9"/>
    <w:link w:val="24"/>
    <w:autoRedefine/>
    <w:qFormat/>
    <w:uiPriority w:val="0"/>
    <w:rPr>
      <w:sz w:val="24"/>
      <w:szCs w:val="24"/>
    </w:rPr>
  </w:style>
  <w:style w:type="character" w:customStyle="1" w:styleId="32">
    <w:name w:val="Recuo de corpo de texto 3 Char"/>
    <w:basedOn w:val="9"/>
    <w:link w:val="25"/>
    <w:autoRedefine/>
    <w:qFormat/>
    <w:uiPriority w:val="0"/>
    <w:rPr>
      <w:sz w:val="24"/>
    </w:rPr>
  </w:style>
  <w:style w:type="paragraph" w:customStyle="1" w:styleId="33">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Body Text 2"/>
    <w:basedOn w:val="1"/>
    <w:qFormat/>
    <w:uiPriority w:val="0"/>
    <w:pPr>
      <w:widowControl w:val="0"/>
      <w:jc w:val="both"/>
    </w:pPr>
    <w:rPr>
      <w:rFonts w:ascii="Arial" w:hAnsi="Arial"/>
      <w:szCs w:val="20"/>
    </w:rPr>
  </w:style>
  <w:style w:type="character" w:customStyle="1" w:styleId="76">
    <w:name w:val="texto31"/>
    <w:basedOn w:val="9"/>
    <w:qFormat/>
    <w:uiPriority w:val="0"/>
    <w:rPr>
      <w:rFonts w:hint="default" w:ascii="Verdana" w:hAnsi="Verdana"/>
      <w:color w:val="61676C"/>
      <w:sz w:val="18"/>
      <w:szCs w:val="18"/>
    </w:rPr>
  </w:style>
  <w:style w:type="character" w:customStyle="1" w:styleId="77">
    <w:name w:val="titulo1"/>
    <w:basedOn w:val="9"/>
    <w:qFormat/>
    <w:uiPriority w:val="0"/>
    <w:rPr>
      <w:rFonts w:hint="default" w:ascii="Tahoma" w:hAnsi="Tahoma" w:cs="Tahoma"/>
      <w:b/>
      <w:bCs/>
      <w:color w:val="CE8C51"/>
      <w:sz w:val="17"/>
      <w:szCs w:val="17"/>
    </w:rPr>
  </w:style>
  <w:style w:type="character" w:customStyle="1" w:styleId="78">
    <w:name w:val="item2"/>
    <w:basedOn w:val="9"/>
    <w:qFormat/>
    <w:uiPriority w:val="0"/>
    <w:rPr>
      <w:rFonts w:hint="default" w:ascii="Tahoma" w:hAnsi="Tahoma" w:cs="Tahoma"/>
      <w:color w:val="9E9E9E"/>
      <w:sz w:val="17"/>
      <w:szCs w:val="17"/>
    </w:rPr>
  </w:style>
  <w:style w:type="character" w:customStyle="1" w:styleId="79">
    <w:name w:val="item3"/>
    <w:basedOn w:val="9"/>
    <w:qFormat/>
    <w:uiPriority w:val="0"/>
    <w:rPr>
      <w:rFonts w:hint="default" w:ascii="Tahoma" w:hAnsi="Tahoma" w:cs="Tahoma"/>
      <w:color w:val="9E9E9E"/>
      <w:sz w:val="17"/>
      <w:szCs w:val="17"/>
    </w:rPr>
  </w:style>
  <w:style w:type="character" w:customStyle="1" w:styleId="80">
    <w:name w:val="item4"/>
    <w:basedOn w:val="9"/>
    <w:qFormat/>
    <w:uiPriority w:val="0"/>
    <w:rPr>
      <w:rFonts w:hint="default" w:ascii="Tahoma" w:hAnsi="Tahoma" w:cs="Tahoma"/>
      <w:color w:val="9E9E9E"/>
      <w:sz w:val="17"/>
      <w:szCs w:val="17"/>
    </w:rPr>
  </w:style>
  <w:style w:type="character" w:customStyle="1" w:styleId="81">
    <w:name w:val="item5"/>
    <w:basedOn w:val="9"/>
    <w:qFormat/>
    <w:uiPriority w:val="0"/>
    <w:rPr>
      <w:rFonts w:hint="default" w:ascii="Tahoma" w:hAnsi="Tahoma" w:cs="Tahoma"/>
      <w:color w:val="9E9E9E"/>
      <w:sz w:val="17"/>
      <w:szCs w:val="17"/>
    </w:rPr>
  </w:style>
  <w:style w:type="character" w:customStyle="1" w:styleId="82">
    <w:name w:val="item6"/>
    <w:basedOn w:val="9"/>
    <w:qFormat/>
    <w:uiPriority w:val="0"/>
    <w:rPr>
      <w:rFonts w:hint="default" w:ascii="Tahoma" w:hAnsi="Tahoma" w:cs="Tahoma"/>
      <w:color w:val="9E9E9E"/>
      <w:sz w:val="17"/>
      <w:szCs w:val="17"/>
    </w:rPr>
  </w:style>
  <w:style w:type="character" w:customStyle="1" w:styleId="83">
    <w:name w:val="item7"/>
    <w:basedOn w:val="9"/>
    <w:qFormat/>
    <w:uiPriority w:val="0"/>
    <w:rPr>
      <w:rFonts w:hint="default" w:ascii="Tahoma" w:hAnsi="Tahoma" w:cs="Tahoma"/>
      <w:color w:val="9E9E9E"/>
      <w:sz w:val="17"/>
      <w:szCs w:val="17"/>
    </w:rPr>
  </w:style>
  <w:style w:type="character" w:customStyle="1" w:styleId="84">
    <w:name w:val="item8"/>
    <w:basedOn w:val="9"/>
    <w:qFormat/>
    <w:uiPriority w:val="0"/>
    <w:rPr>
      <w:rFonts w:hint="default" w:ascii="Tahoma" w:hAnsi="Tahoma" w:cs="Tahoma"/>
      <w:color w:val="9E9E9E"/>
      <w:sz w:val="17"/>
      <w:szCs w:val="17"/>
    </w:rPr>
  </w:style>
  <w:style w:type="character" w:customStyle="1" w:styleId="85">
    <w:name w:val="item9"/>
    <w:basedOn w:val="9"/>
    <w:qFormat/>
    <w:uiPriority w:val="0"/>
    <w:rPr>
      <w:rFonts w:hint="default" w:ascii="Tahoma" w:hAnsi="Tahoma" w:cs="Tahoma"/>
      <w:color w:val="9E9E9E"/>
      <w:sz w:val="17"/>
      <w:szCs w:val="17"/>
    </w:rPr>
  </w:style>
  <w:style w:type="character" w:customStyle="1" w:styleId="86">
    <w:name w:val="item10"/>
    <w:basedOn w:val="9"/>
    <w:qFormat/>
    <w:uiPriority w:val="0"/>
    <w:rPr>
      <w:rFonts w:hint="default" w:ascii="Tahoma" w:hAnsi="Tahoma" w:cs="Tahoma"/>
      <w:color w:val="9E9E9E"/>
      <w:sz w:val="17"/>
      <w:szCs w:val="17"/>
    </w:rPr>
  </w:style>
  <w:style w:type="character" w:customStyle="1" w:styleId="87">
    <w:name w:val="item11"/>
    <w:basedOn w:val="9"/>
    <w:qFormat/>
    <w:uiPriority w:val="0"/>
    <w:rPr>
      <w:rFonts w:hint="default" w:ascii="Tahoma" w:hAnsi="Tahoma" w:cs="Tahoma"/>
      <w:color w:val="9E9E9E"/>
      <w:sz w:val="17"/>
      <w:szCs w:val="17"/>
    </w:rPr>
  </w:style>
  <w:style w:type="character" w:customStyle="1" w:styleId="88">
    <w:name w:val="item12"/>
    <w:basedOn w:val="9"/>
    <w:qFormat/>
    <w:uiPriority w:val="0"/>
    <w:rPr>
      <w:rFonts w:hint="default" w:ascii="Tahoma" w:hAnsi="Tahoma" w:cs="Tahoma"/>
      <w:color w:val="9E9E9E"/>
      <w:sz w:val="17"/>
      <w:szCs w:val="17"/>
    </w:rPr>
  </w:style>
  <w:style w:type="character" w:customStyle="1" w:styleId="89">
    <w:name w:val="item13"/>
    <w:basedOn w:val="9"/>
    <w:qFormat/>
    <w:uiPriority w:val="0"/>
    <w:rPr>
      <w:rFonts w:hint="default" w:ascii="Tahoma" w:hAnsi="Tahoma" w:cs="Tahoma"/>
      <w:color w:val="9E9E9E"/>
      <w:sz w:val="17"/>
      <w:szCs w:val="17"/>
    </w:rPr>
  </w:style>
  <w:style w:type="character" w:customStyle="1" w:styleId="90">
    <w:name w:val="item14"/>
    <w:basedOn w:val="9"/>
    <w:qFormat/>
    <w:uiPriority w:val="0"/>
    <w:rPr>
      <w:rFonts w:hint="default" w:ascii="Tahoma" w:hAnsi="Tahoma" w:cs="Tahoma"/>
      <w:color w:val="9E9E9E"/>
      <w:sz w:val="17"/>
      <w:szCs w:val="17"/>
    </w:rPr>
  </w:style>
  <w:style w:type="character" w:customStyle="1" w:styleId="91">
    <w:name w:val="item15"/>
    <w:basedOn w:val="9"/>
    <w:qFormat/>
    <w:uiPriority w:val="0"/>
    <w:rPr>
      <w:rFonts w:hint="default" w:ascii="Tahoma" w:hAnsi="Tahoma" w:cs="Tahoma"/>
      <w:color w:val="9E9E9E"/>
      <w:sz w:val="17"/>
      <w:szCs w:val="17"/>
    </w:rPr>
  </w:style>
  <w:style w:type="character" w:customStyle="1" w:styleId="92">
    <w:name w:val="item16"/>
    <w:basedOn w:val="9"/>
    <w:qFormat/>
    <w:uiPriority w:val="0"/>
    <w:rPr>
      <w:rFonts w:hint="default" w:ascii="Tahoma" w:hAnsi="Tahoma" w:cs="Tahoma"/>
      <w:color w:val="9E9E9E"/>
      <w:sz w:val="17"/>
      <w:szCs w:val="17"/>
    </w:rPr>
  </w:style>
  <w:style w:type="character" w:customStyle="1" w:styleId="93">
    <w:name w:val="item17"/>
    <w:basedOn w:val="9"/>
    <w:qFormat/>
    <w:uiPriority w:val="0"/>
    <w:rPr>
      <w:rFonts w:hint="default" w:ascii="Tahoma" w:hAnsi="Tahoma" w:cs="Tahoma"/>
      <w:color w:val="9E9E9E"/>
      <w:sz w:val="17"/>
      <w:szCs w:val="17"/>
    </w:rPr>
  </w:style>
  <w:style w:type="character" w:customStyle="1" w:styleId="94">
    <w:name w:val="item18"/>
    <w:basedOn w:val="9"/>
    <w:qFormat/>
    <w:uiPriority w:val="0"/>
    <w:rPr>
      <w:rFonts w:hint="default" w:ascii="Tahoma" w:hAnsi="Tahoma" w:cs="Tahoma"/>
      <w:color w:val="9E9E9E"/>
      <w:sz w:val="17"/>
      <w:szCs w:val="17"/>
    </w:rPr>
  </w:style>
  <w:style w:type="character" w:customStyle="1" w:styleId="95">
    <w:name w:val="item19"/>
    <w:basedOn w:val="9"/>
    <w:qFormat/>
    <w:uiPriority w:val="0"/>
    <w:rPr>
      <w:rFonts w:hint="default" w:ascii="Tahoma" w:hAnsi="Tahoma" w:cs="Tahoma"/>
      <w:color w:val="9E9E9E"/>
      <w:sz w:val="17"/>
      <w:szCs w:val="17"/>
    </w:rPr>
  </w:style>
  <w:style w:type="character" w:customStyle="1" w:styleId="96">
    <w:name w:val="item20"/>
    <w:basedOn w:val="9"/>
    <w:qFormat/>
    <w:uiPriority w:val="0"/>
    <w:rPr>
      <w:rFonts w:hint="default" w:ascii="Tahoma" w:hAnsi="Tahoma" w:cs="Tahoma"/>
      <w:color w:val="9E9E9E"/>
      <w:sz w:val="17"/>
      <w:szCs w:val="17"/>
    </w:rPr>
  </w:style>
  <w:style w:type="character" w:customStyle="1" w:styleId="97">
    <w:name w:val="item21"/>
    <w:basedOn w:val="9"/>
    <w:qFormat/>
    <w:uiPriority w:val="0"/>
    <w:rPr>
      <w:rFonts w:hint="default" w:ascii="Tahoma" w:hAnsi="Tahoma" w:cs="Tahoma"/>
      <w:color w:val="9E9E9E"/>
      <w:sz w:val="17"/>
      <w:szCs w:val="17"/>
    </w:rPr>
  </w:style>
  <w:style w:type="character" w:customStyle="1" w:styleId="98">
    <w:name w:val="item22"/>
    <w:basedOn w:val="9"/>
    <w:qFormat/>
    <w:uiPriority w:val="0"/>
    <w:rPr>
      <w:rFonts w:hint="default" w:ascii="Tahoma" w:hAnsi="Tahoma" w:cs="Tahoma"/>
      <w:color w:val="9E9E9E"/>
      <w:sz w:val="17"/>
      <w:szCs w:val="17"/>
    </w:rPr>
  </w:style>
  <w:style w:type="character" w:customStyle="1" w:styleId="99">
    <w:name w:val="item23"/>
    <w:basedOn w:val="9"/>
    <w:qFormat/>
    <w:uiPriority w:val="0"/>
    <w:rPr>
      <w:rFonts w:hint="default" w:ascii="Tahoma" w:hAnsi="Tahoma" w:cs="Tahoma"/>
      <w:color w:val="9E9E9E"/>
      <w:sz w:val="17"/>
      <w:szCs w:val="17"/>
    </w:rPr>
  </w:style>
  <w:style w:type="character" w:customStyle="1" w:styleId="100">
    <w:name w:val="item24"/>
    <w:basedOn w:val="9"/>
    <w:qFormat/>
    <w:uiPriority w:val="0"/>
    <w:rPr>
      <w:rFonts w:hint="default" w:ascii="Tahoma" w:hAnsi="Tahoma" w:cs="Tahoma"/>
      <w:color w:val="9E9E9E"/>
      <w:sz w:val="17"/>
      <w:szCs w:val="17"/>
    </w:rPr>
  </w:style>
  <w:style w:type="character" w:customStyle="1" w:styleId="101">
    <w:name w:val="item25"/>
    <w:basedOn w:val="9"/>
    <w:qFormat/>
    <w:uiPriority w:val="0"/>
    <w:rPr>
      <w:rFonts w:hint="default" w:ascii="Tahoma" w:hAnsi="Tahoma" w:cs="Tahoma"/>
      <w:color w:val="9E9E9E"/>
      <w:sz w:val="17"/>
      <w:szCs w:val="17"/>
    </w:rPr>
  </w:style>
  <w:style w:type="character" w:customStyle="1" w:styleId="102">
    <w:name w:val="item26"/>
    <w:basedOn w:val="9"/>
    <w:qFormat/>
    <w:uiPriority w:val="0"/>
    <w:rPr>
      <w:rFonts w:hint="default" w:ascii="Tahoma" w:hAnsi="Tahoma" w:cs="Tahoma"/>
      <w:color w:val="9E9E9E"/>
      <w:sz w:val="17"/>
      <w:szCs w:val="17"/>
    </w:rPr>
  </w:style>
  <w:style w:type="character" w:customStyle="1" w:styleId="103">
    <w:name w:val="item27"/>
    <w:basedOn w:val="9"/>
    <w:qFormat/>
    <w:uiPriority w:val="0"/>
    <w:rPr>
      <w:rFonts w:hint="default" w:ascii="Tahoma" w:hAnsi="Tahoma" w:cs="Tahoma"/>
      <w:color w:val="9E9E9E"/>
      <w:sz w:val="17"/>
      <w:szCs w:val="17"/>
    </w:rPr>
  </w:style>
  <w:style w:type="character" w:customStyle="1" w:styleId="104">
    <w:name w:val="item28"/>
    <w:basedOn w:val="9"/>
    <w:qFormat/>
    <w:uiPriority w:val="0"/>
    <w:rPr>
      <w:rFonts w:hint="default" w:ascii="Tahoma" w:hAnsi="Tahoma" w:cs="Tahoma"/>
      <w:color w:val="9E9E9E"/>
      <w:sz w:val="17"/>
      <w:szCs w:val="17"/>
    </w:rPr>
  </w:style>
  <w:style w:type="character" w:customStyle="1" w:styleId="105">
    <w:name w:val="item30"/>
    <w:basedOn w:val="9"/>
    <w:qFormat/>
    <w:uiPriority w:val="0"/>
    <w:rPr>
      <w:rFonts w:hint="default" w:ascii="Tahoma" w:hAnsi="Tahoma" w:cs="Tahoma"/>
      <w:color w:val="9E9E9E"/>
      <w:sz w:val="17"/>
      <w:szCs w:val="17"/>
    </w:rPr>
  </w:style>
  <w:style w:type="character" w:customStyle="1" w:styleId="106">
    <w:name w:val="item31"/>
    <w:basedOn w:val="9"/>
    <w:qFormat/>
    <w:uiPriority w:val="0"/>
    <w:rPr>
      <w:rFonts w:hint="default" w:ascii="Tahoma" w:hAnsi="Tahoma" w:cs="Tahoma"/>
      <w:color w:val="9E9E9E"/>
      <w:sz w:val="17"/>
      <w:szCs w:val="17"/>
    </w:rPr>
  </w:style>
  <w:style w:type="character" w:customStyle="1" w:styleId="107">
    <w:name w:val="item32"/>
    <w:basedOn w:val="9"/>
    <w:qFormat/>
    <w:uiPriority w:val="0"/>
    <w:rPr>
      <w:rFonts w:hint="default" w:ascii="Tahoma" w:hAnsi="Tahoma" w:cs="Tahoma"/>
      <w:color w:val="9E9E9E"/>
      <w:sz w:val="17"/>
      <w:szCs w:val="17"/>
    </w:rPr>
  </w:style>
  <w:style w:type="character" w:customStyle="1" w:styleId="108">
    <w:name w:val="item33"/>
    <w:basedOn w:val="9"/>
    <w:qFormat/>
    <w:uiPriority w:val="0"/>
    <w:rPr>
      <w:rFonts w:hint="default" w:ascii="Tahoma" w:hAnsi="Tahoma" w:cs="Tahoma"/>
      <w:color w:val="9E9E9E"/>
      <w:sz w:val="17"/>
      <w:szCs w:val="17"/>
    </w:rPr>
  </w:style>
  <w:style w:type="character" w:customStyle="1" w:styleId="109">
    <w:name w:val="item34"/>
    <w:basedOn w:val="9"/>
    <w:qFormat/>
    <w:uiPriority w:val="0"/>
    <w:rPr>
      <w:rFonts w:hint="default" w:ascii="Tahoma" w:hAnsi="Tahoma" w:cs="Tahoma"/>
      <w:color w:val="9E9E9E"/>
      <w:sz w:val="17"/>
      <w:szCs w:val="17"/>
    </w:rPr>
  </w:style>
  <w:style w:type="character" w:customStyle="1" w:styleId="110">
    <w:name w:val="item35"/>
    <w:basedOn w:val="9"/>
    <w:qFormat/>
    <w:uiPriority w:val="0"/>
    <w:rPr>
      <w:rFonts w:hint="default" w:ascii="Tahoma" w:hAnsi="Tahoma" w:cs="Tahoma"/>
      <w:color w:val="9E9E9E"/>
      <w:sz w:val="17"/>
      <w:szCs w:val="17"/>
    </w:rPr>
  </w:style>
  <w:style w:type="character" w:customStyle="1" w:styleId="111">
    <w:name w:val="item36"/>
    <w:basedOn w:val="9"/>
    <w:qFormat/>
    <w:uiPriority w:val="0"/>
    <w:rPr>
      <w:rFonts w:hint="default" w:ascii="Tahoma" w:hAnsi="Tahoma" w:cs="Tahoma"/>
      <w:color w:val="9E9E9E"/>
      <w:sz w:val="17"/>
      <w:szCs w:val="17"/>
    </w:rPr>
  </w:style>
  <w:style w:type="character" w:customStyle="1" w:styleId="112">
    <w:name w:val="item37"/>
    <w:basedOn w:val="9"/>
    <w:qFormat/>
    <w:uiPriority w:val="0"/>
    <w:rPr>
      <w:rFonts w:hint="default" w:ascii="Tahoma" w:hAnsi="Tahoma" w:cs="Tahoma"/>
      <w:color w:val="9E9E9E"/>
      <w:sz w:val="17"/>
      <w:szCs w:val="17"/>
    </w:rPr>
  </w:style>
  <w:style w:type="character" w:customStyle="1" w:styleId="113">
    <w:name w:val="item38"/>
    <w:basedOn w:val="9"/>
    <w:qFormat/>
    <w:uiPriority w:val="0"/>
    <w:rPr>
      <w:rFonts w:hint="default" w:ascii="Tahoma" w:hAnsi="Tahoma" w:cs="Tahoma"/>
      <w:color w:val="9E9E9E"/>
      <w:sz w:val="17"/>
      <w:szCs w:val="17"/>
    </w:rPr>
  </w:style>
  <w:style w:type="character" w:customStyle="1" w:styleId="114">
    <w:name w:val="item39"/>
    <w:basedOn w:val="9"/>
    <w:qFormat/>
    <w:uiPriority w:val="0"/>
    <w:rPr>
      <w:rFonts w:hint="default" w:ascii="Tahoma" w:hAnsi="Tahoma" w:cs="Tahoma"/>
      <w:color w:val="9E9E9E"/>
      <w:sz w:val="17"/>
      <w:szCs w:val="17"/>
    </w:rPr>
  </w:style>
  <w:style w:type="character" w:customStyle="1" w:styleId="115">
    <w:name w:val="item40"/>
    <w:basedOn w:val="9"/>
    <w:qFormat/>
    <w:uiPriority w:val="0"/>
    <w:rPr>
      <w:rFonts w:hint="default" w:ascii="Tahoma" w:hAnsi="Tahoma" w:cs="Tahoma"/>
      <w:color w:val="9E9E9E"/>
      <w:sz w:val="17"/>
      <w:szCs w:val="17"/>
    </w:rPr>
  </w:style>
  <w:style w:type="character" w:customStyle="1" w:styleId="116">
    <w:name w:val="item41"/>
    <w:basedOn w:val="9"/>
    <w:qFormat/>
    <w:uiPriority w:val="0"/>
    <w:rPr>
      <w:rFonts w:hint="default" w:ascii="Tahoma" w:hAnsi="Tahoma" w:cs="Tahoma"/>
      <w:color w:val="9E9E9E"/>
      <w:sz w:val="17"/>
      <w:szCs w:val="17"/>
    </w:rPr>
  </w:style>
  <w:style w:type="character" w:customStyle="1" w:styleId="117">
    <w:name w:val="Corpo de texto Char"/>
    <w:basedOn w:val="9"/>
    <w:qFormat/>
    <w:uiPriority w:val="0"/>
    <w:rPr>
      <w:lang w:val="pt-BR" w:eastAsia="pt-BR" w:bidi="ar-SA"/>
    </w:rPr>
  </w:style>
  <w:style w:type="paragraph" w:customStyle="1" w:styleId="118">
    <w:name w:val="Conteúdo da tabela"/>
    <w:basedOn w:val="16"/>
    <w:qFormat/>
    <w:uiPriority w:val="0"/>
    <w:pPr>
      <w:suppressLineNumbers/>
      <w:suppressAutoHyphens/>
    </w:pPr>
    <w:rPr>
      <w:rFonts w:ascii="Arial" w:hAnsi="Arial" w:cs="Arial"/>
      <w:sz w:val="22"/>
      <w:szCs w:val="22"/>
    </w:rPr>
  </w:style>
  <w:style w:type="paragraph" w:customStyle="1" w:styleId="119">
    <w:name w:val="WW-Corpo de texto 2"/>
    <w:basedOn w:val="1"/>
    <w:qFormat/>
    <w:uiPriority w:val="0"/>
    <w:pPr>
      <w:jc w:val="both"/>
    </w:pPr>
    <w:rPr>
      <w:rFonts w:ascii="Arial" w:hAnsi="Arial" w:cs="Arial"/>
      <w:color w:val="000000"/>
      <w:sz w:val="22"/>
      <w:szCs w:val="22"/>
    </w:rPr>
  </w:style>
  <w:style w:type="paragraph" w:customStyle="1" w:styleId="120">
    <w:name w:val="WW-Corpo de texto 22"/>
    <w:basedOn w:val="1"/>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qFormat/>
    <w:uiPriority w:val="0"/>
    <w:pPr>
      <w:suppressAutoHyphens/>
    </w:pPr>
    <w:rPr>
      <w:rFonts w:ascii="Arial" w:hAnsi="Arial"/>
      <w:sz w:val="22"/>
    </w:rPr>
  </w:style>
  <w:style w:type="paragraph" w:customStyle="1" w:styleId="122">
    <w:name w:val="Body Text"/>
    <w:basedOn w:val="1"/>
    <w:qFormat/>
    <w:uiPriority w:val="0"/>
    <w:pPr>
      <w:jc w:val="both"/>
    </w:pPr>
    <w:rPr>
      <w:sz w:val="22"/>
      <w:szCs w:val="20"/>
    </w:rPr>
  </w:style>
  <w:style w:type="paragraph" w:customStyle="1" w:styleId="123">
    <w:name w:val="heading 9"/>
    <w:basedOn w:val="1"/>
    <w:next w:val="1"/>
    <w:qFormat/>
    <w:uiPriority w:val="0"/>
    <w:pPr>
      <w:keepNext/>
      <w:numPr>
        <w:ilvl w:val="8"/>
        <w:numId w:val="1"/>
      </w:numPr>
      <w:ind w:left="2547" w:hanging="283"/>
    </w:pPr>
    <w:rPr>
      <w:b/>
      <w:sz w:val="16"/>
      <w:szCs w:val="20"/>
    </w:rPr>
  </w:style>
  <w:style w:type="paragraph" w:customStyle="1" w:styleId="124">
    <w:name w:val="Corpo do texto"/>
    <w:basedOn w:val="1"/>
    <w:qFormat/>
    <w:uiPriority w:val="0"/>
    <w:pPr>
      <w:widowControl w:val="0"/>
      <w:suppressAutoHyphens/>
      <w:spacing w:after="120"/>
    </w:pPr>
    <w:rPr>
      <w:szCs w:val="20"/>
    </w:rPr>
  </w:style>
  <w:style w:type="paragraph" w:customStyle="1" w:styleId="125">
    <w:name w:val="Padrão"/>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6">
    <w:name w:val="conteudo2nivel1"/>
    <w:basedOn w:val="9"/>
    <w:qFormat/>
    <w:uiPriority w:val="0"/>
    <w:rPr>
      <w:rFonts w:hint="default" w:ascii="Verdana" w:hAnsi="Verdana"/>
      <w:color w:val="666666"/>
      <w:sz w:val="17"/>
      <w:szCs w:val="17"/>
    </w:rPr>
  </w:style>
  <w:style w:type="paragraph" w:styleId="127">
    <w:name w:val="List Paragraph"/>
    <w:basedOn w:val="1"/>
    <w:qFormat/>
    <w:uiPriority w:val="34"/>
    <w:pPr>
      <w:ind w:left="708"/>
    </w:pPr>
  </w:style>
  <w:style w:type="paragraph" w:customStyle="1" w:styleId="128">
    <w:name w:val="Corpo de texto1"/>
    <w:basedOn w:val="1"/>
    <w:qFormat/>
    <w:uiPriority w:val="0"/>
    <w:pPr>
      <w:jc w:val="both"/>
    </w:pPr>
    <w:rPr>
      <w:sz w:val="22"/>
      <w:szCs w:val="20"/>
    </w:rPr>
  </w:style>
  <w:style w:type="paragraph" w:customStyle="1" w:styleId="129">
    <w:name w:val="Body Text 21"/>
    <w:basedOn w:val="1"/>
    <w:qFormat/>
    <w:uiPriority w:val="0"/>
    <w:pPr>
      <w:suppressAutoHyphens/>
      <w:jc w:val="both"/>
    </w:pPr>
    <w:rPr>
      <w:rFonts w:eastAsia="SimSun"/>
      <w:sz w:val="20"/>
      <w:szCs w:val="20"/>
      <w:lang w:eastAsia="zh-CN"/>
    </w:rPr>
  </w:style>
  <w:style w:type="paragraph" w:styleId="130">
    <w:name w:val="No Spacing"/>
    <w:qFormat/>
    <w:uiPriority w:val="1"/>
    <w:pPr>
      <w:jc w:val="both"/>
    </w:pPr>
    <w:rPr>
      <w:rFonts w:ascii="Calibri" w:hAnsi="Calibri" w:eastAsia="Calibri" w:cs="Times New Roman"/>
      <w:sz w:val="22"/>
      <w:szCs w:val="22"/>
      <w:lang w:val="pt-BR" w:eastAsia="en-US" w:bidi="ar-SA"/>
    </w:rPr>
  </w:style>
  <w:style w:type="paragraph" w:customStyle="1" w:styleId="131">
    <w:name w:val="No Spacing1"/>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qFormat/>
    <w:uiPriority w:val="0"/>
    <w:pPr>
      <w:spacing w:before="100" w:beforeAutospacing="1" w:after="100" w:afterAutospacing="1"/>
    </w:pPr>
  </w:style>
  <w:style w:type="paragraph" w:customStyle="1" w:styleId="133">
    <w:name w:val="Nivel 2"/>
    <w:basedOn w:val="1"/>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5">
    <w:name w:val="Nível 2 -Red"/>
    <w:basedOn w:val="133"/>
    <w:qFormat/>
    <w:uiPriority w:val="0"/>
    <w:rPr>
      <w:i/>
      <w:iCs/>
      <w:color w:val="FF0000"/>
    </w:rPr>
  </w:style>
  <w:style w:type="paragraph" w:customStyle="1" w:styleId="136">
    <w:name w:val="Nivel 3"/>
    <w:basedOn w:val="1"/>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qFormat/>
    <w:uiPriority w:val="0"/>
    <w:rPr>
      <w:i/>
      <w:iCs/>
      <w:color w:val="FF0000"/>
    </w:rPr>
  </w:style>
  <w:style w:type="character" w:customStyle="1" w:styleId="138">
    <w:name w:val="normaltextrun"/>
    <w:basedOn w:val="9"/>
    <w:qFormat/>
    <w:uiPriority w:val="0"/>
  </w:style>
  <w:style w:type="character" w:customStyle="1" w:styleId="139">
    <w:name w:val="eop"/>
    <w:basedOn w:val="9"/>
    <w:qFormat/>
    <w:uiPriority w:val="0"/>
  </w:style>
  <w:style w:type="paragraph" w:customStyle="1" w:styleId="140">
    <w:name w:val="ou"/>
    <w:basedOn w:val="127"/>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qFormat/>
    <w:uiPriority w:val="0"/>
    <w:pPr>
      <w:numPr>
        <w:ilvl w:val="3"/>
      </w:numPr>
      <w:ind w:left="567" w:firstLine="0"/>
    </w:pPr>
    <w:rPr>
      <w:color w:val="auto"/>
    </w:rPr>
  </w:style>
  <w:style w:type="paragraph" w:customStyle="1" w:styleId="142">
    <w:name w:val="Nível 4-R"/>
    <w:basedOn w:val="141"/>
    <w:qFormat/>
    <w:uiPriority w:val="0"/>
    <w:rPr>
      <w:i/>
      <w:iCs/>
      <w:color w:val="FF0000"/>
    </w:rPr>
  </w:style>
  <w:style w:type="paragraph" w:customStyle="1" w:styleId="143">
    <w:name w:val="Nível 1-Sem Num Preto"/>
    <w:basedOn w:val="144"/>
    <w:qFormat/>
    <w:uiPriority w:val="0"/>
    <w:pPr>
      <w:tabs>
        <w:tab w:val="left" w:pos="567"/>
      </w:tabs>
    </w:pPr>
    <w:rPr>
      <w:color w:val="auto"/>
      <w:lang w:eastAsia="zh-CN" w:bidi="hi-IN"/>
    </w:rPr>
  </w:style>
  <w:style w:type="paragraph" w:customStyle="1" w:styleId="144">
    <w:name w:val="Nível 1-Sem Num"/>
    <w:basedOn w:val="134"/>
    <w:qFormat/>
    <w:uiPriority w:val="0"/>
    <w:pPr>
      <w:numPr>
        <w:ilvl w:val="0"/>
        <w:numId w:val="0"/>
      </w:numPr>
      <w:outlineLvl w:val="1"/>
    </w:pPr>
    <w:rPr>
      <w:color w:val="FF0000"/>
    </w:rPr>
  </w:style>
  <w:style w:type="paragraph" w:customStyle="1" w:styleId="145">
    <w:name w:val="Nível 3"/>
    <w:basedOn w:val="137"/>
    <w:qFormat/>
    <w:uiPriority w:val="0"/>
    <w:rPr>
      <w:rFonts w:eastAsia="Times New Roman"/>
      <w:i w:val="0"/>
      <w:iCs w:val="0"/>
      <w:color w:val="auto"/>
    </w:rPr>
  </w:style>
  <w:style w:type="paragraph" w:customStyle="1" w:styleId="146">
    <w:name w:val="Nível 4"/>
    <w:basedOn w:val="145"/>
    <w:qFormat/>
    <w:uiPriority w:val="0"/>
    <w:pPr>
      <w:numPr>
        <w:ilvl w:val="3"/>
      </w:numPr>
      <w:ind w:left="567" w:firstLine="0"/>
    </w:pPr>
  </w:style>
  <w:style w:type="paragraph" w:customStyle="1" w:styleId="147">
    <w:name w:val="Nível 01-Sem Numeração"/>
    <w:basedOn w:val="1"/>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qFormat/>
    <w:uiPriority w:val="0"/>
  </w:style>
  <w:style w:type="paragraph" w:customStyle="1" w:styleId="149">
    <w:name w:val="SubTitNN"/>
    <w:basedOn w:val="1"/>
    <w:qFormat/>
    <w:uiPriority w:val="0"/>
    <w:pPr>
      <w:spacing w:before="240" w:after="120" w:line="276" w:lineRule="auto"/>
      <w:jc w:val="both"/>
    </w:pPr>
    <w:rPr>
      <w:rFonts w:ascii="Arial" w:hAnsi="Arial" w:cs="Arial"/>
      <w:b/>
      <w:bCs/>
      <w:iCs/>
      <w:sz w:val="20"/>
      <w:szCs w:val="20"/>
    </w:rPr>
  </w:style>
  <w:style w:type="paragraph" w:customStyle="1" w:styleId="150">
    <w:name w:val="Outro"/>
    <w:basedOn w:val="1"/>
    <w:qFormat/>
    <w:uiPriority w:val="0"/>
    <w:pPr>
      <w:widowControl w:val="0"/>
      <w:shd w:val="clear" w:color="auto" w:fill="FFFFFF"/>
      <w:spacing w:after="100"/>
    </w:pPr>
    <w:rPr>
      <w:rFonts w:ascii="Calibri" w:hAnsi="Calibri" w:eastAsia="Calibri" w:cs="Calibri"/>
      <w:sz w:val="24"/>
      <w:lang w:eastAsia="en-US"/>
    </w:rPr>
  </w:style>
  <w:style w:type="paragraph" w:customStyle="1" w:styleId="15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2">
    <w:name w:val="markedcontent"/>
    <w:basedOn w:val="9"/>
    <w:qFormat/>
    <w:uiPriority w:val="0"/>
  </w:style>
  <w:style w:type="paragraph" w:customStyle="1" w:styleId="153">
    <w:name w:val="Default"/>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4">
    <w:name w:val="Table Paragraph"/>
    <w:basedOn w:val="1"/>
    <w:qFormat/>
    <w:uiPriority w:val="1"/>
    <w:pPr>
      <w:ind w:left="107"/>
    </w:pPr>
    <w:rPr>
      <w:rFonts w:ascii="Times New Roman" w:hAnsi="Times New Roman" w:eastAsia="Times New Roman" w:cs="Times New Roman"/>
      <w:lang w:val="pt-PT" w:eastAsia="en-US" w:bidi="ar-SA"/>
    </w:rPr>
  </w:style>
  <w:style w:type="paragraph" w:customStyle="1" w:styleId="155">
    <w:name w:val="Corpo de texto 22"/>
    <w:basedOn w:val="1"/>
    <w:qFormat/>
    <w:uiPriority w:val="0"/>
    <w:pPr>
      <w:widowControl w:val="0"/>
      <w:ind w:firstLine="708"/>
      <w:jc w:val="both"/>
    </w:pPr>
    <w:rPr>
      <w:sz w:val="24"/>
    </w:rPr>
  </w:style>
  <w:style w:type="character" w:customStyle="1" w:styleId="156">
    <w:name w:val="Fonte parág. padrão6"/>
    <w:autoRedefine/>
    <w:qFormat/>
    <w:uiPriority w:val="0"/>
  </w:style>
  <w:style w:type="character" w:customStyle="1" w:styleId="157">
    <w:name w:val="font61"/>
    <w:qFormat/>
    <w:uiPriority w:val="0"/>
    <w:rPr>
      <w:rFonts w:ascii="SimSun" w:hAnsi="SimSun" w:eastAsia="SimSun" w:cs="SimSun"/>
      <w:color w:val="000000"/>
      <w:u w:val="none"/>
    </w:rPr>
  </w:style>
  <w:style w:type="character" w:customStyle="1" w:styleId="158">
    <w:name w:val="font71"/>
    <w:qFormat/>
    <w:uiPriority w:val="0"/>
    <w:rPr>
      <w:rFonts w:hint="default" w:ascii="Calibri" w:hAnsi="Calibri" w:cs="Calibri"/>
      <w:color w:val="000000"/>
      <w:u w:val="none"/>
    </w:rPr>
  </w:style>
  <w:style w:type="character" w:customStyle="1" w:styleId="159">
    <w:name w:val="font41"/>
    <w:autoRedefine/>
    <w:qFormat/>
    <w:uiPriority w:val="0"/>
    <w:rPr>
      <w:rFonts w:hint="default" w:ascii="Arial" w:hAnsi="Arial" w:cs="Arial"/>
      <w:color w:val="000000"/>
      <w:u w:val="none"/>
    </w:rPr>
  </w:style>
  <w:style w:type="character" w:customStyle="1" w:styleId="160">
    <w:name w:val="font31"/>
    <w:autoRedefine/>
    <w:qFormat/>
    <w:uiPriority w:val="0"/>
    <w:rPr>
      <w:rFonts w:hint="default" w:ascii="Times New Roman" w:hAnsi="Times New Roman" w:cs="Times New Roman"/>
      <w:color w:val="000000"/>
      <w:u w:val="none"/>
    </w:rPr>
  </w:style>
  <w:style w:type="table" w:customStyle="1" w:styleId="161">
    <w:name w:val="Tabela com grade2"/>
    <w:basedOn w:val="10"/>
    <w:qFormat/>
    <w:uiPriority w:val="39"/>
    <w:rPr>
      <w:rFonts w:asciiTheme="minorHAnsi" w:hAnsiTheme="minorHAnsi" w:eastAsiaTheme="minorHAnsi"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62">
    <w:name w:val="Standard"/>
    <w:qFormat/>
    <w:uiPriority w:val="0"/>
    <w:pPr>
      <w:widowControl w:val="0"/>
      <w:suppressAutoHyphens/>
      <w:autoSpaceDN w:val="0"/>
      <w:textAlignment w:val="baseline"/>
    </w:pPr>
    <w:rPr>
      <w:rFonts w:ascii="Times New Roman" w:hAnsi="Times New Roman" w:eastAsia="SimSun" w:cs="Tahoma"/>
      <w:kern w:val="3"/>
      <w:sz w:val="24"/>
      <w:szCs w:val="24"/>
      <w:lang w:val="pt-BR" w:eastAsia="zh-CN" w:bidi="hi-IN"/>
    </w:rPr>
  </w:style>
  <w:style w:type="character" w:customStyle="1" w:styleId="163">
    <w:name w:val="fontstyle01"/>
    <w:basedOn w:val="9"/>
    <w:qFormat/>
    <w:uiPriority w:val="0"/>
    <w:rPr>
      <w:rFonts w:hint="default" w:ascii="TimesNewRomanPS-BoldMT" w:hAnsi="TimesNewRomanPS-BoldMT"/>
      <w:b/>
      <w:bCs/>
      <w:color w:val="000000"/>
      <w:sz w:val="24"/>
      <w:szCs w:val="24"/>
    </w:rPr>
  </w:style>
  <w:style w:type="character" w:customStyle="1" w:styleId="164">
    <w:name w:val="font21"/>
    <w:qFormat/>
    <w:uiPriority w:val="0"/>
    <w:rPr>
      <w:rFonts w:hint="default" w:ascii="Times New Roman" w:hAnsi="Times New Roman" w:cs="Times New Roman"/>
      <w:color w:val="000000"/>
      <w:u w:val="none"/>
    </w:rPr>
  </w:style>
  <w:style w:type="paragraph" w:customStyle="1" w:styleId="165">
    <w:name w:val="Conteúdo do quadro"/>
    <w:basedOn w:val="1"/>
    <w:qFormat/>
    <w:uiPriority w:val="0"/>
    <w:pPr>
      <w:widowControl w:val="0"/>
      <w:suppressAutoHyphens/>
      <w:spacing w:after="0" w:line="240" w:lineRule="auto"/>
    </w:pPr>
    <w:rPr>
      <w:rFonts w:ascii="Arial MT" w:hAnsi="Arial MT" w:eastAsia="Arial MT" w:cs="Arial MT"/>
      <w:lang w:val="pt-PT"/>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124</Pages>
  <Words>36348</Words>
  <Characters>206561</Characters>
  <Lines>616</Lines>
  <Paragraphs>175</Paragraphs>
  <TotalTime>55</TotalTime>
  <ScaleCrop>false</ScaleCrop>
  <LinksUpToDate>false</LinksUpToDate>
  <CharactersWithSpaces>241801</CharactersWithSpaces>
  <Application>WPS Office_12.2.0.20323_F1E327BC-269C-435d-A152-05C5408002CA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EDNA.ESCOBAR</cp:lastModifiedBy>
  <cp:lastPrinted>2025-03-10T12:20:00Z</cp:lastPrinted>
  <dcterms:modified xsi:type="dcterms:W3CDTF">2025-03-10T13:01:37Z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1046-12.2.0.20323</vt:lpwstr>
  </property>
  <property fmtid="{D5CDD505-2E9C-101B-9397-08002B2CF9AE}" pid="3" name="ICV">
    <vt:lpwstr>E11709F799914374AF065228601EEED6_13</vt:lpwstr>
  </property>
</Properties>
</file>