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F1477">
      <w:pPr>
        <w:pStyle w:val="14"/>
        <w:shd w:val="clear" w:color="auto" w:fill="FFFFFF"/>
        <w:spacing w:before="0" w:beforeAutospacing="0" w:after="0" w:afterAutospacing="0" w:line="245" w:lineRule="auto"/>
        <w:jc w:val="center"/>
        <w:rPr>
          <w:b/>
          <w:bCs/>
        </w:rPr>
      </w:pPr>
      <w:r>
        <w:rPr>
          <w:b/>
          <w:bCs/>
        </w:rPr>
        <w:t xml:space="preserve">TERMO DE REFERÊNCIA </w:t>
      </w:r>
    </w:p>
    <w:p w14:paraId="1D20EC2E">
      <w:pPr>
        <w:pStyle w:val="14"/>
        <w:shd w:val="clear" w:color="auto" w:fill="FFFFFF"/>
        <w:spacing w:before="0" w:beforeAutospacing="0" w:after="0" w:afterAutospacing="0" w:line="245" w:lineRule="auto"/>
        <w:jc w:val="center"/>
        <w:rPr>
          <w:b/>
          <w:bCs/>
        </w:rPr>
      </w:pPr>
    </w:p>
    <w:p w14:paraId="1311571D">
      <w:pPr>
        <w:tabs>
          <w:tab w:val="left" w:pos="2552"/>
          <w:tab w:val="left" w:pos="949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SIGILO: (  ) SIM        (X) NÃO </w:t>
      </w:r>
    </w:p>
    <w:p w14:paraId="1B47A211">
      <w:pPr>
        <w:tabs>
          <w:tab w:val="left" w:pos="2552"/>
          <w:tab w:val="left" w:pos="949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PREVISÃO NO PLANO DE CONTRATAÇÃO ANUAL: (X) SIM       (  ) NÃO</w:t>
      </w:r>
    </w:p>
    <w:tbl>
      <w:tblPr>
        <w:tblStyle w:val="16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3002"/>
        <w:gridCol w:w="768"/>
        <w:gridCol w:w="582"/>
        <w:gridCol w:w="1320"/>
        <w:gridCol w:w="1299"/>
        <w:gridCol w:w="1268"/>
        <w:gridCol w:w="7"/>
      </w:tblGrid>
      <w:tr w14:paraId="4ADA2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  <w:shd w:val="clear" w:color="auto" w:fill="D8D8D8" w:themeFill="background1" w:themeFillShade="D9"/>
          </w:tcPr>
          <w:p w14:paraId="637998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14:paraId="7ABA3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</w:tcPr>
          <w:p w14:paraId="5A0486F5">
            <w:pPr>
              <w:tabs>
                <w:tab w:val="left" w:pos="2552"/>
                <w:tab w:val="left" w:pos="9498"/>
              </w:tabs>
              <w:spacing w:after="0" w:line="245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Secretaria Demandante:</w:t>
            </w:r>
            <w:r>
              <w:rPr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SECRETARIA MUNICIPAL DE SEGURANÇA E TRÂNSITO</w:t>
            </w:r>
          </w:p>
        </w:tc>
      </w:tr>
      <w:tr w14:paraId="6700B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</w:tcPr>
          <w:p w14:paraId="38C97FE7">
            <w:pPr>
              <w:tabs>
                <w:tab w:val="left" w:pos="2552"/>
                <w:tab w:val="left" w:pos="9498"/>
              </w:tabs>
              <w:spacing w:after="0" w:line="245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Secretário: WESNEI DE CASTRO SODRÉ</w:t>
            </w:r>
          </w:p>
          <w:p w14:paraId="301D16CE">
            <w:pPr>
              <w:tabs>
                <w:tab w:val="left" w:pos="2552"/>
                <w:tab w:val="left" w:pos="9498"/>
              </w:tabs>
              <w:spacing w:after="0" w:line="245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2321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4591" w:type="dxa"/>
            <w:gridSpan w:val="3"/>
          </w:tcPr>
          <w:p w14:paraId="428182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Email (institucional):</w:t>
            </w:r>
          </w:p>
          <w:p w14:paraId="2F5A294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8F9FA"/>
              </w:rPr>
              <w:t xml:space="preserve"> transito@sinop.mt.gov.br</w:t>
            </w:r>
          </w:p>
        </w:tc>
        <w:tc>
          <w:tcPr>
            <w:tcW w:w="4469" w:type="dxa"/>
            <w:gridSpan w:val="4"/>
          </w:tcPr>
          <w:p w14:paraId="3DD505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 (Institucional):</w:t>
            </w:r>
          </w:p>
          <w:p w14:paraId="1C2F007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(66) 3511-1854</w:t>
            </w:r>
          </w:p>
        </w:tc>
      </w:tr>
      <w:tr w14:paraId="33BAA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  <w:shd w:val="clear" w:color="auto" w:fill="D8D8D8" w:themeFill="background1" w:themeFillShade="D9"/>
          </w:tcPr>
          <w:p w14:paraId="55A4F0E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OBJETO</w:t>
            </w:r>
          </w:p>
        </w:tc>
      </w:tr>
      <w:tr w14:paraId="337AA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</w:tcPr>
          <w:p w14:paraId="1BDF22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Especificação do objeto:</w:t>
            </w:r>
          </w:p>
          <w:p w14:paraId="5A357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presente Termo de Referência tem por finalidade definir o conjunto de elementos que nortearão o procedimento para o “CREDENCIAMENTO DE LEILOEIROS PARA A REALIZÃO DE LEILÃO, ASSESSORIA NA ESTRUTURAÇÃO DE LEILÕES PÚBLICOS, PRESENCIAIS E ELETRÔNICOS, VISANDO A ALIENAÇÃO DE BENS MÓVEIS (VEÍCULOS) DE TERCEIROS NÃO RETIRADOS/REGULARIZADOS/RECLAMADOS, RECOLHIDOS NOS PÁTIOS, HÁ MAIS DE 60 DIAS DE ACORDO COM O ART. 328 DO CTB, E CONFORME CONVÊNIO FIRMADO COM O DETRAN-MT, NO ÂMBITO DA PREFEITURA MUNICIPAL DE SINOP-MT”.</w:t>
            </w:r>
          </w:p>
          <w:p w14:paraId="0EA99B9D">
            <w:pPr>
              <w:spacing w:after="0" w:line="245" w:lineRule="auto"/>
              <w:ind w:left="-5" w:right="98" w:hanging="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Natureza do objeto: </w:t>
            </w:r>
          </w:p>
          <w:p w14:paraId="1BC39B59">
            <w:pPr>
              <w:spacing w:after="0" w:line="245" w:lineRule="auto"/>
              <w:ind w:left="-5" w:right="98" w:hanging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CREDENCIAMENTO</w:t>
            </w:r>
          </w:p>
          <w:p w14:paraId="2C14ADB5">
            <w:pPr>
              <w:spacing w:after="0" w:line="245" w:lineRule="auto"/>
              <w:ind w:left="-5" w:right="98" w:hanging="1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2.3 Prazo de Contrato: </w:t>
            </w:r>
          </w:p>
          <w:p w14:paraId="3058D36B">
            <w:pPr>
              <w:spacing w:after="0" w:line="245" w:lineRule="auto"/>
              <w:ind w:left="-5" w:right="98" w:hanging="1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contrato terá vigência de 1 (um) ano contados da homologação do credenciamento.</w:t>
            </w:r>
          </w:p>
          <w:p w14:paraId="5AB38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D7CA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</w:trPr>
        <w:tc>
          <w:tcPr>
            <w:tcW w:w="9060" w:type="dxa"/>
            <w:gridSpan w:val="7"/>
          </w:tcPr>
          <w:p w14:paraId="03FF8A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2.3.1. Secretaria: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SECRETARIA DE SEGURANÇA E TRÂNSITO</w:t>
            </w:r>
          </w:p>
        </w:tc>
      </w:tr>
      <w:tr w14:paraId="60B3B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" w:type="dxa"/>
          </w:tcPr>
          <w:p w14:paraId="31F36B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3002" w:type="dxa"/>
          </w:tcPr>
          <w:p w14:paraId="62775A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DESCRIÇÃO DO OBJETO</w:t>
            </w:r>
          </w:p>
        </w:tc>
        <w:tc>
          <w:tcPr>
            <w:tcW w:w="1350" w:type="dxa"/>
            <w:gridSpan w:val="2"/>
          </w:tcPr>
          <w:p w14:paraId="17E5A9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CODIGO PREF</w:t>
            </w:r>
          </w:p>
        </w:tc>
        <w:tc>
          <w:tcPr>
            <w:tcW w:w="1320" w:type="dxa"/>
          </w:tcPr>
          <w:p w14:paraId="72AA1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UNID. MEDIA</w:t>
            </w:r>
          </w:p>
        </w:tc>
        <w:tc>
          <w:tcPr>
            <w:tcW w:w="1299" w:type="dxa"/>
          </w:tcPr>
          <w:p w14:paraId="130509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QTD.</w:t>
            </w:r>
          </w:p>
        </w:tc>
        <w:tc>
          <w:tcPr>
            <w:tcW w:w="1275" w:type="dxa"/>
            <w:gridSpan w:val="2"/>
          </w:tcPr>
          <w:p w14:paraId="4118E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14:paraId="0E7A0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21" w:type="dxa"/>
          </w:tcPr>
          <w:p w14:paraId="6ACD82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02" w:type="dxa"/>
          </w:tcPr>
          <w:p w14:paraId="690D9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color w:val="000000"/>
                <w:sz w:val="14"/>
                <w:szCs w:val="14"/>
                <w:lang w:eastAsia="zh-CN" w:bidi="ar"/>
              </w:rPr>
              <w:t xml:space="preserve">CREDENCIAMENTO PARA CONTRATACAO DE PESSOA FISICA, DEVIDAMENTE CREDENCIADA PELA JUNTA COMERCIAL, 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PRESTAÇÃO DE SERVIÇOS ESPECIALIZADOS NA REALIZAÇÃO DE LEILÕES PÚBLICOS DE VEÍCULOS REMOVIDOS, APREENDIDOS OU NÃO RECLAMADOS, NAS MODALIDADES PRESENCIAL E ELETRÔNICA,</w:t>
            </w:r>
            <w:r>
              <w:rPr>
                <w:rFonts w:ascii="Times New Roman" w:hAnsi="Times New Roman" w:eastAsia="SimSun" w:cs="Times New Roman"/>
                <w:b/>
                <w:color w:val="000000"/>
                <w:sz w:val="14"/>
                <w:szCs w:val="14"/>
                <w:lang w:eastAsia="zh-CN" w:bidi="ar"/>
              </w:rPr>
              <w:t xml:space="preserve"> VISANDO A ALIENACAO DE BENS MOVEIS E AUTOMOVEIS.</w:t>
            </w:r>
          </w:p>
        </w:tc>
        <w:tc>
          <w:tcPr>
            <w:tcW w:w="1350" w:type="dxa"/>
            <w:gridSpan w:val="2"/>
          </w:tcPr>
          <w:p w14:paraId="6F8DA4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C67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48C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407556</w:t>
            </w:r>
          </w:p>
        </w:tc>
        <w:tc>
          <w:tcPr>
            <w:tcW w:w="1320" w:type="dxa"/>
          </w:tcPr>
          <w:p w14:paraId="64F61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FDD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9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99" w:type="dxa"/>
          </w:tcPr>
          <w:p w14:paraId="5BAFD0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98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FBF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14:paraId="7B316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A2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899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</w:tbl>
    <w:tbl>
      <w:tblPr>
        <w:tblStyle w:val="10"/>
        <w:tblW w:w="9072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7"/>
        <w:gridCol w:w="4575"/>
      </w:tblGrid>
      <w:tr w14:paraId="5C41B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4497" w:type="dxa"/>
          </w:tcPr>
          <w:p w14:paraId="6472E8D2">
            <w:pPr>
              <w:rPr>
                <w:rFonts w:ascii="Times New Roman" w:hAnsi="Times New Roman" w:cs="Times New Roman"/>
                <w:b/>
                <w:sz w:val="20"/>
                <w:szCs w:val="20"/>
                <w:lang w:bidi="pt-PT"/>
              </w:rPr>
            </w:pPr>
          </w:p>
        </w:tc>
        <w:tc>
          <w:tcPr>
            <w:tcW w:w="4575" w:type="dxa"/>
            <w:vAlign w:val="center"/>
          </w:tcPr>
          <w:p w14:paraId="275AAA3D">
            <w:pPr>
              <w:rPr>
                <w:rFonts w:ascii="Times New Roman" w:hAnsi="Times New Roman" w:cs="Times New Roman"/>
                <w:sz w:val="20"/>
                <w:szCs w:val="20"/>
                <w:lang w:bidi="pt-PT"/>
              </w:rPr>
            </w:pPr>
          </w:p>
        </w:tc>
      </w:tr>
    </w:tbl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7FAFE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01644B7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– JUSTIFICATIVA/ NECESSIDADE DA CONTRATAÇÃO</w:t>
            </w:r>
          </w:p>
        </w:tc>
      </w:tr>
      <w:tr w14:paraId="5845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1A7E0387">
            <w:pPr>
              <w:pStyle w:val="17"/>
              <w:numPr>
                <w:ilvl w:val="1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Justificativa: </w:t>
            </w:r>
          </w:p>
          <w:p w14:paraId="6F5A066A">
            <w:pPr>
              <w:pStyle w:val="17"/>
              <w:numPr>
                <w:ilvl w:val="0"/>
                <w:numId w:val="3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presente credenciamento se justifica pela necessidade do município em formalizar leilão público, na forma presencial e eletrônica, de veículos de terceiros não regularizados/reclamados/retirados, recolhidos há mais de 60 (sessenta) dias, de acordo com o art. 328 do Código de Trânsito Brasileiro (CTB), no âmbito do Município de Sinop, pela Guarda Municipal de Trânsito da Prefeitura Municipal de SINOP -MT e através parceria com a Polícia Militar do Estado de Mato Grosso, conforme condições, quantidades e exigências a serem estabelecidas no Termo de Referência, Edital e seus anexos.</w:t>
            </w:r>
          </w:p>
          <w:p w14:paraId="6BB50F6F">
            <w:pPr>
              <w:pStyle w:val="17"/>
              <w:numPr>
                <w:ilvl w:val="0"/>
                <w:numId w:val="3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Desde o ano de 2022, com a aprovação da Lei Municipal 2985/2021 e Lei Municipal 2995/2021, 3449/2025, que criou e regulamentou o serviço de guincho, remoção e depósito em pátio de veículos automotores, recolhidos através de medidas administrativas previstas na Lei Federal nº 9.503/1997 e Resolução 623/2016 do CONTRAN, o município e o Estado, tem realizado a apreensão/remoção de veículos irregulares que circulam nas vias públicas do município, em função disso, atualmente o município encontra-se com quase 3000 (três mil) bens móveis de terceiros apreendidos/removidos nos pátios das empresas credenciadas.</w:t>
            </w:r>
          </w:p>
          <w:p w14:paraId="1C1E0A24">
            <w:pPr>
              <w:pStyle w:val="17"/>
              <w:numPr>
                <w:ilvl w:val="0"/>
                <w:numId w:val="3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Considerando o elevado número de veículos apreendidos/removidos, bem como, a limitação de espaço para o armazenamento adequado, faz necessário a contratação urgente de empresa ou profissional devidamente habilitado para proceder com a formalização e realização de Leilão Público, a fim de, garantir o arremate dos veículos, com a consequente quitação dos débitos pendentes em seus registros.</w:t>
            </w:r>
          </w:p>
          <w:p w14:paraId="4777C172">
            <w:pPr>
              <w:pStyle w:val="17"/>
              <w:numPr>
                <w:ilvl w:val="0"/>
                <w:numId w:val="3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Observa-se ainda que os bens estão deteriorando-se por ação do tempo e de condições de guarda, mantendo-se em processo contínuo de desvalorização comercial, os acúmulos de veículos podem causar problemas ambientais até sanitários, por serem ambientes suscetíveis à proliferação de répteis, roedores e insetos, dentre eles, mosquito Aedes aegypti, responsável pela transmissão dos vírus da dengue, da Chikungunya e Zika, doenças que tendem a se multiplicar nos períodos chuvosos;</w:t>
            </w:r>
          </w:p>
        </w:tc>
      </w:tr>
    </w:tbl>
    <w:p w14:paraId="6ED0EA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6FB02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5FB9A30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– REQUISITOS DO OBJETO DA CONTRATAÇÃO</w:t>
            </w:r>
          </w:p>
        </w:tc>
      </w:tr>
      <w:tr w14:paraId="72A99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5377FDDB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42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Os serviços a serem executados abrangem a prestação de serviço especializado na organização, normatização e execução de leilão público, sob a responsabilidade técnica de Leiloeiro Oficial, devidamente registrado na Junta Comercial do Estado de Mato</w:t>
            </w:r>
            <w:r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Grosso.</w:t>
            </w:r>
          </w:p>
          <w:p w14:paraId="3D52AE79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42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Os leiloeiros contratados deverão atender aos seguintes requisitos: Promover o leilão por meio de plataforma eletrônica, própria, que permita a ampla divulgação do edital de leilão, além da publicidade exigida pela </w:t>
            </w:r>
            <w:r>
              <w:fldChar w:fldCharType="begin"/>
            </w:r>
            <w:r>
              <w:instrText xml:space="preserve"> HYPERLINK "http://legislacao.planalto.gov.br/legisla/legislacao.nsf/Viw_Identificacao/lei%2012.232-2010?OpenDocument" </w:instrText>
            </w:r>
            <w:r>
              <w:fldChar w:fldCharType="separate"/>
            </w:r>
            <w:r>
              <w:rPr>
                <w:rStyle w:val="11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Lei</w:t>
            </w:r>
            <w:r>
              <w:rPr>
                <w:rStyle w:val="12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  <w:t xml:space="preserve"> </w:t>
            </w:r>
            <w:r>
              <w:rPr>
                <w:rStyle w:val="12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nº 12.232, de 29 de abril de 2010</w:t>
            </w:r>
            <w:r>
              <w:rPr>
                <w:rStyle w:val="12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fldChar w:fldCharType="end"/>
            </w:r>
            <w:r>
              <w:rPr>
                <w:rStyle w:val="1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pela L</w:t>
            </w:r>
            <w:r>
              <w:fldChar w:fldCharType="begin"/>
            </w:r>
            <w:r>
              <w:instrText xml:space="preserve"> HYPERLINK "https://www.planalto.gov.br/ccivil_03/_Ato2019-2022/2021/Lei/L14133.htm" \l "art186" </w:instrText>
            </w:r>
            <w:r>
              <w:fldChar w:fldCharType="separate"/>
            </w:r>
            <w:r>
              <w:rPr>
                <w:rStyle w:val="12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ei nº 14.133, de 2021</w:t>
            </w:r>
            <w:r>
              <w:rPr>
                <w:rStyle w:val="12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FC31B9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4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Os serviços a serem contratados trata-se de serviços de execução indireta de serviços da Administração Pública municipal. enquadrando-se nos pressupostos do Decreto Federal n° 9.507, de 21 de setembro de 2018, não se constituindo em quaisquer das atividades, previstas no Art. 3º do aludido decreto, cuja execução indireta é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vedada.</w:t>
            </w:r>
          </w:p>
          <w:p w14:paraId="110C50EA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4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Os serviços a serem executados englobam eventuais notificações, avaliação de veículos, efetivar o desembaraço, inutilização de placas e chassi (cortar) em que conste o Número de Identificação do Veículo – registro</w:t>
            </w:r>
            <w:r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VIN.</w:t>
            </w:r>
          </w:p>
          <w:p w14:paraId="2088D828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51" w:lineRule="exact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As avaliações realizadas pelo leiloeiro responsável deverão ser ratificadas/validadas pela Comissão Especial de Leilões nomeada pela Prefeitura Municipal de Sinop-MT, pela Portaria n° 0198/2026 de 19 de fevereiro de 2026, que terá a responsabilidade final de definição dos</w:t>
            </w: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valores.</w:t>
            </w:r>
          </w:p>
          <w:p w14:paraId="3CD94462">
            <w:pPr>
              <w:pStyle w:val="17"/>
              <w:numPr>
                <w:ilvl w:val="0"/>
                <w:numId w:val="4"/>
              </w:numPr>
              <w:tabs>
                <w:tab w:val="left" w:pos="586"/>
              </w:tabs>
              <w:spacing w:line="251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Os serviços são classificados com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CBO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354405.</w:t>
            </w:r>
          </w:p>
          <w:p w14:paraId="48DD139D">
            <w:pPr>
              <w:pStyle w:val="17"/>
              <w:numPr>
                <w:ilvl w:val="0"/>
                <w:numId w:val="4"/>
              </w:numPr>
              <w:tabs>
                <w:tab w:val="left" w:pos="586"/>
                <w:tab w:val="left" w:pos="612"/>
              </w:tabs>
              <w:spacing w:line="251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A prestação dos serviços não gera vínculo empregatício entre os empregados da Contratada e a Administração Contratante, vedando-se qualquer relação entre estes que caracterize pessoalidade e subordinação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direta.</w:t>
            </w:r>
          </w:p>
          <w:p w14:paraId="762132DF">
            <w:pPr>
              <w:pStyle w:val="17"/>
              <w:numPr>
                <w:ilvl w:val="0"/>
                <w:numId w:val="4"/>
              </w:numPr>
              <w:tabs>
                <w:tab w:val="left" w:pos="586"/>
                <w:tab w:val="left" w:pos="612"/>
              </w:tabs>
              <w:spacing w:line="251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O contato da Contratada com a Contratante através da Comissão de Leilão, deverá ser restrito entre a leiloeira e a comissão, ou caso a comissão venha a aceitar, a mesma poderá nomear um membro de sua equipe através de procuração Pública para as tratativas.</w:t>
            </w:r>
          </w:p>
        </w:tc>
      </w:tr>
    </w:tbl>
    <w:p w14:paraId="6FD0E5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 w14:paraId="37829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9060" w:type="dxa"/>
            <w:shd w:val="clear" w:color="auto" w:fill="D8D8D8" w:themeFill="background1" w:themeFillShade="D9"/>
          </w:tcPr>
          <w:p w14:paraId="3BF16A2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– EXECUÇÃO DO OBJETO DO CONTRATO </w:t>
            </w:r>
          </w:p>
        </w:tc>
      </w:tr>
      <w:tr w14:paraId="15D25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9060" w:type="dxa"/>
          </w:tcPr>
          <w:p w14:paraId="285192C7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execução do objeto seguirá a seguinte dinâmica:</w:t>
            </w:r>
          </w:p>
          <w:p w14:paraId="5C7893F7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Os serviços prestados sob a responsabilização técnica do Leiloeiro Oficial contratado deverão dispor de solução técnica integrada para realização do leilão, compreendendo pessoal, equipamentos, ferramentas e materiais diversos em quantidade suficiente para atendimento das exigências contratuais.</w:t>
            </w:r>
          </w:p>
          <w:p w14:paraId="18D14300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licitante (Leiloeiro Oficial) deverá disponibilizar sistema informatizado para controle das atividades inerentes ao leilão, capaz de fornecer relatórios gerenciais sempre que solicitados pela Comissão de Leilão. </w:t>
            </w:r>
          </w:p>
          <w:p w14:paraId="2F04096E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licitante (Leiloeiro Oficial) deverá Dispor de sistema de gestão virtual com acesso remoto, a toda a documentação relativa ao leilão, e a cada lote individual, que deverão ser organizados por pastas de documentos individuais e pastas por lote e/ou placa do veículo, contendo toda a documentação relativa ao lote e/ou placa, possibilitando a sua fiscalização e controle por parte da comissão especial de leilão.</w:t>
            </w:r>
          </w:p>
          <w:p w14:paraId="48EA7DCD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Por ocasião da contratação, a comissão especial de leilão fará consulta para comprovação e verificação do sistema de gestão virtual, conforme subitem C.</w:t>
            </w:r>
          </w:p>
          <w:p w14:paraId="66E90E31">
            <w:pPr>
              <w:spacing w:after="0" w:line="245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Leiloeiro Oficial deverá informar previamente qualquer fato que possa impactar nas atividades relativas ao processo licitatório, bem como o planejamento da distribuição do material publicitário.</w:t>
            </w:r>
          </w:p>
        </w:tc>
      </w:tr>
    </w:tbl>
    <w:p w14:paraId="424C2B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79FAA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7F1F974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– OBRIGAÇÕES DA CONTRATADA</w:t>
            </w:r>
          </w:p>
        </w:tc>
      </w:tr>
      <w:tr w14:paraId="105E3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20A53A91">
            <w:pPr>
              <w:pStyle w:val="17"/>
              <w:numPr>
                <w:ilvl w:val="0"/>
                <w:numId w:val="5"/>
              </w:numPr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Realização de toda a gestão documental de preparação do Leilão;</w:t>
            </w:r>
          </w:p>
          <w:p w14:paraId="7DC499EC">
            <w:pPr>
              <w:pStyle w:val="17"/>
              <w:numPr>
                <w:ilvl w:val="0"/>
                <w:numId w:val="5"/>
              </w:numPr>
              <w:spacing w:after="0" w:line="245" w:lineRule="auto"/>
              <w:ind w:left="0"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 prazos de execução dos serviços serão definidos pela Comissão de Leilão, obedecidos os prazos previstos na legislação vigente.</w:t>
            </w:r>
          </w:p>
          <w:p w14:paraId="7A51FD59">
            <w:pPr>
              <w:pStyle w:val="17"/>
              <w:numPr>
                <w:ilvl w:val="0"/>
                <w:numId w:val="5"/>
              </w:numPr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Após o recebimento da lista de bens alienáveis, o CONTRATADO providenciará, em prazo máximo de 15 (quinze) dias úteis, um cronograma de atividade com sugestões de datas/prazos para os procedimentos de:</w:t>
            </w:r>
          </w:p>
          <w:p w14:paraId="36714109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Apoio Logístico;</w:t>
            </w:r>
          </w:p>
          <w:p w14:paraId="31D8B9EE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Análise, classificação, avaliação e especificação técnica dos bens;</w:t>
            </w:r>
          </w:p>
          <w:p w14:paraId="6261BA1F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Levantamento fotográfico dos bens, devendo os mesmos serem de boa qualidade e disponibilizados em fotos individuais;</w:t>
            </w:r>
          </w:p>
          <w:p w14:paraId="5A2E2F3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Divisão de lotes dos bens;</w:t>
            </w:r>
          </w:p>
          <w:p w14:paraId="38D67021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Envio do relatório de loteamento, contendo os Laudos de Avaliação, Localização, Classificação e Especificação Técnica em conformidade com o presente Termo de Referência; Definição de Valores Mínimos de Venda a ser definido em conjunto com a comissão especial de leilões;</w:t>
            </w:r>
          </w:p>
          <w:p w14:paraId="15987456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Envio de condições de venda;</w:t>
            </w:r>
          </w:p>
          <w:p w14:paraId="14B3D29F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Definição de edital de leilão ou concorrência;</w:t>
            </w:r>
          </w:p>
          <w:p w14:paraId="51A3ED43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Publicação de edital e leilão ou concorrência;</w:t>
            </w:r>
          </w:p>
          <w:p w14:paraId="18D1F27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Data de início da divulgação dos lotes na internet;</w:t>
            </w:r>
          </w:p>
          <w:p w14:paraId="494F91E0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Data, hora e local de encerramento do processo de vendas, com realização de evento presencial (quando o caso);</w:t>
            </w:r>
          </w:p>
          <w:p w14:paraId="0C9C25A1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Data prevista para envio do Relatório Sintético de Performance de Vendas;</w:t>
            </w:r>
          </w:p>
          <w:p w14:paraId="5D5C5080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Prazo previsto para liquidação financeira dos lotes vendidos;</w:t>
            </w:r>
          </w:p>
          <w:p w14:paraId="3989357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Prazo previsto para procedimento de retirada dos lotes vendidos e pagos;</w:t>
            </w:r>
          </w:p>
          <w:p w14:paraId="2658CBA7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Data prevista para o envio do Relatório Analítico e Encerramento do processo de Venda;</w:t>
            </w:r>
          </w:p>
          <w:p w14:paraId="37898C2D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Elaborar o Edital do Leilão, certificando-se de constar todos os dados necessários.</w:t>
            </w:r>
          </w:p>
          <w:p w14:paraId="32D37144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edital deverá ser formalizado pela equipe técnica do leiloeiro seguindo a legislação vigente (Resolução 623/16), com posterior encaminhamento da minuta para aprovação final da Comissão Especial de Leilões antes da publicação em diário oficial e disponibilização para consulta pública;</w:t>
            </w:r>
          </w:p>
          <w:p w14:paraId="74AD0C26">
            <w:pPr>
              <w:pStyle w:val="17"/>
              <w:spacing w:after="0" w:line="245" w:lineRule="auto"/>
              <w:ind w:left="0"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Ainda na fase interna a CONTRATADA deverá analisar e formalizar toda a documentação e procedimento necessários, a fim de, garantir a completa legalidade na alienação dos lotes a serem leiloados, como por exemplo, se o veículo contem, RENAJUD, queixa de roubo e furto ou qualquer outro tipo de restrição que venha prejudicar o certame, devendo a comissão ser informada com antecedência;</w:t>
            </w:r>
          </w:p>
          <w:p w14:paraId="2DB814D4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6.1 Da organização e da Visitação aos Pátios:</w:t>
            </w:r>
          </w:p>
          <w:p w14:paraId="0A03C8C9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Cabe ao leiloeiro identificar visualmente os lotes para o leilão nos locais onde se encontram depositados, de modo claro, de forma a possibilitar o perfeito discernimento por parte dos interessados.</w:t>
            </w:r>
          </w:p>
          <w:p w14:paraId="4E3A6A3C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 números dos lotes serão fornecidos pela Contratada e não poderão ser alterados, sem aval e concordância da Comissão.</w:t>
            </w:r>
          </w:p>
          <w:p w14:paraId="320A67E0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marcação dos lotes será feita com adesivos para melhor identificação do veículo.</w:t>
            </w:r>
          </w:p>
          <w:p w14:paraId="543FBB50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 veículos deverão receber a etiqueta dos números dos lotes em lugar facilmente avistável.</w:t>
            </w:r>
          </w:p>
          <w:p w14:paraId="2C01DC15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 caso de motocicletas, o número de lote deverá ser adesivado preferencialmente no tanque de combustível, sempre que possível, sem prejuízo de identificação em outros lugares a critério do identificador.</w:t>
            </w:r>
          </w:p>
          <w:p w14:paraId="5E64DA4F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 dia de abertura e início previsto no edital do leilão, a contratada deverá disponibilizar pessoal, em quantidade suficiente, para o acompanhamento da visitação aos lotes.</w:t>
            </w:r>
          </w:p>
          <w:p w14:paraId="5E17E9E1">
            <w:pPr>
              <w:spacing w:after="0" w:line="245" w:lineRule="auto"/>
              <w:ind w:left="24" w:firstLine="709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6.2 Da Publicidade:</w:t>
            </w:r>
          </w:p>
          <w:p w14:paraId="56744D21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elaboração do edital de leilão caberá a contratada, sendo que necessitará de aprovação da Comissão Especial de Leilão, nomeada pela Portaria n°0198/2026 de 19 de fevereiro de 2026.</w:t>
            </w:r>
          </w:p>
          <w:p w14:paraId="46BFD683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publicação oficial do edital de leilão no Tribunal de Contas do Estado do Mato Grosso, caberá a contratante, entretanto a contratada cabe auxiliar na publicidade do edital de leilão, em outros editais.</w:t>
            </w:r>
          </w:p>
          <w:p w14:paraId="48952C2B">
            <w:pPr>
              <w:pStyle w:val="17"/>
              <w:spacing w:after="0" w:line="245" w:lineRule="auto"/>
              <w:ind w:hanging="4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Referente a publicidade do leilão caberá adotar os seguintes passos:</w:t>
            </w:r>
          </w:p>
          <w:p w14:paraId="1DCC3987">
            <w:pPr>
              <w:pStyle w:val="17"/>
              <w:spacing w:after="0" w:line="245" w:lineRule="auto"/>
              <w:ind w:hanging="4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•         Imprensa escrita (em jornal de grande circulação no Estado ou na região em que ocorrerá o leilão – Resolução 623/2016, Art. 20, Inc. I, Item “b”). Sítio eletrônico na Internet.</w:t>
            </w:r>
          </w:p>
          <w:p w14:paraId="3EC7A39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Faixas para serem colocadas em pontos estratégicos como nas proximidades do(s) local(is) onde será realizado o leilão, (6) seis.</w:t>
            </w:r>
          </w:p>
          <w:p w14:paraId="0BDBD6D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Panfletos – O Leiloeiro Oficial deverá providenciar a divulgação através de no mínimo 1000 (mil) panfletos para serem divulgados no Município de Sinop- MT, bem como, municípios regionais, e outras localidades onde houver uma concentração de supostos interessados. Submeter todo material publicitário do leilão para análise da Comissão de Leilão, para aprovação.</w:t>
            </w:r>
          </w:p>
          <w:p w14:paraId="0BCE8B32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despesas de publicação serão custeadas pelo contratado, exceto as de responsabilidade da contratante, elencadas abaixo: a. Publicação no Diário Oficial do TCE-MT; b. Publicação no site oficial da Prefeitura Municipal de Sinop-MT.</w:t>
            </w:r>
          </w:p>
          <w:p w14:paraId="0DBEA567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6.3 Da Sessão do Leilão:</w:t>
            </w:r>
          </w:p>
          <w:p w14:paraId="65DC28A6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Conferir o cadastro virtual dos interessados em participar do leilão com a documentação física autenticada (além de outros meios), possibilitando identificar, registrar, comprometer o participante da sessão pública do leilão, conduzindo-o à veracidade das informações prestadas, responsabilidade nos lances e assegurando o registro de quem participa para fins de eventuais ações judiciais;</w:t>
            </w:r>
          </w:p>
          <w:p w14:paraId="4A10460A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documentação a ser exigida pelo Leiloeiro Oficial para participação nos certames se fará de acordo com a legislação e o tipo de bem a ser leiloado (Ex. sucata - condições específicas para a participação do leilão e as restrições legais - Resolução CONTRAN 623/2016, Art. 19,§1º, Inc. III, Item “c” e “d”);</w:t>
            </w:r>
          </w:p>
          <w:p w14:paraId="6D5BD063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Quando realizar o leilão de forma eletrônica, o mesmo deve ocorrer em site de ampla divulgação, com fácil acesso aos usuários e em homepage que garanta celeridade, clareza, que as fotos sejam de boa qualidade e anexadas individualmente, simplicidade na exposição de dados e efetivação das ações dos lances;</w:t>
            </w:r>
          </w:p>
          <w:p w14:paraId="76564F3C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Dispor de plataforma virtual que viabilize a participação de interessados via WEB, em páginas da internet com os diversos recursos de segurança, tais como: senhas, criptografia, e autenticação, além de lances em tempo real;</w:t>
            </w:r>
          </w:p>
          <w:p w14:paraId="682AB8F1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Realização do leilão, recebendo e estimulando lances em ‘tempo real”, via internet, possibilitando ao leiloeiro contratado receber e estimular lances em “tempo real”;</w:t>
            </w:r>
          </w:p>
          <w:p w14:paraId="4A05D10A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permitir a aceitação de dois ou mais lances de mesmo valor, prevalecendo aquele que for recebido e registrado em primeiro lugar;</w:t>
            </w:r>
          </w:p>
          <w:p w14:paraId="5C313E27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cada lance ofertado, via internet, o participante deverá ser imediatamente informado de seu recebimento e respectivo valor;</w:t>
            </w:r>
          </w:p>
          <w:p w14:paraId="682A4FFB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Durante o transcurso da sessão pública, os participantes deverão ser informados, em “tempo real”, do valor dos lances registrados. O sistema não identificará o autor dos lances aos demais participantes.</w:t>
            </w:r>
          </w:p>
          <w:p w14:paraId="3A4B4D04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Possuir mecanismo que permita a apresentação de apenas lances cujo valor seja superior ao do último lance que tenha sido anteriormente ofertado, observando o incremento mínimo fixado para o lote.</w:t>
            </w:r>
          </w:p>
          <w:p w14:paraId="75D65D74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Só permitir que empresa cadastradas e que atenda o disposto legal "Lei nº 12.977, de 20 maio de 2014", dê lance em lotes classificados como sucata.</w:t>
            </w:r>
          </w:p>
          <w:p w14:paraId="3BCC2486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Disponibilizar a comissão de leilão, senha de acesso ao site do contratado de forma a permitir auditoria e acompanhamento em tempo real a sessão de leilão.</w:t>
            </w:r>
          </w:p>
          <w:p w14:paraId="21A20C69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6.4 Dos Atos após Sessão:</w:t>
            </w:r>
          </w:p>
          <w:p w14:paraId="60C2E8EA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Emitir recibos, notas fiscais, termo de arrematação, nota de venda, relatório de prestação de contas, cartas de adjudicação, elaborar atas e demais formulários e documentos necessários à perfeita conclusão do procedimento de leilões que presidir e/ou solicitados pela Comissão;</w:t>
            </w:r>
          </w:p>
          <w:p w14:paraId="306E51DE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Solicitar aos pátios conveniados (onde os veículos estavam retidos) a emissão de nota fiscal referente aos gastos devidos (guincho, diárias e outros serviços), de acordo com legislação vigente, para providência de repasse.</w:t>
            </w:r>
          </w:p>
          <w:p w14:paraId="13478AF7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Efetuar o levantamento dos débitos (Art. 13 do Resolução do Contran n. 623/2016) atualizados de cada veículo leiloado, em planilha, obedecendo a ordem de prevalência:</w:t>
            </w:r>
          </w:p>
          <w:p w14:paraId="3AAAECFD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Restrição judicial ou policial;</w:t>
            </w:r>
          </w:p>
          <w:p w14:paraId="4A5275C9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Registro de gravames financeiros;</w:t>
            </w:r>
          </w:p>
          <w:p w14:paraId="587D6B9F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Débitos relativos a tributos, encargos e multas de trânsito e ambientais, identificando os respectivos credores.</w:t>
            </w:r>
          </w:p>
          <w:p w14:paraId="5E96972A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Confeccionar a Planilha de Débitos e Previsão de Rateio – Modelo Anexo com a previsão de rateio do valor arrecadado no leilão, discriminando os valores a serem quitados referentes a cada veículo leiloado, obedecendo à ordem de prevalência estabelecida na legislação em vigor (Art. 32 da Resolução CONTRAN nº 623/2016).</w:t>
            </w:r>
          </w:p>
          <w:p w14:paraId="52320F62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Ao fim de cada sessão de leilão, no prazo de 1 dia útil, o leiloeiro deverá apresentar relatório com planilha contendo: Número do E-DRV, Placa, Chassi, Nome, CPF/CNPJ do arrematante, logradouro, telefone e endereço eletrônico para correspondência, valor da arrematação, Relatório dos Arrematantes, referindo-se ao valor pago pelo bem e Valor pago para o Leiloeiro. Em caso de desistência da arrematação, repassar 15 % da multa a SST.</w:t>
            </w:r>
          </w:p>
          <w:p w14:paraId="6584F65F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Sobre a Nota de Venda: Após verificação da compensação do pagamento, deverá fornecer a nota de venda ao arrematante, em duas vias, devidamente assinada pelo leiloeiro, podendo ser assinada digitalmente. Orientar o arrematante a entregar ao município uma via assinada para retida do bem.</w:t>
            </w:r>
          </w:p>
          <w:p w14:paraId="38EC7733">
            <w:pPr>
              <w:pStyle w:val="17"/>
              <w:spacing w:after="0" w:line="245" w:lineRule="auto"/>
              <w:ind w:left="73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Apresentação Parcela da Prestação de Contas com:</w:t>
            </w:r>
          </w:p>
          <w:p w14:paraId="62A5AD73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Cópias dos documentos dos arrematantes (identidades, CPF e comprovante de residência dos arrematantes, ou cópia dos contratados sociais de empresas bem como procuração específica para indivíduos que representem estas empresas, caso não sejam os proprietários legais);</w:t>
            </w:r>
          </w:p>
          <w:p w14:paraId="08FC1163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Nota de Arremate;</w:t>
            </w:r>
          </w:p>
          <w:p w14:paraId="4933B910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Nota Fiscal dos pátios;</w:t>
            </w:r>
          </w:p>
          <w:p w14:paraId="604F7A32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Planilha dos débitos dos Veículos Leiloados e Previsão de Rateio (modelo anexo);</w:t>
            </w:r>
          </w:p>
          <w:p w14:paraId="640FB2C5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Ata de eventual retificação da ata original;</w:t>
            </w:r>
          </w:p>
          <w:p w14:paraId="494A0AE7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Relatório geral de venda com os fatos ocorridos da sessão pública até o momento;</w:t>
            </w:r>
          </w:p>
          <w:p w14:paraId="389129DE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Comprovante de comunicação ao arrematante sobre a finalização e retirada do veículo;</w:t>
            </w:r>
          </w:p>
          <w:p w14:paraId="33FFFD5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Demais documentos pertinentes aos procedimentos do leilão ou que forem requeridos pela Comissão Especial de Leilão;</w:t>
            </w:r>
          </w:p>
          <w:p w14:paraId="7EA6EEAF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contratada apresentará a Planilha de Débitos e Previsão de Rateio, após sua aprovação pela Comissão de Leilão e liberação dos valores, a contratada deve EFETUAR O PAGAMENTO dos pátios e débitos referentes a cada veículo leiloado obedecendo á ordem de prevalência estabelecida no artigo 328 do CTB e Resolução nº 623/2016 do CONTRAN;</w:t>
            </w:r>
          </w:p>
          <w:p w14:paraId="651FA7FB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Apresentar a prestação de contas final - Quitação de débitos de veículos, desvinculação ou baixas de todos os veículos leiloados, com todos os comprovantes, recibos e documentos relativos aos procedimentos adotados após a prestação de contas parcial, Nota de Arremate;</w:t>
            </w:r>
          </w:p>
          <w:p w14:paraId="0A7C447E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prestação de contas deverá conter detalhadamente o relatório dos pagamentos de quitação dos débitos do veículo, respeitados a ordem previstas na Resolução 623 CONTRAN.</w:t>
            </w:r>
          </w:p>
          <w:p w14:paraId="5C5C565C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Elaborar relatório e/ou demais formulários e documentos necessários à perfeita conclusão do procedimento do leilão que presidiu.</w:t>
            </w:r>
          </w:p>
          <w:p w14:paraId="5D69F74A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Apresentar toda a documentação relativa ao leilão, através de sistema de gestão virtual, conforme item 6.7, subitem C.</w:t>
            </w:r>
          </w:p>
          <w:p w14:paraId="4540B2F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6.5 Dos Serviços de Notificação:</w:t>
            </w:r>
          </w:p>
          <w:p w14:paraId="5E1F7D55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Após assinatura de contrato, a contratada terá até 15 dias corridos para celebração de contrato com os Correios no Sistema de Postagem Eletrônica - SPE , com opção de serviços adicionais para a Carta (Aviso de Recebimento) e ou telegrama (Comprovante de Entrega), para postagens de cartas por meio eletrônico, devendo fornecer à Comissão de leilão, até o prazo já citado o código de acesso para a contratante realizar os avisos de notificação aos proprietários, compradores, financeiras e judiciário, no que for necessário.</w:t>
            </w:r>
          </w:p>
          <w:p w14:paraId="79181585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  A cada 100 veículos a contratada deverá disponibilizar obrigatoriamente 400 postagens eletrônicas com AR (Aviso de recebimento) para que a contratante realize e gerencie as respectivas notificações, em havendo demanda de restrições judiciais que ultrapasse o quantitativo contratado a contratada arcará com as demais postagens.</w:t>
            </w:r>
          </w:p>
          <w:p w14:paraId="2BFE81E2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Encaminhar relatório das notificações enviadas para conferência e aprovação da Comissão de Leilão.</w:t>
            </w:r>
          </w:p>
          <w:p w14:paraId="5DC98A99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   Apresentar junto ao relatório das notificações enviadas, o Aviso de Recebimento - AR em PDF.</w:t>
            </w:r>
          </w:p>
          <w:p w14:paraId="17D70513">
            <w:pPr>
              <w:pStyle w:val="17"/>
              <w:spacing w:after="0" w:line="245" w:lineRule="auto"/>
              <w:ind w:left="7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6.6 Serviço de identificação, classificação e avaliação dos veículos:</w:t>
            </w:r>
          </w:p>
          <w:p w14:paraId="2EEA5630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Catalogar e registrar os veículos em formulário próprio, conforme ficha de vistoria;</w:t>
            </w:r>
          </w:p>
          <w:p w14:paraId="6EF93053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  Inserir na ficha de vistoria as fotos (ou decalques) do chassi e motor, checar se há autenticidade ou indício de fraude ou qualquer anomalia, comunicando à CONTRATANTE;</w:t>
            </w:r>
          </w:p>
          <w:p w14:paraId="68BFC587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  Inserir fotos dos veículos a serem leiloados, com melhor ângulo, com qualidade e de forma individualizada, para avaliação dos interessados;</w:t>
            </w:r>
          </w:p>
          <w:p w14:paraId="2009C31B">
            <w:pPr>
              <w:spacing w:after="0" w:line="245" w:lineRule="auto"/>
              <w:ind w:left="733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  Inserir ainda as seguintes informações:</w:t>
            </w:r>
          </w:p>
          <w:p w14:paraId="318EAE56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Sistema elétrico (iluminação, sinalização);</w:t>
            </w:r>
          </w:p>
          <w:p w14:paraId="49C2F6A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Sistema mecânico;</w:t>
            </w:r>
          </w:p>
          <w:p w14:paraId="577E381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Lataria;</w:t>
            </w:r>
          </w:p>
          <w:p w14:paraId="203AC41E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Equipamentos obrigatórios;</w:t>
            </w:r>
          </w:p>
          <w:p w14:paraId="09826CBF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Vidros;</w:t>
            </w:r>
          </w:p>
          <w:p w14:paraId="6B92978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Acessórios (Roda, som, alarme, multimídia, outros);</w:t>
            </w:r>
          </w:p>
          <w:p w14:paraId="71CCF6F4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Informar restrições judiciais e extra judiciais;</w:t>
            </w:r>
          </w:p>
          <w:p w14:paraId="5F2ADCDC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Informar na ficha o profissional responsável pela confecção do mesmo, juntamente com a sua assinatura (podendo ser assinatura digital);</w:t>
            </w:r>
          </w:p>
          <w:p w14:paraId="0A67C542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  Na impossibilidade de identificação do chassi e/ou motor através de foto, será permitida a identificação por intermédio de decalque;</w:t>
            </w:r>
          </w:p>
          <w:p w14:paraId="4A072694">
            <w:pPr>
              <w:pStyle w:val="17"/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f)  Os veículos vistoriados anteriormente há mais de 180 dias deverão ser vistoriados     novamente;</w:t>
            </w:r>
          </w:p>
          <w:p w14:paraId="6BFC9CAF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   Junto com a Ficha de Vistoria deverá ser emitido Laudo Pericial de Vistoria: O laudo deverá ser emitido por vistoriadores com qualificação comprovada, em virtude da natureza de fé pública e da essencialidade para a segurança jurídica, o vistoriador de veículos destinados ao leilão deve, obrigatoriamente, ser credenciado junto ao Departamento Estadual de Trânsito (DETRAN - MT) do estado onde a atividade é exercida. Esse credenciamento não é apenas um requisito formal, mas uma medida fundamental para garantir a total transparência e a confiabilidade do processo, devendo apresentar, Certificado de Qualificação: Deve possuir certificado ou diploma de conclusão de curso de treinamento em vistoria de identificação veicular, Cadastro e Vínculo com a ECV: cadastrado individualmente no sistema do DETRAN- MT como vistoriador daquela ECV específica, após a apresentação de seus documentos pessoais e o certificado de qualificação. Na ficha de vistoria deverá conter a classificação dos veículos, conforme as determinações da Resolução CONTRAN n° 623, de 6 de setembro de 2016 e § 6° do Art. 328 do CTB.</w:t>
            </w:r>
          </w:p>
          <w:p w14:paraId="5513D0CC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classificação dos veículos deverá ser feita por profissional devidamente autorizado e habilitado, e deverá constar: identificação dos veículos conservados, que se encontram em condições de segurança para trafegar em via aberta ao público, e os veículos que deverão ser leiloados como sucata, classificando-os conforme as determinações da Resolução CONTRAN n° 623, de 6 de setembro de 2016 e §6° do Art. 328 do CTB, com indicação clara da classificação</w:t>
            </w:r>
          </w:p>
          <w:p w14:paraId="743DF940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Fazer avaliação financeira dos bens a serem leiloados em planilha, obedecendo a legislação vigente (Resolução 623/2016, demais legislação vigente), compondo os lotes conforme a melhor técnica e determinando os preços mínimos para o arremate com critérios de mercado e utilizando a tabela FIPE como referência;</w:t>
            </w:r>
          </w:p>
          <w:p w14:paraId="088FEF9C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Serviços de inutilização de placas e chassi que deverá ser cortado, em que conste o Número de Identificação do Veículo – registro VIN;</w:t>
            </w:r>
          </w:p>
          <w:p w14:paraId="14E7E1C1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Proceder a inutilização dos itens de identificação dos veículos leiloados na condição de sucata, inutilizando (cortando, não sendo admitido pinagem) a identificação gravada no chassi que contêm o registro VIN e suas placas (CORTAR);</w:t>
            </w:r>
          </w:p>
          <w:p w14:paraId="1ECC77CA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Registrar a inutilização dos itens de identificação dos veículos em formulário próprio, em Termo de Inutilização dos Itens de Identificação Veicular;</w:t>
            </w:r>
          </w:p>
          <w:p w14:paraId="251C4F96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Inserir o registro fotográfico de todas as inutilizações (salvo em formato “.PDF”, individualizando os arquivos por veículo;</w:t>
            </w:r>
          </w:p>
          <w:p w14:paraId="4A25E0BE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Informar no termo, o profissional responsável pela inutilização e confecção do mesmo, juntamente com sua assinatura (podendo ser assinatura digital):</w:t>
            </w:r>
          </w:p>
          <w:p w14:paraId="2A2BBC28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inutilização deverá ser feita por corte;</w:t>
            </w:r>
          </w:p>
          <w:p w14:paraId="6ADE09EB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prestação dos serviços iniciar-se-á após a emissão da ordem de serviço por parte da Comissão Especial de Leilão, a quem caberá o acompanhamento e fiscalização do contrato;</w:t>
            </w:r>
          </w:p>
          <w:p w14:paraId="632F6FD5">
            <w:pPr>
              <w:pStyle w:val="17"/>
              <w:numPr>
                <w:ilvl w:val="0"/>
                <w:numId w:val="4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Imediatamente após a assinatura do contrato será agendada uma reunião, onde o Leiloeiro Oficial deverá apresentar-se à unidade fiscalizadora para tratar de assuntos pertinentes à operacionalização, tais como verificar a viabilidade de dar celeridade ao leilão (aumentando o número de veículos por sessão pública, sem prejuízo da qualidade do serviço), dirimir eventual dúvida, etc.</w:t>
            </w:r>
          </w:p>
          <w:p w14:paraId="2DE23B23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6.7 Dos Serviços de desembaraço:</w:t>
            </w:r>
          </w:p>
          <w:p w14:paraId="1758C07F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Executar, controlar e acompanhar todos os serviços de desembaraço e a elaboração da documentação necessária junto aos órgãos de trânsito, em qualquer fase do certame, visando a completa execução do serviço solicitado, buscando atender os prazos previstos na Resolução 623/2016 e demais normas legais.</w:t>
            </w:r>
          </w:p>
          <w:p w14:paraId="2E2FA9E5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Elaborar e providenciar a entrega do ofício (ou documento equivalente) à SST para assinatura e, posteriormente, junto aos órgãos e entidades de trânsito (em qualquer UF do país) no qual o veículo é registrado, solicitando registrar no sistema RENAVAM a indicação de que o veículo será levado a leilão. </w:t>
            </w:r>
          </w:p>
          <w:p w14:paraId="2F308C76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Elaborar e providenciar a entrega do ofício (ou documento equivalente) à SST para assinatura e, posteriormente, junto aos órgãos e entidades de trânsito (em qualquer UF do país) que tenha relação com veículo leiloado informando que o mesmo foi vendido na condição de sucata solicitar e acompanhar a baixa definitiva, caso o Detran do Estado solicite recorte do chassi para a baixa, fica o leiloeiro obrigado e responsável para encaminhar, para que seja dada a baixa definitiva ao veículo,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leiloeiro fica responsável por qualquer intercorrência ou pendência que venha a surgir na efetivação da baixa definitiva do veículo junto aos órgãos de trânsito (DETRAN/SENATRAN), devendo tomar todas as medidas necessárias para resolvê-la,  e, assim, finalizar os serviços do leilão.</w:t>
            </w:r>
          </w:p>
          <w:p w14:paraId="602D9714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Elaborar e providenciar a entrega do ofício (ou documento equivalente) à SST para assinatura e, posteriormente, junto aos órgãos e entidades de trânsito (em qualquer UF do país) que tenha relação com veículo leiloado com direito a documentação, acompanhando todo o processo.</w:t>
            </w:r>
          </w:p>
          <w:p w14:paraId="26193E57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Garantir que o ofício (ou documento equivalente), cuja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elaboração e tramitação é responsabilidade do Leiloeiro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comunique a realização do leilão e solicite aos órgãos ou entidades executivos de trânsito a desvinculação dos débitos e demais ônus incidentes sobre o prontuário do veículo leiloado existentes até a data do leilão e não quitados com os recursos obtidos na alienação, conforme legislação vigente.</w:t>
            </w:r>
          </w:p>
          <w:p w14:paraId="532A82F8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Caso os prazos não sejam atendidos pelos órgãos ou entidades de trânsito, o Leiloeiro Oficial deverá reunir de imediato os comprovantes e protocolos da intenção de desembaraçar a documentação, bem como registrar as iniciativas tomadas para atingir o objetivo e encaminhar a SSU, para conhecimento, o leiloeiro deverá tomar todas as medidas necessárias para resolvê-la e, assim, finalizar os serviços do leilão;</w:t>
            </w:r>
          </w:p>
          <w:p w14:paraId="272A03FA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Elaborar, providenciar a emissão e acompanhar o ofício (ou documento equivalente) junto ao Sistema Nacional de Gravame - SNG, o qual informa a alienação do veículo.</w:t>
            </w:r>
          </w:p>
          <w:p w14:paraId="1F41A9D9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Efetuar nova consulta de cada veículo verificando eventual restrição judicial.</w:t>
            </w:r>
          </w:p>
          <w:p w14:paraId="351DBE34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i)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caso de restrição, o Leiloeiro Oficial deverá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imediatamente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comunicar a SSU/Comissão de Leilão,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acompanhado das medidas jurídicas/administrativas que deverão ser tomadas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a solução da pendência.</w:t>
            </w:r>
          </w:p>
          <w:p w14:paraId="51169899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Após desvinculação, informar ao arrematante que o veículo se encontra livre e desembaraçado de quaisquer ônus, ficando o arrematante responsável pela regularização e transferência de propriedade perante o órgão ou entidade executivo de trânsito detentor de seu registro, no prazo previsto em lei.</w:t>
            </w:r>
          </w:p>
          <w:p w14:paraId="25C0A15B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k) A Contratada é responsável pela segurança ao arrematante e responderá por qualquer dano causado a terceiros;</w:t>
            </w:r>
          </w:p>
          <w:p w14:paraId="6AE8F8E6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6.8 Do Preposto e dos Funcionários:</w:t>
            </w:r>
          </w:p>
          <w:p w14:paraId="06A18F29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Leiloeiro Oficial poderá indicar um preposto legal (mediante procuração), mediante aprovação da comissão, o qual será responsável pela supervisão geral e gerenciamento de serviço, com poderes de representante do Leiloeiro Oficial, inclusive para, em nome deste, receber correspondências, notificações, assinar documentos, participar de reuniões e tomar decisões referentes à contratação, sendo-lhe permitido acesso às dependências da CONTRATANTE, devidamente identificado, para consecução dessa finalidade, além de outras como realizar acompanhamento dos serviços, tramitar documentos do Leiloeiro Oficial, e outras informações relativas à prestação do serviço, exceto as execuções obrigatórias do Leiloeiro Oficial;</w:t>
            </w:r>
          </w:p>
          <w:p w14:paraId="7EFDD841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substituição por preposto deverá acontecer nos moldes da Instrução Normativa DREI nº 17 de 5 de dezembro de 2013;</w:t>
            </w:r>
          </w:p>
          <w:p w14:paraId="186E82CF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6.9 Materiais A Serem Disponibilizados:</w:t>
            </w:r>
          </w:p>
          <w:p w14:paraId="629D0F25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Para a perfeita execução dos serviços, a Contratada deverá disponibilizar os materiais, equipamentos, ferramentas e utensílios necessários, nas quantidades estimadas e qualidades necessárias para execução dos serviços descritos neste Termo. Dentre eles:</w:t>
            </w:r>
          </w:p>
          <w:p w14:paraId="3E5AF760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Plataforma virtual, disponibilizada via Web e dotada dos seguintes requisitos:</w:t>
            </w:r>
          </w:p>
          <w:p w14:paraId="42D0FE28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Conexão segura e criptografada (Averiguação através da análise das soluções implementadas);</w:t>
            </w:r>
          </w:p>
          <w:p w14:paraId="66B32E07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Disponibilidade e velocidade de repostas compatíveis com a utilização em “tempo real”, com registro de falhas e interrupção no período do leilão (disponibilização de relatórios reportando a disponibilidade da plataforma);</w:t>
            </w:r>
          </w:p>
          <w:p w14:paraId="02F9B929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Armazenamento dos dados de forma redundante, de modo a maximizar a confiabilidade do serviço e disponibilidade dos dados (declaração da implementação de solução da redundância dos dados);</w:t>
            </w:r>
          </w:p>
          <w:p w14:paraId="4140FB9D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Registro dos usuários de forma autônoma e pessoal com registro dos dados necessários com total identificação, garantindo a segurança do acesso e o armazenamento das informações de modo a evitar o uso indevido da plataforma (declaração de garantia da</w:t>
            </w:r>
          </w:p>
          <w:p w14:paraId="750185D5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segurança do acesso e do armazenamento, análise das soluções implementadas);</w:t>
            </w:r>
          </w:p>
          <w:p w14:paraId="56783E61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Registro de todas as ações de forma segura e inalterável (Envio de relatório de todas as ações realizadas no leilão);</w:t>
            </w:r>
          </w:p>
          <w:p w14:paraId="5DFDEEC5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Proteção contra ataques cibernéticos que gerem risco a execução do leilão e aos dados registrados (declaração de garantia de proteção dos dados);</w:t>
            </w:r>
          </w:p>
          <w:p w14:paraId="71BDEC1B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Acesso à plataforma pela contratante com a permissão a todas as funcionalidades e registros do leilão (disponibilização de usuário e senha);</w:t>
            </w:r>
          </w:p>
          <w:p w14:paraId="1E17C145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9)         A contratada é responsável pela segurança da informação, de forma a evitar acessos não autorizados e respondendo por qualquer dano causado a contratante e a terceiros;</w:t>
            </w:r>
          </w:p>
        </w:tc>
      </w:tr>
    </w:tbl>
    <w:p w14:paraId="09A973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BD86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44D1B3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OBRIGAÇÕES DA CONTRATANTE</w:t>
            </w:r>
          </w:p>
        </w:tc>
      </w:tr>
      <w:tr w14:paraId="70768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77F9A591">
            <w:pPr>
              <w:pStyle w:val="17"/>
              <w:widowControl w:val="0"/>
              <w:numPr>
                <w:ilvl w:val="0"/>
                <w:numId w:val="6"/>
              </w:numPr>
              <w:tabs>
                <w:tab w:val="left" w:pos="426"/>
                <w:tab w:val="left" w:pos="567"/>
              </w:tabs>
              <w:adjustRightInd w:val="0"/>
              <w:spacing w:after="0" w:line="240" w:lineRule="auto"/>
              <w:ind w:left="24" w:firstLine="284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Promover o acompanhamento e a fiscalização da execução do objeto do presente Termo de Referência, sob o aspecto quantitativo e qualitativo, anotando em registro próprio as falhas e ocorrências detectadas.</w:t>
            </w:r>
          </w:p>
          <w:p w14:paraId="3F51B58B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Comunicar prontamente qualquer anormalidade na execução do objeto, podendo recusar o recebimento, caso não esteja de acordo com as especificações e condições estabelecidas no presente Termo de Referência.</w:t>
            </w:r>
          </w:p>
          <w:p w14:paraId="3CAE77BA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Contratante não responderá por quaisquer compromissos assumidos pela Contratada com terceiros, bem como por qualquer dano causado a terceiros em decorrência de ato da Contratada, de seus empregados, prepostos ou subordinados.</w:t>
            </w:r>
          </w:p>
          <w:p w14:paraId="0C33F96F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Fornece todo tipo de informação interna essencial à realização dos serviços.</w:t>
            </w:r>
          </w:p>
          <w:p w14:paraId="40F4C927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Aplicar à contratada as penalidades, quando for o caso;</w:t>
            </w:r>
          </w:p>
          <w:p w14:paraId="09D5AEFE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Notificar, por escrito, a contratada da aplicação de qualquer sanção e até mesmo caso a comissão entenda que o Leilão não está de acordo com o serviço prestado, poderá em qualquer tempo, suspender e cancelar o Leilão, chamando assim a próxima empresa credenciada;</w:t>
            </w:r>
          </w:p>
          <w:p w14:paraId="65A7073C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Acompanhar, controlar e avaliar a prestação, através da unidade responsável por esta atribuição.</w:t>
            </w:r>
          </w:p>
          <w:p w14:paraId="53CD7524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Interromper os serviços que apresentarem irregularidades em sua prestação, comunicando o fato imediatamente à Contratada, bem como qualquer eventual ocorrência relevante relacionada com o mesmo;</w:t>
            </w:r>
          </w:p>
          <w:p w14:paraId="1C229489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Retirar a qualquer tempo o lote, se assim a comissão entender, sem que haja qualquer tipo cobrança, por parte do leiloeiro.</w:t>
            </w:r>
          </w:p>
          <w:p w14:paraId="0C13D8F2">
            <w:pPr>
              <w:pStyle w:val="17"/>
              <w:numPr>
                <w:ilvl w:val="0"/>
                <w:numId w:val="6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publicação oficial do edital de leilão no Tribunal de Contas do Estado do Mato Grosso, caberá a contratante, entretanto a contratada cabe a elaboração e auxiliar na publicação do Edital do Leilão.</w:t>
            </w:r>
          </w:p>
        </w:tc>
      </w:tr>
    </w:tbl>
    <w:p w14:paraId="0D39E2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0F676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00C136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– CONTROLE E FISCALIZAÇÃO DO CONTRATO</w:t>
            </w:r>
          </w:p>
        </w:tc>
      </w:tr>
      <w:tr w14:paraId="41CD4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0D00EA36">
            <w:pPr>
              <w:pStyle w:val="17"/>
              <w:spacing w:after="0" w:line="245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 Avaliação De Desempenho</w:t>
            </w:r>
          </w:p>
          <w:p w14:paraId="7725C57C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Para que os serviços prestados pelo Leiloeiro Oficial sejam considerados como satisfatórios e adequados a Comissão se reserva o direito de realizar avaliações de desempenho ao final de cada etapa de um leilão, na qual serão avaliados os serviços, bem como apontadas as inconformidades.</w:t>
            </w:r>
          </w:p>
          <w:p w14:paraId="7F162083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 caso das inconformidades que não tragam prejuízo ao certame de leilão e verificada a capacidade da contratada de sanar o problema, será fornecido um prazo ao Leiloeiro para regularização/adequação. Regularizado a inconformidade não será instaurado procedimento de apuração.</w:t>
            </w:r>
          </w:p>
          <w:p w14:paraId="5105E622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No entanto, como os serviços prestados pelo Leiloeiro não serão pagos pela Prefeitura, as inconformidades que impactam na execução do leilão, não refletirão sobre o pagamento e sim sobre as penalidades, podendo este ser suspenso e até descredenciado.</w:t>
            </w:r>
          </w:p>
          <w:p w14:paraId="0EEA50EE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Sendo a Contratada notificada para sanar o problema e findado o Prazo estipulado além da sanção acima prevista na alínea c), ficara o Leiloeiro responsável Civil e criminalmente por qualquer prejuízo a terceiros.</w:t>
            </w:r>
          </w:p>
          <w:p w14:paraId="4E2F805E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avaliação de desempenho ficará a cargo da Comissão Especial de Leilão.</w:t>
            </w:r>
          </w:p>
          <w:p w14:paraId="0F5C820C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tratativas a serem realizadas entre contratante e contratada durante a execução contratual poderão ocorrer através de reuniões, correio eletrônico, telefone e ofícios.</w:t>
            </w:r>
          </w:p>
          <w:p w14:paraId="6AF5CF6A">
            <w:pPr>
              <w:spacing w:after="0" w:line="245" w:lineRule="auto"/>
              <w:ind w:left="733" w:hanging="425"/>
              <w:jc w:val="both"/>
              <w:rPr>
                <w:rFonts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  <w:t xml:space="preserve">       8.2. Fiscalização do Contrato</w:t>
            </w:r>
          </w:p>
          <w:p w14:paraId="7322F32A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a)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kern w:val="0"/>
                <w:sz w:val="24"/>
                <w:szCs w:val="24"/>
                <w:lang w:eastAsia="zh-CN" w:bidi="ar"/>
              </w:rPr>
              <w:t xml:space="preserve">    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Os serviços objeto deste Termo de Referência estarão sujeitos a mais ampla, irrestrita e rigorosa fiscalização, a qualquer hora, em todas as áreas abrangidas pelos mesmos, obrigando-se a empresa a prestar todos os esclarecimentos necessários que lhe forem solicitados.</w:t>
            </w:r>
          </w:p>
          <w:p w14:paraId="1ED7948F">
            <w:pPr>
              <w:spacing w:after="0" w:line="245" w:lineRule="auto"/>
              <w:ind w:left="24" w:firstLine="284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b)  A fiscalização de prestação dos serviços será exercida por um representante da Secretaria Municipal solicitante dos serviços, para o seu acompanhamento e a sua fiscalização, ao qual competirá dirimir as dúvidas que surgirem no curso da prestação dos mesmos e de tudo dará ciência à empresa, podendo sustar, recusar, mandar refazer ou fazer quaisquer serviços que estejam em desacordo com o contrato, tais como:</w:t>
            </w:r>
          </w:p>
          <w:p w14:paraId="4F6B06FE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1)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Verificar junto à empresa contratada e seu preposto se estão tomando todas as providências necessárias para o bom andamento dos serviços, através do Fiscal de contrato Indicados pelas Secretarias.</w:t>
            </w:r>
          </w:p>
          <w:p w14:paraId="57F81E55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2)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Orientar: estabelecer diretrizes, dar e receber informações sobre a execução do contrato;</w:t>
            </w:r>
          </w:p>
          <w:p w14:paraId="64B07779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3)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Fiscalizar: verificar os meios utilizados e a forma de execução do objeto do contrato, confirmando o cumprimento das obrigações;</w:t>
            </w:r>
          </w:p>
          <w:p w14:paraId="60E43991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4)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Interditar: paralisar a execução do contrato por estar em desacordo com o pactuado; Intervir: assumir a execução do contrato;</w:t>
            </w:r>
          </w:p>
          <w:p w14:paraId="2E815CFF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5)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Informar: a Administração o cometimento de falhas e irregularidades detectadas pela Contratada que implique comprometimento da aquisição e/ou aplicação de penalidades previstas;</w:t>
            </w:r>
          </w:p>
          <w:p w14:paraId="33D97D00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6)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Ter total conhecimento do contrato e suas cláusulas;</w:t>
            </w:r>
          </w:p>
          <w:p w14:paraId="399D4516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7)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Solicitar a seus superiores, em tempo hábil para adoção das medidas convenientes, decisões e providências que ultrapassarem a sua competência;</w:t>
            </w:r>
          </w:p>
          <w:p w14:paraId="61703FE5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8)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Zelar pelo bom relacionamento com a contratada, mantendo um comportamento ético, probo e cortês;</w:t>
            </w:r>
          </w:p>
          <w:p w14:paraId="2A502B67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9)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Conferir os dados das faturas antes de atestá-las, promovendo as correções devidas e arquivando cópia junto aos demais documentos pertinentes;</w:t>
            </w:r>
          </w:p>
          <w:p w14:paraId="609DE7E1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10)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Anotar todas as ocorrências relacionadas com a execução do contrato, informando ao Gestor do Contrato aquelas que dependam de providências, com vistas à regularização das faltas ou defeitos observados;</w:t>
            </w:r>
          </w:p>
          <w:p w14:paraId="24D59E4C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11)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Formalizar, sempre, os entendimentos com a Contratada ou seu Preposto, adotando todas as medidas que permitam compatibilizar as obrigações bilaterais;</w:t>
            </w:r>
          </w:p>
          <w:p w14:paraId="3226913E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12)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Avaliar constantemente a qualidade da execução contratual, propondo, sempre que cabíveis medidas que visem reduzir gastos e racionalizar os serviços;</w:t>
            </w:r>
          </w:p>
          <w:p w14:paraId="0C9EC3E1">
            <w:pPr>
              <w:spacing w:after="0" w:line="245" w:lineRule="auto"/>
              <w:ind w:left="733"/>
              <w:jc w:val="both"/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13)</w:t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ab/>
            </w:r>
            <w:r>
              <w:rPr>
                <w:rFonts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Observar rigorosamente os princípios legais e éticos em todos os atos inerentes às suas atribuições, agindo com transparência no desempenho das suas atividades.</w:t>
            </w:r>
          </w:p>
        </w:tc>
      </w:tr>
    </w:tbl>
    <w:p w14:paraId="7AF92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0"/>
      </w:tblGrid>
      <w:tr w14:paraId="3D423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42D695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9 - MEDIÇÃO RECEBIMENTO E PAGAMENTO </w:t>
            </w:r>
          </w:p>
        </w:tc>
      </w:tr>
      <w:tr w14:paraId="2BEFA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307308F2">
            <w:pPr>
              <w:pStyle w:val="17"/>
              <w:numPr>
                <w:ilvl w:val="0"/>
                <w:numId w:val="7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Credenciada deverá observar os valores máximos total constantes na Planilha de custos e formação de preços, pois fora apurado com os preços de mercado e mediante cotação junto ao Município.</w:t>
            </w:r>
          </w:p>
          <w:p w14:paraId="482AEE86">
            <w:pPr>
              <w:pStyle w:val="17"/>
              <w:numPr>
                <w:ilvl w:val="0"/>
                <w:numId w:val="7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 quantidades na composição de custo são estimativas, com base nos estudos preliminares, nos veículos que já se encontram apreendidos nos pátios credenciados.</w:t>
            </w:r>
          </w:p>
          <w:p w14:paraId="320D76E1">
            <w:pPr>
              <w:spacing w:after="0" w:line="245" w:lineRule="auto"/>
              <w:ind w:left="73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9.1 Dos Valores na Fase do Leilão:</w:t>
            </w:r>
          </w:p>
          <w:p w14:paraId="4996544E">
            <w:pPr>
              <w:pStyle w:val="17"/>
              <w:numPr>
                <w:ilvl w:val="0"/>
                <w:numId w:val="8"/>
              </w:numPr>
              <w:spacing w:after="0" w:line="245" w:lineRule="auto"/>
              <w:ind w:left="2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composição das propostas, já na etapa do leilão o leiloeiro vencedor deverá considerar:</w:t>
            </w:r>
          </w:p>
          <w:p w14:paraId="272D0184">
            <w:pPr>
              <w:pStyle w:val="17"/>
              <w:spacing w:after="0" w:line="245" w:lineRule="auto"/>
              <w:ind w:left="306" w:firstLine="7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Valor (R$) pago pelo Arrematante (aquisição de veículos/sucatas/inservível) = (Comissão do Leiloeiro);</w:t>
            </w:r>
          </w:p>
          <w:p w14:paraId="049FDBE1">
            <w:pPr>
              <w:pStyle w:val="17"/>
              <w:numPr>
                <w:ilvl w:val="0"/>
                <w:numId w:val="9"/>
              </w:numPr>
              <w:spacing w:after="0" w:line="245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Valores a serem adotados para os Participantes no Transcorrer do Leilão:</w:t>
            </w:r>
          </w:p>
          <w:tbl>
            <w:tblPr>
              <w:tblStyle w:val="27"/>
              <w:tblW w:w="8879" w:type="dxa"/>
              <w:tblInd w:w="0" w:type="dxa"/>
              <w:tblBorders>
                <w:top w:val="single" w:color="2B2B2B" w:sz="6" w:space="0"/>
                <w:left w:val="single" w:color="2B2B2B" w:sz="6" w:space="0"/>
                <w:bottom w:val="single" w:color="2B2B2B" w:sz="6" w:space="0"/>
                <w:right w:val="single" w:color="2B2B2B" w:sz="6" w:space="0"/>
                <w:insideH w:val="single" w:color="2B2B2B" w:sz="6" w:space="0"/>
                <w:insideV w:val="single" w:color="2B2B2B" w:sz="6" w:space="0"/>
              </w:tblBorders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36"/>
              <w:gridCol w:w="2783"/>
              <w:gridCol w:w="1715"/>
              <w:gridCol w:w="2145"/>
            </w:tblGrid>
            <w:tr w14:paraId="021EBDA5">
              <w:tblPrEx>
                <w:tblBorders>
                  <w:top w:val="single" w:color="2B2B2B" w:sz="6" w:space="0"/>
                  <w:left w:val="single" w:color="2B2B2B" w:sz="6" w:space="0"/>
                  <w:bottom w:val="single" w:color="2B2B2B" w:sz="6" w:space="0"/>
                  <w:right w:val="single" w:color="2B2B2B" w:sz="6" w:space="0"/>
                  <w:insideH w:val="single" w:color="2B2B2B" w:sz="6" w:space="0"/>
                  <w:insideV w:val="single" w:color="2B2B2B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11" w:hRule="atLeast"/>
              </w:trPr>
              <w:tc>
                <w:tcPr>
                  <w:tcW w:w="2236" w:type="dxa"/>
                </w:tcPr>
                <w:p w14:paraId="03C2FFB0">
                  <w:pPr>
                    <w:pStyle w:val="28"/>
                    <w:spacing w:before="5"/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6AD7B836">
                  <w:pPr>
                    <w:pStyle w:val="28"/>
                    <w:ind w:left="6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Valores (R$):</w:t>
                  </w:r>
                </w:p>
                <w:p w14:paraId="70C2CF13">
                  <w:pPr>
                    <w:pStyle w:val="28"/>
                    <w:ind w:left="6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3" w:type="dxa"/>
                </w:tcPr>
                <w:p w14:paraId="7C8EF59F">
                  <w:pPr>
                    <w:pStyle w:val="28"/>
                    <w:spacing w:before="5"/>
                    <w:ind w:left="506" w:right="100" w:hanging="428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(A) Comissão (5%) calculado em cima do valor arrematado</w:t>
                  </w:r>
                </w:p>
              </w:tc>
              <w:tc>
                <w:tcPr>
                  <w:tcW w:w="1715" w:type="dxa"/>
                </w:tcPr>
                <w:p w14:paraId="1371E05B">
                  <w:pPr>
                    <w:pStyle w:val="28"/>
                    <w:spacing w:before="8"/>
                    <w:ind w:left="136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Nota fiscal (B)</w:t>
                  </w:r>
                </w:p>
              </w:tc>
              <w:tc>
                <w:tcPr>
                  <w:tcW w:w="2145" w:type="dxa"/>
                  <w:tcBorders>
                    <w:right w:val="single" w:color="808080" w:sz="6" w:space="0"/>
                  </w:tcBorders>
                </w:tcPr>
                <w:p w14:paraId="12B8C5D3">
                  <w:pPr>
                    <w:pStyle w:val="28"/>
                    <w:tabs>
                      <w:tab w:val="left" w:pos="923"/>
                    </w:tabs>
                    <w:spacing w:before="7" w:line="237" w:lineRule="auto"/>
                    <w:ind w:left="0" w:right="96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Total </w:t>
                  </w:r>
                  <w:r>
                    <w:rPr>
                      <w:rFonts w:ascii="Times New Roman" w:hAnsi="Times New Roman" w:cs="Times New Roman"/>
                      <w:b/>
                      <w:spacing w:val="-5"/>
                      <w:sz w:val="20"/>
                      <w:szCs w:val="20"/>
                    </w:rPr>
                    <w:t xml:space="preserve">gasto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pelo</w:t>
                  </w:r>
                </w:p>
                <w:p w14:paraId="5589DD0F">
                  <w:pPr>
                    <w:pStyle w:val="28"/>
                    <w:spacing w:before="4"/>
                    <w:ind w:left="0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arrematante</w:t>
                  </w:r>
                </w:p>
                <w:p w14:paraId="24F26523">
                  <w:pPr>
                    <w:pStyle w:val="28"/>
                    <w:spacing w:before="21"/>
                    <w:ind w:left="8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(A+B)</w:t>
                  </w:r>
                </w:p>
              </w:tc>
            </w:tr>
            <w:tr w14:paraId="494B3D15">
              <w:tblPrEx>
                <w:tblBorders>
                  <w:top w:val="single" w:color="2B2B2B" w:sz="6" w:space="0"/>
                  <w:left w:val="single" w:color="2B2B2B" w:sz="6" w:space="0"/>
                  <w:bottom w:val="single" w:color="2B2B2B" w:sz="6" w:space="0"/>
                  <w:right w:val="single" w:color="2B2B2B" w:sz="6" w:space="0"/>
                  <w:insideH w:val="single" w:color="2B2B2B" w:sz="6" w:space="0"/>
                  <w:insideV w:val="single" w:color="2B2B2B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93" w:hRule="atLeast"/>
              </w:trPr>
              <w:tc>
                <w:tcPr>
                  <w:tcW w:w="2236" w:type="dxa"/>
                </w:tcPr>
                <w:p w14:paraId="705E12D1">
                  <w:pPr>
                    <w:pStyle w:val="28"/>
                    <w:tabs>
                      <w:tab w:val="left" w:pos="1724"/>
                    </w:tabs>
                    <w:spacing w:before="7" w:line="256" w:lineRule="auto"/>
                    <w:ind w:left="6" w:right="98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Destinação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b/>
                      <w:spacing w:val="-9"/>
                      <w:sz w:val="20"/>
                      <w:szCs w:val="20"/>
                    </w:rPr>
                    <w:t xml:space="preserve">do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Recebimento</w:t>
                  </w:r>
                </w:p>
              </w:tc>
              <w:tc>
                <w:tcPr>
                  <w:tcW w:w="2783" w:type="dxa"/>
                </w:tcPr>
                <w:p w14:paraId="6404DEC0">
                  <w:pPr>
                    <w:pStyle w:val="28"/>
                    <w:spacing w:before="10"/>
                    <w:ind w:left="6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Leiloeiro Oficial</w:t>
                  </w:r>
                </w:p>
              </w:tc>
              <w:tc>
                <w:tcPr>
                  <w:tcW w:w="1715" w:type="dxa"/>
                </w:tcPr>
                <w:p w14:paraId="29E26237">
                  <w:pPr>
                    <w:pStyle w:val="28"/>
                    <w:spacing w:before="10"/>
                    <w:ind w:left="104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Leiloeiro Oficial</w:t>
                  </w:r>
                </w:p>
              </w:tc>
              <w:tc>
                <w:tcPr>
                  <w:tcW w:w="2145" w:type="dxa"/>
                  <w:tcBorders>
                    <w:right w:val="single" w:color="808080" w:sz="6" w:space="0"/>
                  </w:tcBorders>
                </w:tcPr>
                <w:p w14:paraId="6CDE921F">
                  <w:pPr>
                    <w:pStyle w:val="28"/>
                    <w:spacing w:before="10" w:line="259" w:lineRule="auto"/>
                    <w:ind w:left="8" w:right="56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Leiloeiro Oficial +</w:t>
                  </w:r>
                </w:p>
                <w:p w14:paraId="3198ADAB">
                  <w:pPr>
                    <w:pStyle w:val="28"/>
                    <w:spacing w:before="10" w:line="259" w:lineRule="auto"/>
                    <w:ind w:left="8" w:right="56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Pref. Mun.Sinop-MT</w:t>
                  </w:r>
                </w:p>
              </w:tc>
            </w:tr>
            <w:tr w14:paraId="45B8D52B">
              <w:tblPrEx>
                <w:tblBorders>
                  <w:top w:val="single" w:color="2B2B2B" w:sz="6" w:space="0"/>
                  <w:left w:val="single" w:color="2B2B2B" w:sz="6" w:space="0"/>
                  <w:bottom w:val="single" w:color="2B2B2B" w:sz="6" w:space="0"/>
                  <w:right w:val="single" w:color="2B2B2B" w:sz="6" w:space="0"/>
                  <w:insideH w:val="single" w:color="2B2B2B" w:sz="6" w:space="0"/>
                  <w:insideV w:val="single" w:color="2B2B2B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69" w:hRule="atLeast"/>
              </w:trPr>
              <w:tc>
                <w:tcPr>
                  <w:tcW w:w="2236" w:type="dxa"/>
                  <w:tcBorders>
                    <w:bottom w:val="single" w:color="808080" w:sz="6" w:space="0"/>
                  </w:tcBorders>
                </w:tcPr>
                <w:p w14:paraId="66731ECD">
                  <w:pPr>
                    <w:pStyle w:val="28"/>
                    <w:spacing w:before="7" w:line="256" w:lineRule="auto"/>
                    <w:ind w:left="95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Pessoa responsável pelo</w:t>
                  </w:r>
                </w:p>
                <w:p w14:paraId="697185F2">
                  <w:pPr>
                    <w:pStyle w:val="28"/>
                    <w:spacing w:before="4"/>
                    <w:ind w:left="95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pagamento</w:t>
                  </w:r>
                </w:p>
              </w:tc>
              <w:tc>
                <w:tcPr>
                  <w:tcW w:w="2783" w:type="dxa"/>
                  <w:tcBorders>
                    <w:bottom w:val="single" w:color="808080" w:sz="6" w:space="0"/>
                  </w:tcBorders>
                </w:tcPr>
                <w:p w14:paraId="432C8F32">
                  <w:pPr>
                    <w:pStyle w:val="28"/>
                    <w:spacing w:before="10" w:line="256" w:lineRule="auto"/>
                    <w:ind w:left="6" w:right="146" w:firstLine="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Arrematante (Pessoa Física/ Jurídica)</w:t>
                  </w:r>
                </w:p>
              </w:tc>
              <w:tc>
                <w:tcPr>
                  <w:tcW w:w="1715" w:type="dxa"/>
                  <w:tcBorders>
                    <w:bottom w:val="single" w:color="808080" w:sz="6" w:space="0"/>
                  </w:tcBorders>
                </w:tcPr>
                <w:p w14:paraId="1F7E5BCA">
                  <w:pPr>
                    <w:pStyle w:val="28"/>
                    <w:spacing w:before="10" w:line="256" w:lineRule="auto"/>
                    <w:ind w:left="131" w:right="34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Arrematante (Pessoa Física/ Jurídica)</w:t>
                  </w:r>
                </w:p>
              </w:tc>
              <w:tc>
                <w:tcPr>
                  <w:tcW w:w="2145" w:type="dxa"/>
                  <w:tcBorders>
                    <w:bottom w:val="single" w:color="808080" w:sz="6" w:space="0"/>
                    <w:right w:val="single" w:color="808080" w:sz="6" w:space="0"/>
                  </w:tcBorders>
                </w:tcPr>
                <w:p w14:paraId="4D941A11">
                  <w:pPr>
                    <w:pStyle w:val="28"/>
                    <w:spacing w:before="10" w:line="256" w:lineRule="auto"/>
                    <w:ind w:left="8" w:right="23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pacing w:val="-1"/>
                      <w:sz w:val="20"/>
                      <w:szCs w:val="20"/>
                    </w:rPr>
                    <w:t xml:space="preserve">Arrematante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(Pessoa Jurídica)</w:t>
                  </w:r>
                </w:p>
              </w:tc>
            </w:tr>
          </w:tbl>
          <w:p w14:paraId="5ED6A80A">
            <w:pPr>
              <w:pStyle w:val="17"/>
              <w:spacing w:after="0" w:line="245" w:lineRule="auto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Pela prestação dos serviços o Leiloeiro Oficial credenciado receberá o percentual a ser definido pela Prefeitura Municipal de Sinop- MT, devendo, quando não indicado, ser de 5% (cinco por cento) sobre o valor da venda de cada bem arrematado, tratando-se de bens móveis, a ser pago pelo arrematante no ato do leilão, conforme dispõe o art. 24, do Decreto nº 21.981, de 19.10.1932, que regula a profissão de leiloeiro.</w:t>
            </w:r>
          </w:p>
          <w:p w14:paraId="6BF9642B">
            <w:pPr>
              <w:pStyle w:val="17"/>
              <w:spacing w:after="0" w:line="245" w:lineRule="auto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As despesas com a realização dos trabalhos mencionados neste termo de referência e conforme anexo III (PLANILHA DE CUSTOS E COEFICIENTE DA TAXA ADMINISTRATIVA DOS CUSTOS DO LEILÃO) deverá ser retirada do valor apurado da alienação do veículo (previsão legal – Resolução CONTRAN 623/16, Art. 32, Inc.I.</w:t>
            </w:r>
          </w:p>
          <w:p w14:paraId="5984ABF9">
            <w:pPr>
              <w:pStyle w:val="17"/>
              <w:spacing w:after="0" w:line="245" w:lineRule="auto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 Não cabe a Prefeitura Municipal de Sinop - MT qualquer responsabilidade pela cobrança da comissão devida pelos arrematantes, nem pelos gastos despendidos pelo leiloeiro oficial para recebê-la.</w:t>
            </w:r>
          </w:p>
          <w:p w14:paraId="51C64E17">
            <w:pPr>
              <w:pStyle w:val="17"/>
              <w:spacing w:after="0" w:line="245" w:lineRule="auto"/>
              <w:ind w:left="10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 Na eventual ocorrência de fatos que impeçam a concretização da venda, a comissão, caso já tenha sido recolhida, será devolvida ao arrematante pelo leiloeiro oficial, sem que isso enseje reembolso de qualquer espécie por parte da Prefeitura.</w:t>
            </w:r>
          </w:p>
          <w:p w14:paraId="3FAEB201">
            <w:pPr>
              <w:pStyle w:val="17"/>
              <w:numPr>
                <w:ilvl w:val="0"/>
                <w:numId w:val="10"/>
              </w:numPr>
              <w:spacing w:after="0" w:line="245" w:lineRule="auto"/>
              <w:ind w:left="1016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leiloeiro oficial será o responsável pelo recolhimento de impostos, taxas, contribuições à Previdência Social, encargos trabalhistas, prêmios de seguro, emolumentos, demais despesas diretas ou indiretas e quaisquer ônus que se fizerem necessários à execução dos serviços contratados.</w:t>
            </w:r>
          </w:p>
        </w:tc>
      </w:tr>
    </w:tbl>
    <w:p w14:paraId="250817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66FA5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61" w:type="dxa"/>
            <w:shd w:val="clear" w:color="auto" w:fill="D8D8D8" w:themeFill="background1" w:themeFillShade="D9"/>
          </w:tcPr>
          <w:p w14:paraId="4269915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– FORMA E CRITÉRIOS DE SELEÇÃO DO FORNECEDOR</w:t>
            </w:r>
          </w:p>
        </w:tc>
      </w:tr>
      <w:tr w14:paraId="19B38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2D69FA8E">
            <w:pPr>
              <w:widowControl w:val="0"/>
              <w:tabs>
                <w:tab w:val="left" w:pos="400"/>
                <w:tab w:val="left" w:pos="600"/>
              </w:tabs>
              <w:adjustRightInd w:val="0"/>
              <w:spacing w:before="120" w:beforeLines="50" w:after="0" w:line="240" w:lineRule="auto"/>
              <w:ind w:firstLine="449"/>
              <w:contextualSpacing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A modalidade de Credenciamento está disciplinada na Lei nº 14.133/2021, e é uns procedimentos auxiliares das licitações e das contratações. </w:t>
            </w:r>
          </w:p>
          <w:p w14:paraId="55BDDFB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firstLine="449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 escolha por tal modalidade se caracteriza pela ausência de competição, impossibilitando assim a abertura de certame licitatório. No caso em questão, todos os leiloeiros matriculados no Estado podem oferecer o serviço, porém, é impossível para a Administração escolher a proposta mais vantajosa, uma vez que a taxa de comissão dos contratados é fixa, estabelecida pelo Decreto Federal nº 21.981, de 19 de outubro de 1932”.</w:t>
            </w:r>
          </w:p>
          <w:p w14:paraId="703C704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firstLine="449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"Nesse sentido, o procedimento de CREDENCIAMENTO para selecionar o leiloeiro torna-se a alternativa mais viável para que sejam cumpridos os princípios da isonomia, da igualdade e da impessoalidade.".</w:t>
            </w:r>
          </w:p>
          <w:p w14:paraId="59AC5D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left="3993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Art. 400. O Credenciamento é o processo administrativo de chamamento público em que a Administração Pública convoca interessados em prestar serviços ou fornecer bens para que, preenchidos os requisitos necessários, credenciem-se para executar o objeto quando – Lei 14.133/2021</w:t>
            </w:r>
          </w:p>
          <w:p w14:paraId="4480BF8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left="24" w:firstLine="56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 acordo também com o Decreto 359/2023, que dispõe:</w:t>
            </w:r>
          </w:p>
          <w:p w14:paraId="1A4163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left="3568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Art. 304. Na hipótese de realização de Leilão por intermédio de Leiloeiro Oficial, a Administração poderá selecioná-lo mediante Credenciamento ou Pregão.</w:t>
            </w:r>
          </w:p>
          <w:p w14:paraId="598E744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left="3568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(...)</w:t>
            </w:r>
          </w:p>
          <w:p w14:paraId="491095A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beforeLines="50" w:line="240" w:lineRule="auto"/>
              <w:ind w:left="3568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gree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§2º. O Pregão ou o Credenciamento observarão, como parâmetro máximo da taxa de comissão a ser paga pelos compradores, o montante de 5% (cinco por cento) do valor do bem arrematado.</w:t>
            </w:r>
          </w:p>
          <w:p w14:paraId="1C4AD050">
            <w:pPr>
              <w:widowControl w:val="0"/>
              <w:adjustRightInd w:val="0"/>
              <w:spacing w:before="120" w:beforeLines="50" w:after="0" w:line="240" w:lineRule="auto"/>
              <w:ind w:left="3566" w:leftChars="1621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Art. 401. O Credenciamento poderá ser usado nas seguintes hipóteses de contratação:</w:t>
            </w:r>
          </w:p>
          <w:p w14:paraId="7D2644F5">
            <w:pPr>
              <w:widowControl w:val="0"/>
              <w:adjustRightInd w:val="0"/>
              <w:spacing w:before="120" w:beforeLines="50" w:after="0" w:line="240" w:lineRule="auto"/>
              <w:ind w:left="3566" w:leftChars="1621"/>
              <w:contextualSpacing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  <w:highlight w:val="green"/>
              </w:rPr>
            </w:pPr>
          </w:p>
          <w:p w14:paraId="4030582D">
            <w:pPr>
              <w:widowControl w:val="0"/>
              <w:adjustRightInd w:val="0"/>
              <w:spacing w:before="120" w:beforeLines="50" w:after="0" w:line="240" w:lineRule="auto"/>
              <w:ind w:left="3566" w:leftChars="1621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§2º. Na hipótese prevista no inciso III do caput, a Administração Pública poderá definir no Edital a porcentagem de desconto a ser aplicada sobre o valor do objeto no momento da contratação, que será a mesma para todos os credenciados.</w:t>
            </w:r>
          </w:p>
        </w:tc>
      </w:tr>
    </w:tbl>
    <w:p w14:paraId="16AFAA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6BD4C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6C1E92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– CUSTO ESTIMADO DA CONTRATAÇÃO/PREÇO DE REFERÊNCIA</w:t>
            </w:r>
          </w:p>
        </w:tc>
      </w:tr>
    </w:tbl>
    <w:tbl>
      <w:tblPr>
        <w:tblStyle w:val="27"/>
        <w:tblW w:w="9064" w:type="dxa"/>
        <w:tblInd w:w="0" w:type="dxa"/>
        <w:tblBorders>
          <w:top w:val="single" w:color="2B2B2B" w:sz="6" w:space="0"/>
          <w:left w:val="single" w:color="2B2B2B" w:sz="6" w:space="0"/>
          <w:bottom w:val="single" w:color="2B2B2B" w:sz="6" w:space="0"/>
          <w:right w:val="single" w:color="2B2B2B" w:sz="6" w:space="0"/>
          <w:insideH w:val="single" w:color="2B2B2B" w:sz="6" w:space="0"/>
          <w:insideV w:val="single" w:color="2B2B2B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36"/>
        <w:gridCol w:w="2783"/>
        <w:gridCol w:w="1715"/>
        <w:gridCol w:w="2330"/>
      </w:tblGrid>
      <w:tr w14:paraId="31A449D1">
        <w:tblPrEx>
          <w:tblBorders>
            <w:top w:val="single" w:color="2B2B2B" w:sz="6" w:space="0"/>
            <w:left w:val="single" w:color="2B2B2B" w:sz="6" w:space="0"/>
            <w:bottom w:val="single" w:color="2B2B2B" w:sz="6" w:space="0"/>
            <w:right w:val="single" w:color="2B2B2B" w:sz="6" w:space="0"/>
            <w:insideH w:val="single" w:color="2B2B2B" w:sz="6" w:space="0"/>
            <w:insideV w:val="single" w:color="2B2B2B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2236" w:type="dxa"/>
          </w:tcPr>
          <w:p w14:paraId="5D1A965A">
            <w:pPr>
              <w:pStyle w:val="28"/>
              <w:spacing w:before="5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06EBE9">
            <w:pPr>
              <w:pStyle w:val="28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Valores (R$):</w:t>
            </w:r>
          </w:p>
        </w:tc>
        <w:tc>
          <w:tcPr>
            <w:tcW w:w="2783" w:type="dxa"/>
          </w:tcPr>
          <w:p w14:paraId="04953518">
            <w:pPr>
              <w:pStyle w:val="28"/>
              <w:spacing w:before="5"/>
              <w:ind w:left="506" w:right="100" w:hanging="42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(A) Comissão (5%) calculado em cima do valor arrematado</w:t>
            </w:r>
          </w:p>
        </w:tc>
        <w:tc>
          <w:tcPr>
            <w:tcW w:w="1715" w:type="dxa"/>
          </w:tcPr>
          <w:p w14:paraId="6B229F53">
            <w:pPr>
              <w:pStyle w:val="28"/>
              <w:spacing w:before="8"/>
              <w:ind w:left="13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Nota Fiscal (B)</w:t>
            </w:r>
          </w:p>
        </w:tc>
        <w:tc>
          <w:tcPr>
            <w:tcW w:w="2330" w:type="dxa"/>
            <w:tcBorders>
              <w:right w:val="single" w:color="808080" w:sz="6" w:space="0"/>
            </w:tcBorders>
          </w:tcPr>
          <w:p w14:paraId="2A47298A">
            <w:pPr>
              <w:pStyle w:val="28"/>
              <w:tabs>
                <w:tab w:val="left" w:pos="923"/>
              </w:tabs>
              <w:spacing w:before="7" w:line="237" w:lineRule="auto"/>
              <w:ind w:left="0" w:right="9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r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gasto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pelo</w:t>
            </w:r>
          </w:p>
          <w:p w14:paraId="07116CAD">
            <w:pPr>
              <w:pStyle w:val="28"/>
              <w:spacing w:before="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arrematante</w:t>
            </w:r>
          </w:p>
          <w:p w14:paraId="4282DEA5">
            <w:pPr>
              <w:pStyle w:val="28"/>
              <w:spacing w:before="21"/>
              <w:ind w:left="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(A+B)</w:t>
            </w:r>
          </w:p>
        </w:tc>
      </w:tr>
      <w:tr w14:paraId="3C0FCDD5">
        <w:tblPrEx>
          <w:tblBorders>
            <w:top w:val="single" w:color="2B2B2B" w:sz="6" w:space="0"/>
            <w:left w:val="single" w:color="2B2B2B" w:sz="6" w:space="0"/>
            <w:bottom w:val="single" w:color="2B2B2B" w:sz="6" w:space="0"/>
            <w:right w:val="single" w:color="2B2B2B" w:sz="6" w:space="0"/>
            <w:insideH w:val="single" w:color="2B2B2B" w:sz="6" w:space="0"/>
            <w:insideV w:val="single" w:color="2B2B2B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</w:trPr>
        <w:tc>
          <w:tcPr>
            <w:tcW w:w="2236" w:type="dxa"/>
          </w:tcPr>
          <w:p w14:paraId="06B0A3A8">
            <w:pPr>
              <w:pStyle w:val="28"/>
              <w:tabs>
                <w:tab w:val="left" w:pos="1724"/>
              </w:tabs>
              <w:spacing w:before="7" w:line="256" w:lineRule="auto"/>
              <w:ind w:left="6" w:right="9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Destinação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/>
                <w:spacing w:val="-9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Recebimento</w:t>
            </w:r>
          </w:p>
        </w:tc>
        <w:tc>
          <w:tcPr>
            <w:tcW w:w="2783" w:type="dxa"/>
          </w:tcPr>
          <w:p w14:paraId="41831782">
            <w:pPr>
              <w:pStyle w:val="28"/>
              <w:spacing w:before="10"/>
              <w:ind w:left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Leiloeiro Oficial</w:t>
            </w:r>
          </w:p>
        </w:tc>
        <w:tc>
          <w:tcPr>
            <w:tcW w:w="1715" w:type="dxa"/>
          </w:tcPr>
          <w:p w14:paraId="5D29A7E6">
            <w:pPr>
              <w:pStyle w:val="28"/>
              <w:spacing w:before="10"/>
              <w:ind w:left="10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Leiloeiro Oficial</w:t>
            </w:r>
          </w:p>
        </w:tc>
        <w:tc>
          <w:tcPr>
            <w:tcW w:w="2330" w:type="dxa"/>
            <w:tcBorders>
              <w:right w:val="single" w:color="808080" w:sz="6" w:space="0"/>
            </w:tcBorders>
          </w:tcPr>
          <w:p w14:paraId="221AFBF2">
            <w:pPr>
              <w:pStyle w:val="28"/>
              <w:spacing w:before="10" w:line="259" w:lineRule="auto"/>
              <w:ind w:left="8" w:right="5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Leiloeiro Oficial +</w:t>
            </w:r>
          </w:p>
          <w:p w14:paraId="00404125">
            <w:pPr>
              <w:pStyle w:val="28"/>
              <w:spacing w:before="10" w:line="259" w:lineRule="auto"/>
              <w:ind w:left="8" w:right="56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Pref. Mun.Sinop-MT</w:t>
            </w:r>
          </w:p>
        </w:tc>
      </w:tr>
      <w:tr w14:paraId="0689DC02">
        <w:tblPrEx>
          <w:tblBorders>
            <w:top w:val="single" w:color="2B2B2B" w:sz="6" w:space="0"/>
            <w:left w:val="single" w:color="2B2B2B" w:sz="6" w:space="0"/>
            <w:bottom w:val="single" w:color="2B2B2B" w:sz="6" w:space="0"/>
            <w:right w:val="single" w:color="2B2B2B" w:sz="6" w:space="0"/>
            <w:insideH w:val="single" w:color="2B2B2B" w:sz="6" w:space="0"/>
            <w:insideV w:val="single" w:color="2B2B2B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236" w:type="dxa"/>
            <w:tcBorders>
              <w:bottom w:val="single" w:color="808080" w:sz="6" w:space="0"/>
            </w:tcBorders>
          </w:tcPr>
          <w:p w14:paraId="4558305C">
            <w:pPr>
              <w:pStyle w:val="28"/>
              <w:spacing w:before="7" w:line="256" w:lineRule="auto"/>
              <w:ind w:left="9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Pessoa responsável pelo</w:t>
            </w:r>
          </w:p>
          <w:p w14:paraId="63440253">
            <w:pPr>
              <w:pStyle w:val="28"/>
              <w:spacing w:before="4"/>
              <w:ind w:left="9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pagamento</w:t>
            </w:r>
          </w:p>
        </w:tc>
        <w:tc>
          <w:tcPr>
            <w:tcW w:w="2783" w:type="dxa"/>
            <w:tcBorders>
              <w:bottom w:val="single" w:color="808080" w:sz="6" w:space="0"/>
            </w:tcBorders>
          </w:tcPr>
          <w:p w14:paraId="431A203D">
            <w:pPr>
              <w:pStyle w:val="28"/>
              <w:spacing w:before="10" w:line="256" w:lineRule="auto"/>
              <w:ind w:left="6" w:right="146" w:firstLine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Arrematante (Pessoa Física/ Jurídica)</w:t>
            </w:r>
          </w:p>
        </w:tc>
        <w:tc>
          <w:tcPr>
            <w:tcW w:w="1715" w:type="dxa"/>
            <w:tcBorders>
              <w:bottom w:val="single" w:color="808080" w:sz="6" w:space="0"/>
            </w:tcBorders>
          </w:tcPr>
          <w:p w14:paraId="5C53A830">
            <w:pPr>
              <w:pStyle w:val="28"/>
              <w:spacing w:before="10" w:line="256" w:lineRule="auto"/>
              <w:ind w:left="131" w:right="34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Arrematante (Pessoa Física/ Jurídica)</w:t>
            </w:r>
          </w:p>
        </w:tc>
        <w:tc>
          <w:tcPr>
            <w:tcW w:w="2330" w:type="dxa"/>
            <w:tcBorders>
              <w:bottom w:val="single" w:color="808080" w:sz="6" w:space="0"/>
              <w:right w:val="single" w:color="808080" w:sz="6" w:space="0"/>
            </w:tcBorders>
          </w:tcPr>
          <w:p w14:paraId="10682616">
            <w:pPr>
              <w:pStyle w:val="28"/>
              <w:spacing w:before="10" w:line="256" w:lineRule="auto"/>
              <w:ind w:left="8" w:right="23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Arrematante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(Pessoa Jurídica)</w:t>
            </w:r>
          </w:p>
        </w:tc>
      </w:tr>
    </w:tbl>
    <w:p w14:paraId="71C9ED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3260"/>
        <w:gridCol w:w="3254"/>
      </w:tblGrid>
      <w:tr w14:paraId="1920C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gridSpan w:val="3"/>
            <w:shd w:val="clear" w:color="auto" w:fill="D8D8D8" w:themeFill="background1" w:themeFillShade="D9"/>
          </w:tcPr>
          <w:p w14:paraId="6A9CB6E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– FISCAL DA ATA DE REGISTRO DE PREÇO/CONTRATO</w:t>
            </w:r>
          </w:p>
        </w:tc>
      </w:tr>
      <w:tr w14:paraId="4627F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19666B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SECRETARIA </w:t>
            </w:r>
          </w:p>
        </w:tc>
        <w:tc>
          <w:tcPr>
            <w:tcW w:w="3260" w:type="dxa"/>
          </w:tcPr>
          <w:p w14:paraId="09286A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FISCAL DA ATA/CONTRATO</w:t>
            </w:r>
          </w:p>
        </w:tc>
        <w:tc>
          <w:tcPr>
            <w:tcW w:w="3254" w:type="dxa"/>
          </w:tcPr>
          <w:p w14:paraId="6E9787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SUPLENTE</w:t>
            </w:r>
          </w:p>
        </w:tc>
      </w:tr>
      <w:tr w14:paraId="3EBE3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0596A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Secretaria de Trânsito e Transporte Urbano</w:t>
            </w:r>
          </w:p>
        </w:tc>
        <w:tc>
          <w:tcPr>
            <w:tcW w:w="3260" w:type="dxa"/>
          </w:tcPr>
          <w:p w14:paraId="7F377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Fiscal:Franssyuzzy Romyelly Milkievicz</w:t>
            </w:r>
          </w:p>
          <w:p w14:paraId="0EB103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Cargo: Coordenadora</w:t>
            </w:r>
          </w:p>
          <w:p w14:paraId="37CF43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Matrícula:14.447</w:t>
            </w:r>
          </w:p>
        </w:tc>
        <w:tc>
          <w:tcPr>
            <w:tcW w:w="3254" w:type="dxa"/>
          </w:tcPr>
          <w:p w14:paraId="25567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Suplente: Geraldo Campagnaro</w:t>
            </w:r>
          </w:p>
          <w:p w14:paraId="013B29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Cargo: Guarda Civil Municipal</w:t>
            </w:r>
          </w:p>
          <w:p w14:paraId="55A89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Matrícula: 4812</w:t>
            </w:r>
          </w:p>
        </w:tc>
      </w:tr>
    </w:tbl>
    <w:p w14:paraId="21646F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E78D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250B52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REQUISITOS PARA PARTICIPAÇÃO</w:t>
            </w:r>
          </w:p>
        </w:tc>
      </w:tr>
      <w:tr w14:paraId="6C4E4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60CE24D8">
            <w:pPr>
              <w:shd w:val="clear" w:color="auto" w:fill="FFFFFF"/>
              <w:spacing w:after="0" w:line="360" w:lineRule="atLeast"/>
              <w:ind w:left="166"/>
              <w:jc w:val="both"/>
              <w:rPr>
                <w:rFonts w:ascii="Times New Roman" w:hAnsi="Times New Roman" w:eastAsia="Times New Roman" w:cs="Times New Roman"/>
                <w:color w:val="0A0A0A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0A0A"/>
                <w:sz w:val="24"/>
                <w:szCs w:val="24"/>
                <w:lang w:eastAsia="pt-BR"/>
              </w:rPr>
              <w:t>Habilitação Jurídica e Profissional</w:t>
            </w:r>
          </w:p>
          <w:p w14:paraId="5F68542C">
            <w:pPr>
              <w:pStyle w:val="28"/>
              <w:ind w:left="166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Registro na Junta Comercial do Estado do Mato Grosso: Comprovação de matrícula ativa como Leiloeiro Oficial; </w:t>
            </w:r>
          </w:p>
          <w:p w14:paraId="12AE3BE3">
            <w:pPr>
              <w:pStyle w:val="28"/>
              <w:ind w:left="166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Certidão da Junta Comercial: Documento original ou cópia autenticada emitida pela Junta Comercial do Estado comprovando que não há processos disciplinares ou suspensão do exercício profissional.</w:t>
            </w:r>
          </w:p>
          <w:p w14:paraId="58349D35">
            <w:pPr>
              <w:pStyle w:val="28"/>
              <w:ind w:left="166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Certidão de Regularidade Profissional emitida pela Junta Comercial da Unidade da Federação onde o leiloeiro possuir sua matrícula originária, quando diversa do Estado de Mato Grosso, comprovando a regularidade do registro profissional e a inexistência de impedimentos ou sanções administrativas que restrinjam o exercício da atividade.</w:t>
            </w:r>
          </w:p>
          <w:p w14:paraId="73E1386B">
            <w:pPr>
              <w:pStyle w:val="28"/>
              <w:ind w:left="166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Identificação: RG, CPF e comprovante de residência/domicílio profissional.</w:t>
            </w:r>
          </w:p>
          <w:p w14:paraId="223E5670">
            <w:pPr>
              <w:pStyle w:val="2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Qualificação Técnica</w:t>
            </w:r>
          </w:p>
          <w:p w14:paraId="0E5606F6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Comprovação de aptidão para a prestação dos serviços em características, quantidades e prazos compatíveis com o objeto da presente licitação, mediante a apresentação de atestado(s) de capacidade técnica fornecido(s) por Órgão ou Entidade Executiva de Trânsito da União, dos Estados ou dos Municípios, que comprovem a execução de serviços similares, com experiência na realização de leilões de veículos apreendidos ou removidos, nos termos do art. 328 do Lei nº 9.503/1997.</w:t>
            </w:r>
          </w:p>
          <w:p w14:paraId="1555C06B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Para fins da comprovação de que trata este item, os atestados deverão referir-se a serviços executados com características compatíveis com o objeto da licitação, admitindo-se atestados relativos a contratos concluídos ou em execução, desde que comprovada a efetiva prestação dos serviços.</w:t>
            </w:r>
          </w:p>
          <w:p w14:paraId="15C3936D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Os atestados de capacidade técnica deverão demonstrar que a licitante executou serviços de realização de leilões de veículos com efetiva alienação de, no mínimo, 1.200 (mil e duzentos) veículos, quantitativo correspondente a aproximadamente 50% do volume anual estimado previsto neste Termo de Referência, em conformidade com o limite estabelecido no art. 67, §1º, da Lei nº 14.133/2021.</w:t>
            </w:r>
          </w:p>
          <w:p w14:paraId="1D4FAFCB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Para fins de atendimento ao quantitativo mínimo exigido, será admitido o somatório de atestados, desde que comprovada a execução de serviços compatíveis em características, quantidades e prazos com o objeto da licitação.</w:t>
            </w:r>
          </w:p>
          <w:p w14:paraId="488CA026">
            <w:pPr>
              <w:pStyle w:val="2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Requisitos Operacionais e Tecnológicos</w:t>
            </w:r>
          </w:p>
          <w:p w14:paraId="55E8B5E8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Plataforma de Leilão Eletrônico: O leiloeiro deve possuir ou contratar site próprio que suporte lances em tempo real, com criptografia e registro de log de todos os participantes.</w:t>
            </w:r>
          </w:p>
          <w:p w14:paraId="42A7699A">
            <w:pPr>
              <w:pStyle w:val="2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Regularidade Fiscal e Trabalhista</w:t>
            </w:r>
          </w:p>
          <w:p w14:paraId="2B8B14F5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Documentação padrão exigida para qualquer contrato público:</w:t>
            </w:r>
          </w:p>
          <w:p w14:paraId="11AFD6F2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Certidão Negativa de Débitos Federais (Tributos e Dívida Ativa da União).</w:t>
            </w:r>
          </w:p>
          <w:p w14:paraId="21D5B086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Certidão de Regularidade do FGTS (CEF).</w:t>
            </w:r>
          </w:p>
          <w:p w14:paraId="1DE1B769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Certidão Negativa de Débitos Trabalhistas (CNDT).</w:t>
            </w:r>
          </w:p>
          <w:p w14:paraId="7745E97E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Certidões Negativas Estaduais e Municipais do domicílio do leiloeiro.</w:t>
            </w:r>
          </w:p>
          <w:p w14:paraId="501B895F">
            <w:pPr>
              <w:pStyle w:val="2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Declarações Obrigatórias</w:t>
            </w:r>
          </w:p>
          <w:p w14:paraId="4B71F26E">
            <w:pPr>
              <w:pStyle w:val="28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Declaração de Inexistência de Parentesco: Confirmando que não possui vínculos com servidores do órgão contratante.</w:t>
            </w:r>
          </w:p>
          <w:p w14:paraId="08F9A5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Declaração de Aceite da Tabela de Preços: Termo assinado concordando que sua única remuneração será a comissão de 5% paga pelo arrematante, sem ônus para o órgão público.</w:t>
            </w:r>
          </w:p>
        </w:tc>
      </w:tr>
    </w:tbl>
    <w:p w14:paraId="1199C8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166B8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53C061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 – LEILOEIROS CREDENCIADOS</w:t>
            </w:r>
          </w:p>
        </w:tc>
      </w:tr>
      <w:tr w14:paraId="6941A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364DA57F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 A convocação dos Leiloeiros para prestação dos serviços será procedida de forma rotativa, seguindo a ordem do sorteio após credenciamento, ou seja, o primeiro SORTEADO será convocado primeiramente, e assim sucessivamente. A cada serviço solicitado, a Comissão Especial de Leilão atualizará a sequência de credenciados, passando para o final da “fila” o SORETEADO que acabou de receber a solicitação. Qualquer novo CREDENCIADO entrará como último na “fila” atualizada no momento de seu credenciamento.</w:t>
            </w:r>
          </w:p>
          <w:p w14:paraId="5BD2BAC6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 Será automaticamente excluído do rodízio, o CREDENCIADO que não mantiver atualizada, durante a vigência deste Edital, a documentação de que trata a item. 14</w:t>
            </w:r>
          </w:p>
          <w:p w14:paraId="3E541C44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 O rol de credenciados será formado segundo a ordem de credenciamento, até que todos os leiloeiros habilitados tenham sido ordenados.</w:t>
            </w:r>
          </w:p>
          <w:p w14:paraId="3BCD2A7B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 A convocação para assinatura do contrato de prestação de serviços obedecerá ao ordenamento obtido por meio de ordem de credenciamento efetuado de acordo com os itens 14.1 e 14.3</w:t>
            </w:r>
          </w:p>
          <w:p w14:paraId="48E378FD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 O leiloeiro contratado poderá realizar sessão pública de alienação, na forma presencial e eletrônica, simultaneamente.</w:t>
            </w:r>
          </w:p>
          <w:p w14:paraId="59A5669D">
            <w:pPr>
              <w:pStyle w:val="17"/>
              <w:spacing w:after="0" w:line="245" w:lineRule="auto"/>
              <w:ind w:left="24" w:firstLine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14.6 O contrato se dará por encerrado após o Leiloeiro ter cumprido todos os procedimentos estabelecidos neste Edital, relativos ao leilão objeto da contratação, sendo o prazo máximo de 6 (seis) meses para sua execução final, caso este prazo não seja cumprido poderá a comissão suspender e até mesmo descredenciar o Leiloeiro.</w:t>
            </w:r>
          </w:p>
          <w:p w14:paraId="395E73AC">
            <w:pPr>
              <w:pStyle w:val="17"/>
              <w:spacing w:after="0" w:line="245" w:lineRule="auto"/>
              <w:ind w:left="0"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14.7 Havendo a necessidade de realização de novo processo de desfazimento será convocado o próximo leiloeiro do rol de credenciados.</w:t>
            </w:r>
          </w:p>
          <w:p w14:paraId="778850C4">
            <w:pPr>
              <w:pStyle w:val="17"/>
              <w:spacing w:after="0" w:line="245" w:lineRule="auto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14.8 Em caso de não comparecimento do leiloeiro no prazo de até 05 (cinco) dias após a convocação, a Prefeitura poderá convocar o próximo leiloeiro do rol de credenciados para promover a assinatura do contrato.</w:t>
            </w:r>
          </w:p>
          <w:p w14:paraId="438F73C0">
            <w:pPr>
              <w:pStyle w:val="17"/>
              <w:spacing w:after="0" w:line="245" w:lineRule="auto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14.9 O leiloeiro que não se apresentar para assinatura do contrato na sua ordem de convocação, só será demandado novamente após a convocação de todos os demais leiloeiros que compõem o rol de credenciados;</w:t>
            </w:r>
          </w:p>
          <w:p w14:paraId="71587306">
            <w:pPr>
              <w:pStyle w:val="17"/>
              <w:spacing w:after="0" w:line="245" w:lineRule="auto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14.10 Cada leiloeiro credenciado terá o seu leilão, ato contínuo será beneficiado o segundo credenciado e assim sucessivamente.</w:t>
            </w:r>
          </w:p>
        </w:tc>
      </w:tr>
    </w:tbl>
    <w:p w14:paraId="174C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D727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62FE36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– DA SUBCONTRATAÇÃO</w:t>
            </w:r>
          </w:p>
        </w:tc>
      </w:tr>
      <w:tr w14:paraId="14835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3B7B3544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Não será admitida a subcontratação do objeto deste Termo de Referência.</w:t>
            </w:r>
          </w:p>
          <w:p w14:paraId="00B756A3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Será permitido, porém, especificamente para as atividades-meio e/ou acessórias de leiloeiro, tais como apoio, guarda, logística, divulgação e organização da leiloaria, que sejam realizadas por empresas organizadoras de leilão, inclusive por meio de plataforma digital ou eletrônica, o que não afasta a responsabilidade exclusiva, pessoal e direta do leiloeiro no exercício de suas funções em pregões e hastas públicas, assim como por qualquer ato de terceiro, pessoa física ou jurídica, que venha atuar em seu auxílio no leilão, seja na fase preliminar, durante o leilão ou ainda em fase posterior, não ficando a contratante responsável por qualquer ato de empresas contratadas e seus subordinados.</w:t>
            </w:r>
          </w:p>
        </w:tc>
      </w:tr>
    </w:tbl>
    <w:p w14:paraId="0CEEB3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0AF3A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61" w:type="dxa"/>
            <w:shd w:val="clear" w:color="auto" w:fill="D8D8D8" w:themeFill="background1" w:themeFillShade="D9"/>
          </w:tcPr>
          <w:p w14:paraId="3C75B6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– DAS SANÇÕES E PENALIDADE</w:t>
            </w:r>
          </w:p>
        </w:tc>
      </w:tr>
      <w:tr w14:paraId="620DA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40582519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Conforme disposto no Edital de Licitação e Minuta de Contrato Administrativo.</w:t>
            </w:r>
          </w:p>
          <w:p w14:paraId="1093F6BE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O descumprimento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qualquer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dessas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implicará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 imediato descredenciamento do leiloeiro oficial.</w:t>
            </w:r>
          </w:p>
          <w:p w14:paraId="176D9584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O leiloeiro deverá possuir infraestrutura física e tecnológica para realizar as duas modalidades de leilão: presencial e eletrônico.</w:t>
            </w:r>
          </w:p>
        </w:tc>
      </w:tr>
    </w:tbl>
    <w:p w14:paraId="420599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6BD6FD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Sinop/MT, 06 de maio de 2026</w:t>
      </w:r>
    </w:p>
    <w:p w14:paraId="29A400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398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LUCAS JOSE ZANATELI WEBBER</w:t>
      </w:r>
    </w:p>
    <w:p w14:paraId="1376EB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Assessor</w:t>
      </w:r>
    </w:p>
    <w:p w14:paraId="20CF0DCD">
      <w:pPr>
        <w:autoSpaceDE w:val="0"/>
        <w:autoSpaceDN w:val="0"/>
        <w:adjustRightInd w:val="0"/>
        <w:spacing w:after="0" w:line="245" w:lineRule="auto"/>
        <w:ind w:firstLine="1202"/>
        <w:jc w:val="center"/>
        <w:rPr>
          <w:rFonts w:ascii="Times New Roman" w:hAnsi="Times New Roman" w:cs="Times New Roman"/>
          <w:sz w:val="24"/>
          <w:szCs w:val="24"/>
        </w:rPr>
      </w:pPr>
    </w:p>
    <w:p w14:paraId="671F01A3">
      <w:pPr>
        <w:autoSpaceDE w:val="0"/>
        <w:autoSpaceDN w:val="0"/>
        <w:adjustRightInd w:val="0"/>
        <w:spacing w:after="0" w:line="245" w:lineRule="auto"/>
        <w:ind w:firstLine="120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1534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61" w:type="dxa"/>
            <w:shd w:val="clear" w:color="auto" w:fill="D8D8D8" w:themeFill="background1" w:themeFillShade="D9"/>
          </w:tcPr>
          <w:p w14:paraId="42513B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 – ANEXOS</w:t>
            </w:r>
          </w:p>
        </w:tc>
      </w:tr>
      <w:tr w14:paraId="2BDA3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</w:tcPr>
          <w:p w14:paraId="3342FC6A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– II – III – IV - V – VI, VII, VIII, IX, X.</w:t>
            </w:r>
          </w:p>
        </w:tc>
      </w:tr>
    </w:tbl>
    <w:p w14:paraId="6DA96BF0">
      <w:pPr>
        <w:autoSpaceDE w:val="0"/>
        <w:autoSpaceDN w:val="0"/>
        <w:adjustRightInd w:val="0"/>
        <w:spacing w:after="0" w:line="245" w:lineRule="auto"/>
        <w:ind w:firstLine="120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EED8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shd w:val="clear" w:color="auto" w:fill="D8D8D8" w:themeFill="background1" w:themeFillShade="D9"/>
          </w:tcPr>
          <w:p w14:paraId="179EB7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– CIÊNCIA DA AUTORIDADE COMPETENTE</w:t>
            </w:r>
          </w:p>
        </w:tc>
      </w:tr>
      <w:tr w14:paraId="77646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7" w:hRule="atLeast"/>
        </w:trPr>
        <w:tc>
          <w:tcPr>
            <w:tcW w:w="9061" w:type="dxa"/>
          </w:tcPr>
          <w:p w14:paraId="389256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(X) Concordo com o Termo de Referência/Projeto Básico realizado e autorizo a contratação nos termos da Lei 14.133/2021.</w:t>
            </w:r>
          </w:p>
          <w:p w14:paraId="610E41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397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Sinop/MT, 14 de maio de 2026.</w:t>
            </w:r>
          </w:p>
          <w:p w14:paraId="6E1283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2BB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E99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45B54F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WESNEY DE CASTRO SODRÉ</w:t>
            </w:r>
          </w:p>
          <w:p w14:paraId="57BF569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Secretário Municipal de Segurança e Trânsito </w:t>
            </w:r>
          </w:p>
          <w:p w14:paraId="6269295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D2B1CB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>
      <w:pgSz w:w="11906" w:h="16838"/>
      <w:pgMar w:top="1134" w:right="1134" w:bottom="993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pranq eco 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960414"/>
    <w:multiLevelType w:val="multilevel"/>
    <w:tmpl w:val="05960414"/>
    <w:lvl w:ilvl="0" w:tentative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5CF0BE8"/>
    <w:multiLevelType w:val="multilevel"/>
    <w:tmpl w:val="05CF0BE8"/>
    <w:lvl w:ilvl="0" w:tentative="0">
      <w:start w:val="1"/>
      <w:numFmt w:val="lowerLetter"/>
      <w:lvlText w:val="%1)"/>
      <w:lvlJc w:val="left"/>
      <w:pPr>
        <w:ind w:left="1026" w:hanging="360"/>
      </w:pPr>
      <w:rPr>
        <w:rFonts w:ascii="Times New Roman" w:hAnsi="Times New Roman" w:cs="Times New Roman" w:eastAsiaTheme="minorHAnsi"/>
        <w:b w:val="0"/>
        <w:bCs w:val="0"/>
      </w:rPr>
    </w:lvl>
    <w:lvl w:ilvl="1" w:tentative="0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2">
    <w:nsid w:val="07504A36"/>
    <w:multiLevelType w:val="multilevel"/>
    <w:tmpl w:val="07504A36"/>
    <w:lvl w:ilvl="0" w:tentative="0">
      <w:start w:val="2"/>
      <w:numFmt w:val="decimal"/>
      <w:lvlText w:val="%1)"/>
      <w:lvlJc w:val="left"/>
      <w:pPr>
        <w:ind w:left="13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06" w:hanging="360"/>
      </w:pPr>
    </w:lvl>
    <w:lvl w:ilvl="2" w:tentative="0">
      <w:start w:val="1"/>
      <w:numFmt w:val="lowerRoman"/>
      <w:lvlText w:val="%3."/>
      <w:lvlJc w:val="right"/>
      <w:pPr>
        <w:ind w:left="2826" w:hanging="180"/>
      </w:pPr>
    </w:lvl>
    <w:lvl w:ilvl="3" w:tentative="0">
      <w:start w:val="1"/>
      <w:numFmt w:val="decimal"/>
      <w:lvlText w:val="%4."/>
      <w:lvlJc w:val="left"/>
      <w:pPr>
        <w:ind w:left="3546" w:hanging="360"/>
      </w:pPr>
    </w:lvl>
    <w:lvl w:ilvl="4" w:tentative="0">
      <w:start w:val="1"/>
      <w:numFmt w:val="lowerLetter"/>
      <w:lvlText w:val="%5."/>
      <w:lvlJc w:val="left"/>
      <w:pPr>
        <w:ind w:left="4266" w:hanging="360"/>
      </w:pPr>
    </w:lvl>
    <w:lvl w:ilvl="5" w:tentative="0">
      <w:start w:val="1"/>
      <w:numFmt w:val="lowerRoman"/>
      <w:lvlText w:val="%6."/>
      <w:lvlJc w:val="right"/>
      <w:pPr>
        <w:ind w:left="4986" w:hanging="180"/>
      </w:pPr>
    </w:lvl>
    <w:lvl w:ilvl="6" w:tentative="0">
      <w:start w:val="1"/>
      <w:numFmt w:val="decimal"/>
      <w:lvlText w:val="%7."/>
      <w:lvlJc w:val="left"/>
      <w:pPr>
        <w:ind w:left="5706" w:hanging="360"/>
      </w:pPr>
    </w:lvl>
    <w:lvl w:ilvl="7" w:tentative="0">
      <w:start w:val="1"/>
      <w:numFmt w:val="lowerLetter"/>
      <w:lvlText w:val="%8."/>
      <w:lvlJc w:val="left"/>
      <w:pPr>
        <w:ind w:left="6426" w:hanging="360"/>
      </w:pPr>
    </w:lvl>
    <w:lvl w:ilvl="8" w:tentative="0">
      <w:start w:val="1"/>
      <w:numFmt w:val="lowerRoman"/>
      <w:lvlText w:val="%9."/>
      <w:lvlJc w:val="right"/>
      <w:pPr>
        <w:ind w:left="7146" w:hanging="180"/>
      </w:pPr>
    </w:lvl>
  </w:abstractNum>
  <w:abstractNum w:abstractNumId="3">
    <w:nsid w:val="19FE5F38"/>
    <w:multiLevelType w:val="multilevel"/>
    <w:tmpl w:val="19FE5F38"/>
    <w:lvl w:ilvl="0" w:tentative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96E285F"/>
    <w:multiLevelType w:val="multilevel"/>
    <w:tmpl w:val="296E285F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C4932"/>
    <w:multiLevelType w:val="multilevel"/>
    <w:tmpl w:val="503C4932"/>
    <w:lvl w:ilvl="0" w:tentative="0">
      <w:start w:val="1"/>
      <w:numFmt w:val="decimal"/>
      <w:pStyle w:val="2"/>
      <w:lvlText w:val="%1"/>
      <w:lvlJc w:val="left"/>
      <w:pPr>
        <w:tabs>
          <w:tab w:val="left" w:pos="357"/>
        </w:tabs>
        <w:ind w:left="357" w:hanging="357"/>
      </w:pPr>
      <w:rPr>
        <w:rFonts w:hint="default" w:ascii="Spranq eco sans" w:hAnsi="Spranq eco sans" w:cs="Times New Roman"/>
        <w:b/>
        <w:i w:val="0"/>
        <w:sz w:val="20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2382"/>
        </w:tabs>
        <w:ind w:left="2326" w:hanging="624"/>
      </w:pPr>
      <w:rPr>
        <w:rFonts w:hint="default" w:ascii="Spranq eco sans" w:hAnsi="Spranq eco sans" w:cs="Times New Roman"/>
        <w:b/>
        <w:i w:val="0"/>
        <w:color w:val="auto"/>
        <w:sz w:val="18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  <w:rPr>
        <w:rFonts w:hint="default" w:cs="Times New Roman"/>
        <w:sz w:val="18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default" w:cs="Times New Roman"/>
      </w:rPr>
    </w:lvl>
    <w:lvl w:ilvl="5" w:tentative="0">
      <w:start w:val="1"/>
      <w:numFmt w:val="decimal"/>
      <w:pStyle w:val="5"/>
      <w:lvlText w:val="%1.%2.%3.%4.%5.%6"/>
      <w:lvlJc w:val="left"/>
      <w:pPr>
        <w:ind w:left="1152" w:hanging="1152"/>
      </w:pPr>
      <w:rPr>
        <w:rFonts w:hint="default" w:cs="Times New Roman"/>
      </w:rPr>
    </w:lvl>
    <w:lvl w:ilvl="6" w:tentative="0">
      <w:start w:val="1"/>
      <w:numFmt w:val="decimal"/>
      <w:pStyle w:val="6"/>
      <w:lvlText w:val="%1.%2.%3.%4.%5.%6.%7"/>
      <w:lvlJc w:val="left"/>
      <w:pPr>
        <w:ind w:left="1296" w:hanging="1296"/>
      </w:pPr>
      <w:rPr>
        <w:rFonts w:hint="default" w:cs="Times New Roman"/>
      </w:rPr>
    </w:lvl>
    <w:lvl w:ilvl="7" w:tentative="0">
      <w:start w:val="1"/>
      <w:numFmt w:val="decimal"/>
      <w:pStyle w:val="7"/>
      <w:lvlText w:val="%1.%2.%3.%4.%5.%6.%7.%8"/>
      <w:lvlJc w:val="left"/>
      <w:pPr>
        <w:ind w:left="1440" w:hanging="1440"/>
      </w:pPr>
      <w:rPr>
        <w:rFonts w:hint="default" w:cs="Times New Roman"/>
      </w:rPr>
    </w:lvl>
    <w:lvl w:ilvl="8" w:tentative="0">
      <w:start w:val="1"/>
      <w:numFmt w:val="decimal"/>
      <w:pStyle w:val="8"/>
      <w:lvlText w:val="%1.%2.%3.%4.%5.%6.%7.%8.%9"/>
      <w:lvlJc w:val="left"/>
      <w:pPr>
        <w:ind w:left="1584" w:hanging="1584"/>
      </w:pPr>
      <w:rPr>
        <w:rFonts w:hint="default" w:cs="Times New Roman"/>
      </w:rPr>
    </w:lvl>
  </w:abstractNum>
  <w:abstractNum w:abstractNumId="6">
    <w:nsid w:val="54934400"/>
    <w:multiLevelType w:val="multilevel"/>
    <w:tmpl w:val="54934400"/>
    <w:lvl w:ilvl="0" w:tentative="0">
      <w:start w:val="1"/>
      <w:numFmt w:val="lowerLetter"/>
      <w:lvlText w:val="%1)"/>
      <w:lvlJc w:val="left"/>
      <w:pPr>
        <w:ind w:left="788" w:hanging="48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88" w:hanging="360"/>
      </w:pPr>
    </w:lvl>
    <w:lvl w:ilvl="2" w:tentative="0">
      <w:start w:val="1"/>
      <w:numFmt w:val="lowerRoman"/>
      <w:lvlText w:val="%3."/>
      <w:lvlJc w:val="right"/>
      <w:pPr>
        <w:ind w:left="2108" w:hanging="180"/>
      </w:pPr>
    </w:lvl>
    <w:lvl w:ilvl="3" w:tentative="0">
      <w:start w:val="1"/>
      <w:numFmt w:val="decimal"/>
      <w:lvlText w:val="%4."/>
      <w:lvlJc w:val="left"/>
      <w:pPr>
        <w:ind w:left="2828" w:hanging="360"/>
      </w:pPr>
    </w:lvl>
    <w:lvl w:ilvl="4" w:tentative="0">
      <w:start w:val="1"/>
      <w:numFmt w:val="lowerLetter"/>
      <w:lvlText w:val="%5."/>
      <w:lvlJc w:val="left"/>
      <w:pPr>
        <w:ind w:left="3548" w:hanging="360"/>
      </w:pPr>
    </w:lvl>
    <w:lvl w:ilvl="5" w:tentative="0">
      <w:start w:val="1"/>
      <w:numFmt w:val="lowerRoman"/>
      <w:lvlText w:val="%6."/>
      <w:lvlJc w:val="right"/>
      <w:pPr>
        <w:ind w:left="4268" w:hanging="180"/>
      </w:pPr>
    </w:lvl>
    <w:lvl w:ilvl="6" w:tentative="0">
      <w:start w:val="1"/>
      <w:numFmt w:val="decimal"/>
      <w:lvlText w:val="%7."/>
      <w:lvlJc w:val="left"/>
      <w:pPr>
        <w:ind w:left="4988" w:hanging="360"/>
      </w:pPr>
    </w:lvl>
    <w:lvl w:ilvl="7" w:tentative="0">
      <w:start w:val="1"/>
      <w:numFmt w:val="lowerLetter"/>
      <w:lvlText w:val="%8."/>
      <w:lvlJc w:val="left"/>
      <w:pPr>
        <w:ind w:left="5708" w:hanging="360"/>
      </w:pPr>
    </w:lvl>
    <w:lvl w:ilvl="8" w:tentative="0">
      <w:start w:val="1"/>
      <w:numFmt w:val="lowerRoman"/>
      <w:lvlText w:val="%9."/>
      <w:lvlJc w:val="right"/>
      <w:pPr>
        <w:ind w:left="6428" w:hanging="180"/>
      </w:pPr>
    </w:lvl>
  </w:abstractNum>
  <w:abstractNum w:abstractNumId="7">
    <w:nsid w:val="5BC96B56"/>
    <w:multiLevelType w:val="multilevel"/>
    <w:tmpl w:val="5BC96B56"/>
    <w:lvl w:ilvl="0" w:tentative="0">
      <w:start w:val="1"/>
      <w:numFmt w:val="lowerLetter"/>
      <w:lvlText w:val="%1)"/>
      <w:lvlJc w:val="left"/>
      <w:pPr>
        <w:ind w:left="6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88" w:hanging="360"/>
      </w:pPr>
    </w:lvl>
    <w:lvl w:ilvl="2" w:tentative="0">
      <w:start w:val="1"/>
      <w:numFmt w:val="lowerRoman"/>
      <w:lvlText w:val="%3."/>
      <w:lvlJc w:val="right"/>
      <w:pPr>
        <w:ind w:left="2108" w:hanging="180"/>
      </w:pPr>
    </w:lvl>
    <w:lvl w:ilvl="3" w:tentative="0">
      <w:start w:val="1"/>
      <w:numFmt w:val="decimal"/>
      <w:lvlText w:val="%4."/>
      <w:lvlJc w:val="left"/>
      <w:pPr>
        <w:ind w:left="2828" w:hanging="360"/>
      </w:pPr>
    </w:lvl>
    <w:lvl w:ilvl="4" w:tentative="0">
      <w:start w:val="1"/>
      <w:numFmt w:val="lowerLetter"/>
      <w:lvlText w:val="%5."/>
      <w:lvlJc w:val="left"/>
      <w:pPr>
        <w:ind w:left="3548" w:hanging="360"/>
      </w:pPr>
    </w:lvl>
    <w:lvl w:ilvl="5" w:tentative="0">
      <w:start w:val="1"/>
      <w:numFmt w:val="lowerRoman"/>
      <w:lvlText w:val="%6."/>
      <w:lvlJc w:val="right"/>
      <w:pPr>
        <w:ind w:left="4268" w:hanging="180"/>
      </w:pPr>
    </w:lvl>
    <w:lvl w:ilvl="6" w:tentative="0">
      <w:start w:val="1"/>
      <w:numFmt w:val="decimal"/>
      <w:lvlText w:val="%7."/>
      <w:lvlJc w:val="left"/>
      <w:pPr>
        <w:ind w:left="4988" w:hanging="360"/>
      </w:pPr>
    </w:lvl>
    <w:lvl w:ilvl="7" w:tentative="0">
      <w:start w:val="1"/>
      <w:numFmt w:val="lowerLetter"/>
      <w:lvlText w:val="%8."/>
      <w:lvlJc w:val="left"/>
      <w:pPr>
        <w:ind w:left="5708" w:hanging="360"/>
      </w:pPr>
    </w:lvl>
    <w:lvl w:ilvl="8" w:tentative="0">
      <w:start w:val="1"/>
      <w:numFmt w:val="lowerRoman"/>
      <w:lvlText w:val="%9."/>
      <w:lvlJc w:val="right"/>
      <w:pPr>
        <w:ind w:left="6428" w:hanging="180"/>
      </w:pPr>
    </w:lvl>
  </w:abstractNum>
  <w:abstractNum w:abstractNumId="8">
    <w:nsid w:val="5C447205"/>
    <w:multiLevelType w:val="multilevel"/>
    <w:tmpl w:val="5C447205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E40CEF"/>
    <w:multiLevelType w:val="multilevel"/>
    <w:tmpl w:val="78E40CEF"/>
    <w:lvl w:ilvl="0" w:tentative="0">
      <w:start w:val="7"/>
      <w:numFmt w:val="decimal"/>
      <w:lvlText w:val="%1)"/>
      <w:lvlJc w:val="left"/>
      <w:pPr>
        <w:ind w:left="13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106" w:hanging="360"/>
      </w:pPr>
    </w:lvl>
    <w:lvl w:ilvl="2" w:tentative="0">
      <w:start w:val="1"/>
      <w:numFmt w:val="lowerRoman"/>
      <w:lvlText w:val="%3."/>
      <w:lvlJc w:val="right"/>
      <w:pPr>
        <w:ind w:left="2826" w:hanging="180"/>
      </w:pPr>
    </w:lvl>
    <w:lvl w:ilvl="3" w:tentative="0">
      <w:start w:val="1"/>
      <w:numFmt w:val="decimal"/>
      <w:lvlText w:val="%4."/>
      <w:lvlJc w:val="left"/>
      <w:pPr>
        <w:ind w:left="3546" w:hanging="360"/>
      </w:pPr>
    </w:lvl>
    <w:lvl w:ilvl="4" w:tentative="0">
      <w:start w:val="1"/>
      <w:numFmt w:val="lowerLetter"/>
      <w:lvlText w:val="%5."/>
      <w:lvlJc w:val="left"/>
      <w:pPr>
        <w:ind w:left="4266" w:hanging="360"/>
      </w:pPr>
    </w:lvl>
    <w:lvl w:ilvl="5" w:tentative="0">
      <w:start w:val="1"/>
      <w:numFmt w:val="lowerRoman"/>
      <w:lvlText w:val="%6."/>
      <w:lvlJc w:val="right"/>
      <w:pPr>
        <w:ind w:left="4986" w:hanging="180"/>
      </w:pPr>
    </w:lvl>
    <w:lvl w:ilvl="6" w:tentative="0">
      <w:start w:val="1"/>
      <w:numFmt w:val="decimal"/>
      <w:lvlText w:val="%7."/>
      <w:lvlJc w:val="left"/>
      <w:pPr>
        <w:ind w:left="5706" w:hanging="360"/>
      </w:pPr>
    </w:lvl>
    <w:lvl w:ilvl="7" w:tentative="0">
      <w:start w:val="1"/>
      <w:numFmt w:val="lowerLetter"/>
      <w:lvlText w:val="%8."/>
      <w:lvlJc w:val="left"/>
      <w:pPr>
        <w:ind w:left="6426" w:hanging="360"/>
      </w:pPr>
    </w:lvl>
    <w:lvl w:ilvl="8" w:tentative="0">
      <w:start w:val="1"/>
      <w:numFmt w:val="lowerRoman"/>
      <w:lvlText w:val="%9."/>
      <w:lvlJc w:val="right"/>
      <w:pPr>
        <w:ind w:left="7146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B"/>
    <w:rsid w:val="00020228"/>
    <w:rsid w:val="00031F5B"/>
    <w:rsid w:val="0003376E"/>
    <w:rsid w:val="000423FF"/>
    <w:rsid w:val="00063458"/>
    <w:rsid w:val="00074D90"/>
    <w:rsid w:val="0007761D"/>
    <w:rsid w:val="000861D3"/>
    <w:rsid w:val="000C6880"/>
    <w:rsid w:val="000E5E9D"/>
    <w:rsid w:val="000F1BB9"/>
    <w:rsid w:val="000F6096"/>
    <w:rsid w:val="0010488B"/>
    <w:rsid w:val="0012189D"/>
    <w:rsid w:val="00142DB6"/>
    <w:rsid w:val="00152F99"/>
    <w:rsid w:val="00156232"/>
    <w:rsid w:val="001B327E"/>
    <w:rsid w:val="001D05DC"/>
    <w:rsid w:val="001D6C98"/>
    <w:rsid w:val="00204BD9"/>
    <w:rsid w:val="002207C7"/>
    <w:rsid w:val="00220FD4"/>
    <w:rsid w:val="00245180"/>
    <w:rsid w:val="00246965"/>
    <w:rsid w:val="00250391"/>
    <w:rsid w:val="0025137F"/>
    <w:rsid w:val="00263A66"/>
    <w:rsid w:val="00277021"/>
    <w:rsid w:val="002773FF"/>
    <w:rsid w:val="00281BD6"/>
    <w:rsid w:val="0028618E"/>
    <w:rsid w:val="002865D4"/>
    <w:rsid w:val="002879E4"/>
    <w:rsid w:val="0029641E"/>
    <w:rsid w:val="002A0680"/>
    <w:rsid w:val="002F47DE"/>
    <w:rsid w:val="00302B54"/>
    <w:rsid w:val="00311E68"/>
    <w:rsid w:val="003365E7"/>
    <w:rsid w:val="00336B56"/>
    <w:rsid w:val="00360662"/>
    <w:rsid w:val="0038730E"/>
    <w:rsid w:val="003876F9"/>
    <w:rsid w:val="00391494"/>
    <w:rsid w:val="003B3FDD"/>
    <w:rsid w:val="003C7A68"/>
    <w:rsid w:val="003D61C5"/>
    <w:rsid w:val="004309AE"/>
    <w:rsid w:val="00473710"/>
    <w:rsid w:val="004A1732"/>
    <w:rsid w:val="004A56EE"/>
    <w:rsid w:val="004B3F45"/>
    <w:rsid w:val="004E4682"/>
    <w:rsid w:val="004F07D4"/>
    <w:rsid w:val="004F2B8B"/>
    <w:rsid w:val="0051445B"/>
    <w:rsid w:val="00520F61"/>
    <w:rsid w:val="005410A0"/>
    <w:rsid w:val="00542BE8"/>
    <w:rsid w:val="00546FBB"/>
    <w:rsid w:val="005501ED"/>
    <w:rsid w:val="00551ACC"/>
    <w:rsid w:val="005828E0"/>
    <w:rsid w:val="00582BF9"/>
    <w:rsid w:val="00586669"/>
    <w:rsid w:val="005A40F3"/>
    <w:rsid w:val="005B3748"/>
    <w:rsid w:val="005B77E7"/>
    <w:rsid w:val="005C0643"/>
    <w:rsid w:val="005C1B7E"/>
    <w:rsid w:val="005D2373"/>
    <w:rsid w:val="005D3290"/>
    <w:rsid w:val="005D5C14"/>
    <w:rsid w:val="00615681"/>
    <w:rsid w:val="00624A47"/>
    <w:rsid w:val="0062637A"/>
    <w:rsid w:val="00627154"/>
    <w:rsid w:val="0064602A"/>
    <w:rsid w:val="00653F8F"/>
    <w:rsid w:val="00664472"/>
    <w:rsid w:val="006725EE"/>
    <w:rsid w:val="00672788"/>
    <w:rsid w:val="0068159E"/>
    <w:rsid w:val="0069467E"/>
    <w:rsid w:val="006A0D7B"/>
    <w:rsid w:val="0071222B"/>
    <w:rsid w:val="00713BD2"/>
    <w:rsid w:val="007250A8"/>
    <w:rsid w:val="007559C8"/>
    <w:rsid w:val="00773A12"/>
    <w:rsid w:val="007812A5"/>
    <w:rsid w:val="007D45B0"/>
    <w:rsid w:val="007E6B64"/>
    <w:rsid w:val="00824515"/>
    <w:rsid w:val="00842722"/>
    <w:rsid w:val="00845374"/>
    <w:rsid w:val="00847D48"/>
    <w:rsid w:val="00855669"/>
    <w:rsid w:val="00870BCB"/>
    <w:rsid w:val="00885602"/>
    <w:rsid w:val="0089079E"/>
    <w:rsid w:val="008A53CF"/>
    <w:rsid w:val="008B5CEB"/>
    <w:rsid w:val="008C3ABA"/>
    <w:rsid w:val="008C5E94"/>
    <w:rsid w:val="008D0BC3"/>
    <w:rsid w:val="008D5ED4"/>
    <w:rsid w:val="008E3071"/>
    <w:rsid w:val="008E433E"/>
    <w:rsid w:val="00906CB1"/>
    <w:rsid w:val="00915068"/>
    <w:rsid w:val="00920760"/>
    <w:rsid w:val="0093180C"/>
    <w:rsid w:val="00934DFA"/>
    <w:rsid w:val="0095359F"/>
    <w:rsid w:val="00970389"/>
    <w:rsid w:val="00991B27"/>
    <w:rsid w:val="0099430D"/>
    <w:rsid w:val="009C5A3D"/>
    <w:rsid w:val="009F79A5"/>
    <w:rsid w:val="00A020AC"/>
    <w:rsid w:val="00A1300D"/>
    <w:rsid w:val="00A14C65"/>
    <w:rsid w:val="00A309ED"/>
    <w:rsid w:val="00A64FE7"/>
    <w:rsid w:val="00A657E1"/>
    <w:rsid w:val="00A86CA0"/>
    <w:rsid w:val="00A97123"/>
    <w:rsid w:val="00AA5A5C"/>
    <w:rsid w:val="00AB571F"/>
    <w:rsid w:val="00AD7CEC"/>
    <w:rsid w:val="00AE4316"/>
    <w:rsid w:val="00AE496E"/>
    <w:rsid w:val="00AE536C"/>
    <w:rsid w:val="00B1027F"/>
    <w:rsid w:val="00B5345F"/>
    <w:rsid w:val="00B57A6C"/>
    <w:rsid w:val="00B70639"/>
    <w:rsid w:val="00B90F17"/>
    <w:rsid w:val="00BA7A66"/>
    <w:rsid w:val="00BB1A80"/>
    <w:rsid w:val="00BC56C4"/>
    <w:rsid w:val="00BF44B4"/>
    <w:rsid w:val="00C52C90"/>
    <w:rsid w:val="00C550EE"/>
    <w:rsid w:val="00C570F4"/>
    <w:rsid w:val="00C72301"/>
    <w:rsid w:val="00CB3B4A"/>
    <w:rsid w:val="00CC00B2"/>
    <w:rsid w:val="00CE7532"/>
    <w:rsid w:val="00CF364F"/>
    <w:rsid w:val="00D04DB9"/>
    <w:rsid w:val="00D16DDE"/>
    <w:rsid w:val="00D55CAA"/>
    <w:rsid w:val="00D73874"/>
    <w:rsid w:val="00DA346B"/>
    <w:rsid w:val="00DB0126"/>
    <w:rsid w:val="00DD07E0"/>
    <w:rsid w:val="00DF7ABC"/>
    <w:rsid w:val="00E20A8E"/>
    <w:rsid w:val="00E54B60"/>
    <w:rsid w:val="00E54F11"/>
    <w:rsid w:val="00E9040D"/>
    <w:rsid w:val="00EB35B6"/>
    <w:rsid w:val="00EE073B"/>
    <w:rsid w:val="00F2345B"/>
    <w:rsid w:val="00F310A5"/>
    <w:rsid w:val="00F3287D"/>
    <w:rsid w:val="00F34004"/>
    <w:rsid w:val="00F4182B"/>
    <w:rsid w:val="00F505F3"/>
    <w:rsid w:val="00F60B06"/>
    <w:rsid w:val="00F7786F"/>
    <w:rsid w:val="00FB7054"/>
    <w:rsid w:val="00FC08C3"/>
    <w:rsid w:val="00FC1502"/>
    <w:rsid w:val="00FE5BA7"/>
    <w:rsid w:val="00FF01BC"/>
    <w:rsid w:val="00FF3710"/>
    <w:rsid w:val="00FF7098"/>
    <w:rsid w:val="03B27279"/>
    <w:rsid w:val="09500754"/>
    <w:rsid w:val="09624B8B"/>
    <w:rsid w:val="0CDD41A8"/>
    <w:rsid w:val="102318EE"/>
    <w:rsid w:val="128A68BE"/>
    <w:rsid w:val="130059ED"/>
    <w:rsid w:val="1A2152CC"/>
    <w:rsid w:val="1AA44A44"/>
    <w:rsid w:val="1CA218C3"/>
    <w:rsid w:val="20521302"/>
    <w:rsid w:val="23D71DF9"/>
    <w:rsid w:val="28F57442"/>
    <w:rsid w:val="2AC5334C"/>
    <w:rsid w:val="2B14398C"/>
    <w:rsid w:val="2B926BAB"/>
    <w:rsid w:val="33483B2E"/>
    <w:rsid w:val="34332B30"/>
    <w:rsid w:val="34C30524"/>
    <w:rsid w:val="35083B0F"/>
    <w:rsid w:val="355C5798"/>
    <w:rsid w:val="367130E2"/>
    <w:rsid w:val="385641FC"/>
    <w:rsid w:val="3C880E9F"/>
    <w:rsid w:val="41BC2D26"/>
    <w:rsid w:val="42F44822"/>
    <w:rsid w:val="44221DED"/>
    <w:rsid w:val="459B57C3"/>
    <w:rsid w:val="52976CF4"/>
    <w:rsid w:val="529E1798"/>
    <w:rsid w:val="53083527"/>
    <w:rsid w:val="553304D8"/>
    <w:rsid w:val="56E80E23"/>
    <w:rsid w:val="5B6D7AC9"/>
    <w:rsid w:val="5ED629C4"/>
    <w:rsid w:val="63FA5093"/>
    <w:rsid w:val="650F508E"/>
    <w:rsid w:val="6C182CE8"/>
    <w:rsid w:val="7155116B"/>
    <w:rsid w:val="73174199"/>
    <w:rsid w:val="749D7361"/>
    <w:rsid w:val="752D6039"/>
    <w:rsid w:val="767C665B"/>
    <w:rsid w:val="78AC52D6"/>
    <w:rsid w:val="7A096686"/>
    <w:rsid w:val="7B162C1C"/>
    <w:rsid w:val="7B89373C"/>
    <w:rsid w:val="7BCE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3"/>
    <w:link w:val="18"/>
    <w:qFormat/>
    <w:uiPriority w:val="9"/>
    <w:pPr>
      <w:keepNext/>
      <w:numPr>
        <w:ilvl w:val="0"/>
        <w:numId w:val="1"/>
      </w:numPr>
      <w:shd w:val="clear" w:color="auto" w:fill="BEBEBE" w:themeFill="background1" w:themeFillShade="BF"/>
      <w:spacing w:before="180" w:after="60" w:line="240" w:lineRule="auto"/>
      <w:jc w:val="both"/>
      <w:outlineLvl w:val="0"/>
    </w:pPr>
    <w:rPr>
      <w:rFonts w:ascii="Spranq eco sans" w:hAnsi="Spranq eco sans" w:eastAsia="Times New Roman" w:cs="Times New Roman"/>
      <w:b/>
      <w:kern w:val="28"/>
      <w:sz w:val="20"/>
      <w:szCs w:val="20"/>
      <w:lang w:eastAsia="pt-BR"/>
      <w14:ligatures w14:val="none"/>
    </w:rPr>
  </w:style>
  <w:style w:type="paragraph" w:styleId="3">
    <w:name w:val="heading 2"/>
    <w:basedOn w:val="2"/>
    <w:next w:val="4"/>
    <w:link w:val="19"/>
    <w:qFormat/>
    <w:uiPriority w:val="9"/>
    <w:pPr>
      <w:keepNext w:val="0"/>
      <w:numPr>
        <w:ilvl w:val="1"/>
      </w:numPr>
      <w:shd w:val="clear" w:color="auto" w:fill="auto"/>
      <w:tabs>
        <w:tab w:val="left" w:pos="567"/>
      </w:tabs>
      <w:spacing w:before="80" w:after="0"/>
      <w:ind w:left="0" w:firstLine="0"/>
      <w:outlineLvl w:val="1"/>
    </w:pPr>
    <w:rPr>
      <w:b w:val="0"/>
      <w:color w:val="000000"/>
    </w:rPr>
  </w:style>
  <w:style w:type="paragraph" w:styleId="4">
    <w:name w:val="heading 3"/>
    <w:basedOn w:val="3"/>
    <w:next w:val="1"/>
    <w:link w:val="20"/>
    <w:qFormat/>
    <w:uiPriority w:val="9"/>
    <w:pPr>
      <w:numPr>
        <w:ilvl w:val="2"/>
      </w:numPr>
      <w:spacing w:after="40"/>
      <w:ind w:left="1080" w:hanging="360"/>
      <w:outlineLvl w:val="2"/>
    </w:pPr>
    <w:rPr>
      <w:rFonts w:cs="Calibri"/>
    </w:rPr>
  </w:style>
  <w:style w:type="paragraph" w:styleId="5">
    <w:name w:val="heading 6"/>
    <w:basedOn w:val="1"/>
    <w:next w:val="1"/>
    <w:link w:val="21"/>
    <w:qFormat/>
    <w:uiPriority w:val="9"/>
    <w:pPr>
      <w:keepNext/>
      <w:numPr>
        <w:ilvl w:val="5"/>
        <w:numId w:val="1"/>
      </w:numPr>
      <w:tabs>
        <w:tab w:val="left" w:pos="567"/>
      </w:tabs>
      <w:spacing w:after="0" w:line="240" w:lineRule="auto"/>
      <w:jc w:val="both"/>
      <w:outlineLvl w:val="5"/>
    </w:pPr>
    <w:rPr>
      <w:rFonts w:eastAsia="Times New Roman" w:cs="Times New Roman"/>
      <w:kern w:val="0"/>
      <w:sz w:val="24"/>
      <w:szCs w:val="20"/>
      <w:lang w:eastAsia="pt-BR"/>
      <w14:ligatures w14:val="none"/>
    </w:rPr>
  </w:style>
  <w:style w:type="paragraph" w:styleId="6">
    <w:name w:val="heading 7"/>
    <w:basedOn w:val="1"/>
    <w:next w:val="1"/>
    <w:link w:val="22"/>
    <w:qFormat/>
    <w:uiPriority w:val="9"/>
    <w:pPr>
      <w:keepNext/>
      <w:numPr>
        <w:ilvl w:val="6"/>
        <w:numId w:val="1"/>
      </w:numPr>
      <w:tabs>
        <w:tab w:val="left" w:pos="567"/>
      </w:tabs>
      <w:spacing w:after="0" w:line="240" w:lineRule="auto"/>
      <w:jc w:val="both"/>
      <w:outlineLvl w:val="6"/>
    </w:pPr>
    <w:rPr>
      <w:rFonts w:eastAsia="Times New Roman" w:cs="Times New Roman"/>
      <w:b/>
      <w:color w:val="FF0000"/>
      <w:kern w:val="0"/>
      <w:sz w:val="24"/>
      <w:szCs w:val="20"/>
      <w:lang w:eastAsia="pt-BR"/>
      <w14:ligatures w14:val="none"/>
    </w:rPr>
  </w:style>
  <w:style w:type="paragraph" w:styleId="7">
    <w:name w:val="heading 8"/>
    <w:basedOn w:val="1"/>
    <w:next w:val="1"/>
    <w:link w:val="23"/>
    <w:qFormat/>
    <w:uiPriority w:val="9"/>
    <w:pPr>
      <w:keepNext/>
      <w:numPr>
        <w:ilvl w:val="7"/>
        <w:numId w:val="1"/>
      </w:numPr>
      <w:tabs>
        <w:tab w:val="left" w:pos="567"/>
      </w:tabs>
      <w:spacing w:after="0" w:line="240" w:lineRule="auto"/>
      <w:outlineLvl w:val="7"/>
    </w:pPr>
    <w:rPr>
      <w:rFonts w:eastAsia="Times New Roman" w:cs="Times New Roman"/>
      <w:b/>
      <w:kern w:val="0"/>
      <w:sz w:val="24"/>
      <w:szCs w:val="20"/>
      <w:lang w:eastAsia="pt-BR"/>
      <w14:ligatures w14:val="none"/>
    </w:rPr>
  </w:style>
  <w:style w:type="paragraph" w:styleId="8">
    <w:name w:val="heading 9"/>
    <w:basedOn w:val="1"/>
    <w:next w:val="1"/>
    <w:link w:val="24"/>
    <w:qFormat/>
    <w:uiPriority w:val="9"/>
    <w:pPr>
      <w:keepNext/>
      <w:numPr>
        <w:ilvl w:val="8"/>
        <w:numId w:val="1"/>
      </w:numPr>
      <w:tabs>
        <w:tab w:val="left" w:pos="567"/>
        <w:tab w:val="left" w:pos="1701"/>
      </w:tabs>
      <w:spacing w:after="120" w:line="340" w:lineRule="exact"/>
      <w:outlineLvl w:val="8"/>
    </w:pPr>
    <w:rPr>
      <w:rFonts w:eastAsia="Times New Roman" w:cs="Times New Roman"/>
      <w:kern w:val="0"/>
      <w:sz w:val="24"/>
      <w:szCs w:val="20"/>
      <w:lang w:eastAsia="pt-BR"/>
      <w14:ligatures w14:val="none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basedOn w:val="9"/>
    <w:qFormat/>
    <w:uiPriority w:val="99"/>
    <w:rPr>
      <w:color w:val="0000FF"/>
      <w:u w:val="single"/>
    </w:rPr>
  </w:style>
  <w:style w:type="paragraph" w:styleId="13">
    <w:name w:val="Body Text"/>
    <w:basedOn w:val="1"/>
    <w:link w:val="29"/>
    <w:qFormat/>
    <w:uiPriority w:val="1"/>
    <w:pPr>
      <w:widowControl w:val="0"/>
      <w:autoSpaceDE w:val="0"/>
      <w:autoSpaceDN w:val="0"/>
      <w:spacing w:after="0" w:line="240" w:lineRule="auto"/>
      <w:ind w:left="425"/>
      <w:jc w:val="both"/>
    </w:pPr>
    <w:rPr>
      <w:rFonts w:ascii="Arial" w:hAnsi="Arial" w:eastAsia="Arial" w:cs="Arial"/>
      <w:kern w:val="0"/>
      <w:lang w:val="pt-PT"/>
      <w14:ligatures w14:val="none"/>
    </w:r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15">
    <w:name w:val="Balloon Text"/>
    <w:basedOn w:val="1"/>
    <w:link w:val="2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16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7">
    <w:name w:val="List Paragraph"/>
    <w:basedOn w:val="1"/>
    <w:qFormat/>
    <w:uiPriority w:val="34"/>
    <w:pPr>
      <w:ind w:left="720"/>
      <w:contextualSpacing/>
    </w:pPr>
  </w:style>
  <w:style w:type="character" w:customStyle="1" w:styleId="18">
    <w:name w:val="Título 1 Char"/>
    <w:basedOn w:val="9"/>
    <w:link w:val="2"/>
    <w:qFormat/>
    <w:uiPriority w:val="9"/>
    <w:rPr>
      <w:rFonts w:ascii="Spranq eco sans" w:hAnsi="Spranq eco sans" w:eastAsia="Times New Roman" w:cs="Times New Roman"/>
      <w:b/>
      <w:kern w:val="28"/>
      <w:sz w:val="20"/>
      <w:szCs w:val="20"/>
      <w:shd w:val="clear" w:color="auto" w:fill="BEBEBE" w:themeFill="background1" w:themeFillShade="BF"/>
      <w:lang w:eastAsia="pt-BR"/>
      <w14:ligatures w14:val="none"/>
    </w:rPr>
  </w:style>
  <w:style w:type="character" w:customStyle="1" w:styleId="19">
    <w:name w:val="Título 2 Char"/>
    <w:basedOn w:val="9"/>
    <w:link w:val="3"/>
    <w:qFormat/>
    <w:uiPriority w:val="9"/>
    <w:rPr>
      <w:rFonts w:ascii="Spranq eco sans" w:hAnsi="Spranq eco sans" w:eastAsia="Times New Roman" w:cs="Times New Roman"/>
      <w:color w:val="000000"/>
      <w:kern w:val="28"/>
      <w:sz w:val="20"/>
      <w:szCs w:val="20"/>
      <w:lang w:eastAsia="pt-BR"/>
      <w14:ligatures w14:val="none"/>
    </w:rPr>
  </w:style>
  <w:style w:type="character" w:customStyle="1" w:styleId="20">
    <w:name w:val="Título 3 Char"/>
    <w:basedOn w:val="9"/>
    <w:link w:val="4"/>
    <w:qFormat/>
    <w:uiPriority w:val="9"/>
    <w:rPr>
      <w:rFonts w:ascii="Spranq eco sans" w:hAnsi="Spranq eco sans" w:eastAsia="Times New Roman" w:cs="Calibri"/>
      <w:color w:val="000000"/>
      <w:kern w:val="28"/>
      <w:sz w:val="20"/>
      <w:szCs w:val="20"/>
      <w:lang w:eastAsia="pt-BR"/>
      <w14:ligatures w14:val="none"/>
    </w:rPr>
  </w:style>
  <w:style w:type="character" w:customStyle="1" w:styleId="21">
    <w:name w:val="Título 6 Char"/>
    <w:basedOn w:val="9"/>
    <w:link w:val="5"/>
    <w:qFormat/>
    <w:uiPriority w:val="9"/>
    <w:rPr>
      <w:rFonts w:eastAsia="Times New Roman" w:cs="Times New Roman"/>
      <w:kern w:val="0"/>
      <w:sz w:val="24"/>
      <w:szCs w:val="20"/>
      <w:lang w:eastAsia="pt-BR"/>
      <w14:ligatures w14:val="none"/>
    </w:rPr>
  </w:style>
  <w:style w:type="character" w:customStyle="1" w:styleId="22">
    <w:name w:val="Título 7 Char"/>
    <w:basedOn w:val="9"/>
    <w:link w:val="6"/>
    <w:qFormat/>
    <w:uiPriority w:val="9"/>
    <w:rPr>
      <w:rFonts w:eastAsia="Times New Roman" w:cs="Times New Roman"/>
      <w:b/>
      <w:color w:val="FF0000"/>
      <w:kern w:val="0"/>
      <w:sz w:val="24"/>
      <w:szCs w:val="20"/>
      <w:lang w:eastAsia="pt-BR"/>
      <w14:ligatures w14:val="none"/>
    </w:rPr>
  </w:style>
  <w:style w:type="character" w:customStyle="1" w:styleId="23">
    <w:name w:val="Título 8 Char"/>
    <w:basedOn w:val="9"/>
    <w:link w:val="7"/>
    <w:qFormat/>
    <w:uiPriority w:val="9"/>
    <w:rPr>
      <w:rFonts w:eastAsia="Times New Roman" w:cs="Times New Roman"/>
      <w:b/>
      <w:kern w:val="0"/>
      <w:sz w:val="24"/>
      <w:szCs w:val="20"/>
      <w:lang w:eastAsia="pt-BR"/>
      <w14:ligatures w14:val="none"/>
    </w:rPr>
  </w:style>
  <w:style w:type="character" w:customStyle="1" w:styleId="24">
    <w:name w:val="Título 9 Char"/>
    <w:basedOn w:val="9"/>
    <w:link w:val="8"/>
    <w:qFormat/>
    <w:uiPriority w:val="9"/>
    <w:rPr>
      <w:rFonts w:eastAsia="Times New Roman" w:cs="Times New Roman"/>
      <w:kern w:val="0"/>
      <w:sz w:val="24"/>
      <w:szCs w:val="20"/>
      <w:lang w:eastAsia="pt-BR"/>
      <w14:ligatures w14:val="none"/>
    </w:rPr>
  </w:style>
  <w:style w:type="character" w:customStyle="1" w:styleId="25">
    <w:name w:val="Texto de balão Char"/>
    <w:basedOn w:val="9"/>
    <w:link w:val="1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26">
    <w:name w:val="Fonte parág. padrão6"/>
    <w:qFormat/>
    <w:uiPriority w:val="0"/>
  </w:style>
  <w:style w:type="table" w:customStyle="1" w:styleId="27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8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07"/>
    </w:pPr>
    <w:rPr>
      <w:rFonts w:ascii="Arial" w:hAnsi="Arial" w:eastAsia="Arial" w:cs="Arial"/>
      <w:kern w:val="0"/>
      <w:lang w:val="pt-PT"/>
      <w14:ligatures w14:val="none"/>
    </w:rPr>
  </w:style>
  <w:style w:type="character" w:customStyle="1" w:styleId="29">
    <w:name w:val="Corpo de texto Char"/>
    <w:basedOn w:val="9"/>
    <w:link w:val="13"/>
    <w:qFormat/>
    <w:uiPriority w:val="1"/>
    <w:rPr>
      <w:rFonts w:ascii="Arial" w:hAnsi="Arial" w:eastAsia="Arial" w:cs="Arial"/>
      <w:sz w:val="22"/>
      <w:szCs w:val="22"/>
      <w:lang w:val="pt-PT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3FE13-9462-46F9-9CAF-9E317CC78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4396</Words>
  <Characters>24874</Characters>
  <Lines>331</Lines>
  <Paragraphs>94</Paragraphs>
  <TotalTime>163</TotalTime>
  <ScaleCrop>false</ScaleCrop>
  <LinksUpToDate>false</LinksUpToDate>
  <CharactersWithSpaces>29193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2026-03-26T13:05:00Z</dcterms:created>
  <dc:creator>usuario</dc:creator>
  <cp:lastModifiedBy>Marcello Pavan</cp:lastModifiedBy>
  <cp:lastPrinted>2026-05-06T13:25:00Z</cp:lastPrinted>
  <dcterms:modified xsi:type="dcterms:W3CDTF">2026-05-27T14:05:34Z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8786EE724861448FB9A9F76AA1838077_13</vt:lpwstr>
  </property>
  <property fmtid="{D5CDD505-2E9C-101B-9397-08002B2CF9AE}" pid="4" name="KSOTemplateDocerSaveRecord">
    <vt:lpwstr>eyJoZGlkIjoiMDg0OGNmYThlMmQzNTRjZTBmZjMyMWRkYTIzNjZmZDYiLCJ1c2VySWQiOiIxMjM2OTUxMDYzMzM3In0=</vt:lpwstr>
  </property>
</Properties>
</file>