
<file path=[Content_Types].xml><?xml version="1.0" encoding="utf-8"?>
<Types xmlns="http://schemas.openxmlformats.org/package/2006/content-types">
  <Default Extension="xml" ContentType="application/xml"/>
  <Default Extension="png" ContentType="image/png"/>
  <Default Extension="emf" ContentType="image/x-emf"/>
  <Default Extension="jpeg" ContentType="image/jpeg"/>
  <Default Extension="JPG" ContentType="image/.jp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65EF8607">
      <w:pPr>
        <w:jc w:val="center"/>
        <w:rPr>
          <w:rFonts w:ascii="Times New Roman" w:hAnsi="Times New Roman" w:eastAsia="SimSun" w:cs="Times New Roman"/>
          <w:b/>
          <w:bCs/>
          <w:color w:val="000000"/>
          <w:sz w:val="24"/>
          <w:szCs w:val="24"/>
          <w:lang w:val="pt-BR" w:bidi="ar"/>
        </w:rPr>
      </w:pPr>
      <w:r>
        <w:rPr>
          <w:rFonts w:ascii="Times New Roman" w:hAnsi="Times New Roman" w:eastAsia="SimSun" w:cs="Times New Roman"/>
          <w:b/>
          <w:bCs/>
          <w:color w:val="000000"/>
          <w:sz w:val="24"/>
          <w:szCs w:val="24"/>
          <w:lang w:val="pt-BR" w:bidi="ar"/>
        </w:rPr>
        <w:t xml:space="preserve">  </w:t>
      </w:r>
    </w:p>
    <w:p w14:paraId="30F5A8C4">
      <w:pPr>
        <w:jc w:val="center"/>
        <w:rPr>
          <w:rFonts w:hint="default" w:ascii="Times New Roman" w:hAnsi="Times New Roman" w:cs="Times New Roman"/>
          <w:sz w:val="24"/>
          <w:szCs w:val="24"/>
          <w:lang w:val="pt-BR"/>
        </w:rPr>
      </w:pPr>
      <w:r>
        <w:rPr>
          <w:rFonts w:ascii="Times New Roman" w:hAnsi="Times New Roman" w:eastAsia="SimSun" w:cs="Times New Roman"/>
          <w:b/>
          <w:bCs/>
          <w:color w:val="000000"/>
          <w:sz w:val="24"/>
          <w:szCs w:val="24"/>
          <w:lang w:val="pt-BR" w:bidi="ar"/>
        </w:rPr>
        <w:t xml:space="preserve">ANEXO </w:t>
      </w:r>
      <w:r>
        <w:rPr>
          <w:rFonts w:hint="default" w:ascii="Times New Roman" w:hAnsi="Times New Roman" w:eastAsia="SimSun" w:cs="Times New Roman"/>
          <w:b/>
          <w:bCs/>
          <w:color w:val="000000"/>
          <w:sz w:val="24"/>
          <w:szCs w:val="24"/>
          <w:lang w:val="pt-BR" w:bidi="ar"/>
        </w:rPr>
        <w:t>I</w:t>
      </w:r>
      <w:bookmarkStart w:id="1" w:name="_GoBack"/>
      <w:bookmarkEnd w:id="1"/>
    </w:p>
    <w:p w14:paraId="5B582218">
      <w:pPr>
        <w:jc w:val="center"/>
        <w:rPr>
          <w:rFonts w:ascii="Times New Roman" w:hAnsi="Times New Roman" w:eastAsia="SimSun" w:cs="Times New Roman"/>
          <w:b/>
          <w:bCs/>
          <w:color w:val="000000"/>
          <w:sz w:val="24"/>
          <w:szCs w:val="24"/>
          <w:lang w:val="pt-BR" w:bidi="ar"/>
        </w:rPr>
      </w:pPr>
      <w:r>
        <w:rPr>
          <w:rFonts w:ascii="Times New Roman" w:hAnsi="Times New Roman" w:eastAsia="SimSun" w:cs="Times New Roman"/>
          <w:b/>
          <w:bCs/>
          <w:color w:val="000000"/>
          <w:sz w:val="24"/>
          <w:szCs w:val="24"/>
          <w:lang w:val="pt-BR" w:bidi="ar"/>
        </w:rPr>
        <w:t>TERMO DE REFERÊNCIA</w:t>
      </w:r>
    </w:p>
    <w:p w14:paraId="5F20EA14">
      <w:pPr>
        <w:jc w:val="center"/>
        <w:rPr>
          <w:rFonts w:ascii="Times New Roman" w:hAnsi="Times New Roman" w:eastAsia="SimSun" w:cs="Times New Roman"/>
          <w:b/>
          <w:bCs/>
          <w:color w:val="000000"/>
          <w:sz w:val="24"/>
          <w:szCs w:val="24"/>
          <w:lang w:val="pt-BR" w:bidi="ar"/>
        </w:rPr>
      </w:pPr>
    </w:p>
    <w:p w14:paraId="0CC0E8AC">
      <w:pPr>
        <w:rPr>
          <w:rFonts w:ascii="Times New Roman" w:hAnsi="Times New Roman" w:cs="Times New Roman"/>
          <w:b/>
          <w:bCs/>
          <w:sz w:val="24"/>
          <w:szCs w:val="24"/>
          <w:lang w:val="pt-BR"/>
        </w:rPr>
      </w:pPr>
      <w:r>
        <w:rPr>
          <w:rFonts w:ascii="Times New Roman" w:hAnsi="Times New Roman" w:cs="Times New Roman"/>
          <w:b/>
          <w:bCs/>
          <w:sz w:val="24"/>
          <w:szCs w:val="24"/>
          <w:lang w:val="pt-BR"/>
        </w:rPr>
        <w:t xml:space="preserve">PROCESSO ADMINISTRATIVO: </w:t>
      </w:r>
    </w:p>
    <w:p w14:paraId="5FAAB512">
      <w:pPr>
        <w:rPr>
          <w:rFonts w:ascii="Times New Roman" w:hAnsi="Times New Roman" w:cs="Times New Roman"/>
          <w:sz w:val="24"/>
          <w:szCs w:val="24"/>
          <w:lang w:val="pt-BR"/>
        </w:rPr>
      </w:pPr>
      <w:r>
        <w:rPr>
          <w:rFonts w:ascii="Times New Roman" w:hAnsi="Times New Roman" w:eastAsia="SimSun" w:cs="Times New Roman"/>
          <w:b/>
          <w:bCs/>
          <w:color w:val="000000"/>
          <w:sz w:val="24"/>
          <w:szCs w:val="24"/>
          <w:lang w:val="pt-BR" w:bidi="ar"/>
        </w:rPr>
        <w:t xml:space="preserve">SIGILO: (  ) SIM ( X ) NÃO </w:t>
      </w:r>
    </w:p>
    <w:p w14:paraId="32F16249">
      <w:pPr>
        <w:rPr>
          <w:rFonts w:ascii="Times New Roman" w:hAnsi="Times New Roman" w:cs="Times New Roman"/>
          <w:sz w:val="24"/>
          <w:szCs w:val="24"/>
          <w:lang w:val="pt-BR"/>
        </w:rPr>
      </w:pPr>
      <w:r>
        <w:rPr>
          <w:rFonts w:ascii="Times New Roman" w:hAnsi="Times New Roman" w:eastAsia="SimSun" w:cs="Times New Roman"/>
          <w:b/>
          <w:bCs/>
          <w:color w:val="000000"/>
          <w:sz w:val="24"/>
          <w:szCs w:val="24"/>
          <w:lang w:val="pt-BR" w:bidi="ar"/>
        </w:rPr>
        <w:t>PREVISÃO NO PLANO DE CONTRATAÇÃO ANUAL: ( X ) SIM (   ) NÃO</w:t>
      </w:r>
    </w:p>
    <w:p w14:paraId="71544FD3">
      <w:pPr>
        <w:jc w:val="center"/>
        <w:rPr>
          <w:rFonts w:ascii="Times New Roman" w:hAnsi="Times New Roman" w:eastAsia="SimSun" w:cs="Times New Roman"/>
          <w:b/>
          <w:bCs/>
          <w:color w:val="000000"/>
          <w:sz w:val="24"/>
          <w:szCs w:val="24"/>
          <w:lang w:val="pt-BR" w:bidi="ar"/>
        </w:rPr>
      </w:pPr>
    </w:p>
    <w:tbl>
      <w:tblPr>
        <w:tblStyle w:val="14"/>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5490"/>
        <w:gridCol w:w="3814"/>
      </w:tblGrid>
      <w:tr w14:paraId="4475EF1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304" w:type="dxa"/>
            <w:gridSpan w:val="2"/>
            <w:shd w:val="clear" w:color="auto" w:fill="D7D7D7" w:themeFill="background1" w:themeFillShade="D8"/>
          </w:tcPr>
          <w:p w14:paraId="4A875287">
            <w:pPr>
              <w:numPr>
                <w:ilvl w:val="0"/>
                <w:numId w:val="2"/>
              </w:numPr>
              <w:rPr>
                <w:rFonts w:ascii="Times New Roman" w:hAnsi="Times New Roman" w:cs="Times New Roman"/>
                <w:sz w:val="24"/>
                <w:szCs w:val="24"/>
              </w:rPr>
            </w:pPr>
            <w:r>
              <w:rPr>
                <w:rFonts w:ascii="Times New Roman" w:hAnsi="Times New Roman" w:cs="Times New Roman"/>
                <w:b/>
                <w:bCs/>
                <w:sz w:val="24"/>
                <w:szCs w:val="24"/>
                <w:lang w:val="pt-BR"/>
              </w:rPr>
              <w:t>ÁREA DEMANDANTE</w:t>
            </w:r>
          </w:p>
        </w:tc>
      </w:tr>
      <w:tr w14:paraId="5BF4BEB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304" w:type="dxa"/>
            <w:gridSpan w:val="2"/>
          </w:tcPr>
          <w:p w14:paraId="7B6139D6">
            <w:pPr>
              <w:rPr>
                <w:rFonts w:ascii="Times New Roman" w:hAnsi="Times New Roman" w:cs="Times New Roman"/>
                <w:sz w:val="24"/>
                <w:szCs w:val="24"/>
                <w:lang w:val="pt-BR"/>
              </w:rPr>
            </w:pPr>
            <w:r>
              <w:rPr>
                <w:rFonts w:ascii="Times New Roman" w:hAnsi="Times New Roman" w:eastAsia="SimSun" w:cs="Times New Roman"/>
                <w:b/>
                <w:bCs/>
                <w:color w:val="000000"/>
                <w:sz w:val="24"/>
                <w:szCs w:val="24"/>
                <w:lang w:val="pt-BR" w:bidi="ar"/>
              </w:rPr>
              <w:t>Secretaria Demandante: Secretaria de Obras e Serviços Urbanos</w:t>
            </w:r>
          </w:p>
        </w:tc>
      </w:tr>
      <w:tr w14:paraId="0634CAC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304" w:type="dxa"/>
            <w:gridSpan w:val="2"/>
          </w:tcPr>
          <w:p w14:paraId="5744D1E3">
            <w:pPr>
              <w:rPr>
                <w:rFonts w:ascii="Times New Roman" w:hAnsi="Times New Roman" w:cs="Times New Roman"/>
                <w:sz w:val="24"/>
                <w:szCs w:val="24"/>
                <w:lang w:val="pt-BR"/>
              </w:rPr>
            </w:pPr>
            <w:r>
              <w:rPr>
                <w:rFonts w:ascii="Times New Roman" w:hAnsi="Times New Roman" w:eastAsia="SimSun" w:cs="Times New Roman"/>
                <w:b/>
                <w:bCs/>
                <w:color w:val="000000"/>
                <w:sz w:val="24"/>
                <w:szCs w:val="24"/>
                <w:lang w:bidi="ar"/>
              </w:rPr>
              <w:t>Secretário:</w:t>
            </w:r>
            <w:r>
              <w:rPr>
                <w:rFonts w:ascii="Times New Roman" w:hAnsi="Times New Roman" w:eastAsia="SimSun" w:cs="Times New Roman"/>
                <w:b/>
                <w:bCs/>
                <w:color w:val="000000"/>
                <w:sz w:val="24"/>
                <w:szCs w:val="24"/>
                <w:lang w:val="pt-BR" w:bidi="ar"/>
              </w:rPr>
              <w:t>Lindomar Ferreira Guida</w:t>
            </w:r>
          </w:p>
        </w:tc>
      </w:tr>
      <w:tr w14:paraId="563DF2B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490" w:type="dxa"/>
          </w:tcPr>
          <w:p w14:paraId="325421EA">
            <w:pPr>
              <w:rPr>
                <w:rFonts w:ascii="Times New Roman" w:hAnsi="Times New Roman" w:cs="Times New Roman"/>
                <w:sz w:val="24"/>
                <w:szCs w:val="24"/>
              </w:rPr>
            </w:pPr>
            <w:r>
              <w:rPr>
                <w:rFonts w:ascii="Times New Roman" w:hAnsi="Times New Roman" w:eastAsia="SimSun" w:cs="Times New Roman"/>
                <w:b/>
                <w:bCs/>
                <w:color w:val="000000"/>
                <w:sz w:val="24"/>
                <w:szCs w:val="24"/>
                <w:lang w:bidi="ar"/>
              </w:rPr>
              <w:t>Email: seligaobras@sinop.mt.gov.br</w:t>
            </w:r>
          </w:p>
        </w:tc>
        <w:tc>
          <w:tcPr>
            <w:tcW w:w="3814" w:type="dxa"/>
          </w:tcPr>
          <w:p w14:paraId="60A5DDE1">
            <w:pPr>
              <w:rPr>
                <w:rFonts w:ascii="Times New Roman" w:hAnsi="Times New Roman" w:cs="Times New Roman"/>
                <w:sz w:val="24"/>
                <w:szCs w:val="24"/>
                <w:lang w:val="pt-BR"/>
              </w:rPr>
            </w:pPr>
            <w:r>
              <w:rPr>
                <w:rFonts w:ascii="Times New Roman" w:hAnsi="Times New Roman" w:eastAsia="SimSun" w:cs="Times New Roman"/>
                <w:b/>
                <w:bCs/>
                <w:color w:val="000000"/>
                <w:sz w:val="24"/>
                <w:szCs w:val="24"/>
                <w:lang w:bidi="ar"/>
              </w:rPr>
              <w:t>Telefone:</w:t>
            </w:r>
            <w:r>
              <w:rPr>
                <w:rFonts w:ascii="Times New Roman" w:hAnsi="Times New Roman" w:eastAsia="SimSun" w:cs="Times New Roman"/>
                <w:b/>
                <w:bCs/>
                <w:color w:val="000000"/>
                <w:sz w:val="24"/>
                <w:szCs w:val="24"/>
                <w:lang w:val="pt-BR" w:bidi="ar"/>
              </w:rPr>
              <w:t xml:space="preserve"> 66 999985131</w:t>
            </w:r>
          </w:p>
        </w:tc>
      </w:tr>
    </w:tbl>
    <w:p w14:paraId="2194C7CC">
      <w:pPr>
        <w:rPr>
          <w:rFonts w:ascii="Times New Roman" w:hAnsi="Times New Roman" w:cs="Times New Roman"/>
          <w:b/>
          <w:bCs/>
          <w:sz w:val="24"/>
          <w:szCs w:val="24"/>
          <w:lang w:val="pt-BR"/>
        </w:rPr>
      </w:pPr>
    </w:p>
    <w:tbl>
      <w:tblPr>
        <w:tblStyle w:val="14"/>
        <w:tblW w:w="9347"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24"/>
        <w:gridCol w:w="1001"/>
        <w:gridCol w:w="3192"/>
        <w:gridCol w:w="575"/>
        <w:gridCol w:w="925"/>
        <w:gridCol w:w="1125"/>
        <w:gridCol w:w="1805"/>
      </w:tblGrid>
      <w:tr w14:paraId="161F01C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347" w:type="dxa"/>
            <w:gridSpan w:val="7"/>
            <w:shd w:val="clear" w:color="auto" w:fill="D7D7D7" w:themeFill="background1" w:themeFillShade="D8"/>
          </w:tcPr>
          <w:p w14:paraId="63C19FDE">
            <w:pPr>
              <w:numPr>
                <w:ilvl w:val="0"/>
                <w:numId w:val="3"/>
              </w:numPr>
              <w:rPr>
                <w:rFonts w:ascii="Times New Roman" w:hAnsi="Times New Roman" w:cs="Times New Roman"/>
                <w:b/>
                <w:bCs/>
                <w:sz w:val="24"/>
                <w:szCs w:val="24"/>
              </w:rPr>
            </w:pPr>
            <w:r>
              <w:rPr>
                <w:rFonts w:ascii="Times New Roman" w:hAnsi="Times New Roman" w:cs="Times New Roman"/>
                <w:b/>
                <w:bCs/>
                <w:sz w:val="24"/>
                <w:szCs w:val="24"/>
                <w:lang w:val="pt-BR"/>
              </w:rPr>
              <w:t>OBJETO</w:t>
            </w:r>
          </w:p>
        </w:tc>
      </w:tr>
      <w:tr w14:paraId="565C27E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9347" w:type="dxa"/>
            <w:gridSpan w:val="7"/>
          </w:tcPr>
          <w:p w14:paraId="3E943258">
            <w:pPr>
              <w:numPr>
                <w:ilvl w:val="0"/>
                <w:numId w:val="4"/>
              </w:numPr>
              <w:tabs>
                <w:tab w:val="left" w:pos="0"/>
                <w:tab w:val="clear" w:pos="425"/>
              </w:tabs>
              <w:ind w:left="0" w:firstLine="0"/>
              <w:jc w:val="both"/>
              <w:rPr>
                <w:rFonts w:ascii="Times New Roman" w:hAnsi="Times New Roman" w:cs="Times New Roman"/>
                <w:sz w:val="24"/>
                <w:szCs w:val="24"/>
                <w:lang w:val="pt-BR"/>
              </w:rPr>
            </w:pPr>
            <w:r>
              <w:rPr>
                <w:rFonts w:ascii="Times New Roman" w:hAnsi="Times New Roman" w:cs="Times New Roman"/>
                <w:b/>
                <w:bCs/>
                <w:i/>
                <w:iCs/>
                <w:sz w:val="24"/>
                <w:szCs w:val="24"/>
                <w:lang w:val="pt-BR"/>
              </w:rPr>
              <w:t xml:space="preserve">CHAMAMENTO PÚBLICO PARA CREDENCIAMENTO DE CASCALHEIRAS VISANDO </w:t>
            </w:r>
            <w:r>
              <w:rPr>
                <w:rFonts w:hint="default" w:ascii="Times New Roman" w:hAnsi="Times New Roman" w:cs="Times New Roman"/>
                <w:b/>
                <w:bCs/>
                <w:i/>
                <w:iCs/>
                <w:sz w:val="24"/>
                <w:szCs w:val="24"/>
                <w:lang w:val="pt-BR"/>
              </w:rPr>
              <w:t>A</w:t>
            </w:r>
            <w:r>
              <w:rPr>
                <w:rFonts w:ascii="Times New Roman" w:hAnsi="Times New Roman" w:cs="Times New Roman"/>
                <w:b/>
                <w:bCs/>
                <w:i/>
                <w:iCs/>
                <w:sz w:val="24"/>
                <w:szCs w:val="24"/>
                <w:lang w:val="pt-BR"/>
              </w:rPr>
              <w:t xml:space="preserve"> AQUISIÇÃO DE CASCALHO PARA AÇÕES DE MANUTENÇÃO DE ESTRADAS RURAIS E VIAS URBANAS NÃO PAVIMENTADAS, OBRAS DE BASE, SUB-BASE E LEVANTAMENTO DE ESTRADAS NO MUNICÍPIO DE SINOP A FIM DE ATENDER A SECRETARIA MUNICIPAL DE OBRAS E SERVIÇOS URBANOS</w:t>
            </w:r>
            <w:r>
              <w:rPr>
                <w:rFonts w:ascii="Times New Roman" w:hAnsi="Times New Roman" w:cs="Times New Roman"/>
                <w:b/>
                <w:bCs/>
                <w:sz w:val="24"/>
                <w:szCs w:val="24"/>
                <w:lang w:val="pt-BR"/>
              </w:rPr>
              <w:t>.</w:t>
            </w:r>
          </w:p>
        </w:tc>
      </w:tr>
      <w:tr w14:paraId="6B2E48C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347" w:type="dxa"/>
            <w:gridSpan w:val="7"/>
          </w:tcPr>
          <w:p w14:paraId="28735270">
            <w:pPr>
              <w:numPr>
                <w:ilvl w:val="0"/>
                <w:numId w:val="5"/>
              </w:numPr>
              <w:jc w:val="both"/>
              <w:rPr>
                <w:rFonts w:ascii="Times New Roman" w:hAnsi="Times New Roman" w:cs="Times New Roman"/>
                <w:sz w:val="24"/>
                <w:szCs w:val="24"/>
              </w:rPr>
            </w:pPr>
            <w:r>
              <w:rPr>
                <w:rFonts w:ascii="Times New Roman" w:hAnsi="Times New Roman" w:cs="Times New Roman"/>
                <w:b/>
                <w:bCs/>
                <w:sz w:val="24"/>
                <w:szCs w:val="24"/>
                <w:lang w:val="pt-BR"/>
              </w:rPr>
              <w:t>Descrição e quantidades</w:t>
            </w:r>
          </w:p>
        </w:tc>
      </w:tr>
      <w:tr w14:paraId="2BBA7FE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646" w:hRule="atLeast"/>
        </w:trPr>
        <w:tc>
          <w:tcPr>
            <w:tcW w:w="724" w:type="dxa"/>
            <w:vAlign w:val="center"/>
          </w:tcPr>
          <w:p w14:paraId="69AB2667">
            <w:pPr>
              <w:jc w:val="both"/>
              <w:rPr>
                <w:rFonts w:ascii="Times New Roman" w:hAnsi="Times New Roman" w:cs="Times New Roman"/>
                <w:sz w:val="24"/>
                <w:szCs w:val="24"/>
                <w:lang w:val="pt-BR"/>
              </w:rPr>
            </w:pPr>
            <w:r>
              <w:rPr>
                <w:rFonts w:ascii="Times New Roman" w:hAnsi="Times New Roman" w:eastAsia="SimSun" w:cs="Times New Roman"/>
                <w:b/>
                <w:bCs/>
                <w:color w:val="000000"/>
                <w:sz w:val="24"/>
                <w:szCs w:val="24"/>
                <w:lang w:val="pt-BR" w:bidi="ar"/>
              </w:rPr>
              <w:t>Item</w:t>
            </w:r>
          </w:p>
        </w:tc>
        <w:tc>
          <w:tcPr>
            <w:tcW w:w="1001" w:type="dxa"/>
            <w:vAlign w:val="center"/>
          </w:tcPr>
          <w:p w14:paraId="65ED2019">
            <w:pPr>
              <w:jc w:val="both"/>
              <w:rPr>
                <w:rFonts w:ascii="Times New Roman" w:hAnsi="Times New Roman" w:cs="Times New Roman"/>
                <w:sz w:val="24"/>
                <w:szCs w:val="24"/>
                <w:lang w:val="pt-BR"/>
              </w:rPr>
            </w:pPr>
            <w:r>
              <w:rPr>
                <w:rFonts w:ascii="Times New Roman" w:hAnsi="Times New Roman" w:eastAsia="SimSun" w:cs="Times New Roman"/>
                <w:b/>
                <w:bCs/>
                <w:color w:val="000000"/>
                <w:sz w:val="24"/>
                <w:szCs w:val="24"/>
                <w:lang w:val="pt-BR" w:bidi="ar"/>
              </w:rPr>
              <w:t>Código</w:t>
            </w:r>
          </w:p>
        </w:tc>
        <w:tc>
          <w:tcPr>
            <w:tcW w:w="3192" w:type="dxa"/>
            <w:vAlign w:val="center"/>
          </w:tcPr>
          <w:p w14:paraId="54F54163">
            <w:pPr>
              <w:jc w:val="both"/>
              <w:rPr>
                <w:rFonts w:ascii="Times New Roman" w:hAnsi="Times New Roman" w:cs="Times New Roman"/>
                <w:sz w:val="24"/>
                <w:szCs w:val="24"/>
                <w:lang w:val="pt-BR"/>
              </w:rPr>
            </w:pPr>
            <w:r>
              <w:rPr>
                <w:rFonts w:ascii="Times New Roman" w:hAnsi="Times New Roman" w:cs="Times New Roman"/>
                <w:b/>
                <w:bCs/>
                <w:sz w:val="24"/>
                <w:szCs w:val="24"/>
                <w:lang w:val="pt-BR"/>
              </w:rPr>
              <w:t>Descrição e Especificação</w:t>
            </w:r>
          </w:p>
        </w:tc>
        <w:tc>
          <w:tcPr>
            <w:tcW w:w="575" w:type="dxa"/>
            <w:vAlign w:val="center"/>
          </w:tcPr>
          <w:p w14:paraId="5FDA58CA">
            <w:pPr>
              <w:jc w:val="both"/>
              <w:rPr>
                <w:rFonts w:ascii="Times New Roman" w:hAnsi="Times New Roman" w:cs="Times New Roman"/>
                <w:sz w:val="24"/>
                <w:szCs w:val="24"/>
              </w:rPr>
            </w:pPr>
            <w:r>
              <w:rPr>
                <w:rFonts w:ascii="Times New Roman" w:hAnsi="Times New Roman" w:eastAsia="SimSun" w:cs="Times New Roman"/>
                <w:b/>
                <w:bCs/>
                <w:color w:val="000000"/>
                <w:sz w:val="24"/>
                <w:szCs w:val="24"/>
                <w:lang w:val="pt-BR" w:bidi="ar"/>
              </w:rPr>
              <w:t>Unidade de medida</w:t>
            </w:r>
          </w:p>
        </w:tc>
        <w:tc>
          <w:tcPr>
            <w:tcW w:w="925" w:type="dxa"/>
            <w:vAlign w:val="center"/>
          </w:tcPr>
          <w:p w14:paraId="568D37D1">
            <w:pPr>
              <w:jc w:val="center"/>
              <w:rPr>
                <w:rFonts w:ascii="Times New Roman" w:hAnsi="Times New Roman" w:cs="Times New Roman"/>
                <w:sz w:val="24"/>
                <w:szCs w:val="24"/>
                <w:lang w:val="pt-BR"/>
              </w:rPr>
            </w:pPr>
            <w:r>
              <w:rPr>
                <w:rFonts w:ascii="Times New Roman" w:hAnsi="Times New Roman" w:eastAsia="SimSun" w:cs="Times New Roman"/>
                <w:b/>
                <w:bCs/>
                <w:color w:val="000000"/>
                <w:sz w:val="24"/>
                <w:szCs w:val="24"/>
                <w:lang w:val="pt-BR" w:bidi="ar"/>
              </w:rPr>
              <w:t>Quantidade</w:t>
            </w:r>
          </w:p>
        </w:tc>
        <w:tc>
          <w:tcPr>
            <w:tcW w:w="1125" w:type="dxa"/>
            <w:vAlign w:val="center"/>
          </w:tcPr>
          <w:p w14:paraId="02A31F20">
            <w:pPr>
              <w:jc w:val="center"/>
              <w:rPr>
                <w:rFonts w:ascii="Times New Roman" w:hAnsi="Times New Roman" w:eastAsia="SimSun" w:cs="Times New Roman"/>
                <w:b/>
                <w:bCs/>
                <w:color w:val="000000"/>
                <w:sz w:val="24"/>
                <w:szCs w:val="24"/>
                <w:lang w:val="pt-BR" w:bidi="ar"/>
              </w:rPr>
            </w:pPr>
            <w:r>
              <w:rPr>
                <w:rFonts w:ascii="Times New Roman" w:hAnsi="Times New Roman" w:eastAsia="SimSun" w:cs="Times New Roman"/>
                <w:b/>
                <w:bCs/>
                <w:color w:val="000000"/>
                <w:sz w:val="24"/>
                <w:szCs w:val="24"/>
                <w:lang w:val="pt-BR" w:bidi="ar"/>
              </w:rPr>
              <w:t>Valor Unit. estimado</w:t>
            </w:r>
          </w:p>
        </w:tc>
        <w:tc>
          <w:tcPr>
            <w:tcW w:w="1805" w:type="dxa"/>
            <w:vAlign w:val="center"/>
          </w:tcPr>
          <w:p w14:paraId="46EDCC11">
            <w:pPr>
              <w:jc w:val="center"/>
              <w:rPr>
                <w:rFonts w:ascii="Times New Roman" w:hAnsi="Times New Roman" w:eastAsia="SimSun" w:cs="Times New Roman"/>
                <w:b/>
                <w:bCs/>
                <w:color w:val="000000"/>
                <w:sz w:val="24"/>
                <w:szCs w:val="24"/>
                <w:lang w:val="pt-BR" w:bidi="ar"/>
              </w:rPr>
            </w:pPr>
            <w:r>
              <w:rPr>
                <w:rFonts w:ascii="Times New Roman" w:hAnsi="Times New Roman" w:eastAsia="SimSun" w:cs="Times New Roman"/>
                <w:b/>
                <w:bCs/>
                <w:color w:val="000000"/>
                <w:sz w:val="24"/>
                <w:szCs w:val="24"/>
                <w:lang w:val="pt-BR" w:bidi="ar"/>
              </w:rPr>
              <w:t>Valor total estimado</w:t>
            </w:r>
          </w:p>
        </w:tc>
      </w:tr>
      <w:tr w14:paraId="551125F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77" w:hRule="atLeast"/>
        </w:trPr>
        <w:tc>
          <w:tcPr>
            <w:tcW w:w="724" w:type="dxa"/>
            <w:vAlign w:val="center"/>
          </w:tcPr>
          <w:p w14:paraId="2CCA3FC0">
            <w:pPr>
              <w:jc w:val="both"/>
              <w:rPr>
                <w:rFonts w:ascii="Times New Roman" w:hAnsi="Times New Roman" w:cs="Times New Roman"/>
                <w:sz w:val="24"/>
                <w:szCs w:val="24"/>
                <w:lang w:val="pt-BR"/>
              </w:rPr>
            </w:pPr>
            <w:r>
              <w:rPr>
                <w:rFonts w:ascii="Times New Roman" w:hAnsi="Times New Roman" w:cs="Times New Roman"/>
                <w:sz w:val="24"/>
                <w:szCs w:val="24"/>
                <w:lang w:val="pt-BR"/>
              </w:rPr>
              <w:t>1</w:t>
            </w:r>
          </w:p>
        </w:tc>
        <w:tc>
          <w:tcPr>
            <w:tcW w:w="1001" w:type="dxa"/>
          </w:tcPr>
          <w:p w14:paraId="65FC795F">
            <w:pPr>
              <w:jc w:val="both"/>
              <w:rPr>
                <w:rFonts w:ascii="Times New Roman" w:hAnsi="Times New Roman" w:cs="Times New Roman"/>
                <w:sz w:val="24"/>
                <w:szCs w:val="24"/>
                <w:lang w:val="pt-BR"/>
              </w:rPr>
            </w:pPr>
            <w:r>
              <w:rPr>
                <w:rFonts w:ascii="Times New Roman" w:hAnsi="Times New Roman" w:cs="Times New Roman"/>
                <w:sz w:val="24"/>
                <w:szCs w:val="24"/>
                <w:lang w:val="pt-BR"/>
              </w:rPr>
              <w:t>408751</w:t>
            </w:r>
          </w:p>
        </w:tc>
        <w:tc>
          <w:tcPr>
            <w:tcW w:w="3192" w:type="dxa"/>
          </w:tcPr>
          <w:p w14:paraId="21C91C70">
            <w:pPr>
              <w:jc w:val="both"/>
              <w:rPr>
                <w:rFonts w:ascii="Times New Roman" w:hAnsi="Times New Roman" w:eastAsia="Times New Roman" w:cs="Times New Roman"/>
                <w:color w:val="000000"/>
                <w:sz w:val="24"/>
                <w:szCs w:val="24"/>
                <w:lang w:val="pt-BR" w:eastAsia="pt-BR"/>
              </w:rPr>
            </w:pPr>
            <w:r>
              <w:rPr>
                <w:rFonts w:ascii="Times New Roman" w:hAnsi="Times New Roman" w:cs="Times New Roman"/>
                <w:color w:val="000000"/>
                <w:sz w:val="24"/>
                <w:szCs w:val="24"/>
                <w:lang w:val="pt-BR"/>
              </w:rPr>
              <w:t>Cascalho Laterítico,</w:t>
            </w:r>
            <w:r>
              <w:rPr>
                <w:rFonts w:ascii="Times New Roman" w:hAnsi="Times New Roman" w:cs="Times New Roman"/>
                <w:color w:val="000000"/>
                <w:sz w:val="24"/>
                <w:szCs w:val="24"/>
                <w:lang w:val="pt-BR"/>
              </w:rPr>
              <w:br w:type="textWrapping"/>
            </w:r>
            <w:r>
              <w:rPr>
                <w:rFonts w:ascii="Times New Roman" w:hAnsi="Times New Roman" w:cs="Times New Roman"/>
                <w:color w:val="000000"/>
                <w:sz w:val="24"/>
                <w:szCs w:val="24"/>
                <w:lang w:val="pt-BR"/>
              </w:rPr>
              <w:t>granulometria adequada para</w:t>
            </w:r>
            <w:r>
              <w:rPr>
                <w:rFonts w:ascii="Times New Roman" w:hAnsi="Times New Roman" w:cs="Times New Roman"/>
                <w:color w:val="000000"/>
                <w:sz w:val="24"/>
                <w:szCs w:val="24"/>
                <w:lang w:val="pt-BR"/>
              </w:rPr>
              <w:br w:type="textWrapping"/>
            </w:r>
            <w:r>
              <w:rPr>
                <w:rFonts w:ascii="Times New Roman" w:hAnsi="Times New Roman" w:cs="Times New Roman"/>
                <w:color w:val="000000"/>
                <w:sz w:val="24"/>
                <w:szCs w:val="24"/>
                <w:lang w:val="pt-BR"/>
              </w:rPr>
              <w:t>base e sub-base de vias MUNICIPAIS E RURAIS (COM CARREGAMENTO)</w:t>
            </w:r>
          </w:p>
        </w:tc>
        <w:tc>
          <w:tcPr>
            <w:tcW w:w="575" w:type="dxa"/>
          </w:tcPr>
          <w:p w14:paraId="3B54AFE2">
            <w:pPr>
              <w:jc w:val="both"/>
              <w:rPr>
                <w:rFonts w:ascii="Times New Roman" w:hAnsi="Times New Roman" w:cs="Times New Roman"/>
                <w:sz w:val="24"/>
                <w:szCs w:val="24"/>
              </w:rPr>
            </w:pPr>
            <w:r>
              <w:rPr>
                <w:rFonts w:ascii="Times New Roman" w:hAnsi="Times New Roman" w:cs="Times New Roman"/>
                <w:sz w:val="24"/>
                <w:szCs w:val="24"/>
                <w:lang w:val="pt-BR"/>
              </w:rPr>
              <w:t>M³</w:t>
            </w:r>
          </w:p>
        </w:tc>
        <w:tc>
          <w:tcPr>
            <w:tcW w:w="925" w:type="dxa"/>
          </w:tcPr>
          <w:p w14:paraId="3AEC379C">
            <w:pPr>
              <w:rPr>
                <w:rFonts w:ascii="Times New Roman" w:hAnsi="Times New Roman" w:cs="Times New Roman"/>
                <w:sz w:val="24"/>
                <w:szCs w:val="24"/>
              </w:rPr>
            </w:pPr>
            <w:r>
              <w:rPr>
                <w:rFonts w:ascii="Times New Roman" w:hAnsi="Times New Roman" w:cs="Times New Roman"/>
                <w:sz w:val="24"/>
                <w:szCs w:val="24"/>
              </w:rPr>
              <w:t>90.000</w:t>
            </w:r>
          </w:p>
        </w:tc>
        <w:tc>
          <w:tcPr>
            <w:tcW w:w="1125" w:type="dxa"/>
          </w:tcPr>
          <w:p w14:paraId="131E3297">
            <w:pPr>
              <w:jc w:val="both"/>
              <w:textAlignment w:val="center"/>
              <w:rPr>
                <w:rFonts w:ascii="Times New Roman" w:hAnsi="Times New Roman" w:cs="Times New Roman"/>
                <w:bCs/>
                <w:sz w:val="24"/>
                <w:szCs w:val="24"/>
                <w:lang w:val="pt-BR"/>
              </w:rPr>
            </w:pPr>
            <w:r>
              <w:rPr>
                <w:rFonts w:ascii="Times New Roman" w:hAnsi="Times New Roman" w:cs="Times New Roman"/>
                <w:bCs/>
                <w:sz w:val="24"/>
                <w:szCs w:val="24"/>
                <w:lang w:val="pt-BR"/>
              </w:rPr>
              <w:t xml:space="preserve">R$ </w:t>
            </w:r>
            <w:r>
              <w:rPr>
                <w:rFonts w:hint="default" w:ascii="Times New Roman" w:hAnsi="Times New Roman" w:cs="Times New Roman"/>
                <w:bCs/>
                <w:sz w:val="24"/>
                <w:szCs w:val="24"/>
                <w:lang w:val="pt-BR"/>
              </w:rPr>
              <w:t>32</w:t>
            </w:r>
            <w:r>
              <w:rPr>
                <w:rFonts w:ascii="Times New Roman" w:hAnsi="Times New Roman" w:cs="Times New Roman"/>
                <w:bCs/>
                <w:sz w:val="24"/>
                <w:szCs w:val="24"/>
                <w:lang w:val="pt-BR"/>
              </w:rPr>
              <w:t>,</w:t>
            </w:r>
            <w:r>
              <w:rPr>
                <w:rFonts w:hint="default" w:ascii="Times New Roman" w:hAnsi="Times New Roman" w:cs="Times New Roman"/>
                <w:bCs/>
                <w:sz w:val="24"/>
                <w:szCs w:val="24"/>
                <w:lang w:val="pt-BR"/>
              </w:rPr>
              <w:t>5</w:t>
            </w:r>
            <w:r>
              <w:rPr>
                <w:rFonts w:ascii="Times New Roman" w:hAnsi="Times New Roman" w:cs="Times New Roman"/>
                <w:bCs/>
                <w:sz w:val="24"/>
                <w:szCs w:val="24"/>
                <w:lang w:val="pt-BR"/>
              </w:rPr>
              <w:t>0</w:t>
            </w:r>
          </w:p>
        </w:tc>
        <w:tc>
          <w:tcPr>
            <w:tcW w:w="1805" w:type="dxa"/>
          </w:tcPr>
          <w:p w14:paraId="0887994F">
            <w:pPr>
              <w:rPr>
                <w:rFonts w:ascii="Times New Roman" w:hAnsi="Times New Roman" w:cs="Times New Roman"/>
                <w:sz w:val="22"/>
                <w:szCs w:val="22"/>
              </w:rPr>
            </w:pPr>
            <w:r>
              <w:rPr>
                <w:rFonts w:ascii="Times New Roman" w:hAnsi="Times New Roman" w:cs="Times New Roman"/>
                <w:sz w:val="22"/>
                <w:szCs w:val="22"/>
              </w:rPr>
              <w:t>R$2.925.000,00</w:t>
            </w:r>
          </w:p>
        </w:tc>
      </w:tr>
      <w:tr w14:paraId="1E396ED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7" w:hRule="atLeast"/>
        </w:trPr>
        <w:tc>
          <w:tcPr>
            <w:tcW w:w="724" w:type="dxa"/>
            <w:vAlign w:val="center"/>
          </w:tcPr>
          <w:p w14:paraId="0DEB6741">
            <w:pPr>
              <w:jc w:val="both"/>
              <w:rPr>
                <w:rFonts w:ascii="Times New Roman" w:hAnsi="Times New Roman" w:cs="Times New Roman"/>
                <w:sz w:val="24"/>
                <w:szCs w:val="24"/>
                <w:lang w:val="pt-BR"/>
              </w:rPr>
            </w:pPr>
            <w:r>
              <w:rPr>
                <w:rFonts w:ascii="Times New Roman" w:hAnsi="Times New Roman" w:cs="Times New Roman"/>
                <w:sz w:val="24"/>
                <w:szCs w:val="24"/>
                <w:lang w:val="pt-BR"/>
              </w:rPr>
              <w:t>2</w:t>
            </w:r>
          </w:p>
        </w:tc>
        <w:tc>
          <w:tcPr>
            <w:tcW w:w="1001" w:type="dxa"/>
          </w:tcPr>
          <w:p w14:paraId="1AE4E442">
            <w:pPr>
              <w:jc w:val="both"/>
              <w:rPr>
                <w:rFonts w:ascii="Times New Roman" w:hAnsi="Times New Roman" w:cs="Times New Roman"/>
                <w:sz w:val="24"/>
                <w:szCs w:val="24"/>
                <w:lang w:val="pt-BR"/>
              </w:rPr>
            </w:pPr>
            <w:r>
              <w:rPr>
                <w:rFonts w:ascii="Times New Roman" w:hAnsi="Times New Roman" w:cs="Times New Roman"/>
                <w:sz w:val="24"/>
                <w:szCs w:val="24"/>
                <w:lang w:val="pt-BR"/>
              </w:rPr>
              <w:t>408752</w:t>
            </w:r>
          </w:p>
        </w:tc>
        <w:tc>
          <w:tcPr>
            <w:tcW w:w="3192" w:type="dxa"/>
          </w:tcPr>
          <w:p w14:paraId="5A1581EE">
            <w:pPr>
              <w:jc w:val="both"/>
              <w:rPr>
                <w:rFonts w:ascii="Times New Roman" w:hAnsi="Times New Roman" w:cs="Times New Roman"/>
                <w:sz w:val="24"/>
                <w:szCs w:val="24"/>
                <w:lang w:val="pt-BR"/>
              </w:rPr>
            </w:pPr>
            <w:r>
              <w:rPr>
                <w:rFonts w:ascii="Times New Roman" w:hAnsi="Times New Roman" w:cs="Times New Roman"/>
                <w:sz w:val="24"/>
                <w:szCs w:val="24"/>
                <w:lang w:val="pt-BR"/>
              </w:rPr>
              <w:t>Cascalho Laterítico,</w:t>
            </w:r>
          </w:p>
          <w:p w14:paraId="06266C05">
            <w:pPr>
              <w:jc w:val="both"/>
              <w:rPr>
                <w:rFonts w:ascii="Times New Roman" w:hAnsi="Times New Roman" w:cs="Times New Roman"/>
                <w:sz w:val="24"/>
                <w:szCs w:val="24"/>
                <w:lang w:val="pt-BR"/>
              </w:rPr>
            </w:pPr>
            <w:r>
              <w:rPr>
                <w:rFonts w:ascii="Times New Roman" w:hAnsi="Times New Roman" w:cs="Times New Roman"/>
                <w:sz w:val="24"/>
                <w:szCs w:val="24"/>
                <w:lang w:val="pt-BR"/>
              </w:rPr>
              <w:t>granulometria adequada para</w:t>
            </w:r>
          </w:p>
          <w:p w14:paraId="0B0AA628">
            <w:pPr>
              <w:jc w:val="both"/>
              <w:rPr>
                <w:rFonts w:ascii="Times New Roman" w:hAnsi="Times New Roman" w:cs="Times New Roman"/>
                <w:sz w:val="24"/>
                <w:szCs w:val="24"/>
                <w:lang w:val="pt-BR"/>
              </w:rPr>
            </w:pPr>
            <w:r>
              <w:rPr>
                <w:rFonts w:ascii="Times New Roman" w:hAnsi="Times New Roman" w:cs="Times New Roman"/>
                <w:sz w:val="24"/>
                <w:szCs w:val="24"/>
                <w:lang w:val="pt-BR"/>
              </w:rPr>
              <w:t>base e sub-base de vias MUNICIPAIS E RURAIS (SEM CARREGAMENTO)</w:t>
            </w:r>
          </w:p>
        </w:tc>
        <w:tc>
          <w:tcPr>
            <w:tcW w:w="575" w:type="dxa"/>
          </w:tcPr>
          <w:p w14:paraId="3294F1B2">
            <w:pPr>
              <w:jc w:val="both"/>
              <w:rPr>
                <w:rFonts w:ascii="Times New Roman" w:hAnsi="Times New Roman" w:cs="Times New Roman"/>
                <w:sz w:val="24"/>
                <w:szCs w:val="24"/>
              </w:rPr>
            </w:pPr>
            <w:r>
              <w:rPr>
                <w:rFonts w:ascii="Times New Roman" w:hAnsi="Times New Roman" w:cs="Times New Roman"/>
                <w:sz w:val="24"/>
                <w:szCs w:val="24"/>
                <w:lang w:val="pt-BR"/>
              </w:rPr>
              <w:t>M³</w:t>
            </w:r>
          </w:p>
        </w:tc>
        <w:tc>
          <w:tcPr>
            <w:tcW w:w="925" w:type="dxa"/>
          </w:tcPr>
          <w:p w14:paraId="1709171A">
            <w:pPr>
              <w:rPr>
                <w:rFonts w:ascii="Times New Roman" w:hAnsi="Times New Roman" w:cs="Times New Roman"/>
                <w:sz w:val="24"/>
                <w:szCs w:val="24"/>
              </w:rPr>
            </w:pPr>
            <w:r>
              <w:rPr>
                <w:rFonts w:ascii="Times New Roman" w:hAnsi="Times New Roman" w:cs="Times New Roman"/>
                <w:sz w:val="24"/>
                <w:szCs w:val="24"/>
              </w:rPr>
              <w:t>90.000</w:t>
            </w:r>
          </w:p>
        </w:tc>
        <w:tc>
          <w:tcPr>
            <w:tcW w:w="1125" w:type="dxa"/>
          </w:tcPr>
          <w:p w14:paraId="52C80754">
            <w:pPr>
              <w:rPr>
                <w:rFonts w:ascii="Times New Roman" w:hAnsi="Times New Roman" w:cs="Times New Roman"/>
                <w:sz w:val="24"/>
                <w:szCs w:val="24"/>
              </w:rPr>
            </w:pPr>
            <w:r>
              <w:rPr>
                <w:rFonts w:ascii="Times New Roman" w:hAnsi="Times New Roman" w:cs="Times New Roman"/>
                <w:sz w:val="24"/>
                <w:szCs w:val="24"/>
              </w:rPr>
              <w:t>R$ 2</w:t>
            </w:r>
            <w:r>
              <w:rPr>
                <w:rFonts w:hint="default" w:ascii="Times New Roman" w:hAnsi="Times New Roman" w:cs="Times New Roman"/>
                <w:sz w:val="24"/>
                <w:szCs w:val="24"/>
                <w:lang w:val="pt-BR"/>
              </w:rPr>
              <w:t>6</w:t>
            </w:r>
            <w:r>
              <w:rPr>
                <w:rFonts w:ascii="Times New Roman" w:hAnsi="Times New Roman" w:cs="Times New Roman"/>
                <w:sz w:val="24"/>
                <w:szCs w:val="24"/>
              </w:rPr>
              <w:t>,65</w:t>
            </w:r>
          </w:p>
        </w:tc>
        <w:tc>
          <w:tcPr>
            <w:tcW w:w="1805" w:type="dxa"/>
          </w:tcPr>
          <w:p w14:paraId="5ECDF4E9">
            <w:pPr>
              <w:rPr>
                <w:rFonts w:hint="default" w:ascii="Times New Roman" w:hAnsi="Times New Roman" w:cs="Times New Roman"/>
                <w:sz w:val="22"/>
                <w:szCs w:val="22"/>
                <w:lang w:val="pt-BR"/>
              </w:rPr>
            </w:pPr>
            <w:r>
              <w:rPr>
                <w:rFonts w:hint="default" w:ascii="Times New Roman" w:hAnsi="Times New Roman" w:cs="Times New Roman"/>
                <w:sz w:val="22"/>
                <w:szCs w:val="22"/>
                <w:lang w:val="pt-BR"/>
              </w:rPr>
              <w:t>R$ 2.398.500,00</w:t>
            </w:r>
          </w:p>
        </w:tc>
      </w:tr>
      <w:tr w14:paraId="4D77C74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8" w:hRule="atLeast"/>
        </w:trPr>
        <w:tc>
          <w:tcPr>
            <w:tcW w:w="6417" w:type="dxa"/>
            <w:gridSpan w:val="5"/>
          </w:tcPr>
          <w:p w14:paraId="1C5E83BB">
            <w:pPr>
              <w:jc w:val="both"/>
              <w:rPr>
                <w:rFonts w:ascii="Times New Roman" w:hAnsi="Times New Roman" w:cs="Times New Roman"/>
                <w:sz w:val="24"/>
                <w:szCs w:val="24"/>
                <w:lang w:val="pt-BR"/>
              </w:rPr>
            </w:pPr>
            <w:r>
              <w:rPr>
                <w:rFonts w:ascii="Times New Roman" w:hAnsi="Times New Roman" w:cs="Times New Roman"/>
                <w:b/>
                <w:bCs/>
                <w:sz w:val="24"/>
                <w:szCs w:val="24"/>
                <w:lang w:val="pt-BR"/>
              </w:rPr>
              <w:t xml:space="preserve">TOTAL ESTIMADO </w:t>
            </w:r>
          </w:p>
        </w:tc>
        <w:tc>
          <w:tcPr>
            <w:tcW w:w="2930" w:type="dxa"/>
            <w:gridSpan w:val="2"/>
          </w:tcPr>
          <w:p w14:paraId="70F04AF0">
            <w:pPr>
              <w:jc w:val="right"/>
              <w:rPr>
                <w:rFonts w:ascii="Times New Roman" w:hAnsi="Times New Roman" w:cs="Times New Roman"/>
                <w:sz w:val="24"/>
                <w:szCs w:val="24"/>
              </w:rPr>
            </w:pPr>
            <w:r>
              <w:rPr>
                <w:rFonts w:ascii="Times New Roman" w:hAnsi="Times New Roman" w:cs="Times New Roman"/>
                <w:sz w:val="24"/>
                <w:szCs w:val="24"/>
              </w:rPr>
              <w:t>R$ 5.</w:t>
            </w:r>
            <w:r>
              <w:rPr>
                <w:rFonts w:hint="default" w:ascii="Times New Roman" w:hAnsi="Times New Roman" w:cs="Times New Roman"/>
                <w:sz w:val="24"/>
                <w:szCs w:val="24"/>
                <w:lang w:val="pt-BR"/>
              </w:rPr>
              <w:t>323</w:t>
            </w:r>
            <w:r>
              <w:rPr>
                <w:rFonts w:ascii="Times New Roman" w:hAnsi="Times New Roman" w:cs="Times New Roman"/>
                <w:sz w:val="24"/>
                <w:szCs w:val="24"/>
              </w:rPr>
              <w:t>.500,00</w:t>
            </w:r>
            <w:r>
              <w:rPr>
                <w:rFonts w:ascii="Times New Roman" w:hAnsi="Times New Roman" w:cs="Times New Roman"/>
                <w:sz w:val="24"/>
                <w:szCs w:val="24"/>
              </w:rPr>
              <w:br w:type="textWrapping"/>
            </w:r>
          </w:p>
        </w:tc>
      </w:tr>
      <w:tr w14:paraId="0B7BD6B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9" w:hRule="atLeast"/>
        </w:trPr>
        <w:tc>
          <w:tcPr>
            <w:tcW w:w="9347" w:type="dxa"/>
            <w:gridSpan w:val="7"/>
          </w:tcPr>
          <w:p w14:paraId="07240260">
            <w:pPr>
              <w:spacing w:line="360" w:lineRule="auto"/>
              <w:jc w:val="both"/>
              <w:rPr>
                <w:rFonts w:ascii="Times New Roman" w:hAnsi="Times New Roman" w:cs="Times New Roman"/>
                <w:sz w:val="24"/>
                <w:szCs w:val="24"/>
                <w:lang w:val="pt-BR"/>
              </w:rPr>
            </w:pPr>
            <w:r>
              <w:rPr>
                <w:rFonts w:ascii="Times New Roman" w:hAnsi="Times New Roman" w:eastAsia="SimSun" w:cs="Times New Roman"/>
                <w:b/>
                <w:bCs/>
                <w:color w:val="000000"/>
                <w:sz w:val="24"/>
                <w:szCs w:val="24"/>
                <w:lang w:val="pt-BR" w:bidi="ar"/>
              </w:rPr>
              <w:t xml:space="preserve">Estimativa de consumo: </w:t>
            </w:r>
          </w:p>
        </w:tc>
      </w:tr>
      <w:tr w14:paraId="1564BE3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347" w:type="dxa"/>
            <w:gridSpan w:val="7"/>
          </w:tcPr>
          <w:p w14:paraId="28E93360">
            <w:pPr>
              <w:numPr>
                <w:ilvl w:val="0"/>
                <w:numId w:val="6"/>
              </w:numPr>
              <w:jc w:val="both"/>
              <w:rPr>
                <w:rFonts w:ascii="Times New Roman" w:hAnsi="Times New Roman" w:cs="Times New Roman"/>
                <w:sz w:val="24"/>
                <w:szCs w:val="24"/>
                <w:lang w:val="pt-BR"/>
              </w:rPr>
            </w:pPr>
            <w:r>
              <w:rPr>
                <w:rFonts w:ascii="Times New Roman" w:hAnsi="Times New Roman" w:cs="Times New Roman"/>
                <w:b/>
                <w:bCs/>
                <w:sz w:val="24"/>
                <w:szCs w:val="24"/>
                <w:lang w:val="pt-BR"/>
              </w:rPr>
              <w:t>Secretaria de Obras e Serviços Urbanos</w:t>
            </w:r>
          </w:p>
        </w:tc>
      </w:tr>
      <w:tr w14:paraId="532E38D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6" w:hRule="atLeast"/>
        </w:trPr>
        <w:tc>
          <w:tcPr>
            <w:tcW w:w="724" w:type="dxa"/>
            <w:vAlign w:val="center"/>
          </w:tcPr>
          <w:p w14:paraId="54E33E98">
            <w:pPr>
              <w:jc w:val="center"/>
              <w:rPr>
                <w:rFonts w:ascii="Times New Roman" w:hAnsi="Times New Roman" w:cs="Times New Roman"/>
                <w:b/>
                <w:bCs/>
                <w:sz w:val="24"/>
                <w:szCs w:val="24"/>
                <w:lang w:val="pt-BR"/>
              </w:rPr>
            </w:pPr>
            <w:r>
              <w:rPr>
                <w:rFonts w:ascii="Times New Roman" w:hAnsi="Times New Roman" w:eastAsia="SimSun" w:cs="Times New Roman"/>
                <w:b/>
                <w:bCs/>
                <w:color w:val="000000"/>
                <w:sz w:val="24"/>
                <w:szCs w:val="24"/>
                <w:lang w:val="pt-BR" w:bidi="ar"/>
              </w:rPr>
              <w:t>Item</w:t>
            </w:r>
          </w:p>
        </w:tc>
        <w:tc>
          <w:tcPr>
            <w:tcW w:w="4193" w:type="dxa"/>
            <w:gridSpan w:val="2"/>
            <w:vAlign w:val="center"/>
          </w:tcPr>
          <w:p w14:paraId="2CE5208A">
            <w:pPr>
              <w:jc w:val="center"/>
              <w:rPr>
                <w:rFonts w:ascii="Times New Roman" w:hAnsi="Times New Roman" w:cs="Times New Roman"/>
                <w:b/>
                <w:bCs/>
                <w:sz w:val="24"/>
                <w:szCs w:val="24"/>
                <w:lang w:val="pt-BR"/>
              </w:rPr>
            </w:pPr>
            <w:r>
              <w:rPr>
                <w:rFonts w:ascii="Times New Roman" w:hAnsi="Times New Roman" w:cs="Times New Roman"/>
                <w:b/>
                <w:bCs/>
                <w:sz w:val="24"/>
                <w:szCs w:val="24"/>
                <w:lang w:val="pt-BR"/>
              </w:rPr>
              <w:t>Descrição e Especificação</w:t>
            </w:r>
          </w:p>
        </w:tc>
        <w:tc>
          <w:tcPr>
            <w:tcW w:w="575" w:type="dxa"/>
          </w:tcPr>
          <w:p w14:paraId="6D1E275F">
            <w:pPr>
              <w:jc w:val="center"/>
              <w:rPr>
                <w:rFonts w:ascii="Times New Roman" w:hAnsi="Times New Roman" w:cs="Times New Roman"/>
                <w:b/>
                <w:bCs/>
                <w:sz w:val="24"/>
                <w:szCs w:val="24"/>
                <w:lang w:val="pt-BR"/>
              </w:rPr>
            </w:pPr>
            <w:r>
              <w:rPr>
                <w:rFonts w:ascii="Times New Roman" w:hAnsi="Times New Roman" w:eastAsia="SimSun" w:cs="Times New Roman"/>
                <w:b/>
                <w:bCs/>
                <w:color w:val="000000"/>
                <w:sz w:val="24"/>
                <w:szCs w:val="24"/>
                <w:lang w:val="pt-BR" w:bidi="ar"/>
              </w:rPr>
              <w:t>Unidade de medida</w:t>
            </w:r>
          </w:p>
        </w:tc>
        <w:tc>
          <w:tcPr>
            <w:tcW w:w="925" w:type="dxa"/>
          </w:tcPr>
          <w:p w14:paraId="38D94E2A">
            <w:pPr>
              <w:jc w:val="center"/>
              <w:rPr>
                <w:rFonts w:ascii="Times New Roman" w:hAnsi="Times New Roman" w:cs="Times New Roman"/>
                <w:b/>
                <w:bCs/>
                <w:sz w:val="24"/>
                <w:szCs w:val="24"/>
                <w:lang w:val="pt-BR"/>
              </w:rPr>
            </w:pPr>
            <w:r>
              <w:rPr>
                <w:rFonts w:ascii="Times New Roman" w:hAnsi="Times New Roman" w:eastAsia="SimSun" w:cs="Times New Roman"/>
                <w:b/>
                <w:bCs/>
                <w:color w:val="000000"/>
                <w:sz w:val="24"/>
                <w:szCs w:val="24"/>
                <w:lang w:val="pt-BR" w:bidi="ar"/>
              </w:rPr>
              <w:t>Solicitação mínima</w:t>
            </w:r>
          </w:p>
        </w:tc>
        <w:tc>
          <w:tcPr>
            <w:tcW w:w="1125" w:type="dxa"/>
          </w:tcPr>
          <w:p w14:paraId="03987568">
            <w:pPr>
              <w:jc w:val="center"/>
              <w:rPr>
                <w:rFonts w:ascii="Times New Roman" w:hAnsi="Times New Roman" w:cs="Times New Roman"/>
                <w:b/>
                <w:bCs/>
                <w:sz w:val="24"/>
                <w:szCs w:val="24"/>
                <w:lang w:val="pt-BR"/>
              </w:rPr>
            </w:pPr>
            <w:r>
              <w:rPr>
                <w:rFonts w:ascii="Times New Roman" w:hAnsi="Times New Roman" w:cs="Times New Roman"/>
                <w:b/>
                <w:bCs/>
                <w:sz w:val="24"/>
                <w:szCs w:val="24"/>
                <w:lang w:val="pt-BR"/>
              </w:rPr>
              <w:t>Solicitação máxima</w:t>
            </w:r>
          </w:p>
        </w:tc>
        <w:tc>
          <w:tcPr>
            <w:tcW w:w="1805" w:type="dxa"/>
          </w:tcPr>
          <w:p w14:paraId="0ADCC996">
            <w:pPr>
              <w:jc w:val="center"/>
              <w:rPr>
                <w:rFonts w:ascii="Times New Roman" w:hAnsi="Times New Roman" w:cs="Times New Roman"/>
                <w:b/>
                <w:bCs/>
                <w:sz w:val="24"/>
                <w:szCs w:val="24"/>
                <w:lang w:val="pt-BR"/>
              </w:rPr>
            </w:pPr>
            <w:r>
              <w:rPr>
                <w:rFonts w:ascii="Times New Roman" w:hAnsi="Times New Roman" w:cs="Times New Roman"/>
                <w:b/>
                <w:bCs/>
                <w:sz w:val="24"/>
                <w:szCs w:val="24"/>
                <w:lang w:val="pt-BR"/>
              </w:rPr>
              <w:t>Quantidade total</w:t>
            </w:r>
          </w:p>
        </w:tc>
      </w:tr>
      <w:tr w14:paraId="013B93D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24" w:type="dxa"/>
            <w:vAlign w:val="center"/>
          </w:tcPr>
          <w:p w14:paraId="2F465BAE">
            <w:pPr>
              <w:jc w:val="both"/>
              <w:rPr>
                <w:rFonts w:ascii="Times New Roman" w:hAnsi="Times New Roman" w:cs="Times New Roman"/>
                <w:sz w:val="24"/>
                <w:szCs w:val="24"/>
                <w:lang w:val="pt-BR"/>
              </w:rPr>
            </w:pPr>
            <w:r>
              <w:rPr>
                <w:rFonts w:ascii="Times New Roman" w:hAnsi="Times New Roman" w:cs="Times New Roman"/>
                <w:sz w:val="24"/>
                <w:szCs w:val="24"/>
                <w:lang w:val="pt-BR"/>
              </w:rPr>
              <w:t>1</w:t>
            </w:r>
          </w:p>
        </w:tc>
        <w:tc>
          <w:tcPr>
            <w:tcW w:w="4193" w:type="dxa"/>
            <w:gridSpan w:val="2"/>
          </w:tcPr>
          <w:p w14:paraId="3937ED11">
            <w:pPr>
              <w:jc w:val="both"/>
              <w:rPr>
                <w:rFonts w:ascii="Times New Roman" w:hAnsi="Times New Roman" w:cs="Times New Roman"/>
                <w:b/>
                <w:bCs/>
                <w:sz w:val="20"/>
                <w:szCs w:val="20"/>
                <w:lang w:val="pt-BR"/>
              </w:rPr>
            </w:pPr>
            <w:r>
              <w:rPr>
                <w:rFonts w:ascii="Times New Roman" w:hAnsi="Times New Roman" w:cs="Times New Roman"/>
                <w:color w:val="000000"/>
                <w:sz w:val="20"/>
                <w:szCs w:val="20"/>
                <w:lang w:val="pt-BR"/>
              </w:rPr>
              <w:t xml:space="preserve">Cascalho Laterítico, </w:t>
            </w:r>
            <w:r>
              <w:rPr>
                <w:rFonts w:ascii="Times New Roman" w:hAnsi="Times New Roman" w:cs="Times New Roman"/>
                <w:color w:val="000000"/>
                <w:sz w:val="20"/>
                <w:szCs w:val="20"/>
                <w:lang w:val="pt-BR"/>
              </w:rPr>
              <w:br w:type="textWrapping"/>
            </w:r>
            <w:r>
              <w:rPr>
                <w:rFonts w:ascii="Times New Roman" w:hAnsi="Times New Roman" w:cs="Times New Roman"/>
                <w:color w:val="000000"/>
                <w:sz w:val="20"/>
                <w:szCs w:val="20"/>
                <w:lang w:val="pt-BR"/>
              </w:rPr>
              <w:t>granulometria adequada para</w:t>
            </w:r>
            <w:r>
              <w:rPr>
                <w:rFonts w:ascii="Times New Roman" w:hAnsi="Times New Roman" w:cs="Times New Roman"/>
                <w:color w:val="000000"/>
                <w:sz w:val="20"/>
                <w:szCs w:val="20"/>
                <w:lang w:val="pt-BR"/>
              </w:rPr>
              <w:br w:type="textWrapping"/>
            </w:r>
            <w:r>
              <w:rPr>
                <w:rFonts w:ascii="Times New Roman" w:hAnsi="Times New Roman" w:cs="Times New Roman"/>
                <w:color w:val="000000"/>
                <w:sz w:val="20"/>
                <w:szCs w:val="20"/>
                <w:lang w:val="pt-BR"/>
              </w:rPr>
              <w:t>base e sub-base de vias MUNICIPAIS E RURAIS (COM CARREGAMENTO)</w:t>
            </w:r>
            <w:r>
              <w:rPr>
                <w:rFonts w:ascii="Times New Roman" w:hAnsi="Times New Roman" w:cs="Times New Roman" w:eastAsiaTheme="minorHAnsi"/>
                <w:sz w:val="20"/>
                <w:szCs w:val="20"/>
                <w:lang w:val="pt-BR" w:eastAsia="pt-BR"/>
              </w:rPr>
              <w:t xml:space="preserve"> REGIÃO CENTRAL. COTA PRINCIPAL</w:t>
            </w:r>
          </w:p>
        </w:tc>
        <w:tc>
          <w:tcPr>
            <w:tcW w:w="575" w:type="dxa"/>
          </w:tcPr>
          <w:p w14:paraId="318E6A43">
            <w:pPr>
              <w:jc w:val="both"/>
              <w:rPr>
                <w:rFonts w:ascii="Times New Roman" w:hAnsi="Times New Roman" w:cs="Times New Roman"/>
                <w:b/>
                <w:bCs/>
                <w:sz w:val="24"/>
                <w:szCs w:val="24"/>
                <w:lang w:val="pt-BR"/>
              </w:rPr>
            </w:pPr>
            <w:r>
              <w:rPr>
                <w:rFonts w:ascii="Times New Roman" w:hAnsi="Times New Roman" w:cs="Times New Roman"/>
                <w:sz w:val="24"/>
                <w:szCs w:val="24"/>
                <w:lang w:val="pt-BR"/>
              </w:rPr>
              <w:t>M³</w:t>
            </w:r>
          </w:p>
        </w:tc>
        <w:tc>
          <w:tcPr>
            <w:tcW w:w="925" w:type="dxa"/>
            <w:vAlign w:val="center"/>
          </w:tcPr>
          <w:p w14:paraId="3F8F51F3">
            <w:pPr>
              <w:jc w:val="both"/>
              <w:rPr>
                <w:rFonts w:ascii="Times New Roman" w:hAnsi="Times New Roman" w:cs="Times New Roman"/>
                <w:b/>
                <w:bCs/>
                <w:sz w:val="24"/>
                <w:szCs w:val="24"/>
                <w:lang w:val="pt-BR"/>
              </w:rPr>
            </w:pPr>
            <w:r>
              <w:rPr>
                <w:rFonts w:ascii="Times New Roman" w:hAnsi="Times New Roman" w:cs="Times New Roman"/>
                <w:sz w:val="24"/>
                <w:szCs w:val="24"/>
                <w:lang w:val="pt-BR"/>
              </w:rPr>
              <w:t>18.000</w:t>
            </w:r>
          </w:p>
        </w:tc>
        <w:tc>
          <w:tcPr>
            <w:tcW w:w="1125" w:type="dxa"/>
            <w:vAlign w:val="center"/>
          </w:tcPr>
          <w:p w14:paraId="7847A74C">
            <w:pPr>
              <w:rPr>
                <w:rFonts w:ascii="Times New Roman" w:hAnsi="Times New Roman" w:cs="Times New Roman"/>
                <w:sz w:val="24"/>
                <w:szCs w:val="24"/>
              </w:rPr>
            </w:pPr>
            <w:r>
              <w:rPr>
                <w:rFonts w:ascii="Times New Roman" w:hAnsi="Times New Roman" w:cs="Times New Roman"/>
                <w:sz w:val="24"/>
                <w:szCs w:val="24"/>
              </w:rPr>
              <w:t>90.000</w:t>
            </w:r>
          </w:p>
        </w:tc>
        <w:tc>
          <w:tcPr>
            <w:tcW w:w="1805" w:type="dxa"/>
            <w:vAlign w:val="center"/>
          </w:tcPr>
          <w:p w14:paraId="6FEA0E82">
            <w:pPr>
              <w:rPr>
                <w:rFonts w:ascii="Times New Roman" w:hAnsi="Times New Roman" w:cs="Times New Roman"/>
                <w:sz w:val="24"/>
                <w:szCs w:val="24"/>
              </w:rPr>
            </w:pPr>
            <w:r>
              <w:rPr>
                <w:rFonts w:ascii="Times New Roman" w:hAnsi="Times New Roman" w:cs="Times New Roman"/>
                <w:sz w:val="24"/>
                <w:szCs w:val="24"/>
              </w:rPr>
              <w:t>90.000</w:t>
            </w:r>
          </w:p>
        </w:tc>
      </w:tr>
      <w:tr w14:paraId="1D77107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24" w:type="dxa"/>
            <w:vAlign w:val="center"/>
          </w:tcPr>
          <w:p w14:paraId="65A2F691">
            <w:pPr>
              <w:jc w:val="both"/>
              <w:rPr>
                <w:rFonts w:ascii="Times New Roman" w:hAnsi="Times New Roman" w:cs="Times New Roman"/>
                <w:sz w:val="24"/>
                <w:szCs w:val="24"/>
                <w:lang w:val="pt-BR"/>
              </w:rPr>
            </w:pPr>
            <w:r>
              <w:rPr>
                <w:rFonts w:ascii="Times New Roman" w:hAnsi="Times New Roman" w:cs="Times New Roman"/>
                <w:sz w:val="24"/>
                <w:szCs w:val="24"/>
                <w:lang w:val="pt-BR"/>
              </w:rPr>
              <w:t>2</w:t>
            </w:r>
          </w:p>
        </w:tc>
        <w:tc>
          <w:tcPr>
            <w:tcW w:w="4193" w:type="dxa"/>
            <w:gridSpan w:val="2"/>
          </w:tcPr>
          <w:p w14:paraId="37DA0E9D">
            <w:pPr>
              <w:jc w:val="both"/>
              <w:rPr>
                <w:rFonts w:ascii="Times New Roman" w:hAnsi="Times New Roman" w:cs="Times New Roman"/>
                <w:sz w:val="20"/>
                <w:szCs w:val="20"/>
                <w:lang w:val="pt-BR"/>
              </w:rPr>
            </w:pPr>
            <w:r>
              <w:rPr>
                <w:rFonts w:ascii="Times New Roman" w:hAnsi="Times New Roman" w:cs="Times New Roman"/>
                <w:sz w:val="20"/>
                <w:szCs w:val="20"/>
                <w:lang w:val="pt-BR"/>
              </w:rPr>
              <w:t>Cascalho Laterítico,</w:t>
            </w:r>
          </w:p>
          <w:p w14:paraId="436F7E98">
            <w:pPr>
              <w:jc w:val="both"/>
              <w:rPr>
                <w:rFonts w:ascii="Times New Roman" w:hAnsi="Times New Roman" w:cs="Times New Roman"/>
                <w:sz w:val="20"/>
                <w:szCs w:val="20"/>
                <w:lang w:val="pt-BR"/>
              </w:rPr>
            </w:pPr>
            <w:r>
              <w:rPr>
                <w:rFonts w:ascii="Times New Roman" w:hAnsi="Times New Roman" w:cs="Times New Roman"/>
                <w:sz w:val="20"/>
                <w:szCs w:val="20"/>
                <w:lang w:val="pt-BR"/>
              </w:rPr>
              <w:t>granulometria adequada para</w:t>
            </w:r>
          </w:p>
          <w:p w14:paraId="275853BA">
            <w:pPr>
              <w:jc w:val="both"/>
              <w:rPr>
                <w:rFonts w:ascii="Times New Roman" w:hAnsi="Times New Roman" w:cs="Times New Roman"/>
                <w:b/>
                <w:bCs/>
                <w:sz w:val="20"/>
                <w:szCs w:val="20"/>
                <w:lang w:val="pt-BR"/>
              </w:rPr>
            </w:pPr>
            <w:r>
              <w:rPr>
                <w:rFonts w:ascii="Times New Roman" w:hAnsi="Times New Roman" w:cs="Times New Roman"/>
                <w:sz w:val="20"/>
                <w:szCs w:val="20"/>
                <w:lang w:val="pt-BR"/>
              </w:rPr>
              <w:t>base e sub-base de vias MUNICIPAIS E RURAIS (SEM CARREGAMENTO)</w:t>
            </w:r>
          </w:p>
        </w:tc>
        <w:tc>
          <w:tcPr>
            <w:tcW w:w="575" w:type="dxa"/>
          </w:tcPr>
          <w:p w14:paraId="0290DD7E">
            <w:pPr>
              <w:jc w:val="both"/>
              <w:rPr>
                <w:rFonts w:ascii="Times New Roman" w:hAnsi="Times New Roman" w:cs="Times New Roman"/>
                <w:b/>
                <w:bCs/>
                <w:sz w:val="24"/>
                <w:szCs w:val="24"/>
                <w:lang w:val="pt-BR"/>
              </w:rPr>
            </w:pPr>
            <w:r>
              <w:rPr>
                <w:rFonts w:ascii="Times New Roman" w:hAnsi="Times New Roman" w:cs="Times New Roman"/>
                <w:sz w:val="24"/>
                <w:szCs w:val="24"/>
                <w:lang w:val="pt-BR"/>
              </w:rPr>
              <w:t>M³</w:t>
            </w:r>
          </w:p>
        </w:tc>
        <w:tc>
          <w:tcPr>
            <w:tcW w:w="925" w:type="dxa"/>
            <w:vAlign w:val="center"/>
          </w:tcPr>
          <w:p w14:paraId="0A8DD2DD">
            <w:pPr>
              <w:jc w:val="both"/>
              <w:rPr>
                <w:rFonts w:ascii="Times New Roman" w:hAnsi="Times New Roman" w:cs="Times New Roman"/>
                <w:bCs/>
                <w:sz w:val="24"/>
                <w:szCs w:val="24"/>
                <w:lang w:val="pt-BR"/>
              </w:rPr>
            </w:pPr>
            <w:r>
              <w:rPr>
                <w:rFonts w:ascii="Times New Roman" w:hAnsi="Times New Roman" w:cs="Times New Roman"/>
                <w:bCs/>
                <w:sz w:val="24"/>
                <w:szCs w:val="24"/>
                <w:lang w:val="pt-BR"/>
              </w:rPr>
              <w:t>18.000</w:t>
            </w:r>
          </w:p>
        </w:tc>
        <w:tc>
          <w:tcPr>
            <w:tcW w:w="1125" w:type="dxa"/>
            <w:vAlign w:val="center"/>
          </w:tcPr>
          <w:p w14:paraId="7DDF2294">
            <w:pPr>
              <w:rPr>
                <w:rFonts w:ascii="Times New Roman" w:hAnsi="Times New Roman" w:cs="Times New Roman"/>
                <w:sz w:val="24"/>
                <w:szCs w:val="24"/>
              </w:rPr>
            </w:pPr>
            <w:r>
              <w:rPr>
                <w:rFonts w:ascii="Times New Roman" w:hAnsi="Times New Roman" w:cs="Times New Roman"/>
                <w:sz w:val="24"/>
                <w:szCs w:val="24"/>
              </w:rPr>
              <w:t>90.000</w:t>
            </w:r>
          </w:p>
        </w:tc>
        <w:tc>
          <w:tcPr>
            <w:tcW w:w="1805" w:type="dxa"/>
            <w:vAlign w:val="center"/>
          </w:tcPr>
          <w:p w14:paraId="743E84BC">
            <w:pPr>
              <w:rPr>
                <w:rFonts w:ascii="Times New Roman" w:hAnsi="Times New Roman" w:cs="Times New Roman"/>
                <w:sz w:val="24"/>
                <w:szCs w:val="24"/>
              </w:rPr>
            </w:pPr>
            <w:r>
              <w:rPr>
                <w:rFonts w:ascii="Times New Roman" w:hAnsi="Times New Roman" w:cs="Times New Roman"/>
                <w:sz w:val="24"/>
                <w:szCs w:val="24"/>
              </w:rPr>
              <w:t>90.000</w:t>
            </w:r>
          </w:p>
        </w:tc>
      </w:tr>
      <w:tr w14:paraId="7C01ECA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6" w:hRule="atLeast"/>
        </w:trPr>
        <w:tc>
          <w:tcPr>
            <w:tcW w:w="9347" w:type="dxa"/>
            <w:gridSpan w:val="7"/>
          </w:tcPr>
          <w:p w14:paraId="7BBF7BEB">
            <w:pPr>
              <w:jc w:val="both"/>
              <w:rPr>
                <w:rFonts w:ascii="Times New Roman" w:hAnsi="Times New Roman" w:cs="Times New Roman"/>
                <w:sz w:val="24"/>
                <w:szCs w:val="24"/>
                <w:lang w:val="pt-BR"/>
              </w:rPr>
            </w:pPr>
            <w:r>
              <w:rPr>
                <w:rFonts w:ascii="Times New Roman" w:hAnsi="Times New Roman" w:cs="Times New Roman"/>
                <w:sz w:val="24"/>
                <w:szCs w:val="24"/>
                <w:lang w:val="pt-BR"/>
              </w:rPr>
              <w:t>Obs.: A solicitação mínima e máxima refere-se todo o período da vigência do contrato sendo 1 (um) ano.</w:t>
            </w:r>
          </w:p>
        </w:tc>
      </w:tr>
    </w:tbl>
    <w:p w14:paraId="70E03C99">
      <w:pPr>
        <w:jc w:val="both"/>
        <w:rPr>
          <w:rFonts w:ascii="Times New Roman" w:hAnsi="Times New Roman" w:cs="Times New Roman"/>
          <w:b/>
          <w:bCs/>
          <w:sz w:val="24"/>
          <w:szCs w:val="24"/>
          <w:lang w:val="pt-BR"/>
        </w:rPr>
      </w:pPr>
    </w:p>
    <w:tbl>
      <w:tblPr>
        <w:tblStyle w:val="14"/>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9571"/>
      </w:tblGrid>
      <w:tr w14:paraId="0CB4205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571" w:type="dxa"/>
            <w:shd w:val="clear" w:color="auto" w:fill="D7D7D7" w:themeFill="background1" w:themeFillShade="D8"/>
          </w:tcPr>
          <w:p w14:paraId="65819E82">
            <w:pPr>
              <w:numPr>
                <w:ilvl w:val="0"/>
                <w:numId w:val="7"/>
              </w:numPr>
              <w:jc w:val="both"/>
              <w:rPr>
                <w:rFonts w:ascii="Times New Roman" w:hAnsi="Times New Roman" w:cs="Times New Roman"/>
                <w:sz w:val="24"/>
                <w:szCs w:val="24"/>
              </w:rPr>
            </w:pPr>
            <w:r>
              <w:rPr>
                <w:rFonts w:ascii="Times New Roman" w:hAnsi="Times New Roman" w:eastAsia="SimSun" w:cs="Times New Roman"/>
                <w:b/>
                <w:bCs/>
                <w:color w:val="000000"/>
                <w:sz w:val="24"/>
                <w:szCs w:val="24"/>
                <w:lang w:bidi="ar"/>
              </w:rPr>
              <w:t>JUSTIFICATIVA</w:t>
            </w:r>
          </w:p>
          <w:p w14:paraId="38AAD4D7">
            <w:pPr>
              <w:jc w:val="both"/>
              <w:rPr>
                <w:rFonts w:ascii="Times New Roman" w:hAnsi="Times New Roman" w:cs="Times New Roman"/>
                <w:sz w:val="24"/>
                <w:szCs w:val="24"/>
                <w:lang w:val="pt-BR"/>
              </w:rPr>
            </w:pPr>
            <w:r>
              <w:rPr>
                <w:rFonts w:ascii="Times New Roman" w:hAnsi="Times New Roman" w:cs="Times New Roman"/>
                <w:b/>
                <w:bCs/>
                <w:sz w:val="24"/>
                <w:szCs w:val="24"/>
                <w:lang w:val="pt-BR"/>
              </w:rPr>
              <w:t>A distância máxima exigida é de 20 km. Caso não exista credenciada dentro deste raio, será aproveitada a credenciada mais próxima. /NECESSIDADE DA CONTRATAÇÃO</w:t>
            </w:r>
          </w:p>
        </w:tc>
      </w:tr>
      <w:tr w14:paraId="3D36F0A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571" w:type="dxa"/>
          </w:tcPr>
          <w:p w14:paraId="658CF3F8">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 Para o cumprimento das ações propostas a serem realizadas, referentes às manutenções de estradas rurais e obras futuras, é necessária a utilização de cascalho e terra, objetivando manter as condições de trafegabilidade e escoamento de colheitas, bem como o trânsito seguro de munícipes que vivem nessas regiões, além de acesso diário dos ônibus escolares.</w:t>
            </w:r>
            <w:r>
              <w:rPr>
                <w:rFonts w:ascii="Times New Roman" w:hAnsi="Times New Roman" w:cs="Times New Roman"/>
                <w:sz w:val="24"/>
                <w:szCs w:val="24"/>
              </w:rPr>
              <w:br w:type="textWrapping"/>
            </w:r>
            <w:r>
              <w:rPr>
                <w:rFonts w:ascii="Times New Roman" w:hAnsi="Times New Roman" w:cs="Times New Roman"/>
                <w:sz w:val="24"/>
                <w:szCs w:val="24"/>
              </w:rPr>
              <w:t>A opção pelo fornecimento e aquisição do cascalho se deve à disponibilidade de mão de obra  e caminhões próprios da Secretaria de Obras, que possibilita o transporte do material. Isso implica uma redução considerável dos custos operacionais, uma vez que não haverá incidência direta de lucro, impostos ou pedágios sobre o transporte.</w:t>
            </w:r>
            <w:r>
              <w:rPr>
                <w:rFonts w:ascii="Times New Roman" w:hAnsi="Times New Roman" w:cs="Times New Roman"/>
                <w:sz w:val="24"/>
                <w:szCs w:val="24"/>
              </w:rPr>
              <w:br w:type="textWrapping"/>
            </w:r>
            <w:r>
              <w:rPr>
                <w:rFonts w:ascii="Times New Roman" w:hAnsi="Times New Roman" w:cs="Times New Roman"/>
                <w:sz w:val="24"/>
                <w:szCs w:val="24"/>
              </w:rPr>
              <w:t>O custo do transporte depende diretamente de dois fatores: quantidade e distância. Sendo assim, quanto maior a distância de transporte, maiores serão os custos de combustível, manutenção, motorista, dentre outros. Além disso, a redução da distância favorece a diminuição dos riscos de acidentes de trânsito, redução de emissão de gases poluentes e agilidade na produção.</w:t>
            </w:r>
            <w:r>
              <w:rPr>
                <w:rFonts w:ascii="Times New Roman" w:hAnsi="Times New Roman" w:cs="Times New Roman"/>
                <w:sz w:val="24"/>
                <w:szCs w:val="24"/>
              </w:rPr>
              <w:br w:type="textWrapping"/>
            </w:r>
            <w:r>
              <w:rPr>
                <w:rFonts w:ascii="Times New Roman" w:hAnsi="Times New Roman" w:cs="Times New Roman"/>
                <w:sz w:val="24"/>
                <w:szCs w:val="24"/>
              </w:rPr>
              <w:t>Em razão do exposto, a equipe desta secretaria elaborou um mapa (anexo) que demonstra a localização das estradas não pavimentadas do município, estimadas em 891 quilômetros, cujas cascalheiras precisam estar a 20 km do local onde será realizado o cascalhamento, levantamento e ou base e sub-base, devido ao explicitado: menor custo de combustível, manutenção, motorista, redução da poluição e diminuição da exposição a acidentes, maior eficiência operacional de transporte e descarregamento.</w:t>
            </w:r>
            <w:r>
              <w:rPr>
                <w:rFonts w:ascii="Times New Roman" w:hAnsi="Times New Roman" w:cs="Times New Roman"/>
                <w:sz w:val="24"/>
                <w:szCs w:val="24"/>
              </w:rPr>
              <w:br w:type="textWrapping"/>
            </w:r>
            <w:r>
              <w:rPr>
                <w:rFonts w:ascii="Times New Roman" w:hAnsi="Times New Roman" w:cs="Times New Roman"/>
                <w:sz w:val="24"/>
                <w:szCs w:val="24"/>
              </w:rPr>
              <w:t>DA DESTINAÇÃO ESPECÍFICA PARA PAVIMENTAÇÃO</w:t>
            </w:r>
            <w:r>
              <w:rPr>
                <w:rFonts w:ascii="Times New Roman" w:hAnsi="Times New Roman" w:cs="Times New Roman"/>
                <w:sz w:val="24"/>
                <w:szCs w:val="24"/>
              </w:rPr>
              <w:br w:type="textWrapping"/>
            </w:r>
            <w:r>
              <w:rPr>
                <w:rFonts w:ascii="Times New Roman" w:hAnsi="Times New Roman" w:cs="Times New Roman"/>
                <w:sz w:val="24"/>
                <w:szCs w:val="24"/>
              </w:rPr>
              <w:t xml:space="preserve">Fica estabelecido que, do volume total de material solicitado, a quantia de </w:t>
            </w:r>
            <w:r>
              <w:rPr>
                <w:rFonts w:ascii="Times New Roman" w:hAnsi="Times New Roman" w:cs="Times New Roman"/>
                <w:sz w:val="24"/>
                <w:szCs w:val="24"/>
                <w:lang w:val="pt-BR"/>
              </w:rPr>
              <w:t>6</w:t>
            </w:r>
            <w:r>
              <w:rPr>
                <w:rFonts w:ascii="Times New Roman" w:hAnsi="Times New Roman" w:cs="Times New Roman"/>
                <w:sz w:val="24"/>
                <w:szCs w:val="24"/>
              </w:rPr>
              <w:t>0.000 m³ será vinculada à execução de base e sub-base para futuras obras de pavimentação asfáltica executadas pelo município. Tal medida justifica-se pela necessidade de manutenção de estoque estratégico de solo laterítico para suporte de pavimentos, garantindo a qualidade técnica e a celeridade nos projetos de melhoria da infraestrutura viária municipal.</w:t>
            </w:r>
          </w:p>
          <w:p w14:paraId="2283F54A">
            <w:pPr>
              <w:spacing w:line="360" w:lineRule="auto"/>
              <w:jc w:val="both"/>
              <w:rPr>
                <w:rFonts w:ascii="Times New Roman" w:hAnsi="Times New Roman" w:cs="Times New Roman"/>
                <w:sz w:val="24"/>
                <w:szCs w:val="24"/>
              </w:rPr>
            </w:pPr>
            <w:r>
              <w:rPr>
                <w:rFonts w:ascii="Times New Roman" w:hAnsi="Times New Roman" w:cs="Times New Roman"/>
                <w:sz w:val="24"/>
                <w:szCs w:val="24"/>
              </w:rPr>
              <w:t>A Manutenção de Estradas Vicinais (120.000 m³) A primeira parcela do quantitativo destina-se à manutenção periódica, recuperação de greide e encascalhamento das estradas municipais não pavimentadas já existentes. A base de cálculo considerou a extensão total da malha viária rural a ser atendida e a taxa de aplicação média por quilômetro:</w:t>
            </w:r>
          </w:p>
          <w:p w14:paraId="4BE964C5">
            <w:pPr>
              <w:spacing w:line="360" w:lineRule="auto"/>
              <w:jc w:val="both"/>
              <w:rPr>
                <w:rFonts w:ascii="Times New Roman" w:hAnsi="Times New Roman" w:cs="Times New Roman"/>
                <w:sz w:val="24"/>
                <w:szCs w:val="24"/>
              </w:rPr>
            </w:pPr>
            <w:r>
              <w:rPr>
                <w:rFonts w:ascii="Times New Roman" w:hAnsi="Times New Roman" w:cs="Times New Roman"/>
                <w:sz w:val="24"/>
                <w:szCs w:val="24"/>
              </w:rPr>
              <w:t>Fórmula Aplicada: Extensão Total (km) x Taxa de Aplicação (m³/km) = Volume Total (m³)</w:t>
            </w:r>
          </w:p>
          <w:p w14:paraId="7ED30C5C">
            <w:pPr>
              <w:spacing w:line="360" w:lineRule="auto"/>
              <w:jc w:val="both"/>
              <w:rPr>
                <w:rFonts w:ascii="Times New Roman" w:hAnsi="Times New Roman" w:cs="Times New Roman"/>
                <w:sz w:val="24"/>
                <w:szCs w:val="24"/>
              </w:rPr>
            </w:pPr>
            <w:r>
              <w:rPr>
                <w:rFonts w:ascii="Times New Roman" w:hAnsi="Times New Roman" w:cs="Times New Roman"/>
                <w:sz w:val="24"/>
                <w:szCs w:val="24"/>
              </w:rPr>
              <w:t>Extensão Mapeada: 744,59 km (conforme relação detalhada na Planilha de Distribuição de Cascalho em anexo).</w:t>
            </w:r>
          </w:p>
          <w:p w14:paraId="2B316A11">
            <w:pPr>
              <w:spacing w:line="360" w:lineRule="auto"/>
              <w:jc w:val="both"/>
              <w:rPr>
                <w:rFonts w:ascii="Times New Roman" w:hAnsi="Times New Roman" w:cs="Times New Roman"/>
                <w:sz w:val="24"/>
                <w:szCs w:val="24"/>
              </w:rPr>
            </w:pPr>
            <w:r>
              <w:rPr>
                <w:rFonts w:ascii="Times New Roman" w:hAnsi="Times New Roman" w:cs="Times New Roman"/>
                <w:sz w:val="24"/>
                <w:szCs w:val="24"/>
              </w:rPr>
              <w:t>Taxa Média de Aplicação:  161,16 m³/km (volume estimado para correção de pontos críticos, preenchimento de buracos e regularização de leito).</w:t>
            </w:r>
          </w:p>
          <w:p w14:paraId="5BDD774E">
            <w:pPr>
              <w:spacing w:line="360" w:lineRule="auto"/>
              <w:jc w:val="both"/>
              <w:rPr>
                <w:rFonts w:ascii="Times New Roman" w:hAnsi="Times New Roman" w:cs="Times New Roman"/>
                <w:sz w:val="24"/>
                <w:szCs w:val="24"/>
              </w:rPr>
            </w:pPr>
            <w:r>
              <w:rPr>
                <w:rFonts w:ascii="Times New Roman" w:hAnsi="Times New Roman" w:cs="Times New Roman"/>
                <w:sz w:val="24"/>
                <w:szCs w:val="24"/>
              </w:rPr>
              <w:t>Cálculo: 744,59 km x 161,16 m³/km = 120.000,00 m³</w:t>
            </w:r>
          </w:p>
          <w:p w14:paraId="7E496856">
            <w:pPr>
              <w:spacing w:line="360" w:lineRule="auto"/>
              <w:jc w:val="both"/>
              <w:rPr>
                <w:rFonts w:ascii="Times New Roman" w:hAnsi="Times New Roman" w:cs="Times New Roman"/>
                <w:sz w:val="24"/>
                <w:szCs w:val="24"/>
              </w:rPr>
            </w:pPr>
            <w:r>
              <w:rPr>
                <w:rFonts w:ascii="Times New Roman" w:hAnsi="Times New Roman" w:cs="Times New Roman"/>
                <w:sz w:val="24"/>
                <w:szCs w:val="24"/>
              </w:rPr>
              <w:t>Justificativa de Quantitativo: Obras Novas e Projetos Futuros (60.000 m³) A segunda parcela, totalizando 60.000 m³, compõe uma margem de segurança técnica e operacional destinada ao atendimento de futuras frentes de pavimentação e readequação de estradas que se encontram atualmente em processo de aprovação de projeto ou com projetos já aprovados.</w:t>
            </w:r>
          </w:p>
          <w:p w14:paraId="6366FBB2">
            <w:pPr>
              <w:spacing w:line="360" w:lineRule="auto"/>
              <w:jc w:val="both"/>
              <w:rPr>
                <w:rFonts w:ascii="Times New Roman" w:hAnsi="Times New Roman" w:cs="Times New Roman"/>
                <w:sz w:val="24"/>
                <w:szCs w:val="24"/>
              </w:rPr>
            </w:pPr>
            <w:r>
              <w:rPr>
                <w:rFonts w:ascii="Times New Roman" w:hAnsi="Times New Roman" w:cs="Times New Roman"/>
                <w:sz w:val="24"/>
                <w:szCs w:val="24"/>
              </w:rPr>
              <w:t>A reserva deste quantitativo é estritamente necessária para evitar o desabastecimento de insumos e a consequente paralisação do cronograma de obras do município. Dentre os projetos que demandarão esta reserva de material para a conformação de base e sub-base, destacam-se, a título de exemplo, as intervenções já mapeadas nas seguintes vias:</w:t>
            </w:r>
          </w:p>
          <w:p w14:paraId="53A89A90">
            <w:pPr>
              <w:spacing w:line="360" w:lineRule="auto"/>
              <w:jc w:val="both"/>
              <w:rPr>
                <w:rFonts w:ascii="Times New Roman" w:hAnsi="Times New Roman" w:cs="Times New Roman"/>
                <w:sz w:val="24"/>
                <w:szCs w:val="24"/>
              </w:rPr>
            </w:pPr>
            <w:r>
              <w:rPr>
                <w:rFonts w:ascii="Times New Roman" w:hAnsi="Times New Roman" w:cs="Times New Roman"/>
                <w:sz w:val="24"/>
                <w:szCs w:val="24"/>
              </w:rPr>
              <w:t>Estrada do Cortado;</w:t>
            </w:r>
          </w:p>
          <w:p w14:paraId="2E3E53DB">
            <w:pPr>
              <w:spacing w:line="360" w:lineRule="auto"/>
              <w:jc w:val="both"/>
              <w:rPr>
                <w:rFonts w:ascii="Times New Roman" w:hAnsi="Times New Roman" w:cs="Times New Roman"/>
                <w:sz w:val="24"/>
                <w:szCs w:val="24"/>
              </w:rPr>
            </w:pPr>
            <w:r>
              <w:rPr>
                <w:rFonts w:ascii="Times New Roman" w:hAnsi="Times New Roman" w:cs="Times New Roman"/>
                <w:sz w:val="24"/>
                <w:szCs w:val="24"/>
              </w:rPr>
              <w:t>Estrada Monaliza;</w:t>
            </w:r>
          </w:p>
          <w:p w14:paraId="0FE7C0CD">
            <w:pPr>
              <w:spacing w:line="360" w:lineRule="auto"/>
              <w:jc w:val="both"/>
              <w:rPr>
                <w:rFonts w:ascii="Times New Roman" w:hAnsi="Times New Roman" w:cs="Times New Roman"/>
                <w:sz w:val="24"/>
                <w:szCs w:val="24"/>
              </w:rPr>
            </w:pPr>
            <w:r>
              <w:rPr>
                <w:rFonts w:ascii="Times New Roman" w:hAnsi="Times New Roman" w:cs="Times New Roman"/>
                <w:sz w:val="24"/>
                <w:szCs w:val="24"/>
              </w:rPr>
              <w:t>Estrada Adalgisa;</w:t>
            </w:r>
          </w:p>
          <w:p w14:paraId="05721B26">
            <w:pPr>
              <w:spacing w:line="360" w:lineRule="auto"/>
              <w:jc w:val="both"/>
              <w:rPr>
                <w:rFonts w:ascii="Times New Roman" w:hAnsi="Times New Roman" w:cs="Times New Roman"/>
                <w:sz w:val="24"/>
                <w:szCs w:val="24"/>
              </w:rPr>
            </w:pPr>
            <w:r>
              <w:rPr>
                <w:rFonts w:ascii="Times New Roman" w:hAnsi="Times New Roman" w:cs="Times New Roman"/>
                <w:sz w:val="24"/>
                <w:szCs w:val="24"/>
              </w:rPr>
              <w:t>Estrada Silvana;</w:t>
            </w:r>
          </w:p>
          <w:p w14:paraId="1979749E">
            <w:pPr>
              <w:spacing w:line="360" w:lineRule="auto"/>
              <w:jc w:val="both"/>
              <w:rPr>
                <w:rFonts w:ascii="Times New Roman" w:hAnsi="Times New Roman" w:cs="Times New Roman"/>
                <w:sz w:val="24"/>
                <w:szCs w:val="24"/>
              </w:rPr>
            </w:pPr>
            <w:r>
              <w:rPr>
                <w:rFonts w:ascii="Times New Roman" w:hAnsi="Times New Roman" w:cs="Times New Roman"/>
                <w:sz w:val="24"/>
                <w:szCs w:val="24"/>
              </w:rPr>
              <w:t>Entre outras vias contempladas no plano de expansão da infraestrutura municipal.</w:t>
            </w:r>
          </w:p>
          <w:p w14:paraId="7AFBCD98">
            <w:pPr>
              <w:spacing w:line="360" w:lineRule="auto"/>
              <w:jc w:val="both"/>
              <w:rPr>
                <w:rFonts w:ascii="Times New Roman" w:hAnsi="Times New Roman" w:cs="Times New Roman"/>
                <w:sz w:val="24"/>
                <w:szCs w:val="24"/>
              </w:rPr>
            </w:pPr>
            <w:r>
              <w:rPr>
                <w:rFonts w:ascii="Times New Roman" w:hAnsi="Times New Roman" w:cs="Times New Roman"/>
                <w:sz w:val="24"/>
                <w:szCs w:val="24"/>
              </w:rPr>
              <w:t>Dessa forma, a soma da demanda de manutenção contínua das vicinais (120.000 m³) com a projeção de consumo para as novas frentes de obra aprovadas (60.000 m³) perfaz a quantia exata de 180.000 m³, comprovando a aderência do quantitativo licitado à real necessidade da Administração Pública.</w:t>
            </w:r>
          </w:p>
          <w:p w14:paraId="347D52A6">
            <w:pPr>
              <w:spacing w:line="360" w:lineRule="auto"/>
              <w:jc w:val="both"/>
              <w:rPr>
                <w:rFonts w:hint="default" w:ascii="Times New Roman" w:hAnsi="Times New Roman" w:cs="Times New Roman"/>
                <w:sz w:val="24"/>
                <w:szCs w:val="24"/>
                <w:lang w:val="pt-BR"/>
              </w:rPr>
            </w:pPr>
            <w:r>
              <w:rPr>
                <w:rFonts w:hint="default" w:ascii="Times New Roman" w:hAnsi="Times New Roman" w:cs="Times New Roman"/>
                <w:sz w:val="24"/>
                <w:szCs w:val="24"/>
                <w:lang w:val="pt-BR"/>
              </w:rPr>
              <w:t>Segue relatório das estradas a serem atendidas com cascalhamento:</w:t>
            </w:r>
          </w:p>
          <w:p w14:paraId="754A449B">
            <w:pPr>
              <w:spacing w:line="360" w:lineRule="auto"/>
              <w:jc w:val="both"/>
              <w:rPr>
                <w:rFonts w:ascii="Times New Roman" w:hAnsi="Times New Roman" w:cs="Times New Roman"/>
                <w:sz w:val="24"/>
                <w:szCs w:val="24"/>
              </w:rPr>
            </w:pPr>
            <w:r>
              <w:drawing>
                <wp:inline distT="0" distB="0" distL="0" distR="0">
                  <wp:extent cx="5400040" cy="8353425"/>
                  <wp:effectExtent l="0" t="0" r="10160" b="9525"/>
                  <wp:docPr id="925209754"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25209754" name="Imagem 1"/>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a:xfrm>
                            <a:off x="0" y="0"/>
                            <a:ext cx="5400040" cy="8353425"/>
                          </a:xfrm>
                          <a:prstGeom prst="rect">
                            <a:avLst/>
                          </a:prstGeom>
                          <a:noFill/>
                          <a:ln>
                            <a:noFill/>
                          </a:ln>
                        </pic:spPr>
                      </pic:pic>
                    </a:graphicData>
                  </a:graphic>
                </wp:inline>
              </w:drawing>
            </w:r>
            <w:r>
              <w:rPr>
                <w:rFonts w:ascii="Times New Roman" w:hAnsi="Times New Roman" w:cs="Times New Roman"/>
                <w:sz w:val="24"/>
                <w:szCs w:val="24"/>
              </w:rPr>
              <w:br w:type="textWrapping"/>
            </w:r>
            <w:r>
              <w:rPr>
                <w:rFonts w:ascii="Times New Roman" w:hAnsi="Times New Roman" w:cs="Times New Roman"/>
                <w:sz w:val="24"/>
                <w:szCs w:val="24"/>
              </w:rPr>
              <w:t>3.2. Mapa de Riscos - Justificativa de não adoção de matriz de risco: A matriz de risco definida no inciso XXVII do art. 6° da Lei 14.133/2021 e necessária nos contratos administrativos, quando for o caso, de acordo com o art. 92, inciso IX da mesma lei, não será adotada neste processo, levando em consideração que em determinadas contratações, notadamente comuns e simples, tais como o processo em questão não é empregada. A matriz de risco é obrigatória, sobretudo em obras e serviços e fornecimentos de grande vulto, cujo valor estimado seja superior a R$ 200.000.000,00 (duzentos milhões) de reais, vejamos:</w:t>
            </w:r>
            <w:r>
              <w:rPr>
                <w:rFonts w:ascii="Times New Roman" w:hAnsi="Times New Roman" w:cs="Times New Roman"/>
                <w:sz w:val="24"/>
                <w:szCs w:val="24"/>
              </w:rPr>
              <w:br w:type="textWrapping"/>
            </w:r>
            <w:r>
              <w:rPr>
                <w:rFonts w:ascii="Times New Roman" w:hAnsi="Times New Roman" w:cs="Times New Roman"/>
                <w:sz w:val="24"/>
                <w:szCs w:val="24"/>
              </w:rPr>
              <w:t>Art. 22, § 3° Quando a contratação se referir a obras e serviços de grande vulto ou forem adotados os regimes de contratação integrada e semi-integrada, o edital obrigatoriamente contemplará matriz de alocação de riscos entre o contratante e o contratado.</w:t>
            </w:r>
            <w:r>
              <w:rPr>
                <w:rFonts w:ascii="Times New Roman" w:hAnsi="Times New Roman" w:cs="Times New Roman"/>
                <w:sz w:val="24"/>
                <w:szCs w:val="24"/>
              </w:rPr>
              <w:br w:type="textWrapping"/>
            </w:r>
            <w:r>
              <w:rPr>
                <w:rFonts w:ascii="Times New Roman" w:hAnsi="Times New Roman" w:cs="Times New Roman"/>
                <w:sz w:val="24"/>
                <w:szCs w:val="24"/>
              </w:rPr>
              <w:t>Art. 6°, Inciso XXII - obras, serviços e fornecimentos de grande vulto: aqueles cujo valor estimado supera R$ 200.000.000,00 (duzentos milhões de reais).</w:t>
            </w:r>
            <w:r>
              <w:rPr>
                <w:rFonts w:ascii="Times New Roman" w:hAnsi="Times New Roman" w:cs="Times New Roman"/>
                <w:sz w:val="24"/>
                <w:szCs w:val="24"/>
              </w:rPr>
              <w:br w:type="textWrapping"/>
            </w:r>
            <w:r>
              <w:rPr>
                <w:rFonts w:ascii="Times New Roman" w:hAnsi="Times New Roman" w:cs="Times New Roman"/>
                <w:sz w:val="24"/>
                <w:szCs w:val="24"/>
              </w:rPr>
              <w:t>Sendo assim, vê-se que não é o caso da contratação em trâmite, de forma que o referido documento não constará neste processo.</w:t>
            </w:r>
            <w:r>
              <w:rPr>
                <w:rFonts w:ascii="Times New Roman" w:hAnsi="Times New Roman" w:cs="Times New Roman"/>
                <w:sz w:val="24"/>
                <w:szCs w:val="24"/>
              </w:rPr>
              <w:br w:type="textWrapping"/>
            </w:r>
            <w:r>
              <w:rPr>
                <w:rFonts w:ascii="Times New Roman" w:hAnsi="Times New Roman" w:cs="Times New Roman"/>
                <w:sz w:val="24"/>
                <w:szCs w:val="24"/>
              </w:rPr>
              <w:t>3.2.2. Justificativa da não confecção de mapa/gerenciamento de risco: A ausência do mapa/gerenciamento de riscos, conforme previsto no Decreto Municipal, justifica-se pelo fato de ser um processo de baixa complexidade e tratar-se de contratação de empresa fornecedora de objeto que é normalmente utilizado pela Administração Pública. As hipóteses de dispensa do gerenciamento de risco, conforme disposto no Decreto Municipal 359/2023 dispõe no art. 521, § 2º:</w:t>
            </w:r>
            <w:r>
              <w:rPr>
                <w:rFonts w:ascii="Times New Roman" w:hAnsi="Times New Roman" w:cs="Times New Roman"/>
                <w:sz w:val="24"/>
                <w:szCs w:val="24"/>
              </w:rPr>
              <w:br w:type="textWrapping"/>
            </w:r>
            <w:r>
              <w:rPr>
                <w:rFonts w:ascii="Times New Roman" w:hAnsi="Times New Roman" w:cs="Times New Roman"/>
                <w:sz w:val="24"/>
                <w:szCs w:val="24"/>
              </w:rPr>
              <w:t>O gerenciamento dos riscos poderá ser dispensado nos casos envolvendo contratação de objetos de baixo valor, baixa complexidade e contratações de fornecimento e serviços normalmente utilizados pela Administração Pública com potencial de risco raro ou pouco provável ou de escala muito baixa ou baixa.</w:t>
            </w:r>
            <w:r>
              <w:rPr>
                <w:rFonts w:ascii="Times New Roman" w:hAnsi="Times New Roman" w:cs="Times New Roman"/>
                <w:sz w:val="24"/>
                <w:szCs w:val="24"/>
              </w:rPr>
              <w:br w:type="textWrapping"/>
            </w:r>
            <w:r>
              <w:rPr>
                <w:rFonts w:ascii="Times New Roman" w:hAnsi="Times New Roman" w:cs="Times New Roman"/>
                <w:sz w:val="24"/>
                <w:szCs w:val="24"/>
              </w:rPr>
              <w:t>Portanto, o mapa de riscos acima citado não constará neste processo, devido não ser o caso, conforme documentos em anexo.</w:t>
            </w:r>
          </w:p>
        </w:tc>
      </w:tr>
    </w:tbl>
    <w:p w14:paraId="7FBC4582">
      <w:pPr>
        <w:jc w:val="both"/>
        <w:rPr>
          <w:rFonts w:ascii="Times New Roman" w:hAnsi="Times New Roman" w:cs="Times New Roman"/>
          <w:b/>
          <w:bCs/>
          <w:sz w:val="24"/>
          <w:szCs w:val="24"/>
          <w:lang w:val="pt-BR"/>
        </w:rPr>
      </w:pPr>
    </w:p>
    <w:tbl>
      <w:tblPr>
        <w:tblStyle w:val="14"/>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9571"/>
      </w:tblGrid>
      <w:tr w14:paraId="0C34523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571" w:type="dxa"/>
            <w:shd w:val="clear" w:color="auto" w:fill="D7D7D7" w:themeFill="background1" w:themeFillShade="D8"/>
          </w:tcPr>
          <w:p w14:paraId="74C3878E">
            <w:pPr>
              <w:numPr>
                <w:ilvl w:val="0"/>
                <w:numId w:val="7"/>
              </w:numPr>
              <w:jc w:val="both"/>
              <w:rPr>
                <w:rFonts w:ascii="Times New Roman" w:hAnsi="Times New Roman" w:cs="Times New Roman"/>
                <w:sz w:val="24"/>
                <w:szCs w:val="24"/>
                <w:lang w:val="pt-BR"/>
              </w:rPr>
            </w:pPr>
            <w:r>
              <w:rPr>
                <w:rFonts w:ascii="Times New Roman" w:hAnsi="Times New Roman" w:cs="Times New Roman"/>
                <w:b/>
                <w:bCs/>
                <w:sz w:val="24"/>
                <w:szCs w:val="24"/>
                <w:lang w:val="pt-BR"/>
              </w:rPr>
              <w:t>DESCRIÇÃO DA SOLUÇÃO (QUANDO APLICÁVEL)</w:t>
            </w:r>
          </w:p>
        </w:tc>
      </w:tr>
      <w:tr w14:paraId="1524CC3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571" w:type="dxa"/>
          </w:tcPr>
          <w:p w14:paraId="4E41E22A">
            <w:pPr>
              <w:pStyle w:val="16"/>
              <w:spacing w:line="360" w:lineRule="auto"/>
              <w:jc w:val="both"/>
              <w:rPr>
                <w:rFonts w:ascii="Times New Roman" w:hAnsi="Times New Roman" w:cs="Times New Roman"/>
                <w:iCs/>
                <w:sz w:val="24"/>
                <w:szCs w:val="24"/>
              </w:rPr>
            </w:pPr>
            <w:r>
              <w:rPr>
                <w:rFonts w:ascii="Times New Roman" w:hAnsi="Times New Roman" w:cs="Times New Roman"/>
                <w:b/>
                <w:bCs/>
                <w:sz w:val="24"/>
                <w:szCs w:val="24"/>
                <w:lang w:val="pt-BR"/>
              </w:rPr>
              <w:t>4.1</w:t>
            </w:r>
            <w:r>
              <w:rPr>
                <w:rFonts w:ascii="Times New Roman" w:hAnsi="Times New Roman" w:cs="Times New Roman"/>
                <w:sz w:val="24"/>
                <w:szCs w:val="24"/>
                <w:lang w:val="pt-BR"/>
              </w:rPr>
              <w:t xml:space="preserve">. </w:t>
            </w:r>
            <w:r>
              <w:rPr>
                <w:rFonts w:ascii="Times New Roman" w:hAnsi="Times New Roman" w:cs="Times New Roman"/>
                <w:iCs/>
                <w:sz w:val="24"/>
                <w:szCs w:val="24"/>
              </w:rPr>
              <w:t>A solução proposta visa garantir que o poder público cumpra seus compromissos, fornecendo serviços públicos de alta qualidade à população e beneficiando todos aqueles que utilizam as vias públicas e dependem de um tráfego em boas condições.</w:t>
            </w:r>
          </w:p>
          <w:p w14:paraId="508E4038">
            <w:pPr>
              <w:pStyle w:val="16"/>
              <w:spacing w:line="360" w:lineRule="auto"/>
              <w:jc w:val="both"/>
              <w:rPr>
                <w:rFonts w:ascii="Times New Roman" w:hAnsi="Times New Roman" w:cs="Times New Roman"/>
                <w:iCs/>
                <w:sz w:val="24"/>
                <w:szCs w:val="24"/>
              </w:rPr>
            </w:pPr>
            <w:r>
              <w:rPr>
                <w:rFonts w:ascii="Times New Roman" w:hAnsi="Times New Roman" w:cs="Times New Roman"/>
                <w:iCs/>
                <w:sz w:val="24"/>
                <w:szCs w:val="24"/>
              </w:rPr>
              <w:t>Ao priorizar a manutenção e melhoria das vias rurais através d</w:t>
            </w:r>
            <w:r>
              <w:rPr>
                <w:rFonts w:ascii="Times New Roman" w:hAnsi="Times New Roman" w:cs="Times New Roman"/>
                <w:iCs/>
                <w:sz w:val="24"/>
                <w:szCs w:val="24"/>
                <w:lang w:val="pt-BR"/>
              </w:rPr>
              <w:t>o fornecimento e</w:t>
            </w:r>
            <w:r>
              <w:rPr>
                <w:rFonts w:ascii="Times New Roman" w:hAnsi="Times New Roman" w:cs="Times New Roman"/>
                <w:iCs/>
                <w:sz w:val="24"/>
                <w:szCs w:val="24"/>
              </w:rPr>
              <w:t xml:space="preserve"> aquisição dos materiais necessários para terraplanagem, estamos investindo no bem-estar e na segurança dos cidadãos. Estradas em bom estado não apenas facilitam o deslocamento diário dos de munícipes, mas também contribuem para a redução de acidentes trânsito e o aumento da eficiência logística para empresas e serviços públicos.</w:t>
            </w:r>
          </w:p>
          <w:p w14:paraId="7C4291D0">
            <w:pPr>
              <w:pStyle w:val="16"/>
              <w:spacing w:line="360" w:lineRule="auto"/>
              <w:jc w:val="both"/>
              <w:rPr>
                <w:rFonts w:ascii="Times New Roman" w:hAnsi="Times New Roman" w:cs="Times New Roman"/>
                <w:iCs/>
                <w:sz w:val="24"/>
                <w:szCs w:val="24"/>
              </w:rPr>
            </w:pPr>
            <w:r>
              <w:rPr>
                <w:rFonts w:ascii="Times New Roman" w:hAnsi="Times New Roman" w:cs="Times New Roman"/>
                <w:iCs/>
                <w:sz w:val="24"/>
                <w:szCs w:val="24"/>
              </w:rPr>
              <w:t>Além disso, ao oferecer uma infraestrutura viária de qualidade, o poder público demonstra seu compromisso com o desenvolvimento sustentável e o crescimento econômico da região. Vias bem conservadas são um importante fator de atratividade para investimentos, impulsionando o comércio local e a geração de empregos.</w:t>
            </w:r>
          </w:p>
          <w:p w14:paraId="20E0C0DD">
            <w:pPr>
              <w:spacing w:line="360" w:lineRule="auto"/>
              <w:jc w:val="both"/>
              <w:rPr>
                <w:rFonts w:ascii="Times New Roman" w:hAnsi="Times New Roman" w:cs="Times New Roman"/>
                <w:sz w:val="24"/>
                <w:szCs w:val="24"/>
                <w:lang w:val="pt-BR"/>
              </w:rPr>
            </w:pPr>
            <w:r>
              <w:rPr>
                <w:rFonts w:ascii="Times New Roman" w:hAnsi="Times New Roman" w:cs="Times New Roman"/>
                <w:iCs/>
                <w:sz w:val="24"/>
                <w:szCs w:val="24"/>
                <w:lang w:val="pt-BR"/>
              </w:rPr>
              <w:t>Portanto, investir na manutenção das vias públicas e nas futuras obras não é apenas uma questão de cumprir obrigações, mas sim de promover o desenvolvimento socioeconômico e garantir uma melhor qualidade de trafegabilidade para toda a comunidade.</w:t>
            </w:r>
          </w:p>
          <w:p w14:paraId="6953B221">
            <w:pPr>
              <w:spacing w:line="360" w:lineRule="auto"/>
              <w:jc w:val="both"/>
              <w:rPr>
                <w:rFonts w:ascii="Times New Roman" w:hAnsi="Times New Roman" w:cs="Times New Roman"/>
                <w:sz w:val="24"/>
                <w:szCs w:val="24"/>
                <w:lang w:val="pt-BR"/>
              </w:rPr>
            </w:pPr>
            <w:r>
              <w:rPr>
                <w:rFonts w:ascii="Times New Roman" w:hAnsi="Times New Roman" w:cs="Times New Roman"/>
                <w:b/>
                <w:bCs/>
                <w:sz w:val="24"/>
                <w:szCs w:val="24"/>
                <w:lang w:val="pt-BR"/>
              </w:rPr>
              <w:t>4.2</w:t>
            </w:r>
            <w:r>
              <w:rPr>
                <w:rFonts w:ascii="Times New Roman" w:hAnsi="Times New Roman" w:cs="Times New Roman"/>
                <w:sz w:val="24"/>
                <w:szCs w:val="24"/>
                <w:lang w:val="pt-BR"/>
              </w:rPr>
              <w:t xml:space="preserve"> </w:t>
            </w:r>
            <w:r>
              <w:rPr>
                <w:rFonts w:ascii="Times New Roman" w:hAnsi="Times New Roman" w:cs="Times New Roman"/>
                <w:b/>
                <w:bCs/>
                <w:sz w:val="24"/>
                <w:szCs w:val="24"/>
                <w:lang w:val="pt-BR"/>
              </w:rPr>
              <w:t>Sustentabilidade na Contratação:</w:t>
            </w:r>
            <w:r>
              <w:rPr>
                <w:rFonts w:ascii="Times New Roman" w:hAnsi="Times New Roman" w:cs="Times New Roman"/>
                <w:sz w:val="24"/>
                <w:szCs w:val="24"/>
                <w:lang w:val="pt-BR"/>
              </w:rPr>
              <w:t xml:space="preserve"> </w:t>
            </w:r>
          </w:p>
          <w:p w14:paraId="4AE57FA4">
            <w:pPr>
              <w:spacing w:line="360" w:lineRule="auto"/>
              <w:jc w:val="both"/>
              <w:rPr>
                <w:rFonts w:ascii="Times New Roman" w:hAnsi="Times New Roman" w:cs="Times New Roman"/>
                <w:sz w:val="24"/>
                <w:szCs w:val="24"/>
                <w:lang w:val="pt-BR"/>
              </w:rPr>
            </w:pPr>
            <w:r>
              <w:rPr>
                <w:rFonts w:ascii="Times New Roman" w:hAnsi="Times New Roman" w:cs="Times New Roman"/>
                <w:sz w:val="24"/>
                <w:szCs w:val="24"/>
                <w:lang w:val="pt-BR"/>
              </w:rPr>
              <w:t>A execução do contrato decorrente desta licitação deverá observar os princípios da sustentabilidade ambiental, social e econômica, conforme dispõe o art. 5º, inciso XII, da Lei nº 14.133/2021, devendo a contratada adotar práticas que assegurem a redução de impactos ambientais decorrentes da extração, transporte e fornecimento do cascalho.</w:t>
            </w:r>
          </w:p>
          <w:p w14:paraId="615EA6BE">
            <w:pPr>
              <w:spacing w:line="360" w:lineRule="auto"/>
              <w:jc w:val="both"/>
              <w:rPr>
                <w:rFonts w:ascii="Times New Roman" w:hAnsi="Times New Roman" w:cs="Times New Roman"/>
                <w:sz w:val="24"/>
                <w:szCs w:val="24"/>
                <w:lang w:val="pt-BR"/>
              </w:rPr>
            </w:pPr>
            <w:r>
              <w:rPr>
                <w:rFonts w:ascii="Times New Roman" w:hAnsi="Times New Roman" w:cs="Times New Roman"/>
                <w:sz w:val="24"/>
                <w:szCs w:val="24"/>
                <w:lang w:val="pt-BR"/>
              </w:rPr>
              <w:t>Para tanto, a contratada se compromete a:</w:t>
            </w:r>
          </w:p>
          <w:p w14:paraId="072FC402">
            <w:pPr>
              <w:spacing w:line="360" w:lineRule="auto"/>
              <w:jc w:val="both"/>
              <w:rPr>
                <w:rFonts w:ascii="Times New Roman" w:hAnsi="Times New Roman" w:cs="Times New Roman"/>
                <w:sz w:val="24"/>
                <w:szCs w:val="24"/>
                <w:lang w:val="pt-BR"/>
              </w:rPr>
            </w:pPr>
            <w:r>
              <w:rPr>
                <w:rFonts w:ascii="Times New Roman" w:hAnsi="Times New Roman" w:cs="Times New Roman"/>
                <w:sz w:val="24"/>
                <w:szCs w:val="24"/>
                <w:lang w:val="pt-BR"/>
              </w:rPr>
              <w:t>I – apresentar comprovação de regularidade ambiental da área de extração, incluindo licenciamento expedido pelos órgãos competentes, em conformidade com a Resolução CONAMA nº 237/1997 e demais normas aplicáveis;</w:t>
            </w:r>
          </w:p>
          <w:p w14:paraId="4E7F334D">
            <w:pPr>
              <w:spacing w:line="360" w:lineRule="auto"/>
              <w:jc w:val="both"/>
              <w:rPr>
                <w:rFonts w:ascii="Times New Roman" w:hAnsi="Times New Roman" w:cs="Times New Roman"/>
                <w:sz w:val="24"/>
                <w:szCs w:val="24"/>
                <w:lang w:val="pt-BR"/>
              </w:rPr>
            </w:pPr>
            <w:r>
              <w:rPr>
                <w:rFonts w:ascii="Times New Roman" w:hAnsi="Times New Roman" w:cs="Times New Roman"/>
                <w:sz w:val="24"/>
                <w:szCs w:val="24"/>
                <w:lang w:val="pt-BR"/>
              </w:rPr>
              <w:t>II – adotar medidas de mitigação de impactos ambientais, tais como recuperação de áreas degradadas, controle de poeira e uso racional de recursos naturais, sempre que cabível;</w:t>
            </w:r>
          </w:p>
          <w:p w14:paraId="00E0021E">
            <w:pPr>
              <w:spacing w:line="360" w:lineRule="auto"/>
              <w:jc w:val="both"/>
              <w:rPr>
                <w:rFonts w:ascii="Times New Roman" w:hAnsi="Times New Roman" w:cs="Times New Roman"/>
                <w:sz w:val="24"/>
                <w:szCs w:val="24"/>
                <w:lang w:val="pt-BR"/>
              </w:rPr>
            </w:pPr>
            <w:r>
              <w:rPr>
                <w:rFonts w:ascii="Times New Roman" w:hAnsi="Times New Roman" w:cs="Times New Roman"/>
                <w:sz w:val="24"/>
                <w:szCs w:val="24"/>
                <w:lang w:val="pt-BR"/>
              </w:rPr>
              <w:t>III - priorizar, sempre que possível, fornecedores e mão de obra locais, contribuindo para o desenvolvimento socioeconômico da região;</w:t>
            </w:r>
          </w:p>
          <w:p w14:paraId="2CBDF704">
            <w:pPr>
              <w:spacing w:line="360" w:lineRule="auto"/>
              <w:jc w:val="both"/>
              <w:rPr>
                <w:rFonts w:ascii="Times New Roman" w:hAnsi="Times New Roman" w:cs="Times New Roman"/>
                <w:sz w:val="24"/>
                <w:szCs w:val="24"/>
                <w:lang w:val="pt-BR"/>
              </w:rPr>
            </w:pPr>
            <w:r>
              <w:rPr>
                <w:rFonts w:ascii="Times New Roman" w:hAnsi="Times New Roman" w:cs="Times New Roman"/>
                <w:sz w:val="24"/>
                <w:szCs w:val="24"/>
                <w:lang w:val="pt-BR"/>
              </w:rPr>
              <w:t>IV – destinar corretamente os resíduos sólidos eventualmente gerados nas atividades de extração, carga, descarga e transporte, em consonância com a Política Nacional de Resíduos Sólidos (Lei nº 12.305/2010).</w:t>
            </w:r>
          </w:p>
          <w:p w14:paraId="0EBA1E30">
            <w:pPr>
              <w:spacing w:line="360" w:lineRule="auto"/>
              <w:jc w:val="both"/>
              <w:rPr>
                <w:rFonts w:ascii="Times New Roman" w:hAnsi="Times New Roman" w:cs="Times New Roman"/>
                <w:sz w:val="24"/>
                <w:szCs w:val="24"/>
                <w:lang w:val="pt-BR"/>
              </w:rPr>
            </w:pPr>
            <w:r>
              <w:rPr>
                <w:rFonts w:ascii="Times New Roman" w:hAnsi="Times New Roman" w:cs="Times New Roman"/>
                <w:sz w:val="24"/>
                <w:szCs w:val="24"/>
                <w:lang w:val="pt-BR"/>
              </w:rPr>
              <w:t>O descumprimento das obrigações previstas nesta cláusula sujeitará a contratada às sanções administrativas previstas nos arts. 156 a 163 da Lei nº 14.133/2021, sem prejuízo das demais responsabilidades civis e penais cabíveis.</w:t>
            </w:r>
          </w:p>
        </w:tc>
      </w:tr>
      <w:tr w14:paraId="19ECDDB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571" w:type="dxa"/>
            <w:shd w:val="clear" w:color="auto" w:fill="D7D7D7" w:themeFill="background1" w:themeFillShade="D8"/>
          </w:tcPr>
          <w:p w14:paraId="3FBB926B">
            <w:pPr>
              <w:numPr>
                <w:ilvl w:val="0"/>
                <w:numId w:val="8"/>
              </w:numPr>
              <w:jc w:val="both"/>
              <w:rPr>
                <w:rFonts w:ascii="Times New Roman" w:hAnsi="Times New Roman" w:cs="Times New Roman"/>
                <w:b/>
                <w:bCs/>
                <w:sz w:val="24"/>
                <w:szCs w:val="24"/>
                <w:lang w:val="pt-BR"/>
              </w:rPr>
            </w:pPr>
            <w:r>
              <w:rPr>
                <w:rFonts w:ascii="Times New Roman" w:hAnsi="Times New Roman" w:eastAsia="SimSun" w:cs="Times New Roman"/>
                <w:b/>
                <w:bCs/>
                <w:color w:val="000000"/>
                <w:sz w:val="24"/>
                <w:szCs w:val="24"/>
                <w:lang w:val="pt-BR" w:bidi="ar"/>
              </w:rPr>
              <w:t>REQUISITOS DO OBJETO DA CONTRATAÇÃO</w:t>
            </w:r>
          </w:p>
        </w:tc>
      </w:tr>
      <w:tr w14:paraId="674246A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571" w:type="dxa"/>
          </w:tcPr>
          <w:p w14:paraId="2F017DC2">
            <w:pPr>
              <w:numPr>
                <w:ilvl w:val="0"/>
                <w:numId w:val="9"/>
              </w:numPr>
              <w:tabs>
                <w:tab w:val="left" w:pos="-200"/>
                <w:tab w:val="left" w:pos="0"/>
                <w:tab w:val="clear" w:pos="425"/>
              </w:tabs>
              <w:spacing w:line="360" w:lineRule="auto"/>
              <w:ind w:left="0" w:firstLine="0"/>
              <w:jc w:val="both"/>
              <w:rPr>
                <w:rFonts w:ascii="Times New Roman" w:hAnsi="Times New Roman" w:cs="Times New Roman"/>
                <w:b/>
                <w:bCs/>
                <w:sz w:val="24"/>
                <w:szCs w:val="24"/>
                <w:lang w:val="pt-BR"/>
              </w:rPr>
            </w:pPr>
            <w:r>
              <w:rPr>
                <w:rFonts w:ascii="Times New Roman" w:hAnsi="Times New Roman" w:cs="Times New Roman"/>
                <w:b/>
                <w:bCs/>
                <w:sz w:val="24"/>
                <w:szCs w:val="24"/>
                <w:lang w:val="pt-BR"/>
              </w:rPr>
              <w:t xml:space="preserve">Natureza do Objeto: </w:t>
            </w:r>
            <w:r>
              <w:rPr>
                <w:rFonts w:ascii="Times New Roman" w:hAnsi="Times New Roman" w:cs="Times New Roman"/>
                <w:sz w:val="24"/>
                <w:szCs w:val="24"/>
                <w:lang w:val="pt-BR"/>
              </w:rPr>
              <w:t>Nos termos do art. 6º, inciso XXVII, da Lei nº 14.133/2021, considera-se como natureza do objeto os bens e serviços comuns, assim definidos aqueles cujos padrões de desempenho e qualidade possam ser objetivamente definidos pelo edital, por meio de especificações usuais no mercado, sendo está a “Fornecimento de cascalho para manutenções e obras de base e sub-base atendendo a Secretaria de Obras”.</w:t>
            </w:r>
          </w:p>
        </w:tc>
      </w:tr>
      <w:tr w14:paraId="367D987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571" w:type="dxa"/>
          </w:tcPr>
          <w:p w14:paraId="749C6F71">
            <w:pPr>
              <w:numPr>
                <w:ilvl w:val="0"/>
                <w:numId w:val="10"/>
              </w:numPr>
              <w:tabs>
                <w:tab w:val="clear" w:pos="425"/>
              </w:tabs>
              <w:spacing w:line="360" w:lineRule="auto"/>
              <w:ind w:left="0" w:firstLine="0"/>
              <w:jc w:val="both"/>
              <w:rPr>
                <w:rFonts w:ascii="Times New Roman" w:hAnsi="Times New Roman" w:cs="Times New Roman"/>
                <w:bCs/>
                <w:sz w:val="24"/>
                <w:szCs w:val="24"/>
                <w:lang w:val="pt-BR"/>
              </w:rPr>
            </w:pPr>
            <w:r>
              <w:rPr>
                <w:rFonts w:ascii="Times New Roman" w:hAnsi="Times New Roman" w:cs="Times New Roman"/>
                <w:b/>
                <w:bCs/>
                <w:sz w:val="24"/>
                <w:szCs w:val="24"/>
                <w:lang w:val="pt-BR"/>
              </w:rPr>
              <w:t xml:space="preserve">Garantia Contratual: </w:t>
            </w:r>
            <w:r>
              <w:rPr>
                <w:rFonts w:ascii="Times New Roman" w:hAnsi="Times New Roman" w:cs="Times New Roman"/>
                <w:bCs/>
                <w:sz w:val="24"/>
                <w:szCs w:val="24"/>
                <w:lang w:val="pt-BR"/>
              </w:rPr>
              <w:t>Não será exigido garantia contratual, todavia é importante ressaltar que o descumprimento ou atraso nas exigências estabelecidas no edital acarretará sanções administrativas. Essas medidas punitivas estão claramente delineadas no regulamento municipal, Decreto 360/2023 e na Lei de Licitação 14.133/2021. Portanto, é imperativo observar com rigor todas as condições do edital para evitar possíveis penalidades, conforme previsto na legislação aplicável.</w:t>
            </w:r>
          </w:p>
          <w:p w14:paraId="306C43E7">
            <w:pPr>
              <w:spacing w:line="360" w:lineRule="auto"/>
              <w:ind w:left="12" w:hanging="12" w:hangingChars="5"/>
              <w:jc w:val="both"/>
              <w:rPr>
                <w:rFonts w:ascii="Times New Roman" w:hAnsi="Times New Roman" w:cs="Times New Roman"/>
                <w:sz w:val="24"/>
                <w:szCs w:val="24"/>
                <w:lang w:val="pt-BR"/>
              </w:rPr>
            </w:pPr>
            <w:r>
              <w:rPr>
                <w:rFonts w:ascii="Times New Roman" w:hAnsi="Times New Roman" w:cs="Times New Roman"/>
                <w:sz w:val="24"/>
                <w:szCs w:val="24"/>
                <w:lang w:val="pt-BR"/>
              </w:rPr>
              <w:t>Contudo, é importante destacar que o eventual descumprimento de prazos, especificações ou demais condições contratuais acarretará a aplicação de sanções administrativas, conforme previsto nos arts. 156 a 159 da Lei nº 14.133/2021, bem como no Decreto Municipal nº 359/2023, que regulamenta a nova Lei de Licitações no âmbito da Administração Pública de Sinop.</w:t>
            </w:r>
          </w:p>
          <w:p w14:paraId="4475C684">
            <w:pPr>
              <w:spacing w:line="360" w:lineRule="auto"/>
              <w:ind w:left="12" w:hanging="12" w:hangingChars="5"/>
              <w:jc w:val="both"/>
              <w:rPr>
                <w:rFonts w:ascii="Times New Roman" w:hAnsi="Times New Roman" w:cs="Times New Roman"/>
                <w:sz w:val="24"/>
                <w:szCs w:val="24"/>
                <w:lang w:val="pt-BR"/>
              </w:rPr>
            </w:pPr>
            <w:r>
              <w:rPr>
                <w:rFonts w:ascii="Times New Roman" w:hAnsi="Times New Roman" w:cs="Times New Roman"/>
                <w:sz w:val="24"/>
                <w:szCs w:val="24"/>
                <w:lang w:val="pt-BR"/>
              </w:rPr>
              <w:t>As penalidades aplicáveis abrangem, entre outras:</w:t>
            </w:r>
          </w:p>
          <w:p w14:paraId="754D885F">
            <w:pPr>
              <w:numPr>
                <w:ilvl w:val="0"/>
                <w:numId w:val="11"/>
              </w:numPr>
              <w:spacing w:line="360" w:lineRule="auto"/>
              <w:jc w:val="both"/>
              <w:rPr>
                <w:rFonts w:ascii="Times New Roman" w:hAnsi="Times New Roman" w:cs="Times New Roman"/>
                <w:sz w:val="24"/>
                <w:szCs w:val="24"/>
                <w:lang w:val="pt-BR"/>
              </w:rPr>
            </w:pPr>
            <w:r>
              <w:rPr>
                <w:rFonts w:ascii="Times New Roman" w:hAnsi="Times New Roman" w:cs="Times New Roman"/>
                <w:sz w:val="24"/>
                <w:szCs w:val="24"/>
                <w:lang w:val="pt-BR"/>
              </w:rPr>
              <w:t>Advertência;</w:t>
            </w:r>
          </w:p>
          <w:p w14:paraId="3A759D39">
            <w:pPr>
              <w:numPr>
                <w:ilvl w:val="0"/>
                <w:numId w:val="11"/>
              </w:numPr>
              <w:spacing w:line="360" w:lineRule="auto"/>
              <w:jc w:val="both"/>
              <w:rPr>
                <w:rFonts w:ascii="Times New Roman" w:hAnsi="Times New Roman" w:cs="Times New Roman"/>
                <w:sz w:val="24"/>
                <w:szCs w:val="24"/>
                <w:lang w:val="pt-BR"/>
              </w:rPr>
            </w:pPr>
            <w:r>
              <w:rPr>
                <w:rFonts w:ascii="Times New Roman" w:hAnsi="Times New Roman" w:cs="Times New Roman"/>
                <w:sz w:val="24"/>
                <w:szCs w:val="24"/>
                <w:lang w:val="pt-BR"/>
              </w:rPr>
              <w:t>Multa;</w:t>
            </w:r>
          </w:p>
          <w:p w14:paraId="4D1D5F29">
            <w:pPr>
              <w:numPr>
                <w:ilvl w:val="0"/>
                <w:numId w:val="11"/>
              </w:numPr>
              <w:spacing w:line="360" w:lineRule="auto"/>
              <w:jc w:val="both"/>
              <w:rPr>
                <w:rFonts w:ascii="Times New Roman" w:hAnsi="Times New Roman" w:cs="Times New Roman"/>
                <w:sz w:val="24"/>
                <w:szCs w:val="24"/>
                <w:lang w:val="pt-BR"/>
              </w:rPr>
            </w:pPr>
            <w:r>
              <w:rPr>
                <w:rFonts w:ascii="Times New Roman" w:hAnsi="Times New Roman" w:cs="Times New Roman"/>
                <w:sz w:val="24"/>
                <w:szCs w:val="24"/>
                <w:lang w:val="pt-BR"/>
              </w:rPr>
              <w:t>Impedimento de licitar e contratar com a Administração;</w:t>
            </w:r>
          </w:p>
          <w:p w14:paraId="7AD87E5C">
            <w:pPr>
              <w:numPr>
                <w:ilvl w:val="0"/>
                <w:numId w:val="11"/>
              </w:numPr>
              <w:spacing w:line="360" w:lineRule="auto"/>
              <w:jc w:val="both"/>
              <w:rPr>
                <w:rFonts w:ascii="Times New Roman" w:hAnsi="Times New Roman" w:cs="Times New Roman"/>
                <w:sz w:val="24"/>
                <w:szCs w:val="24"/>
                <w:lang w:val="pt-BR"/>
              </w:rPr>
            </w:pPr>
            <w:r>
              <w:rPr>
                <w:rFonts w:ascii="Times New Roman" w:hAnsi="Times New Roman" w:cs="Times New Roman"/>
                <w:sz w:val="24"/>
                <w:szCs w:val="24"/>
                <w:lang w:val="pt-BR"/>
              </w:rPr>
              <w:t>Declaração de inidoneidade, nos termos da legislação vigente.</w:t>
            </w:r>
          </w:p>
          <w:p w14:paraId="5E7480C9">
            <w:pPr>
              <w:spacing w:line="360" w:lineRule="auto"/>
              <w:ind w:left="12" w:hanging="12" w:hangingChars="5"/>
              <w:jc w:val="both"/>
              <w:rPr>
                <w:rFonts w:ascii="Times New Roman" w:hAnsi="Times New Roman" w:cs="Times New Roman"/>
                <w:b/>
                <w:bCs/>
                <w:sz w:val="24"/>
                <w:szCs w:val="24"/>
                <w:lang w:val="pt-BR"/>
              </w:rPr>
            </w:pPr>
            <w:r>
              <w:rPr>
                <w:rFonts w:ascii="Times New Roman" w:hAnsi="Times New Roman" w:cs="Times New Roman"/>
                <w:sz w:val="24"/>
                <w:szCs w:val="24"/>
                <w:lang w:val="pt-BR"/>
              </w:rPr>
              <w:t>Portanto, é imprescindível o fiel cumprimento de todas as obrigações previstas no edital e no contrato, sob pena de aplicação das sanções cabíveis, conforme legislação.</w:t>
            </w:r>
          </w:p>
        </w:tc>
      </w:tr>
      <w:tr w14:paraId="183F3F4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571" w:type="dxa"/>
          </w:tcPr>
          <w:p w14:paraId="0B4F6B06">
            <w:pPr>
              <w:tabs>
                <w:tab w:val="left" w:pos="0"/>
              </w:tabs>
              <w:spacing w:line="360" w:lineRule="auto"/>
              <w:jc w:val="both"/>
              <w:rPr>
                <w:rFonts w:ascii="Times New Roman" w:hAnsi="Times New Roman" w:cs="Times New Roman"/>
                <w:b/>
                <w:bCs/>
                <w:sz w:val="24"/>
                <w:szCs w:val="24"/>
                <w:lang w:val="pt-BR"/>
              </w:rPr>
            </w:pPr>
            <w:r>
              <w:rPr>
                <w:rFonts w:ascii="Times New Roman" w:hAnsi="Times New Roman" w:cs="Times New Roman"/>
                <w:b/>
                <w:bCs/>
                <w:sz w:val="24"/>
                <w:szCs w:val="24"/>
                <w:lang w:val="pt-BR"/>
              </w:rPr>
              <w:t xml:space="preserve">5.3. Duração do Contrato: </w:t>
            </w:r>
          </w:p>
          <w:p w14:paraId="00C96B79">
            <w:pPr>
              <w:numPr>
                <w:ilvl w:val="0"/>
                <w:numId w:val="12"/>
              </w:numPr>
              <w:tabs>
                <w:tab w:val="left" w:pos="0"/>
                <w:tab w:val="clear" w:pos="425"/>
              </w:tabs>
              <w:spacing w:line="360" w:lineRule="auto"/>
              <w:ind w:left="0" w:firstLine="0"/>
              <w:jc w:val="both"/>
              <w:rPr>
                <w:rFonts w:ascii="Times New Roman" w:hAnsi="Times New Roman" w:cs="Times New Roman"/>
                <w:sz w:val="24"/>
                <w:szCs w:val="24"/>
                <w:lang w:val="pt-BR"/>
              </w:rPr>
            </w:pPr>
            <w:r>
              <w:rPr>
                <w:rFonts w:ascii="Times New Roman" w:hAnsi="Times New Roman" w:cs="Times New Roman"/>
                <w:sz w:val="24"/>
                <w:szCs w:val="24"/>
                <w:lang w:val="pt-BR"/>
              </w:rPr>
              <w:t xml:space="preserve">Nos termos do art. 6º, inciso XV, da Lei Federal nº 14.133/2021, consideram-se fornecimentos contínuos as compras contratadas pela Administração Pública para a manutenção da atividade administrativa, decorrentes de necessidades permanentes ou prolongadas. </w:t>
            </w:r>
          </w:p>
          <w:p w14:paraId="769AF0FD">
            <w:pPr>
              <w:numPr>
                <w:ilvl w:val="0"/>
                <w:numId w:val="12"/>
              </w:numPr>
              <w:tabs>
                <w:tab w:val="left" w:pos="0"/>
                <w:tab w:val="clear" w:pos="425"/>
              </w:tabs>
              <w:spacing w:line="360" w:lineRule="auto"/>
              <w:ind w:left="0" w:firstLine="0"/>
              <w:jc w:val="both"/>
              <w:rPr>
                <w:rFonts w:ascii="Times New Roman" w:hAnsi="Times New Roman" w:cs="Times New Roman"/>
                <w:sz w:val="24"/>
                <w:szCs w:val="24"/>
                <w:lang w:val="pt-BR"/>
              </w:rPr>
            </w:pPr>
            <w:r>
              <w:rPr>
                <w:rFonts w:hint="default" w:ascii="Times New Roman" w:hAnsi="Times New Roman" w:cs="Times New Roman"/>
                <w:sz w:val="24"/>
                <w:szCs w:val="24"/>
                <w:lang w:val="pt-BR"/>
              </w:rPr>
              <w:t>O presente Credenciamento, decorrente deste Chamamento Público, permanecerá com seu edital permanentemente aberto para a recepção de novas inscrições de interessados durante todo o seu período de vigência, estimado em  até 60 meses, contados a partir da data de sua publicação oficial.</w:t>
            </w:r>
          </w:p>
          <w:p w14:paraId="2A3780AA">
            <w:pPr>
              <w:numPr>
                <w:ilvl w:val="0"/>
                <w:numId w:val="0"/>
              </w:numPr>
              <w:tabs>
                <w:tab w:val="left" w:pos="0"/>
              </w:tabs>
              <w:spacing w:line="360" w:lineRule="auto"/>
              <w:ind w:leftChars="0"/>
              <w:jc w:val="both"/>
              <w:rPr>
                <w:rFonts w:hint="default" w:ascii="Times New Roman" w:hAnsi="Times New Roman" w:cs="Times New Roman"/>
                <w:sz w:val="24"/>
                <w:szCs w:val="24"/>
                <w:lang w:val="pt-BR"/>
              </w:rPr>
            </w:pPr>
            <w:r>
              <w:rPr>
                <w:rFonts w:hint="default" w:ascii="Times New Roman" w:hAnsi="Times New Roman" w:cs="Times New Roman"/>
                <w:sz w:val="24"/>
                <w:szCs w:val="24"/>
                <w:lang w:val="pt-BR"/>
              </w:rPr>
              <w:t xml:space="preserve"> Justificativa da Continuidade: A manutenção do edital em caráter permanente justifica-se pela necessidade pública contínua, ininterrupta e de caráter indispensável de aquisição, extração e/ou fornecimento de cascalho (material de jazida) destinado à manutenção, conservação e recuperação da malha viária e estradas vicinais deste Município/Órgão.</w:t>
            </w:r>
          </w:p>
          <w:p w14:paraId="4A2CD40B">
            <w:pPr>
              <w:numPr>
                <w:ilvl w:val="0"/>
                <w:numId w:val="12"/>
              </w:numPr>
              <w:tabs>
                <w:tab w:val="left" w:pos="0"/>
                <w:tab w:val="clear" w:pos="425"/>
              </w:tabs>
              <w:spacing w:line="360" w:lineRule="auto"/>
              <w:ind w:left="0" w:firstLine="0"/>
              <w:jc w:val="both"/>
              <w:rPr>
                <w:rFonts w:hint="default" w:ascii="Times New Roman" w:hAnsi="Times New Roman" w:cs="Times New Roman"/>
                <w:sz w:val="24"/>
                <w:szCs w:val="24"/>
                <w:lang w:val="pt-BR"/>
              </w:rPr>
            </w:pPr>
            <w:r>
              <w:rPr>
                <w:rFonts w:hint="default" w:ascii="Times New Roman" w:hAnsi="Times New Roman" w:cs="Times New Roman"/>
                <w:sz w:val="24"/>
                <w:szCs w:val="24"/>
                <w:lang w:val="pt-BR"/>
              </w:rPr>
              <w:t xml:space="preserve"> Ingresso de Novos Interessados: Qualquer interessado que preencha os requisitos de habilitação jurídica, fiscal, social, trabalhista, técnica e econômico-financeira exigidos neste Edital poderá solicitar seu credenciamento a qualquer tempo para esta finalidade, passando a integrar o cadastro de credenciados após a devida análise e homologação pela Administração Pública.</w:t>
            </w:r>
          </w:p>
          <w:p w14:paraId="7EC0BB99">
            <w:pPr>
              <w:numPr>
                <w:ilvl w:val="0"/>
                <w:numId w:val="12"/>
              </w:numPr>
              <w:tabs>
                <w:tab w:val="left" w:pos="0"/>
                <w:tab w:val="clear" w:pos="425"/>
              </w:tabs>
              <w:spacing w:line="360" w:lineRule="auto"/>
              <w:ind w:left="0" w:firstLine="0"/>
              <w:jc w:val="both"/>
              <w:rPr>
                <w:rFonts w:hint="default" w:ascii="Times New Roman" w:hAnsi="Times New Roman" w:cs="Times New Roman"/>
                <w:sz w:val="24"/>
                <w:szCs w:val="24"/>
                <w:lang w:val="pt-BR"/>
              </w:rPr>
            </w:pPr>
            <w:r>
              <w:rPr>
                <w:rFonts w:hint="default" w:ascii="Times New Roman" w:hAnsi="Times New Roman" w:cs="Times New Roman"/>
                <w:sz w:val="24"/>
                <w:szCs w:val="24"/>
                <w:lang w:val="pt-BR"/>
              </w:rPr>
              <w:t>Critério de Distribuição da Demanda: A contratação dos credenciados para o fornecimento do cascalho dar-se-á de forma impessoal, observando-se os seguintes critérios:</w:t>
            </w:r>
          </w:p>
          <w:p w14:paraId="2C86F7AB">
            <w:pPr>
              <w:numPr>
                <w:ilvl w:val="0"/>
                <w:numId w:val="13"/>
              </w:numPr>
              <w:tabs>
                <w:tab w:val="left" w:pos="0"/>
                <w:tab w:val="clear" w:pos="425"/>
              </w:tabs>
              <w:spacing w:line="360" w:lineRule="auto"/>
              <w:ind w:left="425" w:leftChars="0" w:hanging="425" w:firstLineChars="0"/>
              <w:jc w:val="both"/>
              <w:rPr>
                <w:rFonts w:hint="default" w:ascii="Times New Roman" w:hAnsi="Times New Roman" w:cs="Times New Roman"/>
                <w:sz w:val="24"/>
                <w:szCs w:val="24"/>
                <w:lang w:val="pt-BR"/>
              </w:rPr>
            </w:pPr>
            <w:r>
              <w:rPr>
                <w:rFonts w:hint="default" w:ascii="Times New Roman" w:hAnsi="Times New Roman" w:cs="Times New Roman"/>
                <w:sz w:val="24"/>
                <w:szCs w:val="24"/>
                <w:lang w:val="pt-BR"/>
              </w:rPr>
              <w:t xml:space="preserve">A proximidade da jazida credenciada em relação ao local de aplicação do material (critério de economicidade do frete/transporte); </w:t>
            </w:r>
          </w:p>
          <w:p w14:paraId="5FAFC30D">
            <w:pPr>
              <w:numPr>
                <w:ilvl w:val="0"/>
                <w:numId w:val="13"/>
              </w:numPr>
              <w:tabs>
                <w:tab w:val="left" w:pos="0"/>
                <w:tab w:val="clear" w:pos="425"/>
              </w:tabs>
              <w:spacing w:line="360" w:lineRule="auto"/>
              <w:ind w:left="425" w:leftChars="0" w:hanging="425" w:firstLineChars="0"/>
              <w:jc w:val="both"/>
              <w:rPr>
                <w:rFonts w:hint="default" w:ascii="Times New Roman" w:hAnsi="Times New Roman" w:cs="Times New Roman"/>
                <w:sz w:val="24"/>
                <w:szCs w:val="24"/>
                <w:lang w:val="pt-BR"/>
              </w:rPr>
            </w:pPr>
            <w:r>
              <w:rPr>
                <w:rFonts w:hint="default" w:ascii="Times New Roman" w:hAnsi="Times New Roman" w:cs="Times New Roman"/>
                <w:sz w:val="24"/>
                <w:szCs w:val="24"/>
                <w:lang w:val="pt-BR"/>
              </w:rPr>
              <w:t>Sistema de rodízio uniforme entre todos os credenciados aptos. (Nota: Escolha a que melhor se adapta à sua realidade operacional).</w:t>
            </w:r>
          </w:p>
          <w:p w14:paraId="2DB22FA7">
            <w:pPr>
              <w:numPr>
                <w:ilvl w:val="0"/>
                <w:numId w:val="12"/>
              </w:numPr>
              <w:tabs>
                <w:tab w:val="left" w:pos="0"/>
                <w:tab w:val="clear" w:pos="425"/>
              </w:tabs>
              <w:spacing w:line="360" w:lineRule="auto"/>
              <w:ind w:left="0" w:firstLine="0"/>
              <w:jc w:val="both"/>
              <w:rPr>
                <w:rFonts w:hint="default" w:ascii="Times New Roman" w:hAnsi="Times New Roman" w:cs="Times New Roman"/>
                <w:sz w:val="24"/>
                <w:szCs w:val="24"/>
                <w:lang w:val="pt-BR"/>
              </w:rPr>
            </w:pPr>
            <w:r>
              <w:rPr>
                <w:rFonts w:hint="default" w:ascii="Times New Roman" w:hAnsi="Times New Roman" w:cs="Times New Roman"/>
                <w:sz w:val="24"/>
                <w:szCs w:val="24"/>
                <w:lang w:val="pt-BR"/>
              </w:rPr>
              <w:t xml:space="preserve"> Da Atualização de Preços: Os valores fixados pela Administração Pública para o pagamento do metro cúbico (m³$) do cascalho  serão revisados periodicamente a cada ano 1 ano, utilizando-se como índice de reajuste  específico de obras públicas/DNIT, a fim de garantir a atratividade econômica do credenciamento e evitar o desinteresse dos fornecedores ao longo do tempo.</w:t>
            </w:r>
          </w:p>
          <w:p w14:paraId="1B67FCC1">
            <w:pPr>
              <w:numPr>
                <w:ilvl w:val="0"/>
                <w:numId w:val="12"/>
              </w:numPr>
              <w:tabs>
                <w:tab w:val="left" w:pos="0"/>
                <w:tab w:val="clear" w:pos="425"/>
              </w:tabs>
              <w:spacing w:line="360" w:lineRule="auto"/>
              <w:ind w:left="0" w:firstLine="0"/>
              <w:jc w:val="both"/>
              <w:rPr>
                <w:rFonts w:hint="default" w:ascii="Times New Roman" w:hAnsi="Times New Roman" w:cs="Times New Roman"/>
                <w:sz w:val="24"/>
                <w:szCs w:val="24"/>
                <w:lang w:val="pt-BR"/>
              </w:rPr>
            </w:pPr>
            <w:r>
              <w:rPr>
                <w:rFonts w:hint="default" w:ascii="Times New Roman" w:hAnsi="Times New Roman" w:cs="Times New Roman"/>
                <w:sz w:val="24"/>
                <w:szCs w:val="24"/>
                <w:lang w:val="pt-BR"/>
              </w:rPr>
              <w:t xml:space="preserve"> Manutenção das Condições de Habilitação: Os credenciados deverão manter atualizadas todas as suas certidões e licenças durante o período em que estiverem credenciados, sob pena de suspensão temporária do direito de receber novas ordens de fornecimento até a regularização.</w:t>
            </w:r>
          </w:p>
          <w:p w14:paraId="2F078407">
            <w:pPr>
              <w:numPr>
                <w:ilvl w:val="0"/>
                <w:numId w:val="12"/>
              </w:numPr>
              <w:tabs>
                <w:tab w:val="left" w:pos="0"/>
                <w:tab w:val="clear" w:pos="425"/>
              </w:tabs>
              <w:spacing w:line="360" w:lineRule="auto"/>
              <w:ind w:left="0" w:firstLine="0"/>
              <w:jc w:val="both"/>
              <w:rPr>
                <w:rFonts w:ascii="Times New Roman" w:hAnsi="Times New Roman" w:cs="Times New Roman"/>
                <w:sz w:val="24"/>
                <w:szCs w:val="24"/>
                <w:lang w:val="pt-BR"/>
              </w:rPr>
            </w:pPr>
            <w:r>
              <w:rPr>
                <w:rFonts w:ascii="Times New Roman" w:hAnsi="Times New Roman" w:cs="Times New Roman"/>
                <w:sz w:val="24"/>
                <w:szCs w:val="24"/>
                <w:lang w:val="pt-BR"/>
              </w:rPr>
              <w:t>A prorrogação sucessiva de que trata o item, estará condicionada, em cada ato de renovação, ao atendimento simultâneo dos seguintes requisitos:</w:t>
            </w:r>
          </w:p>
          <w:p w14:paraId="4E60BEA8">
            <w:pPr>
              <w:tabs>
                <w:tab w:val="left" w:pos="0"/>
              </w:tabs>
              <w:spacing w:line="360" w:lineRule="auto"/>
              <w:jc w:val="both"/>
              <w:rPr>
                <w:rFonts w:ascii="Times New Roman" w:hAnsi="Times New Roman" w:cs="Times New Roman"/>
                <w:sz w:val="24"/>
                <w:szCs w:val="24"/>
                <w:lang w:val="pt-BR"/>
              </w:rPr>
            </w:pPr>
            <w:r>
              <w:rPr>
                <w:rFonts w:ascii="Times New Roman" w:hAnsi="Times New Roman" w:cs="Times New Roman"/>
                <w:sz w:val="24"/>
                <w:szCs w:val="24"/>
                <w:lang w:val="pt-BR"/>
              </w:rPr>
              <w:t>a) Manifestação formal e justificada do interesse da Administração Pública, emitida pela Secretaria Municipal de Obras e Serviços Urbanos;</w:t>
            </w:r>
          </w:p>
          <w:p w14:paraId="707F231F">
            <w:pPr>
              <w:tabs>
                <w:tab w:val="left" w:pos="0"/>
              </w:tabs>
              <w:spacing w:line="360" w:lineRule="auto"/>
              <w:jc w:val="both"/>
              <w:rPr>
                <w:rFonts w:ascii="Times New Roman" w:hAnsi="Times New Roman" w:cs="Times New Roman"/>
                <w:sz w:val="24"/>
                <w:szCs w:val="24"/>
                <w:lang w:val="pt-BR"/>
              </w:rPr>
            </w:pPr>
            <w:r>
              <w:rPr>
                <w:rFonts w:ascii="Times New Roman" w:hAnsi="Times New Roman" w:cs="Times New Roman"/>
                <w:sz w:val="24"/>
                <w:szCs w:val="24"/>
                <w:lang w:val="pt-BR"/>
              </w:rPr>
              <w:t>b) Comprovação técnica de que o objeto permanece enquadrado como fornecimento contínuo e essencial para as atividades finalísticas da municipalidade;</w:t>
            </w:r>
          </w:p>
          <w:p w14:paraId="58735246">
            <w:pPr>
              <w:tabs>
                <w:tab w:val="left" w:pos="0"/>
              </w:tabs>
              <w:spacing w:line="360" w:lineRule="auto"/>
              <w:jc w:val="both"/>
              <w:rPr>
                <w:rFonts w:hint="default" w:ascii="Times New Roman" w:hAnsi="Times New Roman" w:cs="Times New Roman"/>
                <w:sz w:val="24"/>
                <w:szCs w:val="24"/>
                <w:lang w:val="pt-BR"/>
              </w:rPr>
            </w:pPr>
            <w:r>
              <w:rPr>
                <w:rFonts w:ascii="Times New Roman" w:hAnsi="Times New Roman" w:cs="Times New Roman"/>
                <w:sz w:val="24"/>
                <w:szCs w:val="24"/>
                <w:lang w:val="pt-BR"/>
              </w:rPr>
              <w:t>c) Demonstração da manutenção da vantajosidade econômica das condições contratadas, atestada pelo setor competente</w:t>
            </w:r>
            <w:r>
              <w:rPr>
                <w:rFonts w:hint="default" w:ascii="Times New Roman" w:hAnsi="Times New Roman" w:cs="Times New Roman"/>
                <w:sz w:val="24"/>
                <w:szCs w:val="24"/>
                <w:lang w:val="pt-BR"/>
              </w:rPr>
              <w:t>. Em caso de alterações substanciais de mercado para valores menores, procederemos a manutenção dos preços com aditivos de supressão aos valores antes praticados;</w:t>
            </w:r>
          </w:p>
          <w:p w14:paraId="5B282490">
            <w:pPr>
              <w:tabs>
                <w:tab w:val="left" w:pos="0"/>
              </w:tabs>
              <w:spacing w:line="360" w:lineRule="auto"/>
              <w:jc w:val="both"/>
              <w:rPr>
                <w:rFonts w:ascii="Times New Roman" w:hAnsi="Times New Roman" w:cs="Times New Roman"/>
                <w:sz w:val="24"/>
                <w:szCs w:val="24"/>
                <w:lang w:val="pt-BR"/>
              </w:rPr>
            </w:pPr>
            <w:r>
              <w:rPr>
                <w:rFonts w:ascii="Times New Roman" w:hAnsi="Times New Roman" w:cs="Times New Roman"/>
                <w:sz w:val="24"/>
                <w:szCs w:val="24"/>
                <w:lang w:val="pt-BR"/>
              </w:rPr>
              <w:t>d) Comprovação de que a CONTRATADA mantém todas as condições de habilitação jurídica, fiscal, trabalhista e, especialmente, as licenças e autorizações ambientais/minerárias exigidas no Edital de Chamamento Público;</w:t>
            </w:r>
          </w:p>
          <w:p w14:paraId="2E0FA00D">
            <w:pPr>
              <w:tabs>
                <w:tab w:val="left" w:pos="0"/>
              </w:tabs>
              <w:spacing w:line="360" w:lineRule="auto"/>
              <w:jc w:val="both"/>
              <w:rPr>
                <w:rFonts w:ascii="Times New Roman" w:hAnsi="Times New Roman" w:cs="Times New Roman"/>
                <w:sz w:val="24"/>
                <w:szCs w:val="24"/>
                <w:lang w:val="pt-BR"/>
              </w:rPr>
            </w:pPr>
            <w:r>
              <w:rPr>
                <w:rFonts w:ascii="Times New Roman" w:hAnsi="Times New Roman" w:cs="Times New Roman"/>
                <w:sz w:val="24"/>
                <w:szCs w:val="24"/>
                <w:lang w:val="pt-BR"/>
              </w:rPr>
              <w:t>e) Existência de prévia e suficiente dotação orçamentária para cobertura das despesas do período subsequente.</w:t>
            </w:r>
          </w:p>
          <w:p w14:paraId="287BD03E">
            <w:pPr>
              <w:numPr>
                <w:ilvl w:val="0"/>
                <w:numId w:val="14"/>
              </w:numPr>
              <w:tabs>
                <w:tab w:val="left" w:pos="0"/>
                <w:tab w:val="clear" w:pos="425"/>
              </w:tabs>
              <w:spacing w:line="360" w:lineRule="auto"/>
              <w:ind w:left="0" w:firstLine="0"/>
              <w:jc w:val="both"/>
              <w:rPr>
                <w:rFonts w:ascii="Times New Roman" w:hAnsi="Times New Roman" w:cs="Times New Roman"/>
                <w:sz w:val="24"/>
                <w:szCs w:val="24"/>
                <w:lang w:val="pt-BR"/>
              </w:rPr>
            </w:pPr>
            <w:r>
              <w:rPr>
                <w:rFonts w:ascii="Times New Roman" w:hAnsi="Times New Roman" w:cs="Times New Roman"/>
                <w:sz w:val="24"/>
                <w:szCs w:val="24"/>
                <w:lang w:val="pt-BR"/>
              </w:rPr>
              <w:t>Considerando a natureza do procedimento auxiliar de Credenciamento, cujo Edital de Chamamento Público permanece permanentemente aberto para novas adesões, a prorrogação dos contratos vigentes não impede, em hipótese alguma, o ingresso de novos prestadores que venham a preencher os requisitos editalícios a qualquer tempo.</w:t>
            </w:r>
          </w:p>
          <w:p w14:paraId="30F092DF">
            <w:pPr>
              <w:numPr>
                <w:ilvl w:val="0"/>
                <w:numId w:val="14"/>
              </w:numPr>
              <w:tabs>
                <w:tab w:val="left" w:pos="0"/>
                <w:tab w:val="clear" w:pos="425"/>
              </w:tabs>
              <w:spacing w:line="360" w:lineRule="auto"/>
              <w:ind w:left="0" w:firstLine="0"/>
              <w:jc w:val="both"/>
              <w:rPr>
                <w:rFonts w:ascii="Times New Roman" w:hAnsi="Times New Roman" w:cs="Times New Roman"/>
                <w:b/>
                <w:bCs/>
                <w:sz w:val="24"/>
                <w:szCs w:val="24"/>
                <w:lang w:val="pt-BR"/>
              </w:rPr>
            </w:pPr>
            <w:r>
              <w:rPr>
                <w:rFonts w:ascii="Times New Roman" w:hAnsi="Times New Roman" w:cs="Times New Roman"/>
                <w:sz w:val="24"/>
                <w:szCs w:val="24"/>
                <w:lang w:val="pt-BR"/>
              </w:rPr>
              <w:t>A Administração poderá dar por encerrado o contrato ao final do período de vigência em curso, mediante notificação prévia à CONTRATADA com antecedência mínima de 30 (trinta) dias, sem que caiba a esta qualquer direito a indenização ou retenção.</w:t>
            </w:r>
          </w:p>
        </w:tc>
      </w:tr>
      <w:tr w14:paraId="78678C2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9571" w:type="dxa"/>
          </w:tcPr>
          <w:p w14:paraId="4D6AEDC4">
            <w:pPr>
              <w:numPr>
                <w:ilvl w:val="0"/>
                <w:numId w:val="0"/>
              </w:numPr>
              <w:ind w:leftChars="0"/>
              <w:jc w:val="both"/>
              <w:rPr>
                <w:rFonts w:ascii="Times New Roman" w:hAnsi="Times New Roman" w:cs="Times New Roman"/>
                <w:b/>
                <w:bCs/>
                <w:sz w:val="24"/>
                <w:szCs w:val="24"/>
                <w:lang w:val="pt-BR"/>
              </w:rPr>
            </w:pPr>
            <w:r>
              <w:rPr>
                <w:rFonts w:hint="default" w:ascii="Times New Roman" w:hAnsi="Times New Roman" w:cs="Times New Roman"/>
                <w:b/>
                <w:bCs/>
                <w:sz w:val="24"/>
                <w:szCs w:val="24"/>
                <w:lang w:val="pt-BR"/>
              </w:rPr>
              <w:t xml:space="preserve">5.4. </w:t>
            </w:r>
            <w:r>
              <w:rPr>
                <w:rFonts w:ascii="Times New Roman" w:hAnsi="Times New Roman" w:cs="Times New Roman"/>
                <w:b/>
                <w:bCs/>
                <w:sz w:val="24"/>
                <w:szCs w:val="24"/>
                <w:lang w:val="pt-BR"/>
              </w:rPr>
              <w:t>Contratação Anterior para o objeto da demanda:</w:t>
            </w:r>
          </w:p>
          <w:p w14:paraId="1A305EC8">
            <w:pPr>
              <w:jc w:val="both"/>
              <w:rPr>
                <w:rFonts w:ascii="Times New Roman" w:hAnsi="Times New Roman" w:cs="Times New Roman"/>
                <w:b/>
                <w:bCs/>
                <w:sz w:val="24"/>
                <w:szCs w:val="24"/>
                <w:lang w:val="pt-BR"/>
              </w:rPr>
            </w:pPr>
          </w:p>
          <w:p w14:paraId="4CB0EBAF">
            <w:pPr>
              <w:jc w:val="both"/>
              <w:rPr>
                <w:rFonts w:ascii="Times New Roman" w:hAnsi="Times New Roman" w:eastAsia="SimSun" w:cs="Times New Roman"/>
                <w:color w:val="000000"/>
                <w:sz w:val="24"/>
                <w:szCs w:val="24"/>
                <w:lang w:val="pt-BR" w:bidi="ar"/>
              </w:rPr>
            </w:pPr>
            <w:r>
              <w:rPr>
                <w:rFonts w:ascii="Times New Roman" w:hAnsi="Times New Roman" w:eastAsia="SimSun" w:cs="Times New Roman"/>
                <w:color w:val="000000"/>
                <w:sz w:val="24"/>
                <w:szCs w:val="24"/>
                <w:lang w:val="pt-BR" w:bidi="ar"/>
              </w:rPr>
              <w:t xml:space="preserve">( X ) Houve contratação anterior. </w:t>
            </w:r>
          </w:p>
          <w:p w14:paraId="3A4E67ED">
            <w:pPr>
              <w:jc w:val="both"/>
              <w:rPr>
                <w:rFonts w:ascii="Times New Roman" w:hAnsi="Times New Roman" w:eastAsia="SimSun" w:cs="Times New Roman"/>
                <w:color w:val="000000"/>
                <w:sz w:val="24"/>
                <w:szCs w:val="24"/>
                <w:lang w:val="pt-BR" w:bidi="ar"/>
              </w:rPr>
            </w:pPr>
          </w:p>
          <w:p w14:paraId="6CF5B048">
            <w:pPr>
              <w:pStyle w:val="16"/>
              <w:spacing w:before="10" w:line="360" w:lineRule="auto"/>
              <w:jc w:val="both"/>
              <w:rPr>
                <w:rFonts w:ascii="Times New Roman" w:hAnsi="Times New Roman" w:cs="Times New Roman"/>
                <w:iCs/>
                <w:sz w:val="24"/>
                <w:szCs w:val="24"/>
              </w:rPr>
            </w:pPr>
            <w:r>
              <w:rPr>
                <w:rFonts w:ascii="Times New Roman" w:hAnsi="Times New Roman" w:eastAsia="SimSun" w:cs="Times New Roman"/>
                <w:color w:val="000000"/>
                <w:sz w:val="24"/>
                <w:szCs w:val="24"/>
                <w:lang w:val="pt-BR" w:eastAsia="zh-CN" w:bidi="ar"/>
              </w:rPr>
              <w:t>Justificar novo pedido: I</w:t>
            </w:r>
            <w:r>
              <w:rPr>
                <w:rFonts w:ascii="Times New Roman" w:hAnsi="Times New Roman" w:cs="Times New Roman"/>
                <w:iCs/>
                <w:sz w:val="24"/>
                <w:szCs w:val="24"/>
              </w:rPr>
              <w:t xml:space="preserve">mpossibilidade de renovação conforme vencimento da Ata de Registro de Preços Nº 128/2023 - Pregão Presencial Nº 24/2024 referente à </w:t>
            </w:r>
            <w:r>
              <w:rPr>
                <w:rFonts w:ascii="Times New Roman" w:hAnsi="Times New Roman" w:cs="Times New Roman"/>
                <w:i/>
                <w:sz w:val="24"/>
                <w:szCs w:val="24"/>
              </w:rPr>
              <w:t>“</w:t>
            </w:r>
            <w:r>
              <w:rPr>
                <w:rFonts w:ascii="Times New Roman" w:hAnsi="Times New Roman" w:cs="Times New Roman"/>
                <w:b/>
                <w:bCs/>
                <w:i/>
                <w:iCs/>
                <w:sz w:val="24"/>
                <w:szCs w:val="24"/>
                <w:lang w:val="pt-BR"/>
              </w:rPr>
              <w:t>CHAMAMENTO PÚBLICO PARA CREDENCIAMENTO DE CASCALHEIRAS VISANDO  AQUISIÇÃO DE CASCALHO PARA AÇÕES DE MANUTENÇÃO DE ESTRADAS RURAIS E VIAS URBANAS NÃO PAVIMENTADAS, OBRAS DE BASE, SUB-BASE E LEVANTAMENTO DE ESTRADAS NO MUNICÍPIO DE SINOP A FIM DE ATENDER A SECRETARIA MUNICIPAL DE OBRAS E SERVIÇOS URBANOS</w:t>
            </w:r>
            <w:r>
              <w:rPr>
                <w:rFonts w:ascii="Times New Roman" w:hAnsi="Times New Roman" w:cs="Times New Roman"/>
                <w:b/>
                <w:bCs/>
                <w:sz w:val="24"/>
                <w:szCs w:val="24"/>
                <w:lang w:val="pt-BR"/>
              </w:rPr>
              <w:t>.</w:t>
            </w:r>
            <w:r>
              <w:rPr>
                <w:rFonts w:ascii="Times New Roman" w:hAnsi="Times New Roman" w:cs="Times New Roman"/>
                <w:i/>
                <w:sz w:val="24"/>
                <w:szCs w:val="24"/>
              </w:rPr>
              <w:t>”</w:t>
            </w:r>
            <w:r>
              <w:rPr>
                <w:rFonts w:ascii="Times New Roman" w:hAnsi="Times New Roman" w:cs="Times New Roman"/>
                <w:iCs/>
                <w:sz w:val="24"/>
                <w:szCs w:val="24"/>
              </w:rPr>
              <w:t xml:space="preserve"> e a contratação pretendida encontra- se alinhada com o PCA ( Plano de Contratação Anual).</w:t>
            </w:r>
          </w:p>
          <w:p w14:paraId="2878BB69">
            <w:pPr>
              <w:pStyle w:val="16"/>
              <w:spacing w:before="10" w:line="360" w:lineRule="auto"/>
              <w:jc w:val="both"/>
              <w:rPr>
                <w:rFonts w:ascii="Times New Roman" w:hAnsi="Times New Roman" w:cs="Times New Roman"/>
                <w:iCs/>
                <w:sz w:val="24"/>
                <w:szCs w:val="24"/>
              </w:rPr>
            </w:pPr>
          </w:p>
          <w:p w14:paraId="1CB57573">
            <w:pPr>
              <w:spacing w:line="360" w:lineRule="auto"/>
              <w:jc w:val="both"/>
              <w:rPr>
                <w:rFonts w:ascii="Times New Roman" w:hAnsi="Times New Roman" w:cs="Times New Roman"/>
                <w:b/>
                <w:bCs/>
                <w:sz w:val="24"/>
                <w:szCs w:val="24"/>
                <w:lang w:val="pt-BR"/>
              </w:rPr>
            </w:pPr>
            <w:r>
              <w:rPr>
                <w:rFonts w:ascii="Times New Roman" w:hAnsi="Times New Roman" w:eastAsia="SimSun" w:cs="Times New Roman"/>
                <w:color w:val="000000"/>
                <w:sz w:val="24"/>
                <w:szCs w:val="24"/>
                <w:lang w:bidi="ar"/>
              </w:rPr>
              <w:t>(</w:t>
            </w:r>
            <w:r>
              <w:rPr>
                <w:rFonts w:ascii="Times New Roman" w:hAnsi="Times New Roman" w:eastAsia="SimSun" w:cs="Times New Roman"/>
                <w:color w:val="000000"/>
                <w:sz w:val="24"/>
                <w:szCs w:val="24"/>
                <w:lang w:val="pt-BR" w:bidi="ar"/>
              </w:rPr>
              <w:t xml:space="preserve">  </w:t>
            </w:r>
            <w:r>
              <w:rPr>
                <w:rFonts w:ascii="Times New Roman" w:hAnsi="Times New Roman" w:eastAsia="SimSun" w:cs="Times New Roman"/>
                <w:color w:val="000000"/>
                <w:sz w:val="24"/>
                <w:szCs w:val="24"/>
                <w:lang w:bidi="ar"/>
              </w:rPr>
              <w:t xml:space="preserve"> ) Não houve contratação anterior</w:t>
            </w:r>
            <w:r>
              <w:rPr>
                <w:rFonts w:ascii="Times New Roman" w:hAnsi="Times New Roman" w:eastAsia="SimSun" w:cs="Times New Roman"/>
                <w:color w:val="000000"/>
                <w:sz w:val="24"/>
                <w:szCs w:val="24"/>
                <w:lang w:val="pt-BR" w:bidi="ar"/>
              </w:rPr>
              <w:t>.</w:t>
            </w:r>
          </w:p>
        </w:tc>
      </w:tr>
      <w:tr w14:paraId="00BC8C6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571" w:type="dxa"/>
          </w:tcPr>
          <w:p w14:paraId="37778F2D">
            <w:pPr>
              <w:numPr>
                <w:ilvl w:val="0"/>
                <w:numId w:val="15"/>
              </w:numPr>
              <w:tabs>
                <w:tab w:val="left" w:pos="0"/>
                <w:tab w:val="clear" w:pos="425"/>
              </w:tabs>
              <w:spacing w:line="360" w:lineRule="auto"/>
              <w:ind w:left="0" w:firstLine="0"/>
              <w:jc w:val="both"/>
              <w:rPr>
                <w:rFonts w:ascii="Times New Roman" w:hAnsi="Times New Roman" w:cs="Times New Roman"/>
                <w:b/>
                <w:bCs/>
                <w:sz w:val="24"/>
                <w:szCs w:val="24"/>
                <w:lang w:val="pt-BR"/>
              </w:rPr>
            </w:pPr>
            <w:r>
              <w:rPr>
                <w:rFonts w:ascii="Times New Roman" w:hAnsi="Times New Roman" w:eastAsia="SimSun" w:cs="Times New Roman"/>
                <w:b/>
                <w:bCs/>
                <w:color w:val="000000"/>
                <w:sz w:val="24"/>
                <w:szCs w:val="24"/>
                <w:lang w:val="pt-BR" w:bidi="ar"/>
              </w:rPr>
              <w:t xml:space="preserve">Eventual Necessidade De Controle Tecnológico e Fiscalização Contratual durante a execução do serviço: </w:t>
            </w:r>
            <w:r>
              <w:rPr>
                <w:rFonts w:ascii="Times New Roman" w:hAnsi="Times New Roman" w:eastAsia="SimSun" w:cs="Times New Roman"/>
                <w:color w:val="000000"/>
                <w:sz w:val="24"/>
                <w:szCs w:val="24"/>
                <w:lang w:val="pt-BR" w:bidi="ar"/>
              </w:rPr>
              <w:t>O município poderá coletar a qualquer momento da contratação da empresa, durante a execução do contrato, amostra do material da jazida para análise do índice -</w:t>
            </w:r>
            <w:r>
              <w:rPr>
                <w:rFonts w:ascii="Times New Roman" w:hAnsi="Times New Roman" w:cs="Times New Roman"/>
                <w:iCs/>
                <w:sz w:val="24"/>
                <w:szCs w:val="24"/>
                <w:lang w:val="pt-BR" w:eastAsia="pt-BR"/>
              </w:rPr>
              <w:t>Índice de Suporte Califórnia (ISC)</w:t>
            </w:r>
            <w:r>
              <w:rPr>
                <w:rFonts w:ascii="Times New Roman" w:hAnsi="Times New Roman" w:eastAsia="SimSun" w:cs="Times New Roman"/>
                <w:color w:val="000000"/>
                <w:sz w:val="24"/>
                <w:szCs w:val="24"/>
                <w:lang w:val="pt-BR" w:bidi="ar"/>
              </w:rPr>
              <w:t xml:space="preserve"> solicitados na referência dos itens, efetuado pelo laboratorista do município visando manter a qualidade do material fornecido.</w:t>
            </w:r>
          </w:p>
        </w:tc>
      </w:tr>
      <w:tr w14:paraId="49D6E3D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571" w:type="dxa"/>
          </w:tcPr>
          <w:p w14:paraId="5C62800A">
            <w:pPr>
              <w:spacing w:line="360" w:lineRule="auto"/>
              <w:ind w:right="-44" w:rightChars="-22"/>
              <w:jc w:val="both"/>
              <w:rPr>
                <w:rFonts w:ascii="Times New Roman" w:hAnsi="Times New Roman" w:cs="Times New Roman"/>
                <w:b/>
                <w:bCs/>
                <w:sz w:val="24"/>
                <w:szCs w:val="24"/>
                <w:lang w:val="pt-BR"/>
              </w:rPr>
            </w:pPr>
            <w:r>
              <w:rPr>
                <w:rFonts w:ascii="Times New Roman" w:hAnsi="Times New Roman" w:eastAsia="SimSun" w:cs="Times New Roman"/>
                <w:b/>
                <w:bCs/>
                <w:color w:val="000000"/>
                <w:sz w:val="24"/>
                <w:szCs w:val="24"/>
                <w:lang w:val="pt-BR" w:bidi="ar"/>
              </w:rPr>
              <w:t xml:space="preserve">5.6. Eventual Necessidade De Visita Técnica, Quando Aplicável: </w:t>
            </w:r>
            <w:r>
              <w:rPr>
                <w:rFonts w:ascii="Times New Roman" w:hAnsi="Times New Roman" w:eastAsia="SimSun" w:cs="Times New Roman"/>
                <w:color w:val="000000"/>
                <w:sz w:val="24"/>
                <w:szCs w:val="24"/>
                <w:lang w:val="pt-BR" w:bidi="ar"/>
              </w:rPr>
              <w:t>Não se aplica.</w:t>
            </w:r>
          </w:p>
        </w:tc>
      </w:tr>
      <w:tr w14:paraId="6A3D1C4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571" w:type="dxa"/>
          </w:tcPr>
          <w:p w14:paraId="53EE823F">
            <w:pPr>
              <w:numPr>
                <w:ilvl w:val="0"/>
                <w:numId w:val="16"/>
              </w:numPr>
              <w:tabs>
                <w:tab w:val="left" w:pos="0"/>
              </w:tabs>
              <w:jc w:val="both"/>
              <w:rPr>
                <w:rFonts w:ascii="Times New Roman" w:hAnsi="Times New Roman" w:cs="Times New Roman"/>
                <w:b/>
                <w:bCs/>
                <w:sz w:val="24"/>
                <w:szCs w:val="24"/>
                <w:lang w:val="pt-BR"/>
              </w:rPr>
            </w:pPr>
            <w:r>
              <w:rPr>
                <w:rFonts w:ascii="Times New Roman" w:hAnsi="Times New Roman" w:eastAsia="SimSun" w:cs="Times New Roman"/>
                <w:b/>
                <w:bCs/>
                <w:color w:val="000000"/>
                <w:sz w:val="24"/>
                <w:szCs w:val="24"/>
                <w:lang w:val="pt-BR" w:bidi="ar"/>
              </w:rPr>
              <w:t xml:space="preserve">Eventual Necessidade De Registros e Licenças Quando Obrigatório Por Lei: </w:t>
            </w:r>
          </w:p>
          <w:p w14:paraId="00078302">
            <w:pPr>
              <w:shd w:val="clear" w:color="auto" w:fill="FFFFFF" w:themeFill="background1"/>
              <w:spacing w:before="300" w:after="300"/>
              <w:jc w:val="both"/>
              <w:rPr>
                <w:rFonts w:ascii="Times New Roman" w:hAnsi="Times New Roman" w:cs="Times New Roman"/>
                <w:iCs/>
                <w:sz w:val="24"/>
                <w:szCs w:val="24"/>
                <w:lang w:val="pt-BR"/>
              </w:rPr>
            </w:pPr>
            <w:r>
              <w:rPr>
                <w:rFonts w:ascii="Times New Roman" w:hAnsi="Times New Roman" w:cs="Times New Roman"/>
                <w:iCs/>
                <w:sz w:val="24"/>
                <w:szCs w:val="24"/>
                <w:lang w:val="pt-BR"/>
              </w:rPr>
              <w:t>Licença de Operação ambiental vigente (SEMA/MT) da jazida/beneficiadora.</w:t>
            </w:r>
          </w:p>
          <w:p w14:paraId="3B398838">
            <w:pPr>
              <w:shd w:val="clear" w:color="auto" w:fill="FFFFFF" w:themeFill="background1"/>
              <w:spacing w:before="300" w:after="300"/>
              <w:jc w:val="both"/>
              <w:rPr>
                <w:rFonts w:ascii="Times New Roman" w:hAnsi="Times New Roman" w:cs="Times New Roman"/>
                <w:iCs/>
                <w:sz w:val="24"/>
                <w:szCs w:val="24"/>
                <w:lang w:val="pt-BR"/>
              </w:rPr>
            </w:pPr>
            <w:r>
              <w:rPr>
                <w:rFonts w:ascii="Times New Roman" w:hAnsi="Times New Roman" w:cs="Times New Roman"/>
                <w:iCs/>
                <w:sz w:val="24"/>
                <w:szCs w:val="24"/>
                <w:lang w:val="pt-BR"/>
              </w:rPr>
              <w:t>Regularidade Mineral junto à Agência Nacional de Mineração – ANM, mediante apresentação do número do processo ou título minerário (Autorização de Lavra ou Guia de Utilização, quando aplicável).</w:t>
            </w:r>
          </w:p>
          <w:p w14:paraId="292B916E">
            <w:pPr>
              <w:shd w:val="clear" w:color="auto" w:fill="FFFFFF" w:themeFill="background1"/>
              <w:spacing w:before="300" w:after="300"/>
              <w:jc w:val="both"/>
              <w:rPr>
                <w:rFonts w:ascii="Times New Roman" w:hAnsi="Times New Roman" w:cs="Times New Roman"/>
                <w:iCs/>
                <w:sz w:val="24"/>
                <w:szCs w:val="24"/>
                <w:lang w:val="pt-BR"/>
              </w:rPr>
            </w:pPr>
            <w:r>
              <w:rPr>
                <w:rFonts w:ascii="Times New Roman" w:hAnsi="Times New Roman" w:cs="Times New Roman"/>
                <w:iCs/>
                <w:sz w:val="24"/>
                <w:szCs w:val="24"/>
                <w:lang w:val="pt-BR"/>
              </w:rPr>
              <w:t>Serão aceitos participantes que comprovem pedido regularmente protocolado junto à ANM, ainda em fase de licenciamento, desde que apresentem as licenças municipais e estaduais vigentes, pertinentes à atividade mineral objeto da licitação.</w:t>
            </w:r>
          </w:p>
          <w:p w14:paraId="0776FC36">
            <w:pPr>
              <w:shd w:val="clear" w:color="auto" w:fill="FFFFFF" w:themeFill="background1"/>
              <w:spacing w:before="300" w:after="300"/>
              <w:jc w:val="both"/>
              <w:rPr>
                <w:rFonts w:ascii="Times New Roman" w:hAnsi="Times New Roman" w:cs="Times New Roman"/>
                <w:iCs/>
                <w:sz w:val="24"/>
                <w:szCs w:val="24"/>
                <w:lang w:val="pt-BR"/>
              </w:rPr>
            </w:pPr>
            <w:r>
              <w:rPr>
                <w:rFonts w:ascii="Times New Roman" w:hAnsi="Times New Roman" w:cs="Times New Roman"/>
                <w:iCs/>
                <w:sz w:val="24"/>
                <w:szCs w:val="24"/>
                <w:lang w:val="pt-BR"/>
              </w:rPr>
              <w:t>Emissão de Nota Fiscal com NCM adequado e indicação de CFEM (quando aplicável ao titular da lavra).</w:t>
            </w:r>
          </w:p>
          <w:p w14:paraId="09264D7D">
            <w:pPr>
              <w:shd w:val="clear" w:color="auto" w:fill="FFFFFF" w:themeFill="background1"/>
              <w:spacing w:before="300" w:after="300"/>
              <w:jc w:val="both"/>
              <w:rPr>
                <w:rFonts w:ascii="Times New Roman" w:hAnsi="Times New Roman" w:cs="Times New Roman"/>
                <w:iCs/>
                <w:sz w:val="24"/>
                <w:szCs w:val="24"/>
                <w:lang w:val="pt-BR"/>
              </w:rPr>
            </w:pPr>
            <w:r>
              <w:rPr>
                <w:rFonts w:ascii="Times New Roman" w:hAnsi="Times New Roman" w:cs="Times New Roman"/>
                <w:b/>
                <w:bCs/>
                <w:iCs/>
                <w:sz w:val="24"/>
                <w:szCs w:val="24"/>
                <w:lang w:val="pt-BR"/>
              </w:rPr>
              <w:t>DA COMPROVAÇÃO DE QUALIDADE E ATENDIMENTO AO ISC</w:t>
            </w:r>
          </w:p>
          <w:p w14:paraId="1D775A07">
            <w:pPr>
              <w:shd w:val="clear" w:color="auto" w:fill="FFFFFF" w:themeFill="background1"/>
              <w:spacing w:before="300" w:after="300"/>
              <w:jc w:val="both"/>
              <w:rPr>
                <w:rFonts w:ascii="Times New Roman" w:hAnsi="Times New Roman" w:cs="Times New Roman"/>
                <w:iCs/>
                <w:sz w:val="24"/>
                <w:szCs w:val="24"/>
                <w:lang w:val="pt-BR"/>
              </w:rPr>
            </w:pPr>
            <w:r>
              <w:rPr>
                <w:rFonts w:ascii="Times New Roman" w:hAnsi="Times New Roman" w:cs="Times New Roman"/>
                <w:b/>
                <w:bCs/>
                <w:iCs/>
                <w:sz w:val="24"/>
                <w:szCs w:val="24"/>
                <w:lang w:val="pt-BR"/>
              </w:rPr>
              <w:t>1.</w:t>
            </w:r>
            <w:r>
              <w:rPr>
                <w:rFonts w:ascii="Times New Roman" w:hAnsi="Times New Roman" w:cs="Times New Roman"/>
                <w:iCs/>
                <w:sz w:val="24"/>
                <w:szCs w:val="24"/>
                <w:lang w:val="pt-BR"/>
              </w:rPr>
              <w:t xml:space="preserve"> A comprovação de atendimento ao Índice de Suporte Califórnia (ISC) mínimo exigido para o material (cascalho) ocorrerá no exato momento da prestação dos serviços e/ou autorização para aquisição e retirada do material.</w:t>
            </w:r>
          </w:p>
          <w:p w14:paraId="06C57911">
            <w:pPr>
              <w:shd w:val="clear" w:color="auto" w:fill="FFFFFF" w:themeFill="background1"/>
              <w:spacing w:before="300" w:after="300"/>
              <w:jc w:val="both"/>
              <w:rPr>
                <w:rFonts w:ascii="Times New Roman" w:hAnsi="Times New Roman" w:cs="Times New Roman"/>
                <w:iCs/>
                <w:sz w:val="24"/>
                <w:szCs w:val="24"/>
                <w:lang w:val="pt-BR"/>
              </w:rPr>
            </w:pPr>
            <w:r>
              <w:rPr>
                <w:rFonts w:ascii="Times New Roman" w:hAnsi="Times New Roman" w:cs="Times New Roman"/>
                <w:b/>
                <w:bCs/>
                <w:iCs/>
                <w:sz w:val="24"/>
                <w:szCs w:val="24"/>
                <w:lang w:val="pt-BR"/>
              </w:rPr>
              <w:t>2.</w:t>
            </w:r>
            <w:r>
              <w:rPr>
                <w:rFonts w:ascii="Times New Roman" w:hAnsi="Times New Roman" w:cs="Times New Roman"/>
                <w:iCs/>
                <w:sz w:val="24"/>
                <w:szCs w:val="24"/>
                <w:lang w:val="pt-BR"/>
              </w:rPr>
              <w:t xml:space="preserve"> A aferição da qualidade será realizada mediante a coleta de amostras representativas do material diretamente na frente de lavra (cascalheira) da Credenciada.</w:t>
            </w:r>
          </w:p>
          <w:p w14:paraId="60C22F54">
            <w:pPr>
              <w:shd w:val="clear" w:color="auto" w:fill="FFFFFF" w:themeFill="background1"/>
              <w:spacing w:before="300" w:after="300"/>
              <w:jc w:val="both"/>
              <w:rPr>
                <w:rFonts w:ascii="Times New Roman" w:hAnsi="Times New Roman" w:cs="Times New Roman"/>
                <w:iCs/>
                <w:sz w:val="24"/>
                <w:szCs w:val="24"/>
                <w:lang w:val="pt-BR"/>
              </w:rPr>
            </w:pPr>
            <w:r>
              <w:rPr>
                <w:rFonts w:ascii="Times New Roman" w:hAnsi="Times New Roman" w:cs="Times New Roman"/>
                <w:b/>
                <w:bCs/>
                <w:iCs/>
                <w:sz w:val="24"/>
                <w:szCs w:val="24"/>
                <w:lang w:val="pt-BR"/>
              </w:rPr>
              <w:t>3.</w:t>
            </w:r>
            <w:r>
              <w:rPr>
                <w:rFonts w:ascii="Times New Roman" w:hAnsi="Times New Roman" w:cs="Times New Roman"/>
                <w:iCs/>
                <w:sz w:val="24"/>
                <w:szCs w:val="24"/>
                <w:lang w:val="pt-BR"/>
              </w:rPr>
              <w:t xml:space="preserve"> A coleta das amostras e a respectiva análise técnica serão executadas exclusivamente pelo laboratorista designado pelo Município de Sinop, atestando a adequação do material antes de sua aplicação nas vias.</w:t>
            </w:r>
          </w:p>
          <w:p w14:paraId="70BEEA48">
            <w:pPr>
              <w:shd w:val="clear" w:color="auto" w:fill="FFFFFF" w:themeFill="background1"/>
              <w:spacing w:before="300" w:after="300"/>
              <w:jc w:val="both"/>
              <w:rPr>
                <w:rFonts w:ascii="Times New Roman" w:hAnsi="Times New Roman" w:cs="Times New Roman"/>
                <w:iCs/>
                <w:sz w:val="24"/>
                <w:szCs w:val="24"/>
                <w:lang w:val="pt-BR"/>
              </w:rPr>
            </w:pPr>
            <w:r>
              <w:rPr>
                <w:rFonts w:ascii="Times New Roman" w:hAnsi="Times New Roman" w:cs="Times New Roman"/>
                <w:b/>
                <w:bCs/>
                <w:iCs/>
                <w:sz w:val="24"/>
                <w:szCs w:val="24"/>
                <w:lang w:val="pt-BR"/>
              </w:rPr>
              <w:t>4.</w:t>
            </w:r>
            <w:r>
              <w:rPr>
                <w:rFonts w:ascii="Times New Roman" w:hAnsi="Times New Roman" w:cs="Times New Roman"/>
                <w:iCs/>
                <w:sz w:val="24"/>
                <w:szCs w:val="24"/>
                <w:lang w:val="pt-BR"/>
              </w:rPr>
              <w:t xml:space="preserve"> Caso o ensaio laboratorial aponte que a amostra não atinge o ISC mínimo estabelecido nas especificações técnicas, a Credenciada ficará imediatamente impedida de fornecer o material daquela frente de lavra específica até que disponibilize novo ponto de extração aprovado pelo Município, sem prejuízo da aplicação das sanções cabíveis.</w:t>
            </w:r>
          </w:p>
          <w:p w14:paraId="3F15B274">
            <w:pPr>
              <w:shd w:val="clear" w:color="auto" w:fill="FFFFFF" w:themeFill="background1"/>
              <w:spacing w:before="300" w:after="300" w:line="360" w:lineRule="auto"/>
              <w:jc w:val="both"/>
              <w:rPr>
                <w:rFonts w:ascii="Times New Roman" w:hAnsi="Times New Roman" w:cs="Times New Roman"/>
                <w:b/>
                <w:bCs/>
                <w:sz w:val="24"/>
                <w:szCs w:val="24"/>
                <w:shd w:val="clear" w:color="auto" w:fill="FFFF00"/>
                <w:lang w:val="pt-BR"/>
              </w:rPr>
            </w:pPr>
            <w:r>
              <w:rPr>
                <w:rFonts w:ascii="Times New Roman" w:hAnsi="Times New Roman" w:cs="Times New Roman"/>
                <w:iCs/>
                <w:sz w:val="24"/>
                <w:szCs w:val="24"/>
                <w:lang w:val="pt-BR"/>
              </w:rPr>
              <w:t xml:space="preserve">Indicação da origem do material (coordenadas/município da jazida), bem como comprovação de atendimento ao </w:t>
            </w:r>
            <w:r>
              <w:rPr>
                <w:rFonts w:ascii="Times New Roman" w:hAnsi="Times New Roman" w:cs="Times New Roman"/>
                <w:iCs/>
                <w:sz w:val="24"/>
                <w:szCs w:val="24"/>
                <w:lang w:val="pt-BR" w:eastAsia="pt-BR"/>
              </w:rPr>
              <w:t>Índice de Suporte Califórnia (ISC) maior ou igual a 60%, fração que passa na peneira Nº 40 com Limite de Liquidez igual ou inferior a 40% e Índice de Plasticidade inferior ou igual a 15%, e atender aos demais requisitos da norma DNIT 098/2007 - ES para cascalho e granulometria fina a média, adequada para aterros, regularização e conformação de plataformas viárias para a terra para aterro, conforme legislações aplicadas ao objeto</w:t>
            </w:r>
          </w:p>
          <w:p w14:paraId="3E6BDFD6">
            <w:pPr>
              <w:pStyle w:val="16"/>
              <w:spacing w:line="360" w:lineRule="auto"/>
              <w:ind w:left="108"/>
              <w:jc w:val="both"/>
              <w:rPr>
                <w:rFonts w:ascii="Times New Roman" w:hAnsi="Times New Roman" w:cs="Times New Roman"/>
                <w:sz w:val="24"/>
                <w:szCs w:val="24"/>
                <w:lang w:val="pt-BR"/>
              </w:rPr>
            </w:pPr>
            <w:r>
              <w:rPr>
                <w:rFonts w:ascii="Times New Roman" w:hAnsi="Times New Roman" w:cs="Times New Roman"/>
                <w:sz w:val="24"/>
                <w:szCs w:val="24"/>
                <w:lang w:val="pt-BR"/>
              </w:rPr>
              <w:t xml:space="preserve"> Código de Mineração (Decreto-Lei nº 227/1967): disciplina os regimes de autorização, concessão e licenciamento para pesquisa e lavra de minerais.</w:t>
            </w:r>
          </w:p>
          <w:p w14:paraId="4B76EA76">
            <w:pPr>
              <w:pStyle w:val="16"/>
              <w:spacing w:line="360" w:lineRule="auto"/>
              <w:ind w:left="108"/>
              <w:jc w:val="both"/>
              <w:rPr>
                <w:rFonts w:ascii="Times New Roman" w:hAnsi="Times New Roman" w:cs="Times New Roman"/>
                <w:sz w:val="24"/>
                <w:szCs w:val="24"/>
                <w:lang w:val="pt-BR"/>
              </w:rPr>
            </w:pPr>
            <w:r>
              <w:rPr>
                <w:rFonts w:ascii="Times New Roman" w:hAnsi="Times New Roman" w:cs="Times New Roman"/>
                <w:sz w:val="24"/>
                <w:szCs w:val="24"/>
                <w:lang w:val="pt-BR"/>
              </w:rPr>
              <w:t>·  Lei nº 7.805/1989: dispõe sobre o regime de permissão de lavra garimpeira, mas também trata de minerais de emprego imediato na construção civil, como o cascalho.</w:t>
            </w:r>
          </w:p>
          <w:p w14:paraId="2C0D82EA">
            <w:pPr>
              <w:pStyle w:val="16"/>
              <w:spacing w:line="360" w:lineRule="auto"/>
              <w:ind w:left="108"/>
              <w:jc w:val="both"/>
              <w:rPr>
                <w:rFonts w:ascii="Times New Roman" w:hAnsi="Times New Roman" w:cs="Times New Roman"/>
                <w:sz w:val="24"/>
                <w:szCs w:val="24"/>
                <w:lang w:val="pt-BR"/>
              </w:rPr>
            </w:pPr>
            <w:r>
              <w:rPr>
                <w:rFonts w:ascii="Times New Roman" w:hAnsi="Times New Roman" w:cs="Times New Roman"/>
                <w:sz w:val="24"/>
                <w:szCs w:val="24"/>
                <w:lang w:val="pt-BR"/>
              </w:rPr>
              <w:t>·  Lei nº 6.567/1978: regulamenta o regime especial de exploração de substâncias minerais destinadas à construção civil (areia, cascalho, brita etc.), simplificando o licenciamento.</w:t>
            </w:r>
          </w:p>
          <w:p w14:paraId="1D6420E1">
            <w:pPr>
              <w:pStyle w:val="16"/>
              <w:spacing w:line="360" w:lineRule="auto"/>
              <w:ind w:left="108"/>
              <w:jc w:val="both"/>
              <w:rPr>
                <w:rFonts w:ascii="Times New Roman" w:hAnsi="Times New Roman" w:cs="Times New Roman"/>
                <w:sz w:val="24"/>
                <w:szCs w:val="24"/>
                <w:lang w:val="pt-BR"/>
              </w:rPr>
            </w:pPr>
            <w:r>
              <w:rPr>
                <w:rFonts w:ascii="Times New Roman" w:hAnsi="Times New Roman" w:cs="Times New Roman"/>
                <w:sz w:val="24"/>
                <w:szCs w:val="24"/>
                <w:lang w:val="pt-BR"/>
              </w:rPr>
              <w:t>· Lei nº 6.938/1981 (Política Nacional do Meio Ambiente): exige licenciamento ambiental para atividades potencialmente poluidoras, incluindo extração mineral.</w:t>
            </w:r>
          </w:p>
          <w:p w14:paraId="254E115C">
            <w:pPr>
              <w:pStyle w:val="16"/>
              <w:spacing w:line="360" w:lineRule="auto"/>
              <w:ind w:left="108"/>
              <w:jc w:val="both"/>
              <w:rPr>
                <w:rFonts w:ascii="Times New Roman" w:hAnsi="Times New Roman" w:cs="Times New Roman"/>
                <w:sz w:val="24"/>
                <w:szCs w:val="24"/>
                <w:lang w:val="pt-BR"/>
              </w:rPr>
            </w:pPr>
            <w:r>
              <w:rPr>
                <w:rFonts w:ascii="Times New Roman" w:hAnsi="Times New Roman" w:cs="Times New Roman"/>
                <w:sz w:val="24"/>
                <w:szCs w:val="24"/>
                <w:lang w:val="pt-BR"/>
              </w:rPr>
              <w:t>· Resolução CONAMA nº 237/1997: estabelece as regras para o licenciamento ambiental de empreendimentos de extração de minerais, como cascalheiras.</w:t>
            </w:r>
          </w:p>
          <w:p w14:paraId="3EFCC40C">
            <w:pPr>
              <w:pStyle w:val="16"/>
              <w:spacing w:line="360" w:lineRule="auto"/>
              <w:ind w:left="108"/>
              <w:jc w:val="both"/>
              <w:rPr>
                <w:rFonts w:ascii="Times New Roman" w:hAnsi="Times New Roman" w:cs="Times New Roman"/>
                <w:sz w:val="24"/>
                <w:szCs w:val="24"/>
                <w:lang w:val="pt-BR"/>
              </w:rPr>
            </w:pPr>
            <w:r>
              <w:rPr>
                <w:rFonts w:ascii="Times New Roman" w:hAnsi="Times New Roman" w:cs="Times New Roman"/>
                <w:sz w:val="24"/>
                <w:szCs w:val="24"/>
                <w:lang w:val="pt-BR"/>
              </w:rPr>
              <w:t>· Lei Estadual nº 7.692/2002 (Política Estadual do Meio Ambiente – MT): exige licenciamento ambiental junto à SEMA/MT para exploração de jazidas.</w:t>
            </w:r>
          </w:p>
          <w:p w14:paraId="01F9E119">
            <w:pPr>
              <w:pStyle w:val="16"/>
              <w:spacing w:line="360" w:lineRule="auto"/>
              <w:ind w:left="108"/>
              <w:jc w:val="both"/>
              <w:rPr>
                <w:rFonts w:ascii="Times New Roman" w:hAnsi="Times New Roman" w:cs="Times New Roman"/>
                <w:b/>
                <w:bCs/>
                <w:sz w:val="24"/>
                <w:szCs w:val="24"/>
                <w:lang w:val="pt-BR"/>
              </w:rPr>
            </w:pPr>
            <w:r>
              <w:rPr>
                <w:rFonts w:ascii="Times New Roman" w:hAnsi="Times New Roman" w:cs="Times New Roman"/>
                <w:sz w:val="24"/>
                <w:szCs w:val="24"/>
                <w:lang w:val="pt-BR"/>
              </w:rPr>
              <w:t>· Decretos e Instruções Normativas da SEMA/MT: definem os procedimentos para outorga e transporte mineral (Documento de Origem Florestal – DOF Mineral, quando aplicável).</w:t>
            </w:r>
          </w:p>
        </w:tc>
      </w:tr>
      <w:tr w14:paraId="6A3EC17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571" w:type="dxa"/>
          </w:tcPr>
          <w:p w14:paraId="457393DC">
            <w:pPr>
              <w:numPr>
                <w:ilvl w:val="0"/>
                <w:numId w:val="17"/>
              </w:numPr>
              <w:jc w:val="both"/>
              <w:rPr>
                <w:rFonts w:ascii="Times New Roman" w:hAnsi="Times New Roman" w:cs="Times New Roman"/>
                <w:b/>
                <w:bCs/>
                <w:sz w:val="24"/>
                <w:szCs w:val="24"/>
                <w:lang w:val="pt-BR"/>
              </w:rPr>
            </w:pPr>
            <w:r>
              <w:rPr>
                <w:rFonts w:ascii="Times New Roman" w:hAnsi="Times New Roman" w:eastAsia="SimSun" w:cs="Times New Roman"/>
                <w:b/>
                <w:bCs/>
                <w:color w:val="000000"/>
                <w:sz w:val="24"/>
                <w:szCs w:val="24"/>
                <w:lang w:val="pt-BR" w:bidi="ar"/>
              </w:rPr>
              <w:t>Atestado De Capacidade Técnica, Nos Termos Do Regulamento Próprio Instituído Pelo Município:</w:t>
            </w:r>
            <w:r>
              <w:rPr>
                <w:rFonts w:ascii="Times New Roman" w:hAnsi="Times New Roman" w:eastAsia="SimSun" w:cs="Times New Roman"/>
                <w:color w:val="000000"/>
                <w:sz w:val="24"/>
                <w:szCs w:val="24"/>
                <w:lang w:val="pt-BR" w:bidi="ar"/>
              </w:rPr>
              <w:t xml:space="preserve"> </w:t>
            </w:r>
          </w:p>
          <w:p w14:paraId="7DFC4040">
            <w:pPr>
              <w:spacing w:line="360" w:lineRule="auto"/>
              <w:jc w:val="both"/>
              <w:rPr>
                <w:rFonts w:ascii="Times New Roman" w:hAnsi="Times New Roman" w:cs="Times New Roman"/>
                <w:sz w:val="24"/>
                <w:szCs w:val="24"/>
                <w:shd w:val="clear" w:color="auto" w:fill="FFFF00"/>
                <w:lang w:val="pt-BR"/>
              </w:rPr>
            </w:pPr>
            <w:r>
              <w:rPr>
                <w:rFonts w:ascii="Times New Roman" w:hAnsi="Times New Roman" w:cs="Times New Roman"/>
                <w:sz w:val="24"/>
                <w:szCs w:val="24"/>
                <w:lang w:val="pt-BR"/>
              </w:rPr>
              <w:t>Nos termos do art. 67, §2º, inciso II, da Lei Federal nº 14.133/2021, e do Decreto Municipal nº 359/2023, será exigida das licitantes a apresentação de atestado de capacidade técnica emitido por pessoa jurídica de direito público ou privado, que comprove fornecimento de bens de natureza semelhante ao objeto desta licitação, quais sejam: cascalho, brita, materiais pétreos ou agregados utilizados em pavimentação, terraplanagem ou manutenção de vias públicas, em quantidades</w:t>
            </w:r>
            <w:r>
              <w:rPr>
                <w:rFonts w:ascii="Times New Roman" w:hAnsi="Times New Roman" w:cs="Times New Roman"/>
                <w:sz w:val="24"/>
                <w:szCs w:val="24"/>
                <w:shd w:val="clear"/>
                <w:lang w:val="pt-BR"/>
              </w:rPr>
              <w:t xml:space="preserve"> </w:t>
            </w:r>
            <w:r>
              <w:rPr>
                <w:rFonts w:hint="default" w:ascii="Times New Roman" w:hAnsi="Times New Roman" w:cs="Times New Roman"/>
                <w:sz w:val="24"/>
                <w:szCs w:val="24"/>
                <w:shd w:val="clear"/>
                <w:lang w:val="pt-BR"/>
              </w:rPr>
              <w:t xml:space="preserve">não </w:t>
            </w:r>
            <w:r>
              <w:rPr>
                <w:rFonts w:ascii="Times New Roman" w:hAnsi="Times New Roman" w:cs="Times New Roman"/>
                <w:sz w:val="24"/>
                <w:szCs w:val="24"/>
                <w:shd w:val="clear"/>
                <w:lang w:val="pt-BR"/>
              </w:rPr>
              <w:t>inferiores</w:t>
            </w:r>
            <w:r>
              <w:rPr>
                <w:rFonts w:ascii="Times New Roman" w:hAnsi="Times New Roman" w:cs="Times New Roman"/>
                <w:sz w:val="24"/>
                <w:szCs w:val="24"/>
                <w:lang w:val="pt-BR"/>
              </w:rPr>
              <w:t xml:space="preserve"> a 30% dos quantitativos, visando garantir que o mesmo terá que compravar capacidade de entrega.</w:t>
            </w:r>
          </w:p>
          <w:p w14:paraId="5139D594">
            <w:pPr>
              <w:spacing w:line="360" w:lineRule="auto"/>
              <w:jc w:val="both"/>
              <w:rPr>
                <w:rFonts w:ascii="Times New Roman" w:hAnsi="Times New Roman" w:cs="Times New Roman"/>
                <w:sz w:val="24"/>
                <w:szCs w:val="24"/>
                <w:lang w:val="pt-BR"/>
              </w:rPr>
            </w:pPr>
            <w:r>
              <w:rPr>
                <w:rFonts w:ascii="Times New Roman" w:hAnsi="Times New Roman" w:cs="Times New Roman"/>
                <w:sz w:val="24"/>
                <w:szCs w:val="24"/>
                <w:lang w:val="pt-BR"/>
              </w:rPr>
              <w:t>O(s) atestado(s) deverá(ão):</w:t>
            </w:r>
          </w:p>
          <w:p w14:paraId="32C37232">
            <w:pPr>
              <w:spacing w:line="360" w:lineRule="auto"/>
              <w:jc w:val="both"/>
              <w:rPr>
                <w:rFonts w:ascii="Times New Roman" w:hAnsi="Times New Roman" w:cs="Times New Roman"/>
                <w:sz w:val="24"/>
                <w:szCs w:val="24"/>
                <w:lang w:val="pt-BR"/>
              </w:rPr>
            </w:pPr>
            <w:r>
              <w:rPr>
                <w:rFonts w:ascii="Times New Roman" w:hAnsi="Times New Roman" w:cs="Times New Roman"/>
                <w:sz w:val="24"/>
                <w:szCs w:val="24"/>
                <w:lang w:val="pt-BR"/>
              </w:rPr>
              <w:t>I – comprovar experiência em fornecimento compatível em quantidade, características e prazos com o objeto ora licitado, limitando-se às parcelas de maior relevância técnica e de valor significativo, nos termos do Decreto Municipal nº 359/2023;</w:t>
            </w:r>
          </w:p>
          <w:p w14:paraId="0F00C36E">
            <w:pPr>
              <w:spacing w:line="360" w:lineRule="auto"/>
              <w:jc w:val="both"/>
              <w:rPr>
                <w:rFonts w:ascii="Times New Roman" w:hAnsi="Times New Roman" w:cs="Times New Roman"/>
                <w:sz w:val="24"/>
                <w:szCs w:val="24"/>
                <w:lang w:val="pt-BR"/>
              </w:rPr>
            </w:pPr>
            <w:r>
              <w:rPr>
                <w:rFonts w:ascii="Times New Roman" w:hAnsi="Times New Roman" w:cs="Times New Roman"/>
                <w:sz w:val="24"/>
                <w:szCs w:val="24"/>
                <w:lang w:val="pt-BR"/>
              </w:rPr>
              <w:t>II - admitir a apresentação de mais de um atestado, desde que, em conjunto, atendam à exigência mínima de comprovação de experiência.</w:t>
            </w:r>
          </w:p>
          <w:p w14:paraId="2B560F94">
            <w:pPr>
              <w:spacing w:line="360" w:lineRule="auto"/>
              <w:jc w:val="both"/>
              <w:rPr>
                <w:rFonts w:ascii="Times New Roman" w:hAnsi="Times New Roman" w:cs="Times New Roman"/>
                <w:sz w:val="24"/>
                <w:szCs w:val="24"/>
                <w:lang w:val="pt-BR"/>
              </w:rPr>
            </w:pPr>
            <w:r>
              <w:rPr>
                <w:rFonts w:ascii="Times New Roman" w:hAnsi="Times New Roman" w:cs="Times New Roman"/>
                <w:sz w:val="24"/>
                <w:szCs w:val="24"/>
                <w:lang w:val="pt-BR"/>
              </w:rPr>
              <w:t>Fica vedada a exigência de quantitativos superiores ao estritamente necessário para comprovar a capacidade técnica do fornecedor, de modo a não restringir o caráter competitivo do certame, em conformidade com o art. 67, §1º da Lei nº 14.133/2021.</w:t>
            </w:r>
          </w:p>
          <w:p w14:paraId="1FA07895">
            <w:pPr>
              <w:spacing w:line="360" w:lineRule="auto"/>
              <w:jc w:val="both"/>
              <w:rPr>
                <w:rFonts w:ascii="Times New Roman" w:hAnsi="Times New Roman" w:cs="Times New Roman"/>
                <w:sz w:val="24"/>
                <w:szCs w:val="24"/>
                <w:lang w:val="pt-BR"/>
              </w:rPr>
            </w:pPr>
            <w:r>
              <w:rPr>
                <w:rFonts w:ascii="Times New Roman" w:hAnsi="Times New Roman" w:cs="Times New Roman"/>
                <w:sz w:val="24"/>
                <w:szCs w:val="24"/>
                <w:lang w:val="pt-BR"/>
              </w:rPr>
              <w:t>III - Em conformidade com o art. 67, § 2º, da Lei Federal nº 14.133/2021, são terminantemente vedadas limitações de tempo (prazos de validade dos atestados) ou de locais específicos relativas aos atestados apresentados.</w:t>
            </w:r>
          </w:p>
        </w:tc>
      </w:tr>
    </w:tbl>
    <w:p w14:paraId="04911487">
      <w:pPr>
        <w:jc w:val="both"/>
        <w:rPr>
          <w:rFonts w:ascii="Times New Roman" w:hAnsi="Times New Roman" w:cs="Times New Roman"/>
          <w:b/>
          <w:bCs/>
          <w:sz w:val="24"/>
          <w:szCs w:val="24"/>
          <w:lang w:val="pt-BR"/>
        </w:rPr>
      </w:pPr>
    </w:p>
    <w:tbl>
      <w:tblPr>
        <w:tblStyle w:val="14"/>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9571"/>
      </w:tblGrid>
      <w:tr w14:paraId="79960D46">
        <w:tblPrEx>
          <w:tblCellMar>
            <w:top w:w="0" w:type="dxa"/>
            <w:left w:w="108" w:type="dxa"/>
            <w:bottom w:w="0" w:type="dxa"/>
            <w:right w:w="108" w:type="dxa"/>
          </w:tblCellMar>
        </w:tblPrEx>
        <w:tc>
          <w:tcPr>
            <w:tcW w:w="9571" w:type="dxa"/>
            <w:shd w:val="clear" w:color="auto" w:fill="D7D7D7" w:themeFill="background1" w:themeFillShade="D8"/>
          </w:tcPr>
          <w:p w14:paraId="4CCD4327">
            <w:pPr>
              <w:numPr>
                <w:ilvl w:val="0"/>
                <w:numId w:val="18"/>
              </w:numPr>
              <w:jc w:val="both"/>
              <w:rPr>
                <w:rFonts w:ascii="Times New Roman" w:hAnsi="Times New Roman" w:cs="Times New Roman"/>
                <w:b/>
                <w:bCs/>
                <w:sz w:val="24"/>
                <w:szCs w:val="24"/>
                <w:lang w:val="pt-BR"/>
              </w:rPr>
            </w:pPr>
            <w:r>
              <w:rPr>
                <w:rFonts w:ascii="Times New Roman" w:hAnsi="Times New Roman" w:eastAsia="SimSun" w:cs="Times New Roman"/>
                <w:b/>
                <w:bCs/>
                <w:color w:val="000000"/>
                <w:sz w:val="24"/>
                <w:szCs w:val="24"/>
                <w:lang w:val="pt-BR" w:bidi="ar"/>
              </w:rPr>
              <w:t>EXECUÇÃO DO OBJETO DO CONTRATO</w:t>
            </w:r>
          </w:p>
        </w:tc>
      </w:tr>
      <w:tr w14:paraId="2594947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571" w:type="dxa"/>
          </w:tcPr>
          <w:p w14:paraId="0C883C08">
            <w:pPr>
              <w:numPr>
                <w:ilvl w:val="1"/>
                <w:numId w:val="18"/>
              </w:numPr>
              <w:spacing w:line="360" w:lineRule="auto"/>
              <w:jc w:val="both"/>
              <w:rPr>
                <w:rFonts w:ascii="Times New Roman" w:hAnsi="Times New Roman" w:cs="Times New Roman"/>
                <w:b/>
                <w:bCs/>
                <w:sz w:val="24"/>
                <w:szCs w:val="24"/>
                <w:lang w:val="pt-BR"/>
              </w:rPr>
            </w:pPr>
            <w:r>
              <w:rPr>
                <w:rFonts w:ascii="Times New Roman" w:hAnsi="Times New Roman" w:cs="Times New Roman"/>
                <w:b/>
                <w:bCs/>
                <w:sz w:val="24"/>
                <w:szCs w:val="24"/>
                <w:lang w:val="pt-BR"/>
              </w:rPr>
              <w:t>OBRIGAÇÃO DAS PARTES:</w:t>
            </w:r>
          </w:p>
          <w:p w14:paraId="6173AD49">
            <w:pPr>
              <w:spacing w:line="360" w:lineRule="auto"/>
              <w:jc w:val="both"/>
              <w:rPr>
                <w:rFonts w:ascii="Times New Roman" w:hAnsi="Times New Roman" w:cs="Times New Roman"/>
                <w:sz w:val="24"/>
                <w:szCs w:val="24"/>
              </w:rPr>
            </w:pPr>
            <w:r>
              <w:rPr>
                <w:rFonts w:ascii="Times New Roman" w:hAnsi="Times New Roman" w:cs="Times New Roman"/>
                <w:b/>
                <w:bCs/>
                <w:sz w:val="24"/>
                <w:szCs w:val="24"/>
                <w:lang w:val="pt-BR"/>
              </w:rPr>
              <w:t xml:space="preserve">6.1.1. OBRIGAÇÕES DA CONTRATADA: </w:t>
            </w:r>
          </w:p>
          <w:p w14:paraId="2DCBB412">
            <w:pPr>
              <w:numPr>
                <w:ilvl w:val="3"/>
                <w:numId w:val="18"/>
              </w:numPr>
              <w:spacing w:line="360" w:lineRule="auto"/>
              <w:jc w:val="both"/>
              <w:rPr>
                <w:rFonts w:ascii="Times New Roman" w:hAnsi="Times New Roman" w:cs="Times New Roman"/>
                <w:sz w:val="24"/>
                <w:szCs w:val="24"/>
                <w:lang w:val="pt-BR"/>
              </w:rPr>
            </w:pPr>
            <w:r>
              <w:rPr>
                <w:rFonts w:ascii="Times New Roman" w:hAnsi="Times New Roman" w:cs="Times New Roman"/>
                <w:sz w:val="24"/>
                <w:szCs w:val="24"/>
                <w:lang w:val="pt-BR"/>
              </w:rPr>
              <w:t>Fornecer os produtos nas especificações e com a qualidade exigida;</w:t>
            </w:r>
          </w:p>
          <w:p w14:paraId="7AC7D540">
            <w:pPr>
              <w:spacing w:line="360" w:lineRule="auto"/>
              <w:jc w:val="both"/>
              <w:rPr>
                <w:rFonts w:ascii="Times New Roman" w:hAnsi="Times New Roman" w:cs="Times New Roman"/>
                <w:sz w:val="24"/>
                <w:szCs w:val="24"/>
                <w:lang w:val="pt-BR"/>
              </w:rPr>
            </w:pPr>
            <w:r>
              <w:rPr>
                <w:rFonts w:ascii="Times New Roman" w:hAnsi="Times New Roman" w:cs="Times New Roman"/>
                <w:b/>
                <w:sz w:val="24"/>
                <w:szCs w:val="24"/>
                <w:lang w:val="pt-BR"/>
              </w:rPr>
              <w:t xml:space="preserve">6.1.1.2. </w:t>
            </w:r>
            <w:r>
              <w:rPr>
                <w:rFonts w:ascii="Times New Roman" w:hAnsi="Times New Roman" w:cs="Times New Roman"/>
                <w:sz w:val="24"/>
                <w:szCs w:val="24"/>
                <w:lang w:val="pt-BR"/>
              </w:rPr>
              <w:t xml:space="preserve">Manter, durante a validade do contrato, as mesmas condições de habilitação. </w:t>
            </w:r>
          </w:p>
          <w:p w14:paraId="5F4CF9B9">
            <w:pPr>
              <w:tabs>
                <w:tab w:val="left" w:pos="1276"/>
              </w:tabs>
              <w:spacing w:line="360" w:lineRule="auto"/>
              <w:jc w:val="both"/>
              <w:rPr>
                <w:rFonts w:ascii="Times New Roman" w:hAnsi="Times New Roman" w:cs="Times New Roman"/>
                <w:sz w:val="24"/>
                <w:szCs w:val="24"/>
                <w:lang w:val="pt-BR"/>
              </w:rPr>
            </w:pPr>
            <w:r>
              <w:rPr>
                <w:rFonts w:ascii="Times New Roman" w:hAnsi="Times New Roman" w:cs="Times New Roman"/>
                <w:b/>
                <w:sz w:val="24"/>
                <w:szCs w:val="24"/>
                <w:lang w:val="pt-BR"/>
              </w:rPr>
              <w:t xml:space="preserve">6.1.1.3. </w:t>
            </w:r>
            <w:r>
              <w:rPr>
                <w:rFonts w:ascii="Times New Roman" w:hAnsi="Times New Roman" w:cs="Times New Roman"/>
                <w:sz w:val="24"/>
                <w:szCs w:val="24"/>
                <w:lang w:val="pt-BR"/>
              </w:rPr>
              <w:t>Fornecer o objeto licitado, no preço, prazo e forma estipulados na proposta.</w:t>
            </w:r>
          </w:p>
          <w:p w14:paraId="2715299E">
            <w:pPr>
              <w:pStyle w:val="16"/>
              <w:spacing w:line="360" w:lineRule="auto"/>
              <w:jc w:val="both"/>
              <w:rPr>
                <w:rFonts w:ascii="Times New Roman" w:hAnsi="Times New Roman" w:cs="Times New Roman"/>
                <w:sz w:val="24"/>
                <w:szCs w:val="24"/>
                <w:lang w:val="pt-BR"/>
              </w:rPr>
            </w:pPr>
            <w:r>
              <w:rPr>
                <w:rFonts w:ascii="Times New Roman" w:hAnsi="Times New Roman" w:cs="Times New Roman"/>
                <w:b/>
                <w:sz w:val="24"/>
                <w:szCs w:val="24"/>
                <w:lang w:val="pt-BR"/>
              </w:rPr>
              <w:t xml:space="preserve">6.1.1.4. </w:t>
            </w:r>
            <w:r>
              <w:rPr>
                <w:rFonts w:ascii="Times New Roman" w:hAnsi="Times New Roman" w:cs="Times New Roman"/>
                <w:sz w:val="24"/>
                <w:szCs w:val="24"/>
                <w:lang w:val="pt-BR"/>
              </w:rPr>
              <w:t>Será de responsabilidade da contratada o cumprimento dos prazos estabelecidos no contrato, devendo assegurar a entrega dos aparelhos solicitadas dentro do prazo acordado, de modo a evitar prejuízos à operacionalidade das unidades de saúde e garantir a continuidade dos serviços prestados à população;</w:t>
            </w:r>
          </w:p>
          <w:p w14:paraId="71EA4C17">
            <w:pPr>
              <w:pStyle w:val="16"/>
              <w:spacing w:line="360" w:lineRule="auto"/>
              <w:jc w:val="both"/>
              <w:rPr>
                <w:rFonts w:ascii="Times New Roman" w:hAnsi="Times New Roman" w:cs="Times New Roman"/>
                <w:sz w:val="24"/>
                <w:szCs w:val="24"/>
                <w:lang w:val="pt-BR"/>
              </w:rPr>
            </w:pPr>
            <w:r>
              <w:rPr>
                <w:rFonts w:ascii="Times New Roman" w:hAnsi="Times New Roman" w:cs="Times New Roman"/>
                <w:b/>
                <w:sz w:val="24"/>
                <w:szCs w:val="24"/>
                <w:lang w:val="pt-BR"/>
              </w:rPr>
              <w:t xml:space="preserve">6.1.1.5. </w:t>
            </w:r>
            <w:r>
              <w:rPr>
                <w:rFonts w:ascii="Times New Roman" w:hAnsi="Times New Roman" w:cs="Times New Roman"/>
                <w:sz w:val="24"/>
                <w:szCs w:val="24"/>
                <w:lang w:val="pt-BR"/>
              </w:rPr>
              <w:t>Eventuais atrasos na entrega/execução deverão ser devidamente justificados pela contratada e comunicado aos fiscais responsáveis pelos contratos da Secretaria Municipal de Obras, que poderá avaliar as medidas necessárias para mitigar os impactos causados pela não conformidade com os prazos estabelecidos;</w:t>
            </w:r>
          </w:p>
          <w:p w14:paraId="44760950">
            <w:pPr>
              <w:pStyle w:val="16"/>
              <w:spacing w:line="360" w:lineRule="auto"/>
              <w:jc w:val="both"/>
              <w:rPr>
                <w:rFonts w:ascii="Times New Roman" w:hAnsi="Times New Roman" w:cs="Times New Roman"/>
                <w:sz w:val="24"/>
                <w:szCs w:val="24"/>
                <w:lang w:val="pt-BR"/>
              </w:rPr>
            </w:pPr>
            <w:r>
              <w:rPr>
                <w:rFonts w:ascii="Times New Roman" w:hAnsi="Times New Roman" w:cs="Times New Roman"/>
                <w:b/>
                <w:sz w:val="24"/>
                <w:szCs w:val="24"/>
                <w:lang w:val="pt-BR"/>
              </w:rPr>
              <w:t xml:space="preserve">6.1.1.6. </w:t>
            </w:r>
            <w:r>
              <w:rPr>
                <w:rFonts w:ascii="Times New Roman" w:hAnsi="Times New Roman" w:cs="Times New Roman"/>
                <w:sz w:val="24"/>
                <w:szCs w:val="24"/>
                <w:lang w:val="pt-BR"/>
              </w:rPr>
              <w:t xml:space="preserve">  A logística de retirada e carregamento do produto deve ser organizada de forma a possibilitar a entrada dos caminhões e máquinas da prefeitura no recinto da jazida para retirada, e carregamento do cascalho e ou terra </w:t>
            </w:r>
          </w:p>
          <w:p w14:paraId="7FAF1595">
            <w:pPr>
              <w:pStyle w:val="16"/>
              <w:spacing w:line="360" w:lineRule="auto"/>
              <w:jc w:val="both"/>
              <w:rPr>
                <w:rFonts w:ascii="Times New Roman" w:hAnsi="Times New Roman"/>
                <w:b/>
                <w:bCs/>
                <w:sz w:val="24"/>
                <w:szCs w:val="24"/>
                <w:lang w:val="pt-BR"/>
              </w:rPr>
            </w:pPr>
            <w:r>
              <w:rPr>
                <w:rFonts w:ascii="Times New Roman" w:hAnsi="Times New Roman" w:cs="Times New Roman"/>
                <w:b/>
                <w:bCs/>
                <w:sz w:val="24"/>
                <w:szCs w:val="24"/>
                <w:lang w:val="pt-BR"/>
              </w:rPr>
              <w:t xml:space="preserve">6.1.1.8. </w:t>
            </w:r>
            <w:r>
              <w:rPr>
                <w:rFonts w:ascii="Times New Roman" w:hAnsi="Times New Roman"/>
                <w:b/>
                <w:bCs/>
                <w:sz w:val="24"/>
                <w:szCs w:val="24"/>
                <w:lang w:val="pt-BR"/>
              </w:rPr>
              <w:t>DA REGULARIDADE AMBIENTAL E MINERÁRIA</w:t>
            </w:r>
          </w:p>
          <w:p w14:paraId="7ADBFC4C">
            <w:pPr>
              <w:pStyle w:val="16"/>
              <w:spacing w:line="360" w:lineRule="auto"/>
              <w:jc w:val="both"/>
              <w:rPr>
                <w:rFonts w:ascii="Times New Roman" w:hAnsi="Times New Roman" w:cs="Times New Roman"/>
                <w:sz w:val="24"/>
                <w:szCs w:val="24"/>
                <w:lang w:val="pt-BR"/>
              </w:rPr>
            </w:pPr>
            <w:r>
              <w:rPr>
                <w:rFonts w:ascii="Times New Roman" w:hAnsi="Times New Roman" w:cs="Times New Roman"/>
                <w:sz w:val="24"/>
                <w:szCs w:val="24"/>
                <w:lang w:val="pt-BR"/>
              </w:rPr>
              <w:t>1. Para fins de habilitação e formalização do credenciamento, a interessada deverá</w:t>
            </w:r>
            <w:r>
              <w:rPr>
                <w:rFonts w:ascii="Times New Roman" w:hAnsi="Times New Roman" w:cs="Times New Roman"/>
                <w:b/>
                <w:bCs/>
                <w:sz w:val="24"/>
                <w:szCs w:val="24"/>
                <w:lang w:val="pt-BR"/>
              </w:rPr>
              <w:t xml:space="preserve"> </w:t>
            </w:r>
            <w:r>
              <w:rPr>
                <w:rFonts w:ascii="Times New Roman" w:hAnsi="Times New Roman" w:cs="Times New Roman"/>
                <w:sz w:val="24"/>
                <w:szCs w:val="24"/>
                <w:lang w:val="pt-BR"/>
              </w:rPr>
              <w:t>apresentar a Licença Ambiental expedida pela SEMA/MT e o respectivo Título Minerário regularizado junto à Agência Nacional de Mineração (ANM).</w:t>
            </w:r>
          </w:p>
          <w:p w14:paraId="646AE386">
            <w:pPr>
              <w:pStyle w:val="16"/>
              <w:spacing w:line="360" w:lineRule="auto"/>
              <w:jc w:val="both"/>
              <w:rPr>
                <w:rFonts w:ascii="Times New Roman" w:hAnsi="Times New Roman" w:cs="Times New Roman"/>
                <w:sz w:val="24"/>
                <w:szCs w:val="24"/>
                <w:lang w:val="pt-BR"/>
              </w:rPr>
            </w:pPr>
            <w:r>
              <w:rPr>
                <w:rFonts w:ascii="Times New Roman" w:hAnsi="Times New Roman" w:cs="Times New Roman"/>
                <w:sz w:val="24"/>
                <w:szCs w:val="24"/>
                <w:lang w:val="pt-BR"/>
              </w:rPr>
              <w:t>2. Do Aceite de Protocolos: Excepcionalmente, na ausência da emissão dos documentos definitivos no momento da habilitação, será aceita a apresentação dos comprovantes de protocolo de requerimento ou de renovação formalizados junto à ANM e à SEMA/MT. a) Os referidos protocolos devem estar dentro da validade legal e devem demonstrar que o processo se encontra em tramitação regular nos respectivos órgãos, sem paralisações por omissão ou pendência da requerente.</w:t>
            </w:r>
          </w:p>
          <w:p w14:paraId="7F501EBF">
            <w:pPr>
              <w:pStyle w:val="16"/>
              <w:spacing w:line="360" w:lineRule="auto"/>
              <w:jc w:val="both"/>
              <w:rPr>
                <w:rFonts w:ascii="Times New Roman" w:hAnsi="Times New Roman" w:cs="Times New Roman"/>
                <w:sz w:val="24"/>
                <w:szCs w:val="24"/>
                <w:lang w:val="pt-BR"/>
              </w:rPr>
            </w:pPr>
            <w:r>
              <w:rPr>
                <w:rFonts w:ascii="Times New Roman" w:hAnsi="Times New Roman" w:cs="Times New Roman"/>
                <w:sz w:val="24"/>
                <w:szCs w:val="24"/>
                <w:lang w:val="pt-BR"/>
              </w:rPr>
              <w:t>3. Da Condição para Renovação: A aceitação dos protocolos possui caráter transitório para o período vigente da contratação. Fica expressamente estabelecido que as futuras renovações ou prorrogações deste credenciamento ficarão estritamente condicionadas à aprovação e apresentação definitiva da Concessão de Lavra (ou Guia de Utilização expedida pela ANM) e da Licença Ambiental de Operação (SEMA/MT), não sendo admitida a mera reapresentação de protocolos.</w:t>
            </w:r>
          </w:p>
          <w:p w14:paraId="3FB879AD">
            <w:pPr>
              <w:pStyle w:val="16"/>
              <w:spacing w:line="360" w:lineRule="auto"/>
              <w:jc w:val="both"/>
              <w:rPr>
                <w:rFonts w:ascii="Times New Roman" w:hAnsi="Times New Roman" w:cs="Times New Roman"/>
                <w:sz w:val="24"/>
                <w:szCs w:val="24"/>
                <w:lang w:val="pt-BR"/>
              </w:rPr>
            </w:pPr>
            <w:r>
              <w:rPr>
                <w:rFonts w:ascii="Times New Roman" w:hAnsi="Times New Roman" w:cs="Times New Roman"/>
                <w:b/>
                <w:bCs/>
                <w:sz w:val="24"/>
                <w:szCs w:val="24"/>
                <w:lang w:val="pt-BR"/>
              </w:rPr>
              <w:t xml:space="preserve"> 6.1.1.9.</w:t>
            </w:r>
            <w:r>
              <w:rPr>
                <w:rFonts w:ascii="Times New Roman" w:hAnsi="Times New Roman" w:cs="Times New Roman"/>
                <w:sz w:val="24"/>
                <w:szCs w:val="24"/>
                <w:lang w:val="pt-BR"/>
              </w:rPr>
              <w:t xml:space="preserve"> Adotar planos de recuperação de áreas degradadas (PRAD).</w:t>
            </w:r>
          </w:p>
          <w:p w14:paraId="2320B818">
            <w:pPr>
              <w:pStyle w:val="16"/>
              <w:spacing w:line="360" w:lineRule="auto"/>
              <w:jc w:val="both"/>
              <w:rPr>
                <w:rFonts w:ascii="Times New Roman" w:hAnsi="Times New Roman" w:cs="Times New Roman"/>
                <w:sz w:val="24"/>
                <w:szCs w:val="24"/>
                <w:shd w:val="clear" w:color="auto" w:fill="FFFF00"/>
                <w:lang w:val="pt-BR"/>
              </w:rPr>
            </w:pPr>
            <w:r>
              <w:rPr>
                <w:rFonts w:ascii="Times New Roman" w:hAnsi="Times New Roman" w:cs="Times New Roman"/>
                <w:b/>
                <w:bCs/>
                <w:sz w:val="24"/>
                <w:szCs w:val="24"/>
                <w:lang w:val="pt-BR"/>
              </w:rPr>
              <w:t xml:space="preserve"> 6.1.1.10</w:t>
            </w:r>
            <w:r>
              <w:rPr>
                <w:rFonts w:ascii="Times New Roman" w:hAnsi="Times New Roman" w:cs="Times New Roman"/>
                <w:sz w:val="24"/>
                <w:szCs w:val="24"/>
                <w:lang w:val="pt-BR"/>
              </w:rPr>
              <w:t xml:space="preserve">. Atentar a apresentação de nota fiscal com comprovação de origem legal do cascalho. </w:t>
            </w:r>
            <w:r>
              <w:rPr>
                <w:rFonts w:ascii="Times New Roman" w:hAnsi="Times New Roman" w:cs="Times New Roman"/>
                <w:sz w:val="24"/>
                <w:szCs w:val="24"/>
                <w:lang w:val="en-US"/>
              </w:rPr>
              <w:t>Para garantir a eficiência dessa estratégia, a equipe técnica elaborou um mapa (anexo) que evidencia as estradas não pavimentadas delimitadas pelas rodovias MT-220, MT-140 e MT-423. Para fins de credenciamento, as jazidas de cascalho ofertadas pelo participante deverão estar, obrigatoriamente, localizadas dentro desse quadrante</w:t>
            </w:r>
          </w:p>
          <w:p w14:paraId="20AD46F5">
            <w:pPr>
              <w:pStyle w:val="16"/>
              <w:spacing w:line="360" w:lineRule="auto"/>
              <w:jc w:val="both"/>
              <w:rPr>
                <w:rFonts w:ascii="Times New Roman" w:hAnsi="Times New Roman" w:cs="Times New Roman"/>
                <w:sz w:val="24"/>
                <w:szCs w:val="24"/>
                <w:u w:val="single"/>
                <w:lang w:val="en-US"/>
              </w:rPr>
            </w:pPr>
            <w:r>
              <w:rPr>
                <w:rFonts w:ascii="Times New Roman" w:hAnsi="Times New Roman" w:cs="Times New Roman"/>
                <w:b/>
                <w:bCs/>
                <w:sz w:val="24"/>
                <w:szCs w:val="24"/>
                <w:lang w:val="pt-BR"/>
              </w:rPr>
              <w:t>6.1.1.11.</w:t>
            </w:r>
            <w:r>
              <w:rPr>
                <w:rFonts w:ascii="Times New Roman" w:hAnsi="Times New Roman" w:cs="Times New Roman"/>
                <w:b/>
                <w:bCs/>
                <w:sz w:val="24"/>
                <w:szCs w:val="24"/>
                <w:u w:val="single"/>
                <w:lang w:val="pt-BR"/>
              </w:rPr>
              <w:t xml:space="preserve"> </w:t>
            </w:r>
            <w:r>
              <w:rPr>
                <w:rFonts w:ascii="Times New Roman" w:hAnsi="Times New Roman" w:cs="Times New Roman"/>
                <w:sz w:val="24"/>
                <w:szCs w:val="24"/>
                <w:u w:val="single"/>
                <w:lang w:val="en-US"/>
              </w:rPr>
              <w:t xml:space="preserve">Critérios de Prioridade e Distância: Na ausência de licitantes na região de aplicação do cascalho, a convocação observará a seguinte ordem de prioridade: </w:t>
            </w:r>
          </w:p>
          <w:p w14:paraId="2D72F2D1">
            <w:pPr>
              <w:pStyle w:val="16"/>
              <w:spacing w:line="360" w:lineRule="auto"/>
              <w:jc w:val="both"/>
              <w:rPr>
                <w:rFonts w:hint="default" w:ascii="Times New Roman" w:hAnsi="Times New Roman" w:cs="Times New Roman"/>
                <w:sz w:val="24"/>
                <w:szCs w:val="24"/>
                <w:u w:val="single"/>
                <w:lang w:val="pt-BR"/>
              </w:rPr>
            </w:pPr>
            <w:r>
              <w:rPr>
                <w:rFonts w:ascii="Times New Roman" w:hAnsi="Times New Roman" w:cs="Times New Roman"/>
                <w:sz w:val="24"/>
                <w:szCs w:val="24"/>
                <w:u w:val="single"/>
                <w:lang w:val="en-US"/>
              </w:rPr>
              <w:t>a) Será considerada a proposta proveniente da cascalheira localizada no quadrante geográfico mais próximo, desde que a distância não ultrapasse 20 km em relação ao limite do serviço demandado;</w:t>
            </w:r>
          </w:p>
          <w:p w14:paraId="76F04675">
            <w:pPr>
              <w:pStyle w:val="16"/>
              <w:spacing w:line="360" w:lineRule="auto"/>
              <w:jc w:val="both"/>
              <w:rPr>
                <w:rFonts w:hint="default" w:ascii="Times New Roman" w:hAnsi="Times New Roman" w:cs="Times New Roman"/>
                <w:sz w:val="24"/>
                <w:szCs w:val="24"/>
                <w:u w:val="single"/>
                <w:lang w:val="pt-BR"/>
              </w:rPr>
            </w:pPr>
            <w:r>
              <w:rPr>
                <w:rFonts w:hint="default" w:ascii="Times New Roman" w:hAnsi="Times New Roman" w:cs="Times New Roman"/>
                <w:sz w:val="24"/>
                <w:szCs w:val="24"/>
                <w:u w:val="single"/>
                <w:lang w:val="pt-BR"/>
              </w:rPr>
              <w:t>b)</w:t>
            </w:r>
            <w:r>
              <w:rPr>
                <w:rFonts w:hint="default" w:ascii="Times New Roman" w:hAnsi="Times New Roman" w:cs="Times New Roman"/>
                <w:sz w:val="24"/>
                <w:szCs w:val="24"/>
                <w:u w:val="single"/>
                <w:shd w:val="clear"/>
                <w:lang w:val="pt-BR"/>
              </w:rPr>
              <w:t xml:space="preserve"> Havendo mais de uma cascalheira na distância dos 20 km do local de cascalhamento, será calculada a quantidade a ser retirada para a estrada e dividida por igual quantitativo de m³ por cascalheira para que o fornecimento atenda ao quesito de igualdade aos fornecedores.</w:t>
            </w:r>
          </w:p>
          <w:p w14:paraId="6034FF4F">
            <w:pPr>
              <w:pStyle w:val="16"/>
              <w:spacing w:line="360" w:lineRule="auto"/>
              <w:jc w:val="both"/>
              <w:rPr>
                <w:rFonts w:hint="default" w:ascii="Times New Roman" w:hAnsi="Times New Roman" w:cs="Times New Roman"/>
                <w:sz w:val="24"/>
                <w:szCs w:val="24"/>
                <w:lang w:val="pt-BR"/>
              </w:rPr>
            </w:pPr>
            <w:r>
              <w:rPr>
                <w:rFonts w:ascii="Times New Roman" w:hAnsi="Times New Roman" w:cs="Times New Roman"/>
                <w:sz w:val="24"/>
                <w:szCs w:val="24"/>
                <w:u w:val="single"/>
                <w:lang w:val="en-US"/>
              </w:rPr>
              <w:t xml:space="preserve"> </w:t>
            </w:r>
            <w:r>
              <w:rPr>
                <w:rFonts w:hint="default" w:ascii="Times New Roman" w:hAnsi="Times New Roman" w:cs="Times New Roman"/>
                <w:sz w:val="24"/>
                <w:szCs w:val="24"/>
                <w:u w:val="single"/>
                <w:lang w:val="pt-BR"/>
              </w:rPr>
              <w:t>c</w:t>
            </w:r>
            <w:r>
              <w:rPr>
                <w:rFonts w:ascii="Times New Roman" w:hAnsi="Times New Roman" w:cs="Times New Roman"/>
                <w:sz w:val="24"/>
                <w:szCs w:val="24"/>
                <w:u w:val="single"/>
                <w:lang w:val="en-US"/>
              </w:rPr>
              <w:t xml:space="preserve">) Caso não haja jazida disponível no limite estabelecido na alínea anterior, a Administração aproveitará a cascalheira mais próxima do local da obra dentre as credenciadas. Parágrafo Único: Fica expressamente vedada a aquisição </w:t>
            </w:r>
            <w:r>
              <w:rPr>
                <w:rFonts w:hint="default" w:ascii="Times New Roman" w:hAnsi="Times New Roman" w:cs="Times New Roman"/>
                <w:sz w:val="24"/>
                <w:szCs w:val="24"/>
                <w:u w:val="single"/>
                <w:lang w:val="pt-BR"/>
              </w:rPr>
              <w:t xml:space="preserve">de cascalho em </w:t>
            </w:r>
            <w:r>
              <w:rPr>
                <w:rFonts w:ascii="Times New Roman" w:hAnsi="Times New Roman" w:cs="Times New Roman"/>
                <w:sz w:val="24"/>
                <w:szCs w:val="24"/>
                <w:u w:val="single"/>
                <w:lang w:val="en-US"/>
              </w:rPr>
              <w:t>cascalh</w:t>
            </w:r>
            <w:r>
              <w:rPr>
                <w:rFonts w:hint="default" w:ascii="Times New Roman" w:hAnsi="Times New Roman" w:cs="Times New Roman"/>
                <w:sz w:val="24"/>
                <w:szCs w:val="24"/>
                <w:u w:val="single"/>
                <w:lang w:val="pt-BR"/>
              </w:rPr>
              <w:t>eiras</w:t>
            </w:r>
            <w:r>
              <w:rPr>
                <w:rFonts w:ascii="Times New Roman" w:hAnsi="Times New Roman" w:cs="Times New Roman"/>
                <w:sz w:val="24"/>
                <w:szCs w:val="24"/>
                <w:u w:val="single"/>
                <w:lang w:val="en-US"/>
              </w:rPr>
              <w:t xml:space="preserve"> na região norte de </w:t>
            </w:r>
            <w:r>
              <w:rPr>
                <w:rFonts w:hint="default" w:ascii="Times New Roman" w:hAnsi="Times New Roman" w:cs="Times New Roman"/>
                <w:sz w:val="24"/>
                <w:szCs w:val="24"/>
                <w:u w:val="single"/>
                <w:lang w:val="pt-BR"/>
              </w:rPr>
              <w:t>S</w:t>
            </w:r>
            <w:r>
              <w:rPr>
                <w:rFonts w:ascii="Times New Roman" w:hAnsi="Times New Roman" w:cs="Times New Roman"/>
                <w:sz w:val="24"/>
                <w:szCs w:val="24"/>
                <w:u w:val="single"/>
                <w:lang w:val="en-US"/>
              </w:rPr>
              <w:t>inop (</w:t>
            </w:r>
            <w:r>
              <w:rPr>
                <w:rFonts w:hint="default" w:ascii="Times New Roman" w:hAnsi="Times New Roman" w:cs="Times New Roman"/>
                <w:sz w:val="24"/>
                <w:szCs w:val="24"/>
                <w:u w:val="single"/>
                <w:lang w:val="pt-BR"/>
              </w:rPr>
              <w:t>G</w:t>
            </w:r>
            <w:r>
              <w:rPr>
                <w:rFonts w:ascii="Times New Roman" w:hAnsi="Times New Roman" w:cs="Times New Roman"/>
                <w:sz w:val="24"/>
                <w:szCs w:val="24"/>
                <w:u w:val="single"/>
                <w:lang w:val="en-US"/>
              </w:rPr>
              <w:t>leba)</w:t>
            </w:r>
            <w:r>
              <w:rPr>
                <w:rFonts w:hint="default" w:ascii="Times New Roman" w:hAnsi="Times New Roman" w:cs="Times New Roman"/>
                <w:sz w:val="24"/>
                <w:szCs w:val="24"/>
                <w:u w:val="single"/>
                <w:lang w:val="pt-BR"/>
              </w:rPr>
              <w:t xml:space="preserve"> </w:t>
            </w:r>
            <w:r>
              <w:rPr>
                <w:rFonts w:ascii="Times New Roman" w:hAnsi="Times New Roman" w:cs="Times New Roman"/>
                <w:sz w:val="24"/>
                <w:szCs w:val="24"/>
                <w:u w:val="single"/>
                <w:lang w:val="en-US"/>
              </w:rPr>
              <w:t xml:space="preserve">até </w:t>
            </w:r>
            <w:r>
              <w:rPr>
                <w:rFonts w:hint="default" w:ascii="Times New Roman" w:hAnsi="Times New Roman" w:cs="Times New Roman"/>
                <w:sz w:val="24"/>
                <w:szCs w:val="24"/>
                <w:u w:val="single"/>
                <w:lang w:val="pt-BR"/>
              </w:rPr>
              <w:t xml:space="preserve">o </w:t>
            </w:r>
            <w:r>
              <w:rPr>
                <w:rFonts w:ascii="Times New Roman" w:hAnsi="Times New Roman" w:cs="Times New Roman"/>
                <w:sz w:val="24"/>
                <w:szCs w:val="24"/>
                <w:u w:val="single"/>
                <w:lang w:val="en-US"/>
              </w:rPr>
              <w:t>t</w:t>
            </w:r>
            <w:r>
              <w:rPr>
                <w:rFonts w:hint="default" w:ascii="Times New Roman" w:hAnsi="Times New Roman" w:cs="Times New Roman"/>
                <w:sz w:val="24"/>
                <w:szCs w:val="24"/>
                <w:u w:val="single"/>
                <w:lang w:val="pt-BR"/>
              </w:rPr>
              <w:t>é</w:t>
            </w:r>
            <w:r>
              <w:rPr>
                <w:rFonts w:ascii="Times New Roman" w:hAnsi="Times New Roman" w:cs="Times New Roman"/>
                <w:sz w:val="24"/>
                <w:szCs w:val="24"/>
                <w:u w:val="single"/>
                <w:lang w:val="en-US"/>
              </w:rPr>
              <w:t>rmino d</w:t>
            </w:r>
            <w:r>
              <w:rPr>
                <w:rFonts w:hint="default" w:ascii="Times New Roman" w:hAnsi="Times New Roman" w:cs="Times New Roman"/>
                <w:sz w:val="24"/>
                <w:szCs w:val="24"/>
                <w:u w:val="single"/>
                <w:lang w:val="pt-BR"/>
              </w:rPr>
              <w:t>o contrato vigente. L</w:t>
            </w:r>
            <w:r>
              <w:rPr>
                <w:rFonts w:ascii="Times New Roman" w:hAnsi="Times New Roman" w:cs="Times New Roman"/>
                <w:sz w:val="24"/>
                <w:szCs w:val="24"/>
                <w:u w:val="single"/>
                <w:lang w:val="en-US"/>
              </w:rPr>
              <w:t>icitantes cujas jazidas estejam localizadas nesta Região pode</w:t>
            </w:r>
            <w:r>
              <w:rPr>
                <w:rFonts w:hint="default" w:ascii="Times New Roman" w:hAnsi="Times New Roman" w:cs="Times New Roman"/>
                <w:sz w:val="24"/>
                <w:szCs w:val="24"/>
                <w:u w:val="single"/>
                <w:lang w:val="pt-BR"/>
              </w:rPr>
              <w:t>m</w:t>
            </w:r>
            <w:r>
              <w:rPr>
                <w:rFonts w:ascii="Times New Roman" w:hAnsi="Times New Roman" w:cs="Times New Roman"/>
                <w:sz w:val="24"/>
                <w:szCs w:val="24"/>
                <w:u w:val="single"/>
                <w:lang w:val="en-US"/>
              </w:rPr>
              <w:t xml:space="preserve"> se credenciar porém  ser</w:t>
            </w:r>
            <w:r>
              <w:rPr>
                <w:rFonts w:hint="default" w:ascii="Times New Roman" w:hAnsi="Times New Roman" w:cs="Times New Roman"/>
                <w:sz w:val="24"/>
                <w:szCs w:val="24"/>
                <w:u w:val="single"/>
                <w:lang w:val="pt-BR"/>
              </w:rPr>
              <w:t>ão</w:t>
            </w:r>
            <w:r>
              <w:rPr>
                <w:rFonts w:ascii="Times New Roman" w:hAnsi="Times New Roman" w:cs="Times New Roman"/>
                <w:sz w:val="24"/>
                <w:szCs w:val="24"/>
                <w:u w:val="single"/>
                <w:lang w:val="en-US"/>
              </w:rPr>
              <w:t xml:space="preserve"> realizada</w:t>
            </w:r>
            <w:r>
              <w:rPr>
                <w:rFonts w:hint="default" w:ascii="Times New Roman" w:hAnsi="Times New Roman" w:cs="Times New Roman"/>
                <w:sz w:val="24"/>
                <w:szCs w:val="24"/>
                <w:u w:val="single"/>
                <w:lang w:val="pt-BR"/>
              </w:rPr>
              <w:t>s</w:t>
            </w:r>
            <w:r>
              <w:rPr>
                <w:rFonts w:ascii="Times New Roman" w:hAnsi="Times New Roman" w:cs="Times New Roman"/>
                <w:sz w:val="24"/>
                <w:szCs w:val="24"/>
                <w:u w:val="single"/>
                <w:lang w:val="en-US"/>
              </w:rPr>
              <w:t xml:space="preserve"> aquisiç</w:t>
            </w:r>
            <w:r>
              <w:rPr>
                <w:rFonts w:hint="default" w:ascii="Times New Roman" w:hAnsi="Times New Roman" w:cs="Times New Roman"/>
                <w:sz w:val="24"/>
                <w:szCs w:val="24"/>
                <w:u w:val="single"/>
                <w:lang w:val="pt-BR"/>
              </w:rPr>
              <w:t>õ</w:t>
            </w:r>
            <w:r>
              <w:rPr>
                <w:rFonts w:ascii="Times New Roman" w:hAnsi="Times New Roman" w:cs="Times New Roman"/>
                <w:sz w:val="24"/>
                <w:szCs w:val="24"/>
                <w:u w:val="single"/>
                <w:lang w:val="en-US"/>
              </w:rPr>
              <w:t xml:space="preserve">es de material </w:t>
            </w:r>
            <w:r>
              <w:rPr>
                <w:rFonts w:hint="default" w:ascii="Times New Roman" w:hAnsi="Times New Roman" w:cs="Times New Roman"/>
                <w:sz w:val="24"/>
                <w:szCs w:val="24"/>
                <w:u w:val="single"/>
                <w:lang w:val="pt-BR"/>
              </w:rPr>
              <w:t>a</w:t>
            </w:r>
            <w:r>
              <w:rPr>
                <w:rFonts w:ascii="Times New Roman" w:hAnsi="Times New Roman" w:cs="Times New Roman"/>
                <w:sz w:val="24"/>
                <w:szCs w:val="24"/>
                <w:u w:val="single"/>
                <w:lang w:val="en-US"/>
              </w:rPr>
              <w:t xml:space="preserve">pós </w:t>
            </w:r>
            <w:r>
              <w:rPr>
                <w:rFonts w:hint="default" w:ascii="Times New Roman" w:hAnsi="Times New Roman" w:cs="Times New Roman"/>
                <w:sz w:val="24"/>
                <w:szCs w:val="24"/>
                <w:u w:val="single"/>
                <w:lang w:val="pt-BR"/>
              </w:rPr>
              <w:t>o</w:t>
            </w:r>
            <w:r>
              <w:rPr>
                <w:rFonts w:ascii="Times New Roman" w:hAnsi="Times New Roman" w:cs="Times New Roman"/>
                <w:sz w:val="24"/>
                <w:szCs w:val="24"/>
                <w:u w:val="single"/>
                <w:lang w:val="en-US"/>
              </w:rPr>
              <w:t xml:space="preserve"> vencimento d</w:t>
            </w:r>
            <w:r>
              <w:rPr>
                <w:rFonts w:hint="default" w:ascii="Times New Roman" w:hAnsi="Times New Roman" w:cs="Times New Roman"/>
                <w:sz w:val="24"/>
                <w:szCs w:val="24"/>
                <w:u w:val="single"/>
                <w:lang w:val="pt-BR"/>
              </w:rPr>
              <w:t>a ata vigente,</w:t>
            </w:r>
            <w:r>
              <w:rPr>
                <w:rFonts w:ascii="Times New Roman" w:hAnsi="Times New Roman" w:cs="Times New Roman"/>
                <w:sz w:val="24"/>
                <w:szCs w:val="24"/>
                <w:u w:val="single"/>
                <w:lang w:val="en-US"/>
              </w:rPr>
              <w:t xml:space="preserve"> estimad</w:t>
            </w:r>
            <w:r>
              <w:rPr>
                <w:rFonts w:hint="default" w:ascii="Times New Roman" w:hAnsi="Times New Roman" w:cs="Times New Roman"/>
                <w:sz w:val="24"/>
                <w:szCs w:val="24"/>
                <w:u w:val="single"/>
                <w:lang w:val="pt-BR"/>
              </w:rPr>
              <w:t>o para</w:t>
            </w:r>
            <w:r>
              <w:rPr>
                <w:rFonts w:ascii="Times New Roman" w:hAnsi="Times New Roman" w:cs="Times New Roman"/>
                <w:sz w:val="24"/>
                <w:szCs w:val="24"/>
                <w:u w:val="single"/>
                <w:lang w:val="en-US"/>
              </w:rPr>
              <w:t xml:space="preserve"> dezembro de 2026</w:t>
            </w:r>
            <w:r>
              <w:rPr>
                <w:rFonts w:hint="default" w:ascii="Times New Roman" w:hAnsi="Times New Roman" w:cs="Times New Roman"/>
                <w:sz w:val="24"/>
                <w:szCs w:val="24"/>
                <w:u w:val="single"/>
                <w:lang w:val="pt-BR"/>
              </w:rPr>
              <w:t xml:space="preserve"> ou após o término do quantitativo da mesma.</w:t>
            </w:r>
          </w:p>
          <w:p w14:paraId="6C335C4D">
            <w:pPr>
              <w:pStyle w:val="16"/>
              <w:spacing w:line="360" w:lineRule="auto"/>
              <w:jc w:val="both"/>
              <w:rPr>
                <w:rFonts w:ascii="Times New Roman" w:hAnsi="Times New Roman" w:cs="Times New Roman"/>
                <w:sz w:val="24"/>
                <w:szCs w:val="24"/>
                <w:lang w:val="pt-BR"/>
              </w:rPr>
            </w:pPr>
            <w:r>
              <w:rPr>
                <w:rFonts w:ascii="Times New Roman" w:hAnsi="Times New Roman" w:cs="Times New Roman"/>
                <w:b/>
                <w:bCs/>
                <w:sz w:val="24"/>
                <w:szCs w:val="24"/>
                <w:lang w:val="pt-BR"/>
              </w:rPr>
              <w:t>6.1.1.12.</w:t>
            </w:r>
            <w:r>
              <w:rPr>
                <w:rFonts w:ascii="Times New Roman" w:hAnsi="Times New Roman" w:cs="Times New Roman"/>
                <w:sz w:val="24"/>
                <w:szCs w:val="24"/>
                <w:lang w:val="pt-BR"/>
              </w:rPr>
              <w:t xml:space="preserve"> Comprovar que a cascalheira está localizada dentro da distância indicada no processo, conforme mapa das regiões </w:t>
            </w:r>
            <w:r>
              <w:rPr>
                <w:rFonts w:hint="default" w:ascii="Times New Roman" w:hAnsi="Times New Roman" w:cs="Times New Roman"/>
                <w:sz w:val="24"/>
                <w:szCs w:val="24"/>
                <w:lang w:val="pt-BR"/>
              </w:rPr>
              <w:t xml:space="preserve">(estradas) </w:t>
            </w:r>
            <w:r>
              <w:rPr>
                <w:rFonts w:ascii="Times New Roman" w:hAnsi="Times New Roman" w:cs="Times New Roman"/>
                <w:sz w:val="24"/>
                <w:szCs w:val="24"/>
                <w:lang w:val="pt-BR"/>
              </w:rPr>
              <w:t>a serem atendidas.</w:t>
            </w:r>
          </w:p>
          <w:p w14:paraId="0968F7AD">
            <w:pPr>
              <w:pStyle w:val="16"/>
              <w:spacing w:line="360" w:lineRule="auto"/>
              <w:jc w:val="both"/>
              <w:rPr>
                <w:rFonts w:ascii="Times New Roman" w:hAnsi="Times New Roman" w:cs="Times New Roman"/>
                <w:sz w:val="24"/>
                <w:szCs w:val="24"/>
                <w:lang w:val="pt-BR"/>
              </w:rPr>
            </w:pPr>
            <w:r>
              <w:rPr>
                <w:rFonts w:ascii="Times New Roman" w:hAnsi="Times New Roman" w:cs="Times New Roman"/>
                <w:b/>
                <w:bCs/>
                <w:sz w:val="24"/>
                <w:szCs w:val="24"/>
                <w:lang w:val="pt-BR"/>
              </w:rPr>
              <w:t>6.1.1.13.</w:t>
            </w:r>
            <w:r>
              <w:rPr>
                <w:rFonts w:ascii="Times New Roman" w:hAnsi="Times New Roman" w:cs="Times New Roman"/>
                <w:sz w:val="24"/>
                <w:szCs w:val="24"/>
                <w:lang w:val="pt-BR"/>
              </w:rPr>
              <w:t xml:space="preserve"> O responsável pela carga, descarga e transporte do ite</w:t>
            </w:r>
            <w:r>
              <w:rPr>
                <w:rFonts w:hint="default" w:ascii="Times New Roman" w:hAnsi="Times New Roman" w:cs="Times New Roman"/>
                <w:sz w:val="24"/>
                <w:szCs w:val="24"/>
                <w:lang w:val="pt-BR"/>
              </w:rPr>
              <w:t>m 2</w:t>
            </w:r>
            <w:r>
              <w:rPr>
                <w:rFonts w:ascii="Times New Roman" w:hAnsi="Times New Roman" w:cs="Times New Roman"/>
                <w:sz w:val="24"/>
                <w:szCs w:val="24"/>
                <w:lang w:val="pt-BR"/>
              </w:rPr>
              <w:t xml:space="preserve"> é o contratante;</w:t>
            </w:r>
          </w:p>
          <w:p w14:paraId="1AF26B83">
            <w:pPr>
              <w:pStyle w:val="16"/>
              <w:spacing w:line="360" w:lineRule="auto"/>
              <w:jc w:val="both"/>
              <w:rPr>
                <w:rFonts w:ascii="Times New Roman" w:hAnsi="Times New Roman" w:cs="Times New Roman"/>
                <w:sz w:val="24"/>
                <w:szCs w:val="24"/>
                <w:lang w:val="pt-BR"/>
              </w:rPr>
            </w:pPr>
            <w:r>
              <w:rPr>
                <w:rFonts w:ascii="Times New Roman" w:hAnsi="Times New Roman" w:cs="Times New Roman"/>
                <w:b/>
                <w:bCs/>
                <w:sz w:val="24"/>
                <w:szCs w:val="24"/>
                <w:lang w:val="pt-BR"/>
              </w:rPr>
              <w:t>6.1.1.14.</w:t>
            </w:r>
            <w:r>
              <w:rPr>
                <w:rFonts w:ascii="Times New Roman" w:hAnsi="Times New Roman" w:cs="Times New Roman"/>
                <w:sz w:val="24"/>
                <w:szCs w:val="24"/>
                <w:lang w:val="pt-BR"/>
              </w:rPr>
              <w:t xml:space="preserve"> Comunicar à Administração, no prazo máximo de 24 (vinte e quatro) horas que antecede a data da extração e carregamento, os motivos que impossibilitem o cumprimento do prazo previsto, com a devida comprovação;</w:t>
            </w:r>
          </w:p>
          <w:p w14:paraId="611334E3">
            <w:pPr>
              <w:pStyle w:val="16"/>
              <w:spacing w:line="360" w:lineRule="auto"/>
              <w:jc w:val="both"/>
              <w:rPr>
                <w:rFonts w:ascii="Times New Roman" w:hAnsi="Times New Roman" w:cs="Times New Roman"/>
                <w:sz w:val="24"/>
                <w:szCs w:val="24"/>
                <w:lang w:val="pt-BR"/>
              </w:rPr>
            </w:pPr>
            <w:r>
              <w:rPr>
                <w:rFonts w:ascii="Times New Roman" w:hAnsi="Times New Roman" w:cs="Times New Roman"/>
                <w:b/>
                <w:bCs/>
                <w:sz w:val="24"/>
                <w:szCs w:val="24"/>
                <w:lang w:val="pt-BR"/>
              </w:rPr>
              <w:t>6.1.1.15.</w:t>
            </w:r>
            <w:r>
              <w:rPr>
                <w:rFonts w:ascii="Times New Roman" w:hAnsi="Times New Roman" w:cs="Times New Roman"/>
                <w:sz w:val="24"/>
                <w:szCs w:val="24"/>
                <w:lang w:val="pt-BR"/>
              </w:rPr>
              <w:t xml:space="preserve"> Não transferir a terceiros, por qualquer forma, as obrigações assumidas, nem subcontratar qualquer das prestações a que está obrigada.</w:t>
            </w:r>
          </w:p>
          <w:p w14:paraId="38E0E06D">
            <w:pPr>
              <w:pStyle w:val="16"/>
              <w:spacing w:line="360" w:lineRule="auto"/>
              <w:jc w:val="both"/>
              <w:rPr>
                <w:rFonts w:ascii="Times New Roman" w:hAnsi="Times New Roman" w:cs="Times New Roman"/>
                <w:sz w:val="24"/>
                <w:szCs w:val="24"/>
                <w:lang w:val="pt-BR"/>
              </w:rPr>
            </w:pPr>
            <w:r>
              <w:rPr>
                <w:rFonts w:ascii="Times New Roman" w:hAnsi="Times New Roman" w:cs="Times New Roman"/>
                <w:b/>
                <w:bCs/>
                <w:sz w:val="24"/>
                <w:szCs w:val="24"/>
                <w:lang w:val="pt-BR"/>
              </w:rPr>
              <w:t>6.1.1.16.</w:t>
            </w:r>
            <w:r>
              <w:rPr>
                <w:rFonts w:ascii="Times New Roman" w:hAnsi="Times New Roman" w:cs="Times New Roman"/>
                <w:sz w:val="24"/>
                <w:szCs w:val="24"/>
                <w:lang w:val="pt-BR"/>
              </w:rPr>
              <w:t xml:space="preserve"> Destacar e discriminar a retenção a que está sujeita, informando de forma clara e inequívoca todos os impostos e alíquotas incidentes, cabendo a ela toda a responsabilidade pela eventual ausência dessa informação ou pela informação incorreta.</w:t>
            </w:r>
          </w:p>
          <w:p w14:paraId="260E8805">
            <w:pPr>
              <w:pStyle w:val="16"/>
              <w:spacing w:line="360" w:lineRule="auto"/>
              <w:jc w:val="both"/>
              <w:rPr>
                <w:rFonts w:ascii="Times New Roman" w:hAnsi="Times New Roman" w:cs="Times New Roman"/>
                <w:sz w:val="24"/>
                <w:szCs w:val="24"/>
                <w:lang w:val="pt-BR"/>
              </w:rPr>
            </w:pPr>
            <w:r>
              <w:rPr>
                <w:rFonts w:ascii="Times New Roman" w:hAnsi="Times New Roman" w:cs="Times New Roman"/>
                <w:b/>
                <w:bCs/>
                <w:sz w:val="24"/>
                <w:szCs w:val="24"/>
                <w:lang w:val="pt-BR"/>
              </w:rPr>
              <w:t>6.1.1.17.</w:t>
            </w:r>
            <w:r>
              <w:rPr>
                <w:rFonts w:ascii="Times New Roman" w:hAnsi="Times New Roman" w:cs="Times New Roman"/>
                <w:sz w:val="24"/>
                <w:szCs w:val="24"/>
                <w:lang w:val="pt-BR"/>
              </w:rPr>
              <w:t xml:space="preserve"> As notas fiscais não poderão ter rasuras e deverão descrever corretamente o item, o número de empenho, o número do processo de compras e dados bancários para depósito. As notas fiscais serão liberadas para pagamento somente quando estiverem devidamente assinadas e carimbadas pelo servidor responsável;</w:t>
            </w:r>
          </w:p>
          <w:p w14:paraId="1684FA2A">
            <w:pPr>
              <w:pStyle w:val="16"/>
              <w:spacing w:line="360" w:lineRule="auto"/>
              <w:jc w:val="both"/>
              <w:rPr>
                <w:rFonts w:ascii="Times New Roman" w:hAnsi="Times New Roman" w:cs="Times New Roman"/>
                <w:sz w:val="24"/>
                <w:szCs w:val="24"/>
                <w:shd w:val="clear" w:color="auto" w:fill="FFFF00"/>
                <w:lang w:val="pt-BR"/>
              </w:rPr>
            </w:pPr>
            <w:r>
              <w:rPr>
                <w:rFonts w:ascii="Times New Roman" w:hAnsi="Times New Roman" w:cs="Times New Roman"/>
                <w:b/>
                <w:bCs/>
                <w:sz w:val="24"/>
                <w:szCs w:val="24"/>
                <w:lang w:val="pt-BR"/>
              </w:rPr>
              <w:t>6.1.1.18.</w:t>
            </w:r>
            <w:r>
              <w:rPr>
                <w:rFonts w:ascii="Times New Roman" w:hAnsi="Times New Roman" w:cs="Times New Roman"/>
                <w:sz w:val="24"/>
                <w:szCs w:val="24"/>
                <w:lang w:val="pt-BR"/>
              </w:rPr>
              <w:t xml:space="preserve"> As notas fiscais deverão ser encaminhadas à Prefeitura de Sinop, por meio do Portal do Fornecedor, disponível no endereço eletrônico: </w:t>
            </w:r>
            <w:r>
              <w:fldChar w:fldCharType="begin"/>
            </w:r>
            <w:r>
              <w:instrText xml:space="preserve"> HYPERLINK "https://www.gp.srv.br/portalfornecedor_sinop/servlet/home," </w:instrText>
            </w:r>
            <w:r>
              <w:fldChar w:fldCharType="separate"/>
            </w:r>
            <w:r>
              <w:rPr>
                <w:rFonts w:ascii="Times New Roman" w:hAnsi="Times New Roman" w:cs="Times New Roman"/>
                <w:sz w:val="24"/>
                <w:szCs w:val="24"/>
                <w:lang w:val="pt-BR"/>
              </w:rPr>
              <w:t>https://www.gp.srv.br/portalfornecedor_sinop/servlet/home,</w:t>
            </w:r>
            <w:r>
              <w:rPr>
                <w:rFonts w:ascii="Times New Roman" w:hAnsi="Times New Roman" w:cs="Times New Roman"/>
                <w:sz w:val="24"/>
                <w:szCs w:val="24"/>
                <w:lang w:val="pt-BR"/>
              </w:rPr>
              <w:fldChar w:fldCharType="end"/>
            </w:r>
            <w:r>
              <w:rPr>
                <w:rFonts w:ascii="Times New Roman" w:hAnsi="Times New Roman" w:cs="Times New Roman"/>
                <w:sz w:val="24"/>
                <w:szCs w:val="24"/>
                <w:lang w:val="pt-BR"/>
              </w:rPr>
              <w:t xml:space="preserve"> conforme Decreto 230/2023 de 06 de setembro de 2023</w:t>
            </w:r>
          </w:p>
          <w:p w14:paraId="067DE8A4">
            <w:pPr>
              <w:pStyle w:val="16"/>
              <w:spacing w:line="360" w:lineRule="auto"/>
              <w:jc w:val="both"/>
              <w:rPr>
                <w:rFonts w:ascii="Times New Roman" w:hAnsi="Times New Roman" w:cs="Times New Roman"/>
                <w:sz w:val="24"/>
                <w:szCs w:val="24"/>
                <w:lang w:val="pt-BR"/>
              </w:rPr>
            </w:pPr>
            <w:r>
              <w:rPr>
                <w:rFonts w:ascii="Times New Roman" w:hAnsi="Times New Roman" w:cs="Times New Roman"/>
                <w:sz w:val="24"/>
                <w:szCs w:val="24"/>
                <w:lang w:val="pt-BR"/>
              </w:rPr>
              <w:t>O protocolo deverá ser realizado separadamente por Secretaria e Empenho/Nad;</w:t>
            </w:r>
          </w:p>
          <w:p w14:paraId="275284B7">
            <w:pPr>
              <w:pStyle w:val="16"/>
              <w:spacing w:line="360" w:lineRule="auto"/>
              <w:jc w:val="both"/>
              <w:rPr>
                <w:rFonts w:ascii="Times New Roman" w:hAnsi="Times New Roman" w:cs="Times New Roman"/>
                <w:sz w:val="24"/>
                <w:szCs w:val="24"/>
                <w:lang w:val="pt-BR"/>
              </w:rPr>
            </w:pPr>
            <w:r>
              <w:rPr>
                <w:rFonts w:ascii="Times New Roman" w:hAnsi="Times New Roman" w:cs="Times New Roman"/>
                <w:b/>
                <w:bCs/>
                <w:sz w:val="24"/>
                <w:szCs w:val="24"/>
                <w:lang w:val="pt-BR"/>
              </w:rPr>
              <w:t>6.1.1.19.</w:t>
            </w:r>
            <w:r>
              <w:rPr>
                <w:rFonts w:ascii="Times New Roman" w:hAnsi="Times New Roman" w:cs="Times New Roman"/>
                <w:sz w:val="24"/>
                <w:szCs w:val="24"/>
                <w:lang w:val="pt-BR"/>
              </w:rPr>
              <w:t xml:space="preserve"> As certidões deverão ser juntadas ao protocolo e são obrigatórias para a liquidação da despesa.</w:t>
            </w:r>
          </w:p>
          <w:p w14:paraId="23BA2F9B">
            <w:pPr>
              <w:pStyle w:val="16"/>
              <w:spacing w:line="360" w:lineRule="auto"/>
              <w:jc w:val="both"/>
              <w:rPr>
                <w:rFonts w:hint="default" w:ascii="Times New Roman" w:hAnsi="Times New Roman" w:cs="Times New Roman"/>
                <w:sz w:val="24"/>
                <w:szCs w:val="24"/>
                <w:lang w:val="pt-BR"/>
              </w:rPr>
            </w:pPr>
            <w:r>
              <w:rPr>
                <w:rFonts w:ascii="Times New Roman" w:hAnsi="Times New Roman" w:cs="Times New Roman"/>
                <w:b/>
                <w:bCs/>
                <w:sz w:val="24"/>
                <w:szCs w:val="24"/>
                <w:lang w:val="pt-BR"/>
              </w:rPr>
              <w:t xml:space="preserve">6.1.1.20. </w:t>
            </w:r>
            <w:r>
              <w:rPr>
                <w:rFonts w:ascii="Times New Roman" w:hAnsi="Times New Roman" w:cs="Times New Roman"/>
                <w:sz w:val="24"/>
                <w:szCs w:val="24"/>
                <w:lang w:val="pt-BR"/>
              </w:rPr>
              <w:t>Todos os documentos são obrigatórios, especialmente os citados no edital de licitação e os que constam na instrução normativa 038/2009, atualizada no decreto 118/2022.(verificar vigência ou atualização)</w:t>
            </w:r>
            <w:r>
              <w:rPr>
                <w:rFonts w:hint="default" w:ascii="Times New Roman" w:hAnsi="Times New Roman" w:cs="Times New Roman"/>
                <w:sz w:val="24"/>
                <w:szCs w:val="24"/>
                <w:lang w:val="pt-BR"/>
              </w:rPr>
              <w:t>.</w:t>
            </w:r>
          </w:p>
          <w:p w14:paraId="38C11FF5">
            <w:pPr>
              <w:pStyle w:val="16"/>
              <w:spacing w:line="360" w:lineRule="auto"/>
              <w:jc w:val="both"/>
              <w:rPr>
                <w:rFonts w:ascii="Times New Roman" w:hAnsi="Times New Roman" w:cs="Times New Roman"/>
                <w:sz w:val="24"/>
                <w:szCs w:val="24"/>
                <w:lang w:val="pt-BR"/>
              </w:rPr>
            </w:pPr>
            <w:r>
              <w:rPr>
                <w:rFonts w:ascii="Times New Roman" w:hAnsi="Times New Roman" w:cs="Times New Roman"/>
                <w:b/>
                <w:bCs/>
                <w:sz w:val="24"/>
                <w:szCs w:val="24"/>
                <w:lang w:val="pt-BR"/>
              </w:rPr>
              <w:t xml:space="preserve">6.1.1.21. </w:t>
            </w:r>
            <w:r>
              <w:rPr>
                <w:rFonts w:ascii="Times New Roman" w:hAnsi="Times New Roman" w:cs="Times New Roman"/>
                <w:sz w:val="24"/>
                <w:szCs w:val="24"/>
                <w:lang w:val="pt-BR"/>
              </w:rPr>
              <w:t>Caso o protocolo não esteja de acordo com o solicitado, o mesmo será devolvido para correção, sendo válida a data de protocolo corrigida para fins de prazo de pagamento.</w:t>
            </w:r>
          </w:p>
          <w:p w14:paraId="63F3BAE4">
            <w:pPr>
              <w:pStyle w:val="16"/>
              <w:spacing w:line="360" w:lineRule="auto"/>
              <w:jc w:val="both"/>
              <w:rPr>
                <w:rFonts w:ascii="Times New Roman" w:hAnsi="Times New Roman" w:cs="Times New Roman"/>
                <w:sz w:val="24"/>
                <w:szCs w:val="24"/>
                <w:lang w:val="pt-BR"/>
              </w:rPr>
            </w:pPr>
            <w:r>
              <w:rPr>
                <w:rFonts w:ascii="Times New Roman" w:hAnsi="Times New Roman" w:cs="Times New Roman"/>
                <w:b/>
                <w:bCs/>
                <w:sz w:val="24"/>
                <w:szCs w:val="24"/>
                <w:lang w:val="pt-BR"/>
              </w:rPr>
              <w:t>6.1.1.22.</w:t>
            </w:r>
            <w:r>
              <w:rPr>
                <w:rFonts w:ascii="Times New Roman" w:hAnsi="Times New Roman" w:cs="Times New Roman"/>
                <w:sz w:val="24"/>
                <w:szCs w:val="24"/>
                <w:lang w:val="pt-BR"/>
              </w:rPr>
              <w:t xml:space="preserve"> A(s) licitante(s) vencedora(s) se obriga(m) a entregar os produtos desta licitação sem ônus, mediante a emissão de ordem de fornecimento pelas Secretarias Municipais, a partir da data da assinatura do contrato.</w:t>
            </w:r>
          </w:p>
          <w:p w14:paraId="1855A235">
            <w:pPr>
              <w:pStyle w:val="16"/>
              <w:spacing w:line="360" w:lineRule="auto"/>
              <w:jc w:val="both"/>
              <w:rPr>
                <w:rFonts w:ascii="Times New Roman" w:hAnsi="Times New Roman" w:cs="Times New Roman"/>
                <w:sz w:val="24"/>
                <w:szCs w:val="24"/>
                <w:lang w:val="pt-BR"/>
              </w:rPr>
            </w:pPr>
            <w:r>
              <w:rPr>
                <w:rFonts w:ascii="Times New Roman" w:hAnsi="Times New Roman" w:cs="Times New Roman"/>
                <w:b/>
                <w:bCs/>
                <w:sz w:val="24"/>
                <w:szCs w:val="24"/>
                <w:lang w:val="pt-BR"/>
              </w:rPr>
              <w:t>6.1.1.23.</w:t>
            </w:r>
            <w:r>
              <w:rPr>
                <w:rFonts w:ascii="Times New Roman" w:hAnsi="Times New Roman" w:cs="Times New Roman"/>
                <w:sz w:val="24"/>
                <w:szCs w:val="24"/>
                <w:lang w:val="pt-BR"/>
              </w:rPr>
              <w:t xml:space="preserve"> Executar o objeto desta licitação no preço, prazo e forma estipulada na proposta durante a vigência do contrato, que será de </w:t>
            </w:r>
            <w:r>
              <w:rPr>
                <w:rFonts w:hint="default" w:ascii="Times New Roman" w:hAnsi="Times New Roman" w:cs="Times New Roman"/>
                <w:sz w:val="24"/>
                <w:szCs w:val="24"/>
                <w:lang w:val="pt-BR"/>
              </w:rPr>
              <w:t>1 ano</w:t>
            </w:r>
            <w:r>
              <w:rPr>
                <w:rFonts w:ascii="Times New Roman" w:hAnsi="Times New Roman" w:cs="Times New Roman"/>
                <w:sz w:val="24"/>
                <w:szCs w:val="24"/>
                <w:lang w:val="pt-BR"/>
              </w:rPr>
              <w:t>, prorrogáveis conforme legislação.</w:t>
            </w:r>
          </w:p>
          <w:p w14:paraId="283C9BE1">
            <w:pPr>
              <w:pStyle w:val="16"/>
              <w:spacing w:line="360" w:lineRule="auto"/>
              <w:jc w:val="both"/>
              <w:rPr>
                <w:rFonts w:ascii="Times New Roman" w:hAnsi="Times New Roman" w:cs="Times New Roman"/>
                <w:sz w:val="24"/>
                <w:szCs w:val="24"/>
                <w:lang w:val="pt-BR"/>
              </w:rPr>
            </w:pPr>
            <w:r>
              <w:rPr>
                <w:rFonts w:ascii="Times New Roman" w:hAnsi="Times New Roman" w:cs="Times New Roman"/>
                <w:b/>
                <w:bCs/>
                <w:sz w:val="24"/>
                <w:szCs w:val="24"/>
                <w:lang w:val="pt-BR"/>
              </w:rPr>
              <w:t>6.1.1.24.</w:t>
            </w:r>
            <w:r>
              <w:rPr>
                <w:rFonts w:ascii="Times New Roman" w:hAnsi="Times New Roman" w:cs="Times New Roman"/>
                <w:sz w:val="24"/>
                <w:szCs w:val="24"/>
                <w:lang w:val="pt-BR"/>
              </w:rPr>
              <w:t xml:space="preserve"> Assumir todas as despesas relativas a pessoal e quaisquer outras oriundas, derivadas ou conexas com a contratação, ficando, ainda, para todos os efeitos legais, declaradas pela LICITANTE VENCEDORA a inexistência de qualquer vínculo empregatício entre seus empregados e/ou prepostos e a Administração Municipal.</w:t>
            </w:r>
          </w:p>
          <w:p w14:paraId="3834CB4C">
            <w:pPr>
              <w:pStyle w:val="16"/>
              <w:spacing w:line="360" w:lineRule="auto"/>
              <w:jc w:val="both"/>
              <w:rPr>
                <w:rFonts w:ascii="Times New Roman" w:hAnsi="Times New Roman" w:cs="Times New Roman"/>
                <w:sz w:val="24"/>
                <w:szCs w:val="24"/>
                <w:lang w:val="pt-BR"/>
              </w:rPr>
            </w:pPr>
            <w:r>
              <w:rPr>
                <w:rFonts w:ascii="Times New Roman" w:hAnsi="Times New Roman" w:cs="Times New Roman"/>
                <w:b/>
                <w:bCs/>
                <w:sz w:val="24"/>
                <w:szCs w:val="24"/>
                <w:lang w:val="pt-BR"/>
              </w:rPr>
              <w:t>6.1.1.25.</w:t>
            </w:r>
            <w:r>
              <w:rPr>
                <w:rFonts w:ascii="Times New Roman" w:hAnsi="Times New Roman" w:cs="Times New Roman"/>
                <w:sz w:val="24"/>
                <w:szCs w:val="24"/>
                <w:lang w:val="pt-BR"/>
              </w:rPr>
              <w:t xml:space="preserve"> Observar e cumprir todas as exigências contratuais.</w:t>
            </w:r>
          </w:p>
          <w:p w14:paraId="5C68042A">
            <w:pPr>
              <w:pStyle w:val="16"/>
              <w:numPr>
                <w:ilvl w:val="2"/>
                <w:numId w:val="18"/>
              </w:numPr>
              <w:spacing w:line="360" w:lineRule="auto"/>
              <w:ind w:left="0"/>
              <w:jc w:val="both"/>
              <w:rPr>
                <w:rFonts w:ascii="Times New Roman" w:hAnsi="Times New Roman" w:cs="Times New Roman"/>
                <w:b/>
                <w:bCs/>
                <w:sz w:val="24"/>
                <w:szCs w:val="24"/>
                <w:lang w:val="pt-BR"/>
              </w:rPr>
            </w:pPr>
            <w:r>
              <w:rPr>
                <w:rFonts w:ascii="Times New Roman" w:hAnsi="Times New Roman" w:cs="Times New Roman"/>
                <w:b/>
                <w:bCs/>
                <w:sz w:val="24"/>
                <w:szCs w:val="24"/>
                <w:lang w:val="pt-BR"/>
              </w:rPr>
              <w:t xml:space="preserve">OBRIGAÇÕES DA CONTRATANTE: </w:t>
            </w:r>
          </w:p>
          <w:p w14:paraId="1D74AC22">
            <w:pPr>
              <w:pStyle w:val="16"/>
              <w:spacing w:line="360" w:lineRule="auto"/>
              <w:jc w:val="both"/>
              <w:rPr>
                <w:rFonts w:ascii="Times New Roman" w:hAnsi="Times New Roman" w:cs="Times New Roman"/>
                <w:sz w:val="24"/>
                <w:szCs w:val="24"/>
                <w:lang w:val="pt-BR"/>
              </w:rPr>
            </w:pPr>
            <w:r>
              <w:rPr>
                <w:rFonts w:ascii="Times New Roman" w:hAnsi="Times New Roman" w:cs="Times New Roman"/>
                <w:b/>
                <w:bCs/>
                <w:sz w:val="24"/>
                <w:szCs w:val="24"/>
                <w:lang w:val="pt-BR"/>
              </w:rPr>
              <w:t>6.1.2.1</w:t>
            </w:r>
            <w:r>
              <w:rPr>
                <w:rFonts w:ascii="Times New Roman" w:hAnsi="Times New Roman" w:cs="Times New Roman"/>
                <w:sz w:val="24"/>
                <w:szCs w:val="24"/>
                <w:lang w:val="pt-BR"/>
              </w:rPr>
              <w:t>. Atestar nas Notas Fiscais e/ou fatura a efetiva entrega do objeto desta licitação.</w:t>
            </w:r>
          </w:p>
          <w:p w14:paraId="1FFC44E8">
            <w:pPr>
              <w:pStyle w:val="16"/>
              <w:spacing w:line="360" w:lineRule="auto"/>
              <w:jc w:val="both"/>
              <w:rPr>
                <w:rFonts w:ascii="Times New Roman" w:hAnsi="Times New Roman" w:cs="Times New Roman"/>
                <w:sz w:val="24"/>
                <w:szCs w:val="24"/>
                <w:lang w:val="pt-BR"/>
              </w:rPr>
            </w:pPr>
            <w:r>
              <w:rPr>
                <w:rFonts w:ascii="Times New Roman" w:hAnsi="Times New Roman" w:cs="Times New Roman"/>
                <w:b/>
                <w:bCs/>
                <w:sz w:val="24"/>
                <w:szCs w:val="24"/>
                <w:lang w:val="pt-BR"/>
              </w:rPr>
              <w:t>6.1.2.2.</w:t>
            </w:r>
            <w:r>
              <w:rPr>
                <w:rFonts w:ascii="Times New Roman" w:hAnsi="Times New Roman" w:cs="Times New Roman"/>
                <w:sz w:val="24"/>
                <w:szCs w:val="24"/>
                <w:lang w:val="pt-BR"/>
              </w:rPr>
              <w:t xml:space="preserve"> Promover o acompanhamento e a fiscalização da execução do objeto do presente Termo de Referência, sob o aspecto quantitativo e qualitativo, anotando em registro próprio as falhas e ocorrências detectadas.</w:t>
            </w:r>
          </w:p>
          <w:p w14:paraId="2BEC46BC">
            <w:pPr>
              <w:pStyle w:val="16"/>
              <w:spacing w:line="360" w:lineRule="auto"/>
              <w:jc w:val="both"/>
              <w:rPr>
                <w:rFonts w:ascii="Times New Roman" w:hAnsi="Times New Roman" w:cs="Times New Roman"/>
                <w:sz w:val="24"/>
                <w:szCs w:val="24"/>
                <w:lang w:val="pt-BR"/>
              </w:rPr>
            </w:pPr>
            <w:r>
              <w:rPr>
                <w:rFonts w:ascii="Times New Roman" w:hAnsi="Times New Roman" w:cs="Times New Roman"/>
                <w:b/>
                <w:bCs/>
                <w:sz w:val="24"/>
                <w:szCs w:val="24"/>
                <w:lang w:val="pt-BR"/>
              </w:rPr>
              <w:t>6.1.2.3.</w:t>
            </w:r>
            <w:r>
              <w:rPr>
                <w:rFonts w:ascii="Times New Roman" w:hAnsi="Times New Roman" w:cs="Times New Roman"/>
                <w:sz w:val="24"/>
                <w:szCs w:val="24"/>
                <w:lang w:val="pt-BR"/>
              </w:rPr>
              <w:t xml:space="preserve"> Comunicar prontamente qualquer anormalidade na execução do objeto, podendo recusar o recebimento, caso não esteja de acordo com as especificações e condições estabelecidas no presente Termo de Referência.</w:t>
            </w:r>
          </w:p>
          <w:p w14:paraId="22625498">
            <w:pPr>
              <w:pStyle w:val="16"/>
              <w:spacing w:line="360" w:lineRule="auto"/>
              <w:jc w:val="both"/>
              <w:rPr>
                <w:rFonts w:ascii="Times New Roman" w:hAnsi="Times New Roman" w:cs="Times New Roman"/>
                <w:sz w:val="24"/>
                <w:szCs w:val="24"/>
                <w:lang w:val="pt-BR"/>
              </w:rPr>
            </w:pPr>
            <w:r>
              <w:rPr>
                <w:rFonts w:ascii="Times New Roman" w:hAnsi="Times New Roman" w:cs="Times New Roman"/>
                <w:b/>
                <w:bCs/>
                <w:sz w:val="24"/>
                <w:szCs w:val="24"/>
                <w:lang w:val="pt-BR"/>
              </w:rPr>
              <w:t>6.1.2.4.</w:t>
            </w:r>
            <w:r>
              <w:rPr>
                <w:rFonts w:ascii="Times New Roman" w:hAnsi="Times New Roman" w:cs="Times New Roman"/>
                <w:sz w:val="24"/>
                <w:szCs w:val="24"/>
                <w:lang w:val="pt-BR"/>
              </w:rPr>
              <w:t xml:space="preserve"> A Contratante não responderá por quaisquer compromissos assumidos pela Contratada com terceiros, bem como por qualquer dano causado a terceiros em decorrência de ato da Contratada, de seus empregados, prepostos ou subordinados.</w:t>
            </w:r>
          </w:p>
          <w:p w14:paraId="31540AD6">
            <w:pPr>
              <w:pStyle w:val="16"/>
              <w:spacing w:line="360" w:lineRule="auto"/>
              <w:jc w:val="both"/>
              <w:rPr>
                <w:rFonts w:ascii="Times New Roman" w:hAnsi="Times New Roman" w:cs="Times New Roman"/>
                <w:sz w:val="24"/>
                <w:szCs w:val="24"/>
                <w:lang w:val="pt-BR"/>
              </w:rPr>
            </w:pPr>
            <w:r>
              <w:rPr>
                <w:rFonts w:ascii="Times New Roman" w:hAnsi="Times New Roman" w:cs="Times New Roman"/>
                <w:b/>
                <w:bCs/>
                <w:sz w:val="24"/>
                <w:szCs w:val="24"/>
                <w:lang w:val="pt-BR"/>
              </w:rPr>
              <w:t xml:space="preserve">6.1.2.5. </w:t>
            </w:r>
            <w:r>
              <w:rPr>
                <w:rFonts w:ascii="Times New Roman" w:hAnsi="Times New Roman" w:cs="Times New Roman"/>
                <w:sz w:val="24"/>
                <w:szCs w:val="24"/>
                <w:lang w:val="pt-BR"/>
              </w:rPr>
              <w:t>Fornecer todo tipo de informação interna essencial à realização dos fornecimentos.</w:t>
            </w:r>
          </w:p>
          <w:p w14:paraId="00306F64">
            <w:pPr>
              <w:pStyle w:val="16"/>
              <w:spacing w:line="360" w:lineRule="auto"/>
              <w:jc w:val="both"/>
              <w:rPr>
                <w:rFonts w:ascii="Times New Roman" w:hAnsi="Times New Roman" w:cs="Times New Roman"/>
                <w:sz w:val="24"/>
                <w:szCs w:val="24"/>
                <w:lang w:val="pt-BR"/>
              </w:rPr>
            </w:pPr>
            <w:r>
              <w:rPr>
                <w:rFonts w:ascii="Times New Roman" w:hAnsi="Times New Roman" w:cs="Times New Roman"/>
                <w:b/>
                <w:bCs/>
                <w:sz w:val="24"/>
                <w:szCs w:val="24"/>
                <w:lang w:val="pt-BR"/>
              </w:rPr>
              <w:t>6.1.2.6.</w:t>
            </w:r>
            <w:r>
              <w:rPr>
                <w:rFonts w:ascii="Times New Roman" w:hAnsi="Times New Roman" w:cs="Times New Roman"/>
                <w:sz w:val="24"/>
                <w:szCs w:val="24"/>
                <w:lang w:val="pt-BR"/>
              </w:rPr>
              <w:t xml:space="preserve"> Conferir toda a documentação, especificação do material, quantidade e qualidade técnica gerada e apresentada durante a execução do objeto, efetuando o seu atesto quando a mesma estiver em conformidade com os padrões de informação e qualidade exigidos.</w:t>
            </w:r>
          </w:p>
          <w:p w14:paraId="5D2DF2EB">
            <w:pPr>
              <w:pStyle w:val="16"/>
              <w:spacing w:line="360" w:lineRule="auto"/>
              <w:jc w:val="both"/>
              <w:rPr>
                <w:rFonts w:ascii="Times New Roman" w:hAnsi="Times New Roman" w:cs="Times New Roman"/>
                <w:sz w:val="24"/>
                <w:szCs w:val="24"/>
                <w:lang w:val="pt-BR"/>
              </w:rPr>
            </w:pPr>
            <w:r>
              <w:rPr>
                <w:rFonts w:ascii="Times New Roman" w:hAnsi="Times New Roman" w:cs="Times New Roman"/>
                <w:b/>
                <w:bCs/>
                <w:sz w:val="24"/>
                <w:szCs w:val="24"/>
                <w:lang w:val="pt-BR"/>
              </w:rPr>
              <w:t>6.1.2.7.</w:t>
            </w:r>
            <w:r>
              <w:rPr>
                <w:rFonts w:ascii="Times New Roman" w:hAnsi="Times New Roman" w:cs="Times New Roman"/>
                <w:sz w:val="24"/>
                <w:szCs w:val="24"/>
                <w:lang w:val="pt-BR"/>
              </w:rPr>
              <w:t xml:space="preserve"> Efetuar o pagamento de acordo com o estabelecido neste Termo de Referência e demais cominações legais, desde que atendidas todas as exigências e cumpridas as especificações e desde que devidamente atestadas as notas fiscais e relatórios feitos pelos fiscais e gestores do contrato.</w:t>
            </w:r>
          </w:p>
          <w:p w14:paraId="46CD05ED">
            <w:pPr>
              <w:pStyle w:val="16"/>
              <w:spacing w:line="360" w:lineRule="auto"/>
              <w:jc w:val="both"/>
              <w:rPr>
                <w:rFonts w:ascii="Times New Roman" w:hAnsi="Times New Roman" w:cs="Times New Roman"/>
                <w:sz w:val="24"/>
                <w:szCs w:val="24"/>
                <w:lang w:val="pt-BR"/>
              </w:rPr>
            </w:pPr>
            <w:r>
              <w:rPr>
                <w:rFonts w:ascii="Times New Roman" w:hAnsi="Times New Roman" w:cs="Times New Roman"/>
                <w:b/>
                <w:bCs/>
                <w:sz w:val="24"/>
                <w:szCs w:val="24"/>
                <w:lang w:val="pt-BR"/>
              </w:rPr>
              <w:t>6.1.2.8.</w:t>
            </w:r>
            <w:r>
              <w:rPr>
                <w:rFonts w:ascii="Times New Roman" w:hAnsi="Times New Roman" w:cs="Times New Roman"/>
                <w:sz w:val="24"/>
                <w:szCs w:val="24"/>
                <w:lang w:val="pt-BR"/>
              </w:rPr>
              <w:t xml:space="preserve"> Aplicar à contratada as penalidades, quando for o caso.</w:t>
            </w:r>
          </w:p>
          <w:p w14:paraId="4269342F">
            <w:pPr>
              <w:pStyle w:val="16"/>
              <w:spacing w:line="360" w:lineRule="auto"/>
              <w:jc w:val="both"/>
              <w:rPr>
                <w:rFonts w:ascii="Times New Roman" w:hAnsi="Times New Roman" w:cs="Times New Roman"/>
                <w:sz w:val="24"/>
                <w:szCs w:val="24"/>
                <w:lang w:val="pt-BR"/>
              </w:rPr>
            </w:pPr>
            <w:r>
              <w:rPr>
                <w:rFonts w:ascii="Times New Roman" w:hAnsi="Times New Roman" w:cs="Times New Roman"/>
                <w:b/>
                <w:bCs/>
                <w:sz w:val="24"/>
                <w:szCs w:val="24"/>
                <w:lang w:val="pt-BR"/>
              </w:rPr>
              <w:t>6.1.2.9.</w:t>
            </w:r>
            <w:r>
              <w:rPr>
                <w:rFonts w:ascii="Times New Roman" w:hAnsi="Times New Roman" w:cs="Times New Roman"/>
                <w:sz w:val="24"/>
                <w:szCs w:val="24"/>
                <w:lang w:val="pt-BR"/>
              </w:rPr>
              <w:t xml:space="preserve"> Notificar, por escrito, a contratada da aplicação de qualquer sanção.</w:t>
            </w:r>
          </w:p>
          <w:p w14:paraId="5903B5CE">
            <w:pPr>
              <w:pStyle w:val="16"/>
              <w:spacing w:line="360" w:lineRule="auto"/>
              <w:jc w:val="both"/>
              <w:rPr>
                <w:rFonts w:ascii="Times New Roman" w:hAnsi="Times New Roman" w:cs="Times New Roman"/>
                <w:sz w:val="24"/>
                <w:szCs w:val="24"/>
                <w:lang w:val="pt-BR"/>
              </w:rPr>
            </w:pPr>
            <w:r>
              <w:rPr>
                <w:rFonts w:ascii="Times New Roman" w:hAnsi="Times New Roman" w:cs="Times New Roman"/>
                <w:b/>
                <w:bCs/>
                <w:sz w:val="24"/>
                <w:szCs w:val="24"/>
                <w:lang w:val="pt-BR"/>
              </w:rPr>
              <w:t>6.1.2.10.</w:t>
            </w:r>
            <w:r>
              <w:rPr>
                <w:rFonts w:ascii="Times New Roman" w:hAnsi="Times New Roman" w:cs="Times New Roman"/>
                <w:sz w:val="24"/>
                <w:szCs w:val="24"/>
                <w:lang w:val="pt-BR"/>
              </w:rPr>
              <w:t xml:space="preserve"> Acompanhar, controlar e avaliar a entrega e a qualidade dos materiais, através da unidade responsável por esta atribuição.</w:t>
            </w:r>
          </w:p>
          <w:p w14:paraId="7E628BA7">
            <w:pPr>
              <w:pStyle w:val="16"/>
              <w:spacing w:line="360" w:lineRule="auto"/>
              <w:jc w:val="both"/>
              <w:rPr>
                <w:rFonts w:ascii="Times New Roman" w:hAnsi="Times New Roman" w:cs="Times New Roman"/>
                <w:b/>
                <w:bCs/>
                <w:sz w:val="24"/>
                <w:szCs w:val="24"/>
                <w:lang w:val="pt-BR"/>
              </w:rPr>
            </w:pPr>
            <w:r>
              <w:rPr>
                <w:rFonts w:ascii="Times New Roman" w:hAnsi="Times New Roman" w:cs="Times New Roman"/>
                <w:b/>
                <w:bCs/>
                <w:sz w:val="24"/>
                <w:szCs w:val="24"/>
                <w:lang w:val="pt-BR"/>
              </w:rPr>
              <w:t>6.1.2.11.</w:t>
            </w:r>
            <w:r>
              <w:rPr>
                <w:rFonts w:ascii="Times New Roman" w:hAnsi="Times New Roman" w:cs="Times New Roman"/>
                <w:sz w:val="24"/>
                <w:szCs w:val="24"/>
                <w:lang w:val="pt-BR"/>
              </w:rPr>
              <w:t xml:space="preserve"> Proporcionar todas as facilidades para a execução do objeto do presente Termo de Referência, permitindo o acesso dos profissionais da contratada às suas dependências. Esses profissionais ficarão sujeitos a todas as normas internas da contratante, principalmente as de segurança, inclusive aqueles referentes à identificação, trajes, trânsito e permanência em suas dependências</w:t>
            </w:r>
            <w:r>
              <w:rPr>
                <w:rFonts w:ascii="Times New Roman" w:hAnsi="Times New Roman" w:cs="Times New Roman"/>
                <w:b/>
                <w:bCs/>
                <w:sz w:val="24"/>
                <w:szCs w:val="24"/>
                <w:lang w:val="pt-BR"/>
              </w:rPr>
              <w:t>.</w:t>
            </w:r>
          </w:p>
        </w:tc>
      </w:tr>
      <w:tr w14:paraId="0E09320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571" w:type="dxa"/>
          </w:tcPr>
          <w:p w14:paraId="5011149D">
            <w:pPr>
              <w:numPr>
                <w:ilvl w:val="1"/>
                <w:numId w:val="18"/>
              </w:numPr>
              <w:jc w:val="both"/>
              <w:rPr>
                <w:rFonts w:ascii="Times New Roman" w:hAnsi="Times New Roman" w:cs="Times New Roman"/>
                <w:b/>
                <w:bCs/>
                <w:sz w:val="24"/>
                <w:szCs w:val="24"/>
                <w:lang w:val="pt-BR"/>
              </w:rPr>
            </w:pPr>
            <w:r>
              <w:rPr>
                <w:rFonts w:ascii="Times New Roman" w:hAnsi="Times New Roman" w:eastAsia="SimSun" w:cs="Times New Roman"/>
                <w:b/>
                <w:bCs/>
                <w:sz w:val="24"/>
                <w:szCs w:val="24"/>
                <w:lang w:val="pt-BR" w:bidi="ar"/>
              </w:rPr>
              <w:t>OS CRITÉRIOS DE RECEBIMENTO PROVISÓRIO E DEFINITIVO DO OBJETO DA CONTRATAÇÃO;</w:t>
            </w:r>
          </w:p>
          <w:p w14:paraId="3A50B463">
            <w:pPr>
              <w:numPr>
                <w:ilvl w:val="2"/>
                <w:numId w:val="18"/>
              </w:numPr>
              <w:spacing w:line="360" w:lineRule="auto"/>
              <w:jc w:val="both"/>
              <w:rPr>
                <w:rFonts w:ascii="Times New Roman" w:hAnsi="Times New Roman" w:cs="Times New Roman"/>
                <w:sz w:val="24"/>
                <w:szCs w:val="24"/>
                <w:lang w:val="pt-BR"/>
              </w:rPr>
            </w:pPr>
            <w:r>
              <w:rPr>
                <w:rFonts w:ascii="Times New Roman" w:hAnsi="Times New Roman" w:cs="Times New Roman"/>
                <w:b/>
                <w:bCs/>
                <w:sz w:val="24"/>
                <w:szCs w:val="24"/>
                <w:lang w:val="pt-BR"/>
              </w:rPr>
              <w:t xml:space="preserve">O recebimento provisório: </w:t>
            </w:r>
            <w:r>
              <w:rPr>
                <w:rFonts w:ascii="Times New Roman" w:hAnsi="Times New Roman" w:cs="Times New Roman"/>
                <w:sz w:val="24"/>
                <w:szCs w:val="24"/>
                <w:lang w:val="pt-BR"/>
              </w:rPr>
              <w:t>Será mediante o registro de recebimento do material pela Fiscalização, para efeito de posterior verificação de sua conformidade;</w:t>
            </w:r>
          </w:p>
          <w:p w14:paraId="4524FC47">
            <w:pPr>
              <w:numPr>
                <w:ilvl w:val="2"/>
                <w:numId w:val="18"/>
              </w:numPr>
              <w:spacing w:line="360" w:lineRule="auto"/>
              <w:jc w:val="both"/>
              <w:rPr>
                <w:rFonts w:ascii="Times New Roman" w:hAnsi="Times New Roman" w:cs="Times New Roman"/>
                <w:sz w:val="24"/>
                <w:szCs w:val="24"/>
                <w:lang w:val="pt-BR"/>
              </w:rPr>
            </w:pPr>
            <w:r>
              <w:rPr>
                <w:rFonts w:ascii="Times New Roman" w:hAnsi="Times New Roman" w:cs="Times New Roman"/>
                <w:b/>
                <w:bCs/>
                <w:sz w:val="24"/>
                <w:szCs w:val="24"/>
                <w:lang w:val="pt-BR"/>
              </w:rPr>
              <w:t xml:space="preserve">O recebimento definitivo: </w:t>
            </w:r>
            <w:r>
              <w:rPr>
                <w:rFonts w:ascii="Times New Roman" w:hAnsi="Times New Roman" w:cs="Times New Roman"/>
                <w:sz w:val="24"/>
                <w:szCs w:val="24"/>
                <w:lang w:val="pt-BR"/>
              </w:rPr>
              <w:t>O recebimento definitivo será mediante recibo (romaneio), em até 5 (cinco) dias úteis após o recebimento provisório e a verificação da perfeita execução das obrigações contratuais, ocasião em que se fará constar o atesto do recebimento;</w:t>
            </w:r>
          </w:p>
          <w:p w14:paraId="36EF001E">
            <w:pPr>
              <w:numPr>
                <w:ilvl w:val="2"/>
                <w:numId w:val="18"/>
              </w:numPr>
              <w:spacing w:line="360" w:lineRule="auto"/>
              <w:jc w:val="both"/>
              <w:rPr>
                <w:rFonts w:ascii="Times New Roman" w:hAnsi="Times New Roman" w:cs="Times New Roman"/>
                <w:sz w:val="24"/>
                <w:szCs w:val="24"/>
                <w:lang w:val="pt-BR"/>
              </w:rPr>
            </w:pPr>
            <w:r>
              <w:rPr>
                <w:rFonts w:ascii="Times New Roman" w:hAnsi="Times New Roman" w:cs="Times New Roman"/>
                <w:sz w:val="24"/>
                <w:szCs w:val="24"/>
                <w:lang w:val="pt-BR"/>
              </w:rPr>
              <w:t>O Recebimento Definitivo não exclui a responsabilidade da contratada por vícios de qualidade ou disparidade com as especificações técnicas verificadas posteriormente;</w:t>
            </w:r>
          </w:p>
          <w:p w14:paraId="09E44DF4">
            <w:pPr>
              <w:numPr>
                <w:ilvl w:val="2"/>
                <w:numId w:val="18"/>
              </w:numPr>
              <w:spacing w:line="360" w:lineRule="auto"/>
              <w:jc w:val="both"/>
              <w:rPr>
                <w:rFonts w:ascii="Times New Roman" w:hAnsi="Times New Roman" w:cs="Times New Roman"/>
                <w:sz w:val="24"/>
                <w:szCs w:val="24"/>
                <w:lang w:val="pt-BR"/>
              </w:rPr>
            </w:pPr>
            <w:r>
              <w:rPr>
                <w:rFonts w:ascii="Times New Roman" w:hAnsi="Times New Roman" w:cs="Times New Roman"/>
                <w:sz w:val="24"/>
                <w:szCs w:val="24"/>
                <w:lang w:val="pt-BR"/>
              </w:rPr>
              <w:t>Os produtos poderão ser rejeitados, no todo ou em parte, quando em desacordo com as especificações constantes neste Termo de Referência e na proposta;</w:t>
            </w:r>
          </w:p>
          <w:p w14:paraId="168F2EF5">
            <w:pPr>
              <w:numPr>
                <w:ilvl w:val="2"/>
                <w:numId w:val="18"/>
              </w:numPr>
              <w:spacing w:line="360" w:lineRule="auto"/>
              <w:jc w:val="both"/>
              <w:rPr>
                <w:rFonts w:ascii="Times New Roman" w:hAnsi="Times New Roman" w:cs="Times New Roman"/>
                <w:b/>
                <w:bCs/>
                <w:sz w:val="24"/>
                <w:szCs w:val="24"/>
                <w:lang w:val="pt-BR"/>
              </w:rPr>
            </w:pPr>
            <w:r>
              <w:rPr>
                <w:rFonts w:ascii="Times New Roman" w:hAnsi="Times New Roman" w:cs="Times New Roman"/>
                <w:sz w:val="24"/>
                <w:szCs w:val="24"/>
                <w:lang w:val="pt-BR"/>
              </w:rPr>
              <w:t>Apresentadas irregularidades ou defeitos pelo fiscal, a contratada será notificada e terá prazo de 24 (vinte e quatro) horas para proceder à regularização. Findo esse prazo, não havendo manifestação ou solução, o Gestor de Contrato certificará o fato e submeterá ao Ordenador de Despesa (Prefeito Municipal) para manifestação quanto à rescisão contratual, nos termos dos arts. 137 a 139 e 156 da Lei nº 14.133/2021;</w:t>
            </w:r>
          </w:p>
        </w:tc>
      </w:tr>
      <w:tr w14:paraId="1672620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571" w:type="dxa"/>
          </w:tcPr>
          <w:p w14:paraId="11D08219">
            <w:pPr>
              <w:numPr>
                <w:ilvl w:val="1"/>
                <w:numId w:val="18"/>
              </w:numPr>
              <w:jc w:val="both"/>
              <w:rPr>
                <w:rFonts w:ascii="Times New Roman" w:hAnsi="Times New Roman" w:eastAsia="SimSun" w:cs="Times New Roman"/>
                <w:b/>
                <w:bCs/>
                <w:sz w:val="24"/>
                <w:szCs w:val="24"/>
                <w:lang w:val="pt-BR" w:bidi="ar"/>
              </w:rPr>
            </w:pPr>
            <w:r>
              <w:rPr>
                <w:rFonts w:ascii="Times New Roman" w:hAnsi="Times New Roman" w:eastAsia="SimSun" w:cs="Times New Roman"/>
                <w:b/>
                <w:bCs/>
                <w:sz w:val="24"/>
                <w:szCs w:val="24"/>
                <w:lang w:val="pt-BR" w:bidi="ar"/>
              </w:rPr>
              <w:t>LOCAL, HORÁRIO, PERIODICIDADE E FORMA DE ENTREGA/EXECUÇÃO DO OBJETO E CRITÉRIOS DE ACEITAÇÃO OU NÃO DO OBJETO;</w:t>
            </w:r>
          </w:p>
          <w:p w14:paraId="071BA6DE">
            <w:pPr>
              <w:pStyle w:val="16"/>
              <w:numPr>
                <w:ilvl w:val="2"/>
                <w:numId w:val="18"/>
              </w:numPr>
              <w:spacing w:line="360" w:lineRule="auto"/>
              <w:jc w:val="both"/>
              <w:rPr>
                <w:rFonts w:ascii="Times New Roman" w:hAnsi="Times New Roman" w:eastAsia="SimSun" w:cs="Times New Roman"/>
                <w:b/>
                <w:bCs/>
                <w:color w:val="000000"/>
                <w:sz w:val="24"/>
                <w:szCs w:val="24"/>
                <w:lang w:val="pt-BR" w:eastAsia="zh-CN" w:bidi="ar"/>
              </w:rPr>
            </w:pPr>
            <w:r>
              <w:rPr>
                <w:rFonts w:ascii="Times New Roman" w:hAnsi="Times New Roman" w:cs="Times New Roman"/>
                <w:sz w:val="24"/>
                <w:szCs w:val="24"/>
                <w:lang w:val="pt-BR"/>
              </w:rPr>
              <w:t>A empresa contratada deverá garantir a entrega dos itens no prazo estipulado em edital que é de carregamento e extração imediata, sendo 24 horas após a assinatura do contrato.</w:t>
            </w:r>
          </w:p>
          <w:p w14:paraId="4ADD4573">
            <w:pPr>
              <w:pStyle w:val="16"/>
              <w:numPr>
                <w:ilvl w:val="2"/>
                <w:numId w:val="18"/>
              </w:numPr>
              <w:spacing w:line="360" w:lineRule="auto"/>
              <w:jc w:val="both"/>
              <w:rPr>
                <w:rFonts w:ascii="Times New Roman" w:hAnsi="Times New Roman" w:eastAsia="SimSun" w:cs="Times New Roman"/>
                <w:b/>
                <w:bCs/>
                <w:color w:val="000000"/>
                <w:sz w:val="24"/>
                <w:szCs w:val="24"/>
                <w:lang w:val="pt-BR" w:eastAsia="zh-CN" w:bidi="ar"/>
              </w:rPr>
            </w:pPr>
            <w:r>
              <w:rPr>
                <w:rFonts w:ascii="Times New Roman" w:hAnsi="Times New Roman" w:eastAsia="SimSun" w:cs="Times New Roman"/>
                <w:color w:val="000000"/>
                <w:sz w:val="24"/>
                <w:szCs w:val="24"/>
                <w:lang w:val="pt-BR" w:eastAsia="zh-CN" w:bidi="ar"/>
              </w:rPr>
              <w:t>Os itens deverão ser de exímia qualidade, sendo vedada a entrega de produtos reciclados, reutilizados ou recondicionados, devendo atender integralmente às especificações técnicas exigidas no edital</w:t>
            </w:r>
            <w:r>
              <w:rPr>
                <w:rFonts w:ascii="Times New Roman" w:hAnsi="Times New Roman" w:eastAsia="SimSun" w:cs="Times New Roman"/>
                <w:b/>
                <w:bCs/>
                <w:color w:val="000000"/>
                <w:sz w:val="24"/>
                <w:szCs w:val="24"/>
                <w:lang w:val="pt-BR" w:eastAsia="zh-CN" w:bidi="ar"/>
              </w:rPr>
              <w:t>.</w:t>
            </w:r>
          </w:p>
          <w:p w14:paraId="25BE2C76">
            <w:pPr>
              <w:numPr>
                <w:ilvl w:val="2"/>
                <w:numId w:val="18"/>
              </w:numPr>
              <w:spacing w:line="360" w:lineRule="auto"/>
              <w:jc w:val="both"/>
              <w:rPr>
                <w:rFonts w:ascii="Times New Roman" w:hAnsi="Times New Roman" w:cs="Times New Roman"/>
                <w:sz w:val="24"/>
                <w:szCs w:val="24"/>
                <w:lang w:val="pt-BR"/>
              </w:rPr>
            </w:pPr>
            <w:r>
              <w:rPr>
                <w:rFonts w:ascii="Times New Roman" w:hAnsi="Times New Roman" w:eastAsia="SimSun" w:cs="Times New Roman"/>
                <w:color w:val="000000"/>
                <w:sz w:val="24"/>
                <w:szCs w:val="24"/>
                <w:lang w:val="pt-BR" w:bidi="ar"/>
              </w:rPr>
              <w:t>Em caso de não cumprimento das especificações exigidas, ou de não atendimento aos índices previstos em edital, especificidade técnica para o item, quando comprovado na entrega do item, a contratada deverá efetuar a troca no prazo máximo de 24 (vinte e quatro) horas, contados da notificação.</w:t>
            </w:r>
          </w:p>
          <w:p w14:paraId="0BBC82FD">
            <w:pPr>
              <w:numPr>
                <w:ilvl w:val="2"/>
                <w:numId w:val="18"/>
              </w:numPr>
              <w:spacing w:line="360" w:lineRule="auto"/>
              <w:jc w:val="both"/>
              <w:rPr>
                <w:rFonts w:ascii="Times New Roman" w:hAnsi="Times New Roman" w:cs="Times New Roman"/>
                <w:sz w:val="24"/>
                <w:szCs w:val="24"/>
                <w:lang w:val="pt-BR"/>
              </w:rPr>
            </w:pPr>
            <w:r>
              <w:rPr>
                <w:rFonts w:ascii="Times New Roman" w:hAnsi="Times New Roman" w:cs="Times New Roman"/>
                <w:sz w:val="24"/>
                <w:szCs w:val="24"/>
                <w:lang w:val="pt-BR"/>
              </w:rPr>
              <w:t>Apresentada a Nota Fiscal, caberá ao fiscal do contrato atestar a entrega e conformidade dos itens, encaminhando o documento para as providências relativas aos pagamentos, conforme previsto nos arts. 137 e 138 da Lei nº 14.133/2021.</w:t>
            </w:r>
          </w:p>
          <w:p w14:paraId="59F9C866">
            <w:pPr>
              <w:numPr>
                <w:ilvl w:val="2"/>
                <w:numId w:val="18"/>
              </w:numPr>
              <w:spacing w:line="360" w:lineRule="auto"/>
              <w:jc w:val="both"/>
              <w:rPr>
                <w:rFonts w:ascii="Times New Roman" w:hAnsi="Times New Roman" w:cs="Times New Roman"/>
                <w:sz w:val="24"/>
                <w:szCs w:val="24"/>
                <w:lang w:val="pt-BR"/>
              </w:rPr>
            </w:pPr>
            <w:r>
              <w:rPr>
                <w:rFonts w:ascii="Times New Roman" w:hAnsi="Times New Roman" w:cs="Times New Roman"/>
                <w:sz w:val="24"/>
                <w:szCs w:val="24"/>
                <w:lang w:val="pt-BR"/>
              </w:rPr>
              <w:t>Como critério de aceitação dos itens serão observados os padrões estabelecidos nas cláusulas de especificações técnicas para aceitação do mesmo. Sendo o processo observado no todo.</w:t>
            </w:r>
          </w:p>
          <w:p w14:paraId="5E89DC80">
            <w:pPr>
              <w:numPr>
                <w:ilvl w:val="2"/>
                <w:numId w:val="18"/>
              </w:numPr>
              <w:spacing w:line="360" w:lineRule="auto"/>
              <w:jc w:val="both"/>
              <w:rPr>
                <w:rFonts w:ascii="Times New Roman" w:hAnsi="Times New Roman" w:cs="Times New Roman"/>
                <w:sz w:val="24"/>
                <w:szCs w:val="24"/>
                <w:lang w:val="pt-BR"/>
              </w:rPr>
            </w:pPr>
            <w:r>
              <w:rPr>
                <w:rFonts w:ascii="Times New Roman" w:hAnsi="Times New Roman" w:cs="Times New Roman"/>
                <w:sz w:val="24"/>
                <w:szCs w:val="24"/>
                <w:lang w:val="pt-BR"/>
              </w:rPr>
              <w:t xml:space="preserve">Da proposta dos itens a serem adquiridos deverá constar local, sendo que somente serão homologadas no processo cascalheiras que apresentem as devidas licenças ambientais e que permeiam o tipo de fornecimento, atendendo as legislações pertinetes ao objeto. </w:t>
            </w:r>
          </w:p>
          <w:p w14:paraId="69DD0678">
            <w:pPr>
              <w:numPr>
                <w:ilvl w:val="2"/>
                <w:numId w:val="18"/>
              </w:numPr>
              <w:spacing w:line="360" w:lineRule="auto"/>
              <w:jc w:val="both"/>
              <w:rPr>
                <w:rFonts w:ascii="Times New Roman" w:hAnsi="Times New Roman" w:cs="Times New Roman"/>
                <w:sz w:val="24"/>
                <w:szCs w:val="24"/>
                <w:lang w:val="pt-BR"/>
              </w:rPr>
            </w:pPr>
            <w:r>
              <w:rPr>
                <w:rFonts w:ascii="Times New Roman" w:hAnsi="Times New Roman" w:cs="Times New Roman"/>
                <w:sz w:val="24"/>
                <w:szCs w:val="24"/>
                <w:lang w:val="pt-BR"/>
              </w:rPr>
              <w:t xml:space="preserve"> O transporte, dos itens no local designado serão de responsabilidade exclusiva da contratante. Para o item 01, haverá carregamento por parte da contratada (na jazida), sendo o transporte efetuado pelo contratante.</w:t>
            </w:r>
          </w:p>
          <w:p w14:paraId="5F4E1FFB">
            <w:pPr>
              <w:numPr>
                <w:ilvl w:val="2"/>
                <w:numId w:val="18"/>
              </w:numPr>
              <w:spacing w:line="360" w:lineRule="auto"/>
              <w:jc w:val="both"/>
              <w:rPr>
                <w:rFonts w:ascii="Times New Roman" w:hAnsi="Times New Roman" w:cs="Times New Roman"/>
                <w:sz w:val="24"/>
                <w:szCs w:val="24"/>
                <w:lang w:val="pt-BR"/>
              </w:rPr>
            </w:pPr>
            <w:r>
              <w:rPr>
                <w:rFonts w:ascii="Times New Roman" w:hAnsi="Times New Roman" w:cs="Times New Roman"/>
                <w:sz w:val="24"/>
                <w:szCs w:val="24"/>
                <w:lang w:val="pt-BR"/>
              </w:rPr>
              <w:t xml:space="preserve"> Sempre que possível, os bens fornecidos deverão observar critérios de sustentabilidade ambiental, incluindo eficiência energética, durabilidade e possibilidade de manutenção prolongada, conforme determina o art. 25 da Lei nº 14.133/2021, visando reduzir impactos ambientais e promover o uso racional de recursos públicos.</w:t>
            </w:r>
          </w:p>
          <w:p w14:paraId="532DB9B9">
            <w:pPr>
              <w:numPr>
                <w:ilvl w:val="2"/>
                <w:numId w:val="18"/>
              </w:numPr>
              <w:spacing w:line="360" w:lineRule="auto"/>
              <w:jc w:val="both"/>
              <w:rPr>
                <w:rFonts w:ascii="Times New Roman" w:hAnsi="Times New Roman" w:cs="Times New Roman"/>
                <w:sz w:val="24"/>
                <w:szCs w:val="24"/>
                <w:lang w:val="pt-BR"/>
              </w:rPr>
            </w:pPr>
            <w:r>
              <w:rPr>
                <w:rFonts w:ascii="Times New Roman" w:hAnsi="Times New Roman" w:cs="Times New Roman"/>
                <w:sz w:val="24"/>
                <w:szCs w:val="24"/>
                <w:lang w:val="pt-BR"/>
              </w:rPr>
              <w:t>O descumprimento injustificado nos prazos, e entregas em desacordo com as especificações sujeitará a contratada às sanções previstas no art. 156 da Lei nº 14.133/2021, sem prejuízo das demais responsabilidades civis e contratuais cabíveis.</w:t>
            </w:r>
          </w:p>
          <w:p w14:paraId="1C3ACA5F">
            <w:pPr>
              <w:numPr>
                <w:ilvl w:val="2"/>
                <w:numId w:val="18"/>
              </w:numPr>
              <w:spacing w:line="360" w:lineRule="auto"/>
              <w:jc w:val="both"/>
              <w:rPr>
                <w:rFonts w:ascii="Times New Roman" w:hAnsi="Times New Roman" w:cs="Times New Roman"/>
                <w:b/>
                <w:bCs/>
                <w:sz w:val="24"/>
                <w:szCs w:val="24"/>
                <w:lang w:val="pt-BR"/>
              </w:rPr>
            </w:pPr>
            <w:r>
              <w:rPr>
                <w:rFonts w:ascii="Times New Roman" w:hAnsi="Times New Roman" w:cs="Times New Roman"/>
                <w:sz w:val="24"/>
                <w:szCs w:val="24"/>
                <w:lang w:val="pt-BR"/>
              </w:rPr>
              <w:t>O recebimento dos materiais será considerado concluído somente após o recebimento definitivo, precedido do recebimento provisório, para verificação de conformidade com o objeto contratado, nos termos dos arts. 137 e 138 da Lei nº 14.133/2021.</w:t>
            </w:r>
          </w:p>
        </w:tc>
      </w:tr>
      <w:tr w14:paraId="47C888E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571" w:type="dxa"/>
          </w:tcPr>
          <w:p w14:paraId="3D274CE8">
            <w:pPr>
              <w:pStyle w:val="15"/>
              <w:numPr>
                <w:ilvl w:val="1"/>
                <w:numId w:val="18"/>
              </w:numPr>
              <w:tabs>
                <w:tab w:val="left" w:pos="977"/>
              </w:tabs>
              <w:jc w:val="both"/>
              <w:rPr>
                <w:b/>
                <w:bCs/>
                <w:sz w:val="24"/>
                <w:szCs w:val="24"/>
                <w:lang w:val="pt-BR"/>
              </w:rPr>
            </w:pPr>
            <w:r>
              <w:rPr>
                <w:b/>
                <w:bCs/>
                <w:sz w:val="24"/>
                <w:szCs w:val="24"/>
              </w:rPr>
              <w:t>PRAZO</w:t>
            </w:r>
            <w:r>
              <w:rPr>
                <w:b/>
                <w:bCs/>
                <w:spacing w:val="-1"/>
                <w:sz w:val="24"/>
                <w:szCs w:val="24"/>
              </w:rPr>
              <w:t xml:space="preserve"> </w:t>
            </w:r>
            <w:r>
              <w:rPr>
                <w:b/>
                <w:bCs/>
                <w:sz w:val="24"/>
                <w:szCs w:val="24"/>
              </w:rPr>
              <w:t>MÍNIMO</w:t>
            </w:r>
            <w:r>
              <w:rPr>
                <w:b/>
                <w:bCs/>
                <w:spacing w:val="-1"/>
                <w:sz w:val="24"/>
                <w:szCs w:val="24"/>
              </w:rPr>
              <w:t xml:space="preserve"> </w:t>
            </w:r>
            <w:r>
              <w:rPr>
                <w:b/>
                <w:bCs/>
                <w:sz w:val="24"/>
                <w:szCs w:val="24"/>
              </w:rPr>
              <w:t>DE</w:t>
            </w:r>
            <w:r>
              <w:rPr>
                <w:b/>
                <w:bCs/>
                <w:spacing w:val="-1"/>
                <w:sz w:val="24"/>
                <w:szCs w:val="24"/>
              </w:rPr>
              <w:t xml:space="preserve"> </w:t>
            </w:r>
            <w:r>
              <w:rPr>
                <w:b/>
                <w:bCs/>
                <w:sz w:val="24"/>
                <w:szCs w:val="24"/>
              </w:rPr>
              <w:t>VALIDADE</w:t>
            </w:r>
            <w:r>
              <w:rPr>
                <w:b/>
                <w:bCs/>
                <w:spacing w:val="-2"/>
                <w:sz w:val="24"/>
                <w:szCs w:val="24"/>
              </w:rPr>
              <w:t xml:space="preserve"> </w:t>
            </w:r>
            <w:r>
              <w:rPr>
                <w:b/>
                <w:bCs/>
                <w:sz w:val="24"/>
                <w:szCs w:val="24"/>
              </w:rPr>
              <w:t xml:space="preserve">DO </w:t>
            </w:r>
            <w:r>
              <w:rPr>
                <w:b/>
                <w:bCs/>
                <w:spacing w:val="-2"/>
                <w:sz w:val="24"/>
                <w:szCs w:val="24"/>
              </w:rPr>
              <w:t>PRODUTO</w:t>
            </w:r>
            <w:r>
              <w:rPr>
                <w:b/>
                <w:bCs/>
                <w:spacing w:val="-2"/>
                <w:sz w:val="24"/>
                <w:szCs w:val="24"/>
                <w:lang w:val="pt-BR"/>
              </w:rPr>
              <w:t xml:space="preserve">: </w:t>
            </w:r>
          </w:p>
          <w:p w14:paraId="27BE3A1F">
            <w:pPr>
              <w:pStyle w:val="15"/>
              <w:tabs>
                <w:tab w:val="left" w:pos="977"/>
              </w:tabs>
              <w:spacing w:line="360" w:lineRule="auto"/>
              <w:ind w:left="200" w:firstLine="0"/>
              <w:jc w:val="both"/>
              <w:rPr>
                <w:b/>
                <w:bCs/>
                <w:sz w:val="24"/>
                <w:szCs w:val="24"/>
                <w:lang w:val="pt-BR"/>
              </w:rPr>
            </w:pPr>
            <w:r>
              <w:rPr>
                <w:sz w:val="24"/>
                <w:szCs w:val="24"/>
                <w:lang w:val="pt-BR"/>
              </w:rPr>
              <w:t>Não aplicável</w:t>
            </w:r>
          </w:p>
        </w:tc>
      </w:tr>
      <w:tr w14:paraId="69AF06D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571" w:type="dxa"/>
          </w:tcPr>
          <w:p w14:paraId="733A1236">
            <w:pPr>
              <w:pStyle w:val="15"/>
              <w:numPr>
                <w:ilvl w:val="1"/>
                <w:numId w:val="18"/>
              </w:numPr>
              <w:tabs>
                <w:tab w:val="left" w:pos="989"/>
              </w:tabs>
              <w:jc w:val="both"/>
              <w:rPr>
                <w:b/>
                <w:bCs/>
                <w:sz w:val="24"/>
                <w:szCs w:val="24"/>
                <w:lang w:val="pt-BR"/>
              </w:rPr>
            </w:pPr>
            <w:r>
              <w:rPr>
                <w:b/>
                <w:bCs/>
                <w:sz w:val="24"/>
                <w:szCs w:val="24"/>
              </w:rPr>
              <w:t>ESPECIFICAÇÃO</w:t>
            </w:r>
            <w:r>
              <w:rPr>
                <w:b/>
                <w:bCs/>
                <w:spacing w:val="-2"/>
                <w:sz w:val="24"/>
                <w:szCs w:val="24"/>
              </w:rPr>
              <w:t xml:space="preserve"> </w:t>
            </w:r>
            <w:r>
              <w:rPr>
                <w:b/>
                <w:bCs/>
                <w:sz w:val="24"/>
                <w:szCs w:val="24"/>
              </w:rPr>
              <w:t>DA</w:t>
            </w:r>
            <w:r>
              <w:rPr>
                <w:b/>
                <w:bCs/>
                <w:spacing w:val="-1"/>
                <w:sz w:val="24"/>
                <w:szCs w:val="24"/>
              </w:rPr>
              <w:t xml:space="preserve"> </w:t>
            </w:r>
            <w:r>
              <w:rPr>
                <w:b/>
                <w:bCs/>
                <w:sz w:val="24"/>
                <w:szCs w:val="24"/>
              </w:rPr>
              <w:t>GARANTIA</w:t>
            </w:r>
            <w:r>
              <w:rPr>
                <w:b/>
                <w:bCs/>
                <w:spacing w:val="-1"/>
                <w:sz w:val="24"/>
                <w:szCs w:val="24"/>
              </w:rPr>
              <w:t xml:space="preserve"> </w:t>
            </w:r>
            <w:r>
              <w:rPr>
                <w:b/>
                <w:bCs/>
                <w:spacing w:val="-2"/>
                <w:sz w:val="24"/>
                <w:szCs w:val="24"/>
              </w:rPr>
              <w:t>EXIGIDA</w:t>
            </w:r>
            <w:r>
              <w:rPr>
                <w:b/>
                <w:bCs/>
                <w:spacing w:val="-2"/>
                <w:sz w:val="24"/>
                <w:szCs w:val="24"/>
                <w:lang w:val="pt-BR"/>
              </w:rPr>
              <w:t>:</w:t>
            </w:r>
          </w:p>
          <w:p w14:paraId="15D99635">
            <w:pPr>
              <w:numPr>
                <w:ilvl w:val="2"/>
                <w:numId w:val="18"/>
              </w:numPr>
              <w:spacing w:line="360" w:lineRule="auto"/>
              <w:jc w:val="both"/>
              <w:rPr>
                <w:rFonts w:ascii="Times New Roman" w:hAnsi="Times New Roman" w:cs="Times New Roman"/>
                <w:sz w:val="24"/>
                <w:szCs w:val="24"/>
                <w:lang w:val="pt-BR"/>
              </w:rPr>
            </w:pPr>
            <w:r>
              <w:rPr>
                <w:rFonts w:ascii="Times New Roman" w:hAnsi="Times New Roman" w:cs="Times New Roman"/>
                <w:b/>
                <w:bCs/>
                <w:spacing w:val="-2"/>
                <w:sz w:val="24"/>
                <w:szCs w:val="24"/>
                <w:lang w:val="pt-BR"/>
              </w:rPr>
              <w:t xml:space="preserve">. </w:t>
            </w:r>
            <w:r>
              <w:rPr>
                <w:rFonts w:ascii="Times New Roman" w:hAnsi="Times New Roman" w:cs="Times New Roman"/>
                <w:sz w:val="24"/>
                <w:szCs w:val="24"/>
                <w:lang w:val="pt-BR"/>
              </w:rPr>
              <w:t>Não será exigida garantia contratual nesta contratação, tendo em vista que o objeto se trata unicamente de entrega de bens de consumo (cascalho), com recebimento definitivo vinculado à conferência da conformidade com as especificações técnicas estabelecidas. Contudo, é importante destacar que o eventual descumprimento de prazos, especificações ou demais condições contratuais acarretará a aplicação de sanções administrativas, conforme previsto nos arts. 156 a 159 da Lei nº 14.133/2021, bem como no Decreto Municipal nº 359/2023, que regulamenta a nova Lei de Licitações no âmbito da Administração Pública de Sinop.</w:t>
            </w:r>
          </w:p>
          <w:p w14:paraId="57643B01">
            <w:pPr>
              <w:spacing w:line="360" w:lineRule="auto"/>
              <w:ind w:left="12" w:hanging="12" w:hangingChars="5"/>
              <w:jc w:val="both"/>
              <w:rPr>
                <w:rFonts w:ascii="Times New Roman" w:hAnsi="Times New Roman" w:cs="Times New Roman"/>
                <w:sz w:val="24"/>
                <w:szCs w:val="24"/>
                <w:lang w:val="pt-BR"/>
              </w:rPr>
            </w:pPr>
            <w:r>
              <w:rPr>
                <w:rFonts w:ascii="Times New Roman" w:hAnsi="Times New Roman" w:cs="Times New Roman"/>
                <w:sz w:val="24"/>
                <w:szCs w:val="24"/>
                <w:lang w:val="pt-BR"/>
              </w:rPr>
              <w:t>As penalidades aplicáveis abrangem, entre outras:</w:t>
            </w:r>
          </w:p>
          <w:p w14:paraId="3B3887B4">
            <w:pPr>
              <w:numPr>
                <w:ilvl w:val="0"/>
                <w:numId w:val="11"/>
              </w:numPr>
              <w:spacing w:line="360" w:lineRule="auto"/>
              <w:jc w:val="both"/>
              <w:rPr>
                <w:rFonts w:ascii="Times New Roman" w:hAnsi="Times New Roman" w:cs="Times New Roman"/>
                <w:sz w:val="24"/>
                <w:szCs w:val="24"/>
                <w:lang w:val="pt-BR"/>
              </w:rPr>
            </w:pPr>
            <w:r>
              <w:rPr>
                <w:rFonts w:ascii="Times New Roman" w:hAnsi="Times New Roman" w:cs="Times New Roman"/>
                <w:sz w:val="24"/>
                <w:szCs w:val="24"/>
                <w:lang w:val="pt-BR"/>
              </w:rPr>
              <w:t>Advertência;</w:t>
            </w:r>
          </w:p>
          <w:p w14:paraId="02BAE547">
            <w:pPr>
              <w:numPr>
                <w:ilvl w:val="0"/>
                <w:numId w:val="11"/>
              </w:numPr>
              <w:spacing w:line="360" w:lineRule="auto"/>
              <w:jc w:val="both"/>
              <w:rPr>
                <w:rFonts w:ascii="Times New Roman" w:hAnsi="Times New Roman" w:cs="Times New Roman"/>
                <w:sz w:val="24"/>
                <w:szCs w:val="24"/>
                <w:lang w:val="pt-BR"/>
              </w:rPr>
            </w:pPr>
            <w:r>
              <w:rPr>
                <w:rFonts w:ascii="Times New Roman" w:hAnsi="Times New Roman" w:cs="Times New Roman"/>
                <w:sz w:val="24"/>
                <w:szCs w:val="24"/>
                <w:lang w:val="pt-BR"/>
              </w:rPr>
              <w:t>Multa;</w:t>
            </w:r>
          </w:p>
          <w:p w14:paraId="56FA82F3">
            <w:pPr>
              <w:numPr>
                <w:ilvl w:val="0"/>
                <w:numId w:val="11"/>
              </w:numPr>
              <w:spacing w:line="360" w:lineRule="auto"/>
              <w:jc w:val="both"/>
              <w:rPr>
                <w:rFonts w:ascii="Times New Roman" w:hAnsi="Times New Roman" w:cs="Times New Roman"/>
                <w:sz w:val="24"/>
                <w:szCs w:val="24"/>
                <w:lang w:val="pt-BR"/>
              </w:rPr>
            </w:pPr>
            <w:r>
              <w:rPr>
                <w:rFonts w:ascii="Times New Roman" w:hAnsi="Times New Roman" w:cs="Times New Roman"/>
                <w:sz w:val="24"/>
                <w:szCs w:val="24"/>
                <w:lang w:val="pt-BR"/>
              </w:rPr>
              <w:t>Impedimento de licitar e contratar com a Administração;</w:t>
            </w:r>
          </w:p>
          <w:p w14:paraId="637E79EC">
            <w:pPr>
              <w:numPr>
                <w:ilvl w:val="0"/>
                <w:numId w:val="11"/>
              </w:numPr>
              <w:spacing w:line="360" w:lineRule="auto"/>
              <w:jc w:val="both"/>
              <w:rPr>
                <w:rFonts w:ascii="Times New Roman" w:hAnsi="Times New Roman" w:cs="Times New Roman"/>
                <w:sz w:val="24"/>
                <w:szCs w:val="24"/>
                <w:lang w:val="pt-BR"/>
              </w:rPr>
            </w:pPr>
            <w:r>
              <w:rPr>
                <w:rFonts w:ascii="Times New Roman" w:hAnsi="Times New Roman" w:cs="Times New Roman"/>
                <w:sz w:val="24"/>
                <w:szCs w:val="24"/>
                <w:lang w:val="pt-BR"/>
              </w:rPr>
              <w:t>Declaração de inidoneidade, nos termos da legislação vigente.</w:t>
            </w:r>
          </w:p>
          <w:p w14:paraId="061834D2">
            <w:pPr>
              <w:spacing w:line="360" w:lineRule="auto"/>
              <w:ind w:left="12" w:hanging="12" w:hangingChars="5"/>
              <w:jc w:val="both"/>
              <w:rPr>
                <w:rFonts w:ascii="Times New Roman" w:hAnsi="Times New Roman" w:cs="Times New Roman"/>
                <w:b/>
                <w:bCs/>
                <w:sz w:val="24"/>
                <w:szCs w:val="24"/>
                <w:lang w:val="pt-BR"/>
              </w:rPr>
            </w:pPr>
            <w:r>
              <w:rPr>
                <w:rFonts w:ascii="Times New Roman" w:hAnsi="Times New Roman" w:cs="Times New Roman"/>
                <w:sz w:val="24"/>
                <w:szCs w:val="24"/>
                <w:lang w:val="pt-BR"/>
              </w:rPr>
              <w:t>Portanto, é imprescindível o fiel cumprimento de todas as obrigações previstas no edital e no contrato, sob pena de aplicação das sanções cabíveis, conforme Decreto nº 360/2023.</w:t>
            </w:r>
          </w:p>
        </w:tc>
      </w:tr>
      <w:tr w14:paraId="50FC627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571" w:type="dxa"/>
          </w:tcPr>
          <w:p w14:paraId="7AA69343">
            <w:pPr>
              <w:pStyle w:val="15"/>
              <w:numPr>
                <w:ilvl w:val="1"/>
                <w:numId w:val="18"/>
              </w:numPr>
              <w:tabs>
                <w:tab w:val="left" w:pos="977"/>
              </w:tabs>
              <w:spacing w:line="360" w:lineRule="auto"/>
              <w:jc w:val="both"/>
              <w:rPr>
                <w:spacing w:val="-2"/>
                <w:sz w:val="24"/>
                <w:szCs w:val="24"/>
                <w:lang w:val="pt-BR"/>
              </w:rPr>
            </w:pPr>
            <w:r>
              <w:rPr>
                <w:b/>
                <w:bCs/>
                <w:sz w:val="24"/>
                <w:szCs w:val="24"/>
              </w:rPr>
              <w:t>CONDIÇÕES</w:t>
            </w:r>
            <w:r>
              <w:rPr>
                <w:b/>
                <w:bCs/>
                <w:spacing w:val="-2"/>
                <w:sz w:val="24"/>
                <w:szCs w:val="24"/>
              </w:rPr>
              <w:t xml:space="preserve"> </w:t>
            </w:r>
            <w:r>
              <w:rPr>
                <w:b/>
                <w:bCs/>
                <w:sz w:val="24"/>
                <w:szCs w:val="24"/>
              </w:rPr>
              <w:t>DE</w:t>
            </w:r>
            <w:r>
              <w:rPr>
                <w:b/>
                <w:bCs/>
                <w:spacing w:val="-3"/>
                <w:sz w:val="24"/>
                <w:szCs w:val="24"/>
              </w:rPr>
              <w:t xml:space="preserve"> </w:t>
            </w:r>
            <w:r>
              <w:rPr>
                <w:b/>
                <w:bCs/>
                <w:sz w:val="24"/>
                <w:szCs w:val="24"/>
              </w:rPr>
              <w:t>MANUTENÇÃO</w:t>
            </w:r>
            <w:r>
              <w:rPr>
                <w:b/>
                <w:bCs/>
                <w:spacing w:val="-2"/>
                <w:sz w:val="24"/>
                <w:szCs w:val="24"/>
              </w:rPr>
              <w:t xml:space="preserve"> </w:t>
            </w:r>
            <w:r>
              <w:rPr>
                <w:b/>
                <w:bCs/>
                <w:sz w:val="24"/>
                <w:szCs w:val="24"/>
              </w:rPr>
              <w:t>PREVENTIVA E/OU</w:t>
            </w:r>
            <w:r>
              <w:rPr>
                <w:b/>
                <w:bCs/>
                <w:spacing w:val="-1"/>
                <w:sz w:val="24"/>
                <w:szCs w:val="24"/>
              </w:rPr>
              <w:t xml:space="preserve"> </w:t>
            </w:r>
            <w:r>
              <w:rPr>
                <w:b/>
                <w:bCs/>
                <w:sz w:val="24"/>
                <w:szCs w:val="24"/>
              </w:rPr>
              <w:t>CORRETIVA</w:t>
            </w:r>
            <w:r>
              <w:rPr>
                <w:b/>
                <w:bCs/>
                <w:spacing w:val="-2"/>
                <w:sz w:val="24"/>
                <w:szCs w:val="24"/>
              </w:rPr>
              <w:t xml:space="preserve"> </w:t>
            </w:r>
            <w:r>
              <w:rPr>
                <w:b/>
                <w:bCs/>
                <w:sz w:val="24"/>
                <w:szCs w:val="24"/>
              </w:rPr>
              <w:t>E</w:t>
            </w:r>
            <w:r>
              <w:rPr>
                <w:b/>
                <w:bCs/>
                <w:spacing w:val="-1"/>
                <w:sz w:val="24"/>
                <w:szCs w:val="24"/>
              </w:rPr>
              <w:t xml:space="preserve"> </w:t>
            </w:r>
            <w:r>
              <w:rPr>
                <w:b/>
                <w:bCs/>
                <w:sz w:val="24"/>
                <w:szCs w:val="24"/>
              </w:rPr>
              <w:t>ASSISTÊNCIA</w:t>
            </w:r>
            <w:r>
              <w:rPr>
                <w:b/>
                <w:bCs/>
                <w:spacing w:val="-1"/>
                <w:sz w:val="24"/>
                <w:szCs w:val="24"/>
              </w:rPr>
              <w:t xml:space="preserve"> </w:t>
            </w:r>
            <w:r>
              <w:rPr>
                <w:b/>
                <w:bCs/>
                <w:spacing w:val="-2"/>
                <w:sz w:val="24"/>
                <w:szCs w:val="24"/>
              </w:rPr>
              <w:t>TÉCNICA</w:t>
            </w:r>
            <w:r>
              <w:rPr>
                <w:b/>
                <w:bCs/>
                <w:spacing w:val="-2"/>
                <w:sz w:val="24"/>
                <w:szCs w:val="24"/>
                <w:lang w:val="pt-BR"/>
              </w:rPr>
              <w:t xml:space="preserve">: </w:t>
            </w:r>
          </w:p>
          <w:p w14:paraId="636C68C6">
            <w:pPr>
              <w:pStyle w:val="15"/>
              <w:numPr>
                <w:ilvl w:val="2"/>
                <w:numId w:val="18"/>
              </w:numPr>
              <w:tabs>
                <w:tab w:val="left" w:pos="977"/>
              </w:tabs>
              <w:spacing w:line="360" w:lineRule="auto"/>
              <w:jc w:val="both"/>
              <w:rPr>
                <w:b/>
                <w:bCs/>
                <w:sz w:val="24"/>
                <w:szCs w:val="24"/>
                <w:lang w:val="pt-BR"/>
              </w:rPr>
            </w:pPr>
            <w:r>
              <w:rPr>
                <w:spacing w:val="-2"/>
                <w:sz w:val="24"/>
                <w:szCs w:val="24"/>
                <w:lang w:val="pt-BR"/>
              </w:rPr>
              <w:t>Não aplicável ao objeto da contratação.</w:t>
            </w:r>
          </w:p>
        </w:tc>
      </w:tr>
      <w:tr w14:paraId="279759C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571" w:type="dxa"/>
          </w:tcPr>
          <w:p w14:paraId="7D59AC8A">
            <w:pPr>
              <w:pStyle w:val="15"/>
              <w:numPr>
                <w:ilvl w:val="1"/>
                <w:numId w:val="18"/>
              </w:numPr>
              <w:tabs>
                <w:tab w:val="left" w:pos="936"/>
              </w:tabs>
              <w:spacing w:line="360" w:lineRule="auto"/>
              <w:jc w:val="both"/>
              <w:rPr>
                <w:b/>
                <w:bCs/>
                <w:sz w:val="24"/>
                <w:szCs w:val="24"/>
                <w:lang w:val="pt-BR"/>
              </w:rPr>
            </w:pPr>
            <w:r>
              <w:rPr>
                <w:b/>
                <w:bCs/>
                <w:sz w:val="24"/>
                <w:szCs w:val="24"/>
              </w:rPr>
              <w:t>CRONOGRAMA DE</w:t>
            </w:r>
            <w:r>
              <w:rPr>
                <w:b/>
                <w:bCs/>
                <w:spacing w:val="-1"/>
                <w:sz w:val="24"/>
                <w:szCs w:val="24"/>
              </w:rPr>
              <w:t xml:space="preserve"> </w:t>
            </w:r>
            <w:r>
              <w:rPr>
                <w:b/>
                <w:bCs/>
                <w:spacing w:val="-2"/>
                <w:sz w:val="24"/>
                <w:szCs w:val="24"/>
              </w:rPr>
              <w:t>EXECUÇÃO</w:t>
            </w:r>
            <w:r>
              <w:rPr>
                <w:b/>
                <w:bCs/>
                <w:spacing w:val="-2"/>
                <w:sz w:val="24"/>
                <w:szCs w:val="24"/>
                <w:lang w:val="pt-BR"/>
              </w:rPr>
              <w:t xml:space="preserve">: </w:t>
            </w:r>
          </w:p>
          <w:p w14:paraId="743D375F">
            <w:pPr>
              <w:pStyle w:val="15"/>
              <w:numPr>
                <w:ilvl w:val="2"/>
                <w:numId w:val="18"/>
              </w:numPr>
              <w:tabs>
                <w:tab w:val="left" w:pos="936"/>
              </w:tabs>
              <w:spacing w:line="360" w:lineRule="auto"/>
              <w:jc w:val="both"/>
              <w:rPr>
                <w:spacing w:val="-2"/>
                <w:sz w:val="24"/>
                <w:szCs w:val="24"/>
                <w:lang w:val="pt-BR"/>
              </w:rPr>
            </w:pPr>
            <w:r>
              <w:rPr>
                <w:spacing w:val="-2"/>
                <w:sz w:val="24"/>
                <w:szCs w:val="24"/>
                <w:lang w:val="pt-BR"/>
              </w:rPr>
              <w:t xml:space="preserve">  Os serviços de manutenção com aplicação de cascalho serão executados conforme as demandas imediatas, bem como de acordo com o cronograma prévio de manutenção estabelecido pela Secretaria de Obras </w:t>
            </w:r>
            <w:r>
              <w:rPr>
                <w:rFonts w:hint="default"/>
                <w:spacing w:val="-2"/>
                <w:sz w:val="24"/>
                <w:szCs w:val="24"/>
                <w:lang w:val="pt-BR"/>
              </w:rPr>
              <w:t xml:space="preserve">e Serviços Urbanos </w:t>
            </w:r>
            <w:r>
              <w:rPr>
                <w:spacing w:val="-2"/>
                <w:sz w:val="24"/>
                <w:szCs w:val="24"/>
                <w:lang w:val="pt-BR"/>
              </w:rPr>
              <w:t xml:space="preserve">durante toda a execução da vigência do contrato em </w:t>
            </w:r>
            <w:r>
              <w:rPr>
                <w:rFonts w:hint="default"/>
                <w:spacing w:val="-2"/>
                <w:sz w:val="24"/>
                <w:szCs w:val="24"/>
                <w:lang w:val="pt-BR"/>
              </w:rPr>
              <w:t>1 ano</w:t>
            </w:r>
            <w:r>
              <w:rPr>
                <w:spacing w:val="-2"/>
                <w:sz w:val="24"/>
                <w:szCs w:val="24"/>
                <w:lang w:val="pt-BR"/>
              </w:rPr>
              <w:t>.</w:t>
            </w:r>
          </w:p>
          <w:p w14:paraId="6B82207C">
            <w:pPr>
              <w:pStyle w:val="15"/>
              <w:numPr>
                <w:ilvl w:val="2"/>
                <w:numId w:val="18"/>
              </w:numPr>
              <w:tabs>
                <w:tab w:val="left" w:pos="936"/>
              </w:tabs>
              <w:spacing w:line="360" w:lineRule="auto"/>
              <w:jc w:val="both"/>
              <w:rPr>
                <w:spacing w:val="-2"/>
                <w:sz w:val="24"/>
                <w:szCs w:val="24"/>
                <w:lang w:val="pt-BR"/>
              </w:rPr>
            </w:pPr>
            <w:r>
              <w:rPr>
                <w:spacing w:val="-2"/>
                <w:sz w:val="24"/>
                <w:szCs w:val="24"/>
                <w:lang w:val="pt-BR"/>
              </w:rPr>
              <w:t>O setor de engenharia permanecerá em constante monitoramento das problemáticas existentes nas vias, realizando vistorias técnicas e diagnósticos para identificar os trechos que necessitam de intervenção prioritária. A partir dessa análise, serão destinados os equipamentos e equipes necessários para a execução dos serviços.</w:t>
            </w:r>
          </w:p>
          <w:p w14:paraId="7A252151">
            <w:pPr>
              <w:pStyle w:val="15"/>
              <w:tabs>
                <w:tab w:val="left" w:pos="936"/>
              </w:tabs>
              <w:spacing w:line="360" w:lineRule="auto"/>
              <w:ind w:left="200" w:firstLine="0"/>
              <w:jc w:val="both"/>
              <w:rPr>
                <w:b/>
                <w:bCs/>
                <w:sz w:val="24"/>
                <w:szCs w:val="24"/>
                <w:lang w:val="pt-BR"/>
              </w:rPr>
            </w:pPr>
            <w:r>
              <w:rPr>
                <w:b/>
                <w:bCs/>
                <w:sz w:val="24"/>
                <w:szCs w:val="24"/>
                <w:lang w:val="pt-BR"/>
              </w:rPr>
              <w:t>Mapa das Estradas do Município de Sinop:</w:t>
            </w:r>
          </w:p>
          <w:p w14:paraId="7D7C0C65">
            <w:pPr>
              <w:pStyle w:val="15"/>
              <w:tabs>
                <w:tab w:val="left" w:pos="936"/>
              </w:tabs>
              <w:spacing w:line="360" w:lineRule="auto"/>
              <w:ind w:left="200" w:firstLine="0"/>
              <w:jc w:val="both"/>
              <w:rPr>
                <w:rFonts w:eastAsia="Segoe UI"/>
                <w:color w:val="0D0D0D"/>
                <w:sz w:val="24"/>
                <w:szCs w:val="24"/>
                <w:shd w:val="clear" w:color="auto" w:fill="FFFFFF"/>
                <w:lang w:val="pt-BR"/>
              </w:rPr>
            </w:pPr>
            <w:r>
              <w:rPr>
                <w:rFonts w:eastAsia="Segoe UI"/>
                <w:color w:val="0D0D0D"/>
                <w:sz w:val="24"/>
                <w:szCs w:val="24"/>
                <w:shd w:val="clear" w:color="auto" w:fill="FFFFFF"/>
                <w:lang w:val="pt-BR"/>
              </w:rPr>
              <w:drawing>
                <wp:inline distT="0" distB="0" distL="114300" distR="114300">
                  <wp:extent cx="5659755" cy="6504305"/>
                  <wp:effectExtent l="0" t="0" r="17145" b="10795"/>
                  <wp:docPr id="2" name="Imagem 2" descr="MAPA SINO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m 2" descr="MAPA SINOP"/>
                          <pic:cNvPicPr>
                            <a:picLocks noChangeAspect="1"/>
                          </pic:cNvPicPr>
                        </pic:nvPicPr>
                        <pic:blipFill>
                          <a:blip r:embed="rId7"/>
                          <a:stretch>
                            <a:fillRect/>
                          </a:stretch>
                        </pic:blipFill>
                        <pic:spPr>
                          <a:xfrm>
                            <a:off x="0" y="0"/>
                            <a:ext cx="5659755" cy="6504305"/>
                          </a:xfrm>
                          <a:prstGeom prst="rect">
                            <a:avLst/>
                          </a:prstGeom>
                        </pic:spPr>
                      </pic:pic>
                    </a:graphicData>
                  </a:graphic>
                </wp:inline>
              </w:drawing>
            </w:r>
          </w:p>
          <w:p w14:paraId="1AF47528">
            <w:pPr>
              <w:pStyle w:val="15"/>
              <w:tabs>
                <w:tab w:val="left" w:pos="936"/>
              </w:tabs>
              <w:spacing w:line="360" w:lineRule="auto"/>
              <w:ind w:firstLine="57"/>
              <w:jc w:val="both"/>
              <w:rPr>
                <w:rFonts w:eastAsia="Segoe UI"/>
                <w:color w:val="0D0D0D"/>
                <w:sz w:val="24"/>
                <w:szCs w:val="24"/>
                <w:shd w:val="clear" w:color="auto" w:fill="FFFFFF"/>
                <w:lang w:val="pt-BR"/>
              </w:rPr>
            </w:pPr>
            <w:r>
              <w:rPr>
                <w:rFonts w:eastAsia="Segoe UI"/>
                <w:color w:val="0D0D0D"/>
                <w:sz w:val="24"/>
                <w:szCs w:val="24"/>
                <w:shd w:val="clear" w:color="auto" w:fill="FFFFFF"/>
                <w:lang w:val="pt-BR"/>
              </w:rPr>
              <w:t>Mapa consta em tamanho maior anexo ao processo.</w:t>
            </w:r>
          </w:p>
          <w:p w14:paraId="2F3F39C0">
            <w:pPr>
              <w:pStyle w:val="15"/>
              <w:tabs>
                <w:tab w:val="left" w:pos="936"/>
              </w:tabs>
              <w:spacing w:line="360" w:lineRule="auto"/>
              <w:ind w:firstLine="57"/>
              <w:jc w:val="both"/>
              <w:rPr>
                <w:rFonts w:eastAsia="Segoe UI"/>
                <w:color w:val="0D0D0D"/>
                <w:sz w:val="24"/>
                <w:szCs w:val="24"/>
                <w:shd w:val="clear" w:color="auto" w:fill="FFFFFF"/>
                <w:lang w:val="pt-BR"/>
              </w:rPr>
            </w:pPr>
          </w:p>
        </w:tc>
      </w:tr>
      <w:tr w14:paraId="5D8CAC9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571" w:type="dxa"/>
          </w:tcPr>
          <w:p w14:paraId="745B4D9A">
            <w:pPr>
              <w:pStyle w:val="15"/>
              <w:numPr>
                <w:ilvl w:val="1"/>
                <w:numId w:val="18"/>
              </w:numPr>
              <w:tabs>
                <w:tab w:val="left" w:pos="1123"/>
              </w:tabs>
              <w:ind w:right="-45"/>
              <w:jc w:val="both"/>
              <w:rPr>
                <w:b/>
                <w:bCs/>
                <w:sz w:val="24"/>
                <w:szCs w:val="24"/>
                <w:lang w:val="pt-BR"/>
              </w:rPr>
            </w:pPr>
            <w:r>
              <w:rPr>
                <w:b/>
                <w:bCs/>
                <w:sz w:val="24"/>
                <w:szCs w:val="24"/>
              </w:rPr>
              <w:t>NECESSIDADE</w:t>
            </w:r>
            <w:r>
              <w:rPr>
                <w:b/>
                <w:bCs/>
                <w:spacing w:val="80"/>
                <w:w w:val="150"/>
                <w:sz w:val="24"/>
                <w:szCs w:val="24"/>
              </w:rPr>
              <w:t xml:space="preserve"> </w:t>
            </w:r>
            <w:r>
              <w:rPr>
                <w:b/>
                <w:bCs/>
                <w:sz w:val="24"/>
                <w:szCs w:val="24"/>
              </w:rPr>
              <w:t>DE</w:t>
            </w:r>
            <w:r>
              <w:rPr>
                <w:b/>
                <w:bCs/>
                <w:spacing w:val="80"/>
                <w:w w:val="150"/>
                <w:sz w:val="24"/>
                <w:szCs w:val="24"/>
              </w:rPr>
              <w:t xml:space="preserve"> </w:t>
            </w:r>
            <w:r>
              <w:rPr>
                <w:b/>
                <w:bCs/>
                <w:sz w:val="24"/>
                <w:szCs w:val="24"/>
              </w:rPr>
              <w:t>ACOMPANHAMENTO</w:t>
            </w:r>
            <w:r>
              <w:rPr>
                <w:b/>
                <w:bCs/>
                <w:spacing w:val="80"/>
                <w:w w:val="150"/>
                <w:sz w:val="24"/>
                <w:szCs w:val="24"/>
              </w:rPr>
              <w:t xml:space="preserve"> </w:t>
            </w:r>
            <w:r>
              <w:rPr>
                <w:b/>
                <w:bCs/>
                <w:sz w:val="24"/>
                <w:szCs w:val="24"/>
              </w:rPr>
              <w:t>DOS</w:t>
            </w:r>
            <w:r>
              <w:rPr>
                <w:b/>
                <w:bCs/>
                <w:spacing w:val="80"/>
                <w:w w:val="150"/>
                <w:sz w:val="24"/>
                <w:szCs w:val="24"/>
              </w:rPr>
              <w:t xml:space="preserve"> </w:t>
            </w:r>
            <w:r>
              <w:rPr>
                <w:b/>
                <w:bCs/>
                <w:sz w:val="24"/>
                <w:szCs w:val="24"/>
              </w:rPr>
              <w:t>SERVIÇOS</w:t>
            </w:r>
            <w:r>
              <w:rPr>
                <w:b/>
                <w:bCs/>
                <w:spacing w:val="80"/>
                <w:w w:val="150"/>
                <w:sz w:val="24"/>
                <w:szCs w:val="24"/>
              </w:rPr>
              <w:t xml:space="preserve"> </w:t>
            </w:r>
            <w:r>
              <w:rPr>
                <w:b/>
                <w:bCs/>
                <w:sz w:val="24"/>
                <w:szCs w:val="24"/>
              </w:rPr>
              <w:t>POR</w:t>
            </w:r>
            <w:r>
              <w:rPr>
                <w:b/>
                <w:bCs/>
                <w:spacing w:val="80"/>
                <w:w w:val="150"/>
                <w:sz w:val="24"/>
                <w:szCs w:val="24"/>
              </w:rPr>
              <w:t xml:space="preserve"> </w:t>
            </w:r>
            <w:r>
              <w:rPr>
                <w:b/>
                <w:bCs/>
                <w:sz w:val="24"/>
                <w:szCs w:val="24"/>
              </w:rPr>
              <w:t>PROFISSIONAIS</w:t>
            </w:r>
            <w:r>
              <w:rPr>
                <w:b/>
                <w:bCs/>
                <w:spacing w:val="80"/>
                <w:w w:val="150"/>
                <w:sz w:val="24"/>
                <w:szCs w:val="24"/>
              </w:rPr>
              <w:t xml:space="preserve"> </w:t>
            </w:r>
            <w:r>
              <w:rPr>
                <w:b/>
                <w:bCs/>
                <w:sz w:val="24"/>
                <w:szCs w:val="24"/>
              </w:rPr>
              <w:t>DA</w:t>
            </w:r>
            <w:r>
              <w:rPr>
                <w:b/>
                <w:bCs/>
                <w:spacing w:val="80"/>
                <w:w w:val="150"/>
                <w:sz w:val="24"/>
                <w:szCs w:val="24"/>
              </w:rPr>
              <w:t xml:space="preserve"> </w:t>
            </w:r>
            <w:r>
              <w:rPr>
                <w:b/>
                <w:bCs/>
                <w:sz w:val="24"/>
                <w:szCs w:val="24"/>
              </w:rPr>
              <w:t xml:space="preserve">“ÁREA </w:t>
            </w:r>
            <w:r>
              <w:rPr>
                <w:b/>
                <w:bCs/>
                <w:spacing w:val="-2"/>
                <w:sz w:val="24"/>
                <w:szCs w:val="24"/>
              </w:rPr>
              <w:t>DEMANDANTE”</w:t>
            </w:r>
            <w:r>
              <w:rPr>
                <w:b/>
                <w:bCs/>
                <w:spacing w:val="-2"/>
                <w:sz w:val="24"/>
                <w:szCs w:val="24"/>
                <w:lang w:val="pt-BR"/>
              </w:rPr>
              <w:t xml:space="preserve">: </w:t>
            </w:r>
          </w:p>
          <w:p w14:paraId="6DBCFCE3">
            <w:pPr>
              <w:pStyle w:val="15"/>
              <w:numPr>
                <w:ilvl w:val="2"/>
                <w:numId w:val="18"/>
              </w:numPr>
              <w:tabs>
                <w:tab w:val="left" w:pos="1123"/>
              </w:tabs>
              <w:spacing w:line="360" w:lineRule="auto"/>
              <w:ind w:right="-45"/>
              <w:jc w:val="both"/>
              <w:rPr>
                <w:sz w:val="24"/>
                <w:szCs w:val="24"/>
                <w:lang w:val="pt-BR"/>
              </w:rPr>
            </w:pPr>
            <w:r>
              <w:rPr>
                <w:sz w:val="24"/>
                <w:szCs w:val="24"/>
                <w:lang w:val="pt-BR"/>
              </w:rPr>
              <w:t>Durante todas as etapas relacionadas ao fornecimento dos itens, a entrega física, recebimento provisório e definitivo, será obrigatória a presença e supervisão de servidor designado pela Secretaria Municipal de Obras e Serviços Urbanos, na qualidade de fiscal do contrato, nos termos do art. 117 da Lei Federal nº 14.133/2021 e do Decreto Municipal nº 359/2023.</w:t>
            </w:r>
          </w:p>
          <w:p w14:paraId="063E78B2">
            <w:pPr>
              <w:pStyle w:val="15"/>
              <w:numPr>
                <w:ilvl w:val="2"/>
                <w:numId w:val="18"/>
              </w:numPr>
              <w:tabs>
                <w:tab w:val="left" w:pos="1123"/>
              </w:tabs>
              <w:spacing w:line="360" w:lineRule="auto"/>
              <w:ind w:right="-45"/>
              <w:jc w:val="both"/>
              <w:rPr>
                <w:sz w:val="24"/>
                <w:szCs w:val="24"/>
                <w:lang w:val="pt-BR"/>
              </w:rPr>
            </w:pPr>
            <w:r>
              <w:rPr>
                <w:sz w:val="24"/>
                <w:szCs w:val="24"/>
                <w:lang w:val="pt-BR"/>
              </w:rPr>
              <w:t>O profissional designado terá a atribuição de:</w:t>
            </w:r>
          </w:p>
          <w:p w14:paraId="25A8EB41">
            <w:pPr>
              <w:pStyle w:val="15"/>
              <w:numPr>
                <w:ilvl w:val="3"/>
                <w:numId w:val="18"/>
              </w:numPr>
              <w:tabs>
                <w:tab w:val="left" w:pos="1123"/>
              </w:tabs>
              <w:spacing w:line="360" w:lineRule="auto"/>
              <w:ind w:right="-45"/>
              <w:jc w:val="both"/>
              <w:rPr>
                <w:sz w:val="24"/>
                <w:szCs w:val="24"/>
                <w:lang w:val="pt-BR"/>
              </w:rPr>
            </w:pPr>
            <w:r>
              <w:rPr>
                <w:sz w:val="24"/>
                <w:szCs w:val="24"/>
                <w:lang w:val="pt-BR"/>
              </w:rPr>
              <w:t>Atestar a conformidade dos equipamentos com as especificações técnicas previstas no edital e/ou no contrato;</w:t>
            </w:r>
          </w:p>
          <w:p w14:paraId="5C55E4FE">
            <w:pPr>
              <w:pStyle w:val="15"/>
              <w:numPr>
                <w:ilvl w:val="3"/>
                <w:numId w:val="18"/>
              </w:numPr>
              <w:tabs>
                <w:tab w:val="left" w:pos="1123"/>
              </w:tabs>
              <w:spacing w:line="360" w:lineRule="auto"/>
              <w:ind w:right="-45"/>
              <w:jc w:val="both"/>
              <w:rPr>
                <w:sz w:val="24"/>
                <w:szCs w:val="24"/>
                <w:lang w:val="pt-BR"/>
              </w:rPr>
            </w:pPr>
            <w:r>
              <w:rPr>
                <w:sz w:val="24"/>
                <w:szCs w:val="24"/>
                <w:lang w:val="pt-BR"/>
              </w:rPr>
              <w:t xml:space="preserve"> Registrar eventuais não conformidades ou defeitos constatados, aplicando, quando necessário, as medidas previstas no Código de Defesa do Consumidor (Lei nº 8.078/1990) e na Lei nº 14.133/2021;</w:t>
            </w:r>
          </w:p>
          <w:p w14:paraId="663ECFF2">
            <w:pPr>
              <w:pStyle w:val="15"/>
              <w:numPr>
                <w:ilvl w:val="3"/>
                <w:numId w:val="18"/>
              </w:numPr>
              <w:tabs>
                <w:tab w:val="left" w:pos="1123"/>
              </w:tabs>
              <w:spacing w:line="360" w:lineRule="auto"/>
              <w:ind w:right="-45"/>
              <w:jc w:val="both"/>
              <w:rPr>
                <w:sz w:val="24"/>
                <w:szCs w:val="24"/>
                <w:lang w:val="pt-BR"/>
              </w:rPr>
            </w:pPr>
            <w:r>
              <w:rPr>
                <w:sz w:val="24"/>
                <w:szCs w:val="24"/>
                <w:lang w:val="pt-BR"/>
              </w:rPr>
              <w:t xml:space="preserve"> Garantir que a entrega seja realizada de forma completa, incluindo orientações sobre operação segura, uso sustentável e descarte ambientalmente correto de peças e resíduos, conforme normas ambientais vigentes;</w:t>
            </w:r>
          </w:p>
          <w:p w14:paraId="12BC516E">
            <w:pPr>
              <w:pStyle w:val="15"/>
              <w:numPr>
                <w:ilvl w:val="3"/>
                <w:numId w:val="18"/>
              </w:numPr>
              <w:tabs>
                <w:tab w:val="left" w:pos="1123"/>
              </w:tabs>
              <w:spacing w:line="360" w:lineRule="auto"/>
              <w:ind w:right="-45"/>
              <w:jc w:val="both"/>
              <w:rPr>
                <w:b/>
                <w:bCs/>
                <w:sz w:val="24"/>
                <w:szCs w:val="24"/>
                <w:lang w:val="pt-BR"/>
              </w:rPr>
            </w:pPr>
            <w:r>
              <w:rPr>
                <w:sz w:val="24"/>
                <w:szCs w:val="24"/>
                <w:lang w:val="pt-BR"/>
              </w:rPr>
              <w:t>Autorizar a liberação do pagamento somente após a comprovação do atendimento integral das condições contratuais e legais.</w:t>
            </w:r>
          </w:p>
        </w:tc>
      </w:tr>
      <w:tr w14:paraId="7CD775A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571" w:type="dxa"/>
          </w:tcPr>
          <w:p w14:paraId="78C72A6C">
            <w:pPr>
              <w:pStyle w:val="15"/>
              <w:numPr>
                <w:ilvl w:val="1"/>
                <w:numId w:val="18"/>
              </w:numPr>
              <w:tabs>
                <w:tab w:val="left" w:pos="1030"/>
              </w:tabs>
              <w:ind w:right="-45"/>
              <w:jc w:val="both"/>
              <w:rPr>
                <w:b/>
                <w:bCs/>
                <w:sz w:val="24"/>
                <w:szCs w:val="24"/>
                <w:lang w:val="pt-BR"/>
              </w:rPr>
            </w:pPr>
            <w:r>
              <w:rPr>
                <w:b/>
                <w:bCs/>
                <w:sz w:val="24"/>
                <w:szCs w:val="24"/>
              </w:rPr>
              <w:t>POSSIBILIDADE</w:t>
            </w:r>
            <w:r>
              <w:rPr>
                <w:b/>
                <w:bCs/>
                <w:spacing w:val="37"/>
                <w:sz w:val="24"/>
                <w:szCs w:val="24"/>
              </w:rPr>
              <w:t xml:space="preserve"> </w:t>
            </w:r>
            <w:r>
              <w:rPr>
                <w:b/>
                <w:bCs/>
                <w:sz w:val="24"/>
                <w:szCs w:val="24"/>
              </w:rPr>
              <w:t>DE</w:t>
            </w:r>
            <w:r>
              <w:rPr>
                <w:b/>
                <w:bCs/>
                <w:spacing w:val="37"/>
                <w:sz w:val="24"/>
                <w:szCs w:val="24"/>
              </w:rPr>
              <w:t xml:space="preserve"> </w:t>
            </w:r>
            <w:r>
              <w:rPr>
                <w:b/>
                <w:bCs/>
                <w:sz w:val="24"/>
                <w:szCs w:val="24"/>
              </w:rPr>
              <w:t>TROCA</w:t>
            </w:r>
            <w:r>
              <w:rPr>
                <w:b/>
                <w:bCs/>
                <w:spacing w:val="38"/>
                <w:sz w:val="24"/>
                <w:szCs w:val="24"/>
              </w:rPr>
              <w:t xml:space="preserve"> </w:t>
            </w:r>
            <w:r>
              <w:rPr>
                <w:b/>
                <w:bCs/>
                <w:sz w:val="24"/>
                <w:szCs w:val="24"/>
              </w:rPr>
              <w:t>DE</w:t>
            </w:r>
            <w:r>
              <w:rPr>
                <w:b/>
                <w:bCs/>
                <w:spacing w:val="40"/>
                <w:sz w:val="24"/>
                <w:szCs w:val="24"/>
              </w:rPr>
              <w:t xml:space="preserve"> </w:t>
            </w:r>
            <w:r>
              <w:rPr>
                <w:b/>
                <w:bCs/>
                <w:sz w:val="24"/>
                <w:szCs w:val="24"/>
              </w:rPr>
              <w:t>PEÇAS,</w:t>
            </w:r>
            <w:r>
              <w:rPr>
                <w:b/>
                <w:bCs/>
                <w:spacing w:val="38"/>
                <w:sz w:val="24"/>
                <w:szCs w:val="24"/>
              </w:rPr>
              <w:t xml:space="preserve"> </w:t>
            </w:r>
            <w:r>
              <w:rPr>
                <w:b/>
                <w:bCs/>
                <w:sz w:val="24"/>
                <w:szCs w:val="24"/>
              </w:rPr>
              <w:t>SE</w:t>
            </w:r>
            <w:r>
              <w:rPr>
                <w:b/>
                <w:bCs/>
                <w:spacing w:val="37"/>
                <w:sz w:val="24"/>
                <w:szCs w:val="24"/>
              </w:rPr>
              <w:t xml:space="preserve"> </w:t>
            </w:r>
            <w:r>
              <w:rPr>
                <w:b/>
                <w:bCs/>
                <w:sz w:val="24"/>
                <w:szCs w:val="24"/>
              </w:rPr>
              <w:t>POR</w:t>
            </w:r>
            <w:r>
              <w:rPr>
                <w:b/>
                <w:bCs/>
                <w:spacing w:val="39"/>
                <w:sz w:val="24"/>
                <w:szCs w:val="24"/>
              </w:rPr>
              <w:t xml:space="preserve"> </w:t>
            </w:r>
            <w:r>
              <w:rPr>
                <w:b/>
                <w:bCs/>
                <w:sz w:val="24"/>
                <w:szCs w:val="24"/>
              </w:rPr>
              <w:t>ORIGINAIS</w:t>
            </w:r>
            <w:r>
              <w:rPr>
                <w:b/>
                <w:bCs/>
                <w:spacing w:val="36"/>
                <w:sz w:val="24"/>
                <w:szCs w:val="24"/>
              </w:rPr>
              <w:t xml:space="preserve"> </w:t>
            </w:r>
            <w:r>
              <w:rPr>
                <w:b/>
                <w:bCs/>
                <w:sz w:val="24"/>
                <w:szCs w:val="24"/>
              </w:rPr>
              <w:t>OU</w:t>
            </w:r>
            <w:r>
              <w:rPr>
                <w:b/>
                <w:bCs/>
                <w:spacing w:val="38"/>
                <w:sz w:val="24"/>
                <w:szCs w:val="24"/>
              </w:rPr>
              <w:t xml:space="preserve"> </w:t>
            </w:r>
            <w:r>
              <w:rPr>
                <w:b/>
                <w:bCs/>
                <w:sz w:val="24"/>
                <w:szCs w:val="24"/>
              </w:rPr>
              <w:t>SIMILARES,</w:t>
            </w:r>
            <w:r>
              <w:rPr>
                <w:b/>
                <w:bCs/>
                <w:spacing w:val="38"/>
                <w:sz w:val="24"/>
                <w:szCs w:val="24"/>
              </w:rPr>
              <w:t xml:space="preserve"> </w:t>
            </w:r>
            <w:r>
              <w:rPr>
                <w:b/>
                <w:bCs/>
                <w:sz w:val="24"/>
                <w:szCs w:val="24"/>
              </w:rPr>
              <w:t>E</w:t>
            </w:r>
            <w:r>
              <w:rPr>
                <w:b/>
                <w:bCs/>
                <w:spacing w:val="37"/>
                <w:sz w:val="24"/>
                <w:szCs w:val="24"/>
              </w:rPr>
              <w:t xml:space="preserve"> </w:t>
            </w:r>
            <w:r>
              <w:rPr>
                <w:b/>
                <w:bCs/>
                <w:sz w:val="24"/>
                <w:szCs w:val="24"/>
              </w:rPr>
              <w:t>DE</w:t>
            </w:r>
            <w:r>
              <w:rPr>
                <w:b/>
                <w:bCs/>
                <w:spacing w:val="37"/>
                <w:sz w:val="24"/>
                <w:szCs w:val="24"/>
              </w:rPr>
              <w:t xml:space="preserve"> </w:t>
            </w:r>
            <w:r>
              <w:rPr>
                <w:b/>
                <w:bCs/>
                <w:sz w:val="24"/>
                <w:szCs w:val="24"/>
              </w:rPr>
              <w:t>PROCESSOS</w:t>
            </w:r>
            <w:r>
              <w:rPr>
                <w:b/>
                <w:bCs/>
                <w:spacing w:val="39"/>
                <w:sz w:val="24"/>
                <w:szCs w:val="24"/>
              </w:rPr>
              <w:t xml:space="preserve"> </w:t>
            </w:r>
            <w:r>
              <w:rPr>
                <w:b/>
                <w:bCs/>
                <w:sz w:val="24"/>
                <w:szCs w:val="24"/>
              </w:rPr>
              <w:t>DE REMANUFATURA, RECONDICIONAMENTO, REUTILIZAÇÃO OU REFILAMENTO</w:t>
            </w:r>
            <w:r>
              <w:rPr>
                <w:b/>
                <w:bCs/>
                <w:sz w:val="24"/>
                <w:szCs w:val="24"/>
                <w:lang w:val="pt-BR"/>
              </w:rPr>
              <w:t xml:space="preserve">: </w:t>
            </w:r>
          </w:p>
          <w:p w14:paraId="0BB36933">
            <w:pPr>
              <w:pStyle w:val="15"/>
              <w:tabs>
                <w:tab w:val="left" w:pos="1030"/>
                <w:tab w:val="left" w:pos="8800"/>
                <w:tab w:val="left" w:pos="9200"/>
              </w:tabs>
              <w:spacing w:line="360" w:lineRule="auto"/>
              <w:ind w:left="0" w:right="-45" w:firstLine="0"/>
              <w:jc w:val="both"/>
              <w:rPr>
                <w:b/>
                <w:bCs/>
                <w:sz w:val="24"/>
                <w:szCs w:val="24"/>
                <w:lang w:val="pt-BR"/>
              </w:rPr>
            </w:pPr>
            <w:r>
              <w:rPr>
                <w:sz w:val="24"/>
                <w:szCs w:val="24"/>
                <w:lang w:val="pt-BR"/>
              </w:rPr>
              <w:t>Não aplicável.</w:t>
            </w:r>
          </w:p>
        </w:tc>
      </w:tr>
      <w:tr w14:paraId="1F76382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571" w:type="dxa"/>
          </w:tcPr>
          <w:p w14:paraId="70C9ADB5">
            <w:pPr>
              <w:pStyle w:val="15"/>
              <w:numPr>
                <w:ilvl w:val="1"/>
                <w:numId w:val="18"/>
              </w:numPr>
              <w:tabs>
                <w:tab w:val="left" w:pos="936"/>
              </w:tabs>
              <w:jc w:val="both"/>
              <w:rPr>
                <w:b/>
                <w:bCs/>
                <w:sz w:val="24"/>
                <w:szCs w:val="24"/>
                <w:lang w:val="pt-BR"/>
              </w:rPr>
            </w:pPr>
            <w:r>
              <w:rPr>
                <w:b/>
                <w:bCs/>
                <w:sz w:val="24"/>
                <w:szCs w:val="24"/>
              </w:rPr>
              <w:t>POSSIBILIDADE</w:t>
            </w:r>
            <w:r>
              <w:rPr>
                <w:b/>
                <w:bCs/>
                <w:spacing w:val="-2"/>
                <w:sz w:val="24"/>
                <w:szCs w:val="24"/>
              </w:rPr>
              <w:t xml:space="preserve"> </w:t>
            </w:r>
            <w:r>
              <w:rPr>
                <w:b/>
                <w:bCs/>
                <w:sz w:val="24"/>
                <w:szCs w:val="24"/>
              </w:rPr>
              <w:t>OU NÃO</w:t>
            </w:r>
            <w:r>
              <w:rPr>
                <w:b/>
                <w:bCs/>
                <w:spacing w:val="-1"/>
                <w:sz w:val="24"/>
                <w:szCs w:val="24"/>
              </w:rPr>
              <w:t xml:space="preserve"> </w:t>
            </w:r>
            <w:r>
              <w:rPr>
                <w:b/>
                <w:bCs/>
                <w:sz w:val="24"/>
                <w:szCs w:val="24"/>
              </w:rPr>
              <w:t>DE</w:t>
            </w:r>
            <w:r>
              <w:rPr>
                <w:b/>
                <w:bCs/>
                <w:spacing w:val="1"/>
                <w:sz w:val="24"/>
                <w:szCs w:val="24"/>
              </w:rPr>
              <w:t xml:space="preserve"> </w:t>
            </w:r>
            <w:r>
              <w:rPr>
                <w:b/>
                <w:bCs/>
                <w:spacing w:val="-2"/>
                <w:sz w:val="24"/>
                <w:szCs w:val="24"/>
              </w:rPr>
              <w:t>SUBCONTRATAÇÃO</w:t>
            </w:r>
            <w:r>
              <w:rPr>
                <w:b/>
                <w:bCs/>
                <w:spacing w:val="-2"/>
                <w:sz w:val="24"/>
                <w:szCs w:val="24"/>
                <w:lang w:val="pt-BR"/>
              </w:rPr>
              <w:t>:</w:t>
            </w:r>
          </w:p>
          <w:p w14:paraId="0419E661">
            <w:pPr>
              <w:pStyle w:val="15"/>
              <w:numPr>
                <w:ilvl w:val="2"/>
                <w:numId w:val="18"/>
              </w:numPr>
              <w:tabs>
                <w:tab w:val="left" w:pos="936"/>
              </w:tabs>
              <w:spacing w:line="360" w:lineRule="auto"/>
              <w:jc w:val="both"/>
              <w:rPr>
                <w:b/>
                <w:bCs/>
                <w:sz w:val="24"/>
                <w:szCs w:val="24"/>
                <w:lang w:val="pt-BR"/>
              </w:rPr>
            </w:pPr>
            <w:r>
              <w:rPr>
                <w:spacing w:val="-2"/>
                <w:sz w:val="24"/>
                <w:szCs w:val="24"/>
                <w:lang w:val="pt-BR"/>
              </w:rPr>
              <w:t xml:space="preserve"> É vedada a subcontratação, total ou parcial, do objeto deste contrato, conforme disposto no art. 122, §5º, da Lei nº 14.133/2021.</w:t>
            </w:r>
          </w:p>
          <w:p w14:paraId="70A7C0D2">
            <w:pPr>
              <w:pStyle w:val="15"/>
              <w:numPr>
                <w:ilvl w:val="2"/>
                <w:numId w:val="18"/>
              </w:numPr>
              <w:tabs>
                <w:tab w:val="left" w:pos="936"/>
              </w:tabs>
              <w:spacing w:line="360" w:lineRule="auto"/>
              <w:jc w:val="both"/>
              <w:rPr>
                <w:b/>
                <w:bCs/>
                <w:sz w:val="24"/>
                <w:szCs w:val="24"/>
                <w:lang w:val="pt-BR"/>
              </w:rPr>
            </w:pPr>
            <w:r>
              <w:rPr>
                <w:sz w:val="24"/>
                <w:szCs w:val="24"/>
                <w:lang w:val="pt-BR"/>
              </w:rPr>
              <w:t>A contratada deverá executar diretamente todas as atividades relacionadas ao fornecimento do cascalho.</w:t>
            </w:r>
          </w:p>
          <w:p w14:paraId="6E9D3139">
            <w:pPr>
              <w:pStyle w:val="15"/>
              <w:numPr>
                <w:ilvl w:val="2"/>
                <w:numId w:val="18"/>
              </w:numPr>
              <w:tabs>
                <w:tab w:val="left" w:pos="936"/>
              </w:tabs>
              <w:spacing w:line="360" w:lineRule="auto"/>
              <w:jc w:val="both"/>
              <w:rPr>
                <w:b/>
                <w:bCs/>
                <w:sz w:val="24"/>
                <w:szCs w:val="24"/>
                <w:lang w:val="pt-BR"/>
              </w:rPr>
            </w:pPr>
            <w:r>
              <w:rPr>
                <w:sz w:val="24"/>
                <w:szCs w:val="24"/>
                <w:lang w:val="pt-BR"/>
              </w:rPr>
              <w:t>O descumprimento desta cláusula será considerado infração contratual grave, podendo ensejar a rescisão do contrato e a aplicação das sanções previstas na legislação vigente.</w:t>
            </w:r>
          </w:p>
        </w:tc>
      </w:tr>
      <w:tr w14:paraId="1931360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571" w:type="dxa"/>
          </w:tcPr>
          <w:p w14:paraId="15548E3A">
            <w:pPr>
              <w:pStyle w:val="15"/>
              <w:numPr>
                <w:ilvl w:val="1"/>
                <w:numId w:val="18"/>
              </w:numPr>
              <w:tabs>
                <w:tab w:val="left" w:pos="936"/>
              </w:tabs>
              <w:jc w:val="both"/>
              <w:rPr>
                <w:b/>
                <w:bCs/>
                <w:sz w:val="24"/>
                <w:szCs w:val="24"/>
                <w:lang w:val="pt-BR"/>
              </w:rPr>
            </w:pPr>
            <w:r>
              <w:rPr>
                <w:b/>
                <w:bCs/>
                <w:sz w:val="24"/>
                <w:szCs w:val="24"/>
              </w:rPr>
              <w:t>POSSIBILIDADE</w:t>
            </w:r>
            <w:r>
              <w:rPr>
                <w:b/>
                <w:bCs/>
                <w:spacing w:val="-2"/>
                <w:sz w:val="24"/>
                <w:szCs w:val="24"/>
              </w:rPr>
              <w:t xml:space="preserve"> </w:t>
            </w:r>
            <w:r>
              <w:rPr>
                <w:b/>
                <w:bCs/>
                <w:sz w:val="24"/>
                <w:szCs w:val="24"/>
              </w:rPr>
              <w:t>DE PRORROGAÇÃO</w:t>
            </w:r>
            <w:r>
              <w:rPr>
                <w:b/>
                <w:bCs/>
                <w:spacing w:val="-1"/>
                <w:sz w:val="24"/>
                <w:szCs w:val="24"/>
              </w:rPr>
              <w:t xml:space="preserve"> </w:t>
            </w:r>
            <w:r>
              <w:rPr>
                <w:b/>
                <w:bCs/>
                <w:sz w:val="24"/>
                <w:szCs w:val="24"/>
              </w:rPr>
              <w:t>CONTRATUAL</w:t>
            </w:r>
            <w:r>
              <w:rPr>
                <w:b/>
                <w:bCs/>
                <w:spacing w:val="-3"/>
                <w:sz w:val="24"/>
                <w:szCs w:val="24"/>
              </w:rPr>
              <w:t xml:space="preserve"> </w:t>
            </w:r>
            <w:r>
              <w:rPr>
                <w:b/>
                <w:bCs/>
                <w:sz w:val="24"/>
                <w:szCs w:val="24"/>
              </w:rPr>
              <w:t>E</w:t>
            </w:r>
            <w:r>
              <w:rPr>
                <w:b/>
                <w:bCs/>
                <w:spacing w:val="1"/>
                <w:sz w:val="24"/>
                <w:szCs w:val="24"/>
              </w:rPr>
              <w:t xml:space="preserve"> </w:t>
            </w:r>
            <w:r>
              <w:rPr>
                <w:b/>
                <w:bCs/>
                <w:spacing w:val="-2"/>
                <w:sz w:val="24"/>
                <w:szCs w:val="24"/>
              </w:rPr>
              <w:t>REAJUSTES</w:t>
            </w:r>
            <w:r>
              <w:rPr>
                <w:b/>
                <w:bCs/>
                <w:spacing w:val="-2"/>
                <w:sz w:val="24"/>
                <w:szCs w:val="24"/>
                <w:lang w:val="pt-BR"/>
              </w:rPr>
              <w:t xml:space="preserve">: </w:t>
            </w:r>
          </w:p>
          <w:p w14:paraId="67E1160B">
            <w:pPr>
              <w:pStyle w:val="15"/>
              <w:numPr>
                <w:ilvl w:val="2"/>
                <w:numId w:val="18"/>
              </w:numPr>
              <w:tabs>
                <w:tab w:val="left" w:pos="936"/>
              </w:tabs>
              <w:spacing w:line="360" w:lineRule="auto"/>
              <w:jc w:val="both"/>
              <w:rPr>
                <w:sz w:val="24"/>
                <w:szCs w:val="24"/>
                <w:lang w:val="pt-BR"/>
              </w:rPr>
            </w:pPr>
            <w:r>
              <w:rPr>
                <w:sz w:val="24"/>
                <w:szCs w:val="24"/>
                <w:lang w:val="pt-BR"/>
              </w:rPr>
              <w:t>O presente Termo de Credenciamento possui a natureza jurídica de fornecimento contínuo, haja vista que o fornecimento de cascalho e a respectiva operação de carregamento na jazida atendem a uma necessidade permanente, regular e ininterrupta do Município na manutenção de sua malha viária.</w:t>
            </w:r>
          </w:p>
          <w:p w14:paraId="41178F12">
            <w:pPr>
              <w:pStyle w:val="15"/>
              <w:numPr>
                <w:ilvl w:val="2"/>
                <w:numId w:val="18"/>
              </w:numPr>
              <w:tabs>
                <w:tab w:val="left" w:pos="936"/>
              </w:tabs>
              <w:spacing w:line="360" w:lineRule="auto"/>
              <w:jc w:val="both"/>
              <w:rPr>
                <w:sz w:val="24"/>
                <w:szCs w:val="24"/>
                <w:lang w:val="pt-BR"/>
              </w:rPr>
            </w:pPr>
            <w:r>
              <w:rPr>
                <w:sz w:val="24"/>
                <w:szCs w:val="24"/>
                <w:lang w:val="pt-BR"/>
              </w:rPr>
              <w:t>Com fulcro no artigo 105 da Lei Federal nº 14.133/2021, o prazo de vigência deste instrumento poderá ser prorrogado sucessivamente por meio de Termo Aditivo, desde que haja consenso entre as partes, até o limite máximo de 5 (cinco) anos (60 meses).</w:t>
            </w:r>
          </w:p>
          <w:p w14:paraId="3FD86EAB">
            <w:pPr>
              <w:pStyle w:val="15"/>
              <w:numPr>
                <w:ilvl w:val="2"/>
                <w:numId w:val="18"/>
              </w:numPr>
              <w:tabs>
                <w:tab w:val="left" w:pos="936"/>
              </w:tabs>
              <w:spacing w:line="360" w:lineRule="auto"/>
              <w:jc w:val="both"/>
              <w:rPr>
                <w:sz w:val="24"/>
                <w:szCs w:val="24"/>
                <w:lang w:val="pt-BR"/>
              </w:rPr>
            </w:pPr>
            <w:r>
              <w:rPr>
                <w:sz w:val="24"/>
                <w:szCs w:val="24"/>
                <w:lang w:val="pt-BR"/>
              </w:rPr>
              <w:t>A efetivação da prorrogação contratual estará sujeita ao atendimento cumulativo dos seguintes requisitos, a serem instruídos em processo administrativo próprio:</w:t>
            </w:r>
          </w:p>
          <w:p w14:paraId="6D1A7ABF">
            <w:pPr>
              <w:pStyle w:val="15"/>
              <w:tabs>
                <w:tab w:val="left" w:pos="936"/>
              </w:tabs>
              <w:spacing w:line="360" w:lineRule="auto"/>
              <w:ind w:left="0" w:firstLine="600" w:firstLineChars="250"/>
              <w:jc w:val="both"/>
              <w:rPr>
                <w:sz w:val="24"/>
                <w:szCs w:val="24"/>
                <w:lang w:val="pt-BR"/>
              </w:rPr>
            </w:pPr>
            <w:r>
              <w:rPr>
                <w:sz w:val="24"/>
                <w:szCs w:val="24"/>
                <w:lang w:val="pt-BR"/>
              </w:rPr>
              <w:t>a) Solicitação formal e motivada da Secretaria Municipal de Obras e Serviços Urbanos, atestando a necessidade da continuidade do fornecimento e o bom desempenho da Credenciada;</w:t>
            </w:r>
          </w:p>
          <w:p w14:paraId="2BE3EF6B">
            <w:pPr>
              <w:pStyle w:val="15"/>
              <w:tabs>
                <w:tab w:val="left" w:pos="936"/>
              </w:tabs>
              <w:spacing w:line="360" w:lineRule="auto"/>
              <w:ind w:left="0" w:firstLine="600" w:firstLineChars="250"/>
              <w:jc w:val="both"/>
              <w:rPr>
                <w:sz w:val="24"/>
                <w:szCs w:val="24"/>
                <w:lang w:val="pt-BR"/>
              </w:rPr>
            </w:pPr>
            <w:r>
              <w:rPr>
                <w:sz w:val="24"/>
                <w:szCs w:val="24"/>
                <w:lang w:val="pt-BR"/>
              </w:rPr>
              <w:t>b) Demonstração da manutenção da vantajosidade econômica dos preços praticados, mediante pesquisa de mercado ou índice setorial que comprove que os valores estabelecidos no Credenciamento permanecem compatíveis com a realidade local;</w:t>
            </w:r>
          </w:p>
          <w:p w14:paraId="6264A36D">
            <w:pPr>
              <w:pStyle w:val="15"/>
              <w:tabs>
                <w:tab w:val="left" w:pos="936"/>
              </w:tabs>
              <w:spacing w:line="360" w:lineRule="auto"/>
              <w:ind w:left="0" w:firstLine="600" w:firstLineChars="250"/>
              <w:jc w:val="both"/>
              <w:rPr>
                <w:sz w:val="24"/>
                <w:szCs w:val="24"/>
                <w:lang w:val="pt-BR"/>
              </w:rPr>
            </w:pPr>
            <w:r>
              <w:rPr>
                <w:sz w:val="24"/>
                <w:szCs w:val="24"/>
                <w:lang w:val="pt-BR"/>
              </w:rPr>
              <w:t>c) Comprovação de que a Credenciada mantém todas as condições de habilitação exigidas no edital original, incluindo a regularidade fiscal, trabalhista e a plena vigência das licenças ambientais e autorizações de lavra da jazida perante os órgãos competentes (ANM e órgão ambiental);</w:t>
            </w:r>
          </w:p>
          <w:p w14:paraId="49DE7858">
            <w:pPr>
              <w:pStyle w:val="15"/>
              <w:tabs>
                <w:tab w:val="left" w:pos="936"/>
              </w:tabs>
              <w:spacing w:line="360" w:lineRule="auto"/>
              <w:ind w:left="0" w:firstLine="600" w:firstLineChars="250"/>
              <w:jc w:val="both"/>
              <w:rPr>
                <w:sz w:val="24"/>
                <w:szCs w:val="24"/>
                <w:lang w:val="pt-BR"/>
              </w:rPr>
            </w:pPr>
            <w:r>
              <w:rPr>
                <w:b/>
                <w:bCs/>
                <w:i/>
                <w:iCs/>
                <w:sz w:val="24"/>
                <w:szCs w:val="24"/>
                <w:lang w:val="pt-BR"/>
              </w:rPr>
              <w:t>OBS:</w:t>
            </w:r>
            <w:r>
              <w:rPr>
                <w:i/>
                <w:iCs/>
                <w:sz w:val="24"/>
                <w:szCs w:val="24"/>
                <w:lang w:val="pt-BR"/>
              </w:rPr>
              <w:t xml:space="preserve"> para a renovação do contrato é importante observar a apresentação da licença de lavra expedida pela ANM em algum período durante a vigência contratual anterior</w:t>
            </w:r>
            <w:r>
              <w:rPr>
                <w:sz w:val="24"/>
                <w:szCs w:val="24"/>
                <w:lang w:val="pt-BR"/>
              </w:rPr>
              <w:t xml:space="preserve">. </w:t>
            </w:r>
          </w:p>
          <w:p w14:paraId="76BBA973">
            <w:pPr>
              <w:pStyle w:val="15"/>
              <w:tabs>
                <w:tab w:val="left" w:pos="936"/>
              </w:tabs>
              <w:spacing w:line="360" w:lineRule="auto"/>
              <w:ind w:left="0" w:firstLine="799" w:firstLineChars="333"/>
              <w:jc w:val="both"/>
              <w:rPr>
                <w:sz w:val="24"/>
                <w:szCs w:val="24"/>
                <w:lang w:val="pt-BR"/>
              </w:rPr>
            </w:pPr>
            <w:r>
              <w:rPr>
                <w:sz w:val="24"/>
                <w:szCs w:val="24"/>
                <w:lang w:val="pt-BR"/>
              </w:rPr>
              <w:t>d) Indicação prévia de dotação orçamentária para fazer face às despesas do período prorrogado.</w:t>
            </w:r>
          </w:p>
          <w:p w14:paraId="186086AF">
            <w:pPr>
              <w:pStyle w:val="15"/>
              <w:numPr>
                <w:ilvl w:val="2"/>
                <w:numId w:val="18"/>
              </w:numPr>
              <w:tabs>
                <w:tab w:val="left" w:pos="936"/>
              </w:tabs>
              <w:spacing w:line="360" w:lineRule="auto"/>
              <w:jc w:val="both"/>
              <w:rPr>
                <w:sz w:val="24"/>
                <w:szCs w:val="24"/>
                <w:lang w:val="pt-BR"/>
              </w:rPr>
            </w:pPr>
            <w:r>
              <w:rPr>
                <w:sz w:val="24"/>
                <w:szCs w:val="24"/>
                <w:lang w:val="pt-BR"/>
              </w:rPr>
              <w:t xml:space="preserve"> Por se tratar de um procedimento auxiliar de Credenciamento com Edital de Chamamento Público permanentemente aberto, as prorrogações efetuadas não geram direito de exclusividade à Credenciada, permanecendo o Município autorizado a convocar novos credenciados, observados os critérios de proximidade geográfica e logística estipulados no Edital.</w:t>
            </w:r>
          </w:p>
          <w:p w14:paraId="4A1B9C40">
            <w:pPr>
              <w:pStyle w:val="15"/>
              <w:tabs>
                <w:tab w:val="left" w:pos="936"/>
              </w:tabs>
              <w:spacing w:line="360" w:lineRule="auto"/>
              <w:ind w:left="200" w:firstLine="0"/>
              <w:jc w:val="both"/>
              <w:rPr>
                <w:b/>
                <w:bCs/>
                <w:sz w:val="24"/>
                <w:szCs w:val="24"/>
                <w:lang w:val="pt-BR"/>
              </w:rPr>
            </w:pPr>
            <w:r>
              <w:rPr>
                <w:b/>
                <w:bCs/>
                <w:sz w:val="24"/>
                <w:szCs w:val="24"/>
                <w:lang w:val="pt-BR"/>
              </w:rPr>
              <w:t>CLÁUSULA  – DO REAJUSTE DE PREÇOS</w:t>
            </w:r>
          </w:p>
          <w:p w14:paraId="20461154">
            <w:pPr>
              <w:pStyle w:val="15"/>
              <w:numPr>
                <w:ilvl w:val="2"/>
                <w:numId w:val="18"/>
              </w:numPr>
              <w:tabs>
                <w:tab w:val="left" w:pos="936"/>
              </w:tabs>
              <w:spacing w:line="360" w:lineRule="auto"/>
              <w:jc w:val="both"/>
              <w:rPr>
                <w:sz w:val="24"/>
                <w:szCs w:val="24"/>
                <w:lang w:val="pt-BR"/>
              </w:rPr>
            </w:pPr>
            <w:r>
              <w:rPr>
                <w:sz w:val="24"/>
                <w:szCs w:val="24"/>
                <w:lang w:val="pt-BR"/>
              </w:rPr>
              <w:t>Os preços fixados no Credenciamento para o metro cúbico (m3) do cascalho (incluindo o carregamento) são fixos e irreajustáveis pelo período de 1 ano, contados da data do orçamento a que a proposta se referir.</w:t>
            </w:r>
          </w:p>
          <w:p w14:paraId="3B138155">
            <w:pPr>
              <w:pStyle w:val="15"/>
              <w:tabs>
                <w:tab w:val="left" w:pos="936"/>
              </w:tabs>
              <w:spacing w:line="360" w:lineRule="auto"/>
              <w:ind w:left="200" w:firstLine="0"/>
              <w:jc w:val="both"/>
              <w:rPr>
                <w:sz w:val="24"/>
                <w:szCs w:val="24"/>
                <w:lang w:val="pt-BR"/>
              </w:rPr>
            </w:pPr>
          </w:p>
          <w:p w14:paraId="76556E18">
            <w:pPr>
              <w:pStyle w:val="15"/>
              <w:numPr>
                <w:ilvl w:val="2"/>
                <w:numId w:val="18"/>
              </w:numPr>
              <w:tabs>
                <w:tab w:val="left" w:pos="936"/>
              </w:tabs>
              <w:spacing w:line="360" w:lineRule="auto"/>
              <w:jc w:val="both"/>
              <w:rPr>
                <w:sz w:val="24"/>
                <w:szCs w:val="24"/>
                <w:lang w:val="pt-BR"/>
              </w:rPr>
            </w:pPr>
            <w:r>
              <w:rPr>
                <w:sz w:val="24"/>
                <w:szCs w:val="24"/>
                <w:lang w:val="pt-BR"/>
              </w:rPr>
              <w:t>Decorrido o prazo de 1 ano previsto, os valores contratuais poderão ser reajustados de ofício pela Administração ou mediante requerimento formal da Credenciada, com base na variação acumulada do período, utilizando-se o seguinte índice setorial.</w:t>
            </w:r>
          </w:p>
          <w:p w14:paraId="466D9537">
            <w:pPr>
              <w:pStyle w:val="15"/>
              <w:tabs>
                <w:tab w:val="left" w:pos="936"/>
              </w:tabs>
              <w:spacing w:line="360" w:lineRule="auto"/>
              <w:ind w:left="200" w:firstLine="0"/>
              <w:jc w:val="both"/>
              <w:rPr>
                <w:sz w:val="24"/>
                <w:szCs w:val="24"/>
                <w:lang w:val="pt-BR"/>
              </w:rPr>
            </w:pPr>
          </w:p>
          <w:p w14:paraId="75023A9D">
            <w:pPr>
              <w:pStyle w:val="15"/>
              <w:tabs>
                <w:tab w:val="left" w:pos="936"/>
              </w:tabs>
              <w:spacing w:line="360" w:lineRule="auto"/>
              <w:ind w:left="200" w:firstLine="0"/>
              <w:jc w:val="both"/>
              <w:rPr>
                <w:sz w:val="24"/>
                <w:szCs w:val="24"/>
                <w:lang w:val="pt-BR"/>
              </w:rPr>
            </w:pPr>
            <w:r>
              <w:rPr>
                <w:sz w:val="24"/>
                <w:szCs w:val="24"/>
                <w:lang w:val="pt-BR"/>
              </w:rPr>
              <w:t>Opção mais recomendada para Obras/Vias: Índice Nacional de Custo da Construção (INCC), coluna 35 (Serviços de Terraplenagem/Pavimentação) da Fundação Getúlio Vargas (FGV).</w:t>
            </w:r>
          </w:p>
          <w:p w14:paraId="718F9EDB">
            <w:pPr>
              <w:pStyle w:val="15"/>
              <w:tabs>
                <w:tab w:val="left" w:pos="936"/>
              </w:tabs>
              <w:spacing w:line="360" w:lineRule="auto"/>
              <w:ind w:left="0" w:firstLine="0"/>
              <w:jc w:val="both"/>
              <w:rPr>
                <w:sz w:val="24"/>
                <w:szCs w:val="24"/>
                <w:lang w:val="pt-BR"/>
              </w:rPr>
            </w:pPr>
          </w:p>
          <w:p w14:paraId="2DCE2149">
            <w:pPr>
              <w:pStyle w:val="15"/>
              <w:numPr>
                <w:ilvl w:val="2"/>
                <w:numId w:val="18"/>
              </w:numPr>
              <w:tabs>
                <w:tab w:val="left" w:pos="936"/>
              </w:tabs>
              <w:spacing w:line="360" w:lineRule="auto"/>
              <w:jc w:val="both"/>
              <w:rPr>
                <w:sz w:val="24"/>
                <w:szCs w:val="24"/>
                <w:lang w:val="pt-BR"/>
              </w:rPr>
            </w:pPr>
            <w:r>
              <w:rPr>
                <w:sz w:val="24"/>
                <w:szCs w:val="24"/>
                <w:lang w:val="pt-BR"/>
              </w:rPr>
              <w:t>O reajuste será calculado por meio da aplicação da seguinte fórmula matemática:</w:t>
            </w:r>
          </w:p>
          <w:p w14:paraId="57DFAC62">
            <w:pPr>
              <w:pStyle w:val="15"/>
              <w:tabs>
                <w:tab w:val="left" w:pos="936"/>
              </w:tabs>
              <w:spacing w:line="360" w:lineRule="auto"/>
              <w:ind w:left="200" w:firstLine="0"/>
              <w:jc w:val="center"/>
              <w:rPr>
                <w:b/>
                <w:bCs/>
                <w:sz w:val="24"/>
                <w:szCs w:val="24"/>
                <w:lang w:val="pt-BR"/>
              </w:rPr>
            </w:pPr>
            <w:r>
              <w:rPr>
                <w:b/>
                <w:bCs/>
                <w:sz w:val="24"/>
                <w:szCs w:val="24"/>
                <w:lang w:val="pt-BR"/>
              </w:rPr>
              <w:drawing>
                <wp:inline distT="0" distB="0" distL="114300" distR="114300">
                  <wp:extent cx="2118360" cy="516255"/>
                  <wp:effectExtent l="0" t="0" r="15240" b="17145"/>
                  <wp:docPr id="4" name="Imagem 4" descr="reajus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m 4" descr="reajuste"/>
                          <pic:cNvPicPr>
                            <a:picLocks noChangeAspect="1"/>
                          </pic:cNvPicPr>
                        </pic:nvPicPr>
                        <pic:blipFill>
                          <a:blip r:embed="rId8"/>
                          <a:stretch>
                            <a:fillRect/>
                          </a:stretch>
                        </pic:blipFill>
                        <pic:spPr>
                          <a:xfrm>
                            <a:off x="0" y="0"/>
                            <a:ext cx="2118360" cy="516255"/>
                          </a:xfrm>
                          <a:prstGeom prst="rect">
                            <a:avLst/>
                          </a:prstGeom>
                        </pic:spPr>
                      </pic:pic>
                    </a:graphicData>
                  </a:graphic>
                </wp:inline>
              </w:drawing>
            </w:r>
          </w:p>
          <w:p w14:paraId="3AE514A7">
            <w:pPr>
              <w:pStyle w:val="15"/>
              <w:tabs>
                <w:tab w:val="left" w:pos="936"/>
              </w:tabs>
              <w:spacing w:line="360" w:lineRule="auto"/>
              <w:ind w:left="200" w:firstLine="0"/>
              <w:rPr>
                <w:sz w:val="24"/>
                <w:szCs w:val="24"/>
                <w:lang w:val="pt-BR"/>
              </w:rPr>
            </w:pPr>
            <w:r>
              <w:rPr>
                <w:sz w:val="24"/>
                <w:szCs w:val="24"/>
                <w:lang w:val="pt-BR"/>
              </w:rPr>
              <w:t>Onde:</w:t>
            </w:r>
          </w:p>
          <w:p w14:paraId="01561779">
            <w:pPr>
              <w:pStyle w:val="15"/>
              <w:tabs>
                <w:tab w:val="left" w:pos="936"/>
              </w:tabs>
              <w:spacing w:line="360" w:lineRule="auto"/>
              <w:ind w:left="200" w:firstLine="0"/>
              <w:rPr>
                <w:sz w:val="24"/>
                <w:szCs w:val="24"/>
                <w:lang w:val="pt-BR"/>
              </w:rPr>
            </w:pPr>
          </w:p>
          <w:p w14:paraId="5ECF3766">
            <w:pPr>
              <w:pStyle w:val="15"/>
              <w:tabs>
                <w:tab w:val="left" w:pos="936"/>
              </w:tabs>
              <w:spacing w:line="360" w:lineRule="auto"/>
              <w:ind w:left="200" w:firstLine="0"/>
              <w:rPr>
                <w:sz w:val="24"/>
                <w:szCs w:val="24"/>
                <w:lang w:val="pt-BR"/>
              </w:rPr>
            </w:pPr>
            <w:r>
              <w:rPr>
                <w:sz w:val="24"/>
                <w:szCs w:val="24"/>
                <w:lang w:val="pt-BR"/>
              </w:rPr>
              <w:t>R = Valor do reajuste procurado;</w:t>
            </w:r>
          </w:p>
          <w:p w14:paraId="4E8D37F8">
            <w:pPr>
              <w:pStyle w:val="15"/>
              <w:tabs>
                <w:tab w:val="left" w:pos="936"/>
              </w:tabs>
              <w:spacing w:line="360" w:lineRule="auto"/>
              <w:ind w:left="200" w:firstLine="0"/>
              <w:rPr>
                <w:sz w:val="24"/>
                <w:szCs w:val="24"/>
                <w:lang w:val="pt-BR"/>
              </w:rPr>
            </w:pPr>
            <w:r>
              <w:rPr>
                <w:sz w:val="24"/>
                <w:szCs w:val="24"/>
                <w:lang w:val="pt-BR"/>
              </w:rPr>
              <w:t>V = Valor contratual vigente a ser reajustado;</w:t>
            </w:r>
          </w:p>
          <w:p w14:paraId="1AA90A53">
            <w:pPr>
              <w:pStyle w:val="15"/>
              <w:tabs>
                <w:tab w:val="left" w:pos="936"/>
              </w:tabs>
              <w:spacing w:line="360" w:lineRule="auto"/>
              <w:ind w:left="200" w:firstLine="0"/>
              <w:rPr>
                <w:sz w:val="24"/>
                <w:szCs w:val="24"/>
                <w:lang w:val="pt-BR"/>
              </w:rPr>
            </w:pPr>
            <m:oMath>
              <m:sSub>
                <m:sSubPr>
                  <m:ctrlPr>
                    <w:rPr>
                      <w:rFonts w:ascii="Cambria Math" w:hAnsi="Cambria Math"/>
                      <w:i/>
                      <w:sz w:val="24"/>
                      <w:szCs w:val="24"/>
                      <w:lang w:val="pt-BR"/>
                    </w:rPr>
                  </m:ctrlPr>
                </m:sSubPr>
                <m:e>
                  <m:r>
                    <m:rPr>
                      <m:nor/>
                    </m:rPr>
                    <w:rPr>
                      <w:rFonts w:ascii="Cambria Math" w:hAnsi="Cambria Math"/>
                      <w:i/>
                      <w:sz w:val="24"/>
                      <w:szCs w:val="24"/>
                      <w:lang w:val="pt-BR"/>
                    </w:rPr>
                    <m:t>I</m:t>
                  </m:r>
                  <m:ctrlPr>
                    <w:rPr>
                      <w:rFonts w:ascii="Cambria Math" w:hAnsi="Cambria Math"/>
                      <w:i/>
                      <w:sz w:val="24"/>
                      <w:szCs w:val="24"/>
                      <w:lang w:val="pt-BR"/>
                    </w:rPr>
                  </m:ctrlPr>
                </m:e>
                <m:sub>
                  <m:r>
                    <m:rPr>
                      <m:nor/>
                      <m:sty m:val="p"/>
                    </m:rPr>
                    <w:rPr>
                      <w:rFonts w:ascii="Cambria Math" w:hAnsi="Cambria Math"/>
                      <w:b w:val="0"/>
                      <w:i w:val="0"/>
                      <w:sz w:val="24"/>
                      <w:szCs w:val="24"/>
                      <w:lang w:val="pt-BR"/>
                    </w:rPr>
                    <m:t>0</m:t>
                  </m:r>
                  <m:ctrlPr>
                    <w:rPr>
                      <w:rFonts w:ascii="Cambria Math" w:hAnsi="Cambria Math"/>
                      <w:i/>
                      <w:sz w:val="24"/>
                      <w:szCs w:val="24"/>
                      <w:lang w:val="pt-BR"/>
                    </w:rPr>
                  </m:ctrlPr>
                </m:sub>
              </m:sSub>
            </m:oMath>
            <w:r>
              <w:rPr>
                <w:sz w:val="24"/>
                <w:szCs w:val="24"/>
                <w:lang w:val="pt-BR"/>
              </w:rPr>
              <w:t xml:space="preserve"> = Índice inicial (referente ao mês de apresentação do orçamento estimado);</w:t>
            </w:r>
          </w:p>
          <w:p w14:paraId="61FDD4D6">
            <w:pPr>
              <w:pStyle w:val="15"/>
              <w:tabs>
                <w:tab w:val="left" w:pos="936"/>
              </w:tabs>
              <w:spacing w:line="360" w:lineRule="auto"/>
              <w:ind w:left="0" w:firstLine="120" w:firstLineChars="50"/>
              <w:rPr>
                <w:sz w:val="24"/>
                <w:szCs w:val="24"/>
                <w:lang w:val="pt-BR"/>
              </w:rPr>
            </w:pPr>
            <w:r>
              <w:rPr>
                <w:i/>
                <w:iCs/>
                <w:sz w:val="24"/>
                <w:szCs w:val="24"/>
                <w:lang w:val="pt-BR"/>
              </w:rPr>
              <w:t>I</w:t>
            </w:r>
            <w:r>
              <w:rPr>
                <w:sz w:val="24"/>
                <w:szCs w:val="24"/>
                <w:lang w:val="pt-BR"/>
              </w:rPr>
              <w:t xml:space="preserve"> = Índice atual (referente ao mês de aplicação do reajuste).</w:t>
            </w:r>
          </w:p>
          <w:p w14:paraId="61DB08E8">
            <w:pPr>
              <w:pStyle w:val="15"/>
              <w:tabs>
                <w:tab w:val="left" w:pos="936"/>
              </w:tabs>
              <w:spacing w:line="360" w:lineRule="auto"/>
              <w:ind w:left="200" w:firstLine="0"/>
              <w:rPr>
                <w:sz w:val="24"/>
                <w:szCs w:val="24"/>
                <w:lang w:val="pt-BR"/>
              </w:rPr>
            </w:pPr>
          </w:p>
          <w:p w14:paraId="2AF18D17">
            <w:pPr>
              <w:pStyle w:val="15"/>
              <w:numPr>
                <w:ilvl w:val="0"/>
                <w:numId w:val="19"/>
              </w:numPr>
              <w:tabs>
                <w:tab w:val="left" w:pos="0"/>
                <w:tab w:val="left" w:pos="936"/>
                <w:tab w:val="clear" w:pos="425"/>
              </w:tabs>
              <w:spacing w:line="360" w:lineRule="auto"/>
              <w:ind w:left="0" w:firstLine="0"/>
              <w:rPr>
                <w:sz w:val="24"/>
                <w:szCs w:val="24"/>
                <w:lang w:val="pt-BR"/>
              </w:rPr>
            </w:pPr>
            <w:r>
              <w:rPr>
                <w:sz w:val="24"/>
                <w:szCs w:val="24"/>
                <w:lang w:val="pt-BR"/>
              </w:rPr>
              <w:t>A concessão de reajuste fica condicionada à verificação de que a Credenciada não deu causa a atrasos injustificados na execução do objeto e que mantém a regularidade de suas licenças operacionais de extração.</w:t>
            </w:r>
          </w:p>
          <w:p w14:paraId="0FBE78E9">
            <w:pPr>
              <w:pStyle w:val="15"/>
              <w:numPr>
                <w:ilvl w:val="0"/>
                <w:numId w:val="19"/>
              </w:numPr>
              <w:tabs>
                <w:tab w:val="left" w:pos="0"/>
                <w:tab w:val="left" w:pos="936"/>
                <w:tab w:val="clear" w:pos="425"/>
              </w:tabs>
              <w:spacing w:line="360" w:lineRule="auto"/>
              <w:ind w:left="0" w:firstLine="0"/>
              <w:rPr>
                <w:b/>
                <w:bCs/>
                <w:sz w:val="24"/>
                <w:szCs w:val="24"/>
                <w:lang w:val="pt-BR"/>
              </w:rPr>
            </w:pPr>
            <w:r>
              <w:rPr>
                <w:sz w:val="24"/>
                <w:szCs w:val="24"/>
                <w:lang w:val="pt-BR"/>
              </w:rPr>
              <w:t>Caso ocorra alteração, extinção ou descontinuidade do índice adotado nesta cláusula, será utilizado o índice que legalmente o substituir ou, na falta deste, outro índice oficial que melhor reflita a variação dos custos do setor de obras e extração mineral.</w:t>
            </w:r>
          </w:p>
        </w:tc>
      </w:tr>
      <w:tr w14:paraId="3E4E372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571" w:type="dxa"/>
          </w:tcPr>
          <w:p w14:paraId="0FF33511">
            <w:pPr>
              <w:pStyle w:val="15"/>
              <w:numPr>
                <w:ilvl w:val="1"/>
                <w:numId w:val="18"/>
              </w:numPr>
              <w:tabs>
                <w:tab w:val="left" w:pos="977"/>
              </w:tabs>
              <w:jc w:val="both"/>
              <w:rPr>
                <w:b/>
                <w:bCs/>
                <w:sz w:val="24"/>
                <w:szCs w:val="24"/>
                <w:lang w:val="pt-BR"/>
              </w:rPr>
            </w:pPr>
            <w:r>
              <w:rPr>
                <w:b/>
                <w:bCs/>
                <w:sz w:val="24"/>
                <w:szCs w:val="24"/>
              </w:rPr>
              <w:t>APLICAÇÃO</w:t>
            </w:r>
            <w:r>
              <w:rPr>
                <w:b/>
                <w:bCs/>
                <w:spacing w:val="-1"/>
                <w:sz w:val="24"/>
                <w:szCs w:val="24"/>
              </w:rPr>
              <w:t xml:space="preserve"> </w:t>
            </w:r>
            <w:r>
              <w:rPr>
                <w:b/>
                <w:bCs/>
                <w:sz w:val="24"/>
                <w:szCs w:val="24"/>
              </w:rPr>
              <w:t>DE</w:t>
            </w:r>
            <w:r>
              <w:rPr>
                <w:b/>
                <w:bCs/>
                <w:spacing w:val="-2"/>
                <w:sz w:val="24"/>
                <w:szCs w:val="24"/>
              </w:rPr>
              <w:t xml:space="preserve"> </w:t>
            </w:r>
            <w:r>
              <w:rPr>
                <w:b/>
                <w:bCs/>
                <w:sz w:val="24"/>
                <w:szCs w:val="24"/>
              </w:rPr>
              <w:t>SANÇÕES</w:t>
            </w:r>
            <w:r>
              <w:rPr>
                <w:b/>
                <w:bCs/>
                <w:spacing w:val="-1"/>
                <w:sz w:val="24"/>
                <w:szCs w:val="24"/>
              </w:rPr>
              <w:t xml:space="preserve"> </w:t>
            </w:r>
            <w:r>
              <w:rPr>
                <w:b/>
                <w:bCs/>
                <w:spacing w:val="-2"/>
                <w:sz w:val="24"/>
                <w:szCs w:val="24"/>
              </w:rPr>
              <w:t>ADMINISTRATIVAS</w:t>
            </w:r>
            <w:r>
              <w:rPr>
                <w:b/>
                <w:bCs/>
                <w:spacing w:val="-2"/>
                <w:sz w:val="24"/>
                <w:szCs w:val="24"/>
                <w:lang w:val="pt-BR"/>
              </w:rPr>
              <w:t>:</w:t>
            </w:r>
          </w:p>
          <w:p w14:paraId="00478454">
            <w:pPr>
              <w:pStyle w:val="15"/>
              <w:numPr>
                <w:ilvl w:val="2"/>
                <w:numId w:val="18"/>
              </w:numPr>
              <w:tabs>
                <w:tab w:val="left" w:pos="977"/>
              </w:tabs>
              <w:spacing w:line="360" w:lineRule="auto"/>
              <w:jc w:val="both"/>
              <w:rPr>
                <w:b/>
                <w:bCs/>
                <w:sz w:val="24"/>
                <w:szCs w:val="24"/>
                <w:lang w:val="pt-BR"/>
              </w:rPr>
            </w:pPr>
            <w:r>
              <w:rPr>
                <w:sz w:val="24"/>
                <w:szCs w:val="24"/>
                <w:lang w:val="pt-BR"/>
              </w:rPr>
              <w:t>As sanções de que tratam este Termo de Referência são aquelas descritas nos Art. 155 a 163 da Lei 14.133/2021 e no Decreto 360/2023;</w:t>
            </w:r>
          </w:p>
          <w:p w14:paraId="52AC3201">
            <w:pPr>
              <w:pStyle w:val="15"/>
              <w:numPr>
                <w:ilvl w:val="2"/>
                <w:numId w:val="18"/>
              </w:numPr>
              <w:tabs>
                <w:tab w:val="left" w:pos="977"/>
              </w:tabs>
              <w:spacing w:line="360" w:lineRule="auto"/>
              <w:jc w:val="both"/>
              <w:rPr>
                <w:sz w:val="24"/>
                <w:szCs w:val="24"/>
                <w:lang w:val="pt-BR"/>
              </w:rPr>
            </w:pPr>
            <w:r>
              <w:rPr>
                <w:sz w:val="24"/>
                <w:szCs w:val="24"/>
                <w:lang w:val="pt-BR"/>
              </w:rPr>
              <w:t>O descumprimento total ou parcial das obrigações assumidas pela contratada, incluindo prazos, especificações técnicas, condições de garantia e padrões de qualidade previstos neste Termo de Referência, sujeitará a contratada à aplicação das penalidades previstas nos arts. 156 a 163 da Lei Federal nº 14.133/2021 e no Decreto Municipal nº 360/2023, sem prejuízo das responsabilidades civis e criminais cabíveis.</w:t>
            </w:r>
          </w:p>
          <w:p w14:paraId="33071FA4">
            <w:pPr>
              <w:pStyle w:val="15"/>
              <w:numPr>
                <w:ilvl w:val="2"/>
                <w:numId w:val="18"/>
              </w:numPr>
              <w:tabs>
                <w:tab w:val="left" w:pos="977"/>
              </w:tabs>
              <w:spacing w:line="360" w:lineRule="auto"/>
              <w:ind w:leftChars="100"/>
              <w:jc w:val="both"/>
              <w:rPr>
                <w:sz w:val="24"/>
                <w:szCs w:val="24"/>
                <w:lang w:val="pt-BR"/>
              </w:rPr>
            </w:pPr>
            <w:r>
              <w:rPr>
                <w:sz w:val="24"/>
                <w:szCs w:val="24"/>
                <w:lang w:val="pt-BR"/>
              </w:rPr>
              <w:t>As sanções administrativas compreendem:</w:t>
            </w:r>
            <w:r>
              <w:rPr>
                <w:sz w:val="24"/>
                <w:szCs w:val="24"/>
                <w:lang w:val="pt-BR"/>
              </w:rPr>
              <w:br w:type="textWrapping"/>
            </w:r>
            <w:r>
              <w:rPr>
                <w:b/>
                <w:bCs/>
                <w:sz w:val="24"/>
                <w:szCs w:val="24"/>
                <w:lang w:val="pt-BR"/>
              </w:rPr>
              <w:t>6.12.3.1.</w:t>
            </w:r>
            <w:r>
              <w:rPr>
                <w:sz w:val="24"/>
                <w:szCs w:val="24"/>
                <w:lang w:val="pt-BR"/>
              </w:rPr>
              <w:t xml:space="preserve">   Advertência;</w:t>
            </w:r>
          </w:p>
          <w:p w14:paraId="33559F2F">
            <w:pPr>
              <w:pStyle w:val="15"/>
              <w:tabs>
                <w:tab w:val="left" w:pos="977"/>
              </w:tabs>
              <w:spacing w:line="360" w:lineRule="auto"/>
              <w:ind w:left="198" w:leftChars="99" w:firstLine="0"/>
              <w:jc w:val="both"/>
              <w:rPr>
                <w:sz w:val="24"/>
                <w:szCs w:val="24"/>
                <w:lang w:val="pt-BR"/>
              </w:rPr>
            </w:pPr>
            <w:r>
              <w:rPr>
                <w:b/>
                <w:bCs/>
                <w:sz w:val="24"/>
                <w:szCs w:val="24"/>
                <w:lang w:val="pt-BR"/>
              </w:rPr>
              <w:t>6.12.3.2.</w:t>
            </w:r>
            <w:r>
              <w:rPr>
                <w:sz w:val="24"/>
                <w:szCs w:val="24"/>
                <w:lang w:val="pt-BR"/>
              </w:rPr>
              <w:t xml:space="preserve"> Multa proporcional ao prejuízo causado ou ao valor da obrigação não cumprida, conforme critérios estabelecidos no edital e no contrato;</w:t>
            </w:r>
            <w:r>
              <w:rPr>
                <w:sz w:val="24"/>
                <w:szCs w:val="24"/>
                <w:lang w:val="pt-BR"/>
              </w:rPr>
              <w:br w:type="textWrapping"/>
            </w:r>
            <w:r>
              <w:rPr>
                <w:b/>
                <w:bCs/>
                <w:sz w:val="24"/>
                <w:szCs w:val="24"/>
                <w:lang w:val="pt-BR"/>
              </w:rPr>
              <w:t xml:space="preserve">6.12.3.2. </w:t>
            </w:r>
            <w:r>
              <w:rPr>
                <w:sz w:val="24"/>
                <w:szCs w:val="24"/>
                <w:lang w:val="pt-BR"/>
              </w:rPr>
              <w:t>Impedimento de licitar e contratar com a Administração Pública, pelo prazo de até 3 (três) anos;</w:t>
            </w:r>
            <w:r>
              <w:rPr>
                <w:sz w:val="24"/>
                <w:szCs w:val="24"/>
                <w:lang w:val="pt-BR"/>
              </w:rPr>
              <w:br w:type="textWrapping"/>
            </w:r>
            <w:r>
              <w:rPr>
                <w:b/>
                <w:bCs/>
                <w:sz w:val="24"/>
                <w:szCs w:val="24"/>
                <w:lang w:val="pt-BR"/>
              </w:rPr>
              <w:t xml:space="preserve">6.12.3.2. </w:t>
            </w:r>
            <w:r>
              <w:rPr>
                <w:sz w:val="24"/>
                <w:szCs w:val="24"/>
                <w:lang w:val="pt-BR"/>
              </w:rPr>
              <w:t xml:space="preserve"> Declaração de inidoneidade para licitar ou contratar com a Administração Pública, enquanto perdurarem os motivos determinantes da punição ou até que seja promovida a reabilitação;</w:t>
            </w:r>
            <w:r>
              <w:rPr>
                <w:sz w:val="24"/>
                <w:szCs w:val="24"/>
                <w:lang w:val="pt-BR"/>
              </w:rPr>
              <w:br w:type="textWrapping"/>
            </w:r>
            <w:r>
              <w:rPr>
                <w:b/>
                <w:bCs/>
                <w:sz w:val="24"/>
                <w:szCs w:val="24"/>
                <w:lang w:val="pt-BR"/>
              </w:rPr>
              <w:t xml:space="preserve">6.12.3.2. </w:t>
            </w:r>
            <w:r>
              <w:rPr>
                <w:sz w:val="24"/>
                <w:szCs w:val="24"/>
                <w:lang w:val="pt-BR"/>
              </w:rPr>
              <w:t xml:space="preserve"> Outras medidas cabíveis previstas na legislação municipal aplicável.</w:t>
            </w:r>
          </w:p>
          <w:p w14:paraId="76C8A849">
            <w:pPr>
              <w:pStyle w:val="15"/>
              <w:numPr>
                <w:ilvl w:val="2"/>
                <w:numId w:val="18"/>
              </w:numPr>
              <w:tabs>
                <w:tab w:val="left" w:pos="977"/>
              </w:tabs>
              <w:spacing w:line="360" w:lineRule="auto"/>
              <w:jc w:val="both"/>
              <w:rPr>
                <w:sz w:val="24"/>
                <w:szCs w:val="24"/>
                <w:lang w:val="pt-BR"/>
              </w:rPr>
            </w:pPr>
            <w:r>
              <w:rPr>
                <w:sz w:val="24"/>
                <w:szCs w:val="24"/>
                <w:lang w:val="pt-BR"/>
              </w:rPr>
              <w:t>Nos termos do art. 18, §1º, do Código de Defesa do Consumidor (Lei nº 8.078/1990), constatado vício de qualidade ou quantidade que torne o produto impróprio ou inadequado ao uso, ou que lhe diminua o valor, e não sendo o vício sanado no prazo máximo legal ou contratual, a Administração poderá exigir, alternativamente e sem prejuízo das sanções administrativas:</w:t>
            </w:r>
            <w:r>
              <w:rPr>
                <w:sz w:val="24"/>
                <w:szCs w:val="24"/>
                <w:lang w:val="pt-BR"/>
              </w:rPr>
              <w:br w:type="textWrapping"/>
            </w:r>
            <w:r>
              <w:rPr>
                <w:sz w:val="24"/>
                <w:szCs w:val="24"/>
                <w:lang w:val="pt-BR"/>
              </w:rPr>
              <w:t>a) a substituição do produto por outro da mesma espécie, em perfeitas condições de uso;</w:t>
            </w:r>
            <w:r>
              <w:rPr>
                <w:sz w:val="24"/>
                <w:szCs w:val="24"/>
                <w:lang w:val="pt-BR"/>
              </w:rPr>
              <w:br w:type="textWrapping"/>
            </w:r>
            <w:r>
              <w:rPr>
                <w:sz w:val="24"/>
                <w:szCs w:val="24"/>
                <w:lang w:val="pt-BR"/>
              </w:rPr>
              <w:t>b) o abatimento proporcional do preço; ou</w:t>
            </w:r>
            <w:r>
              <w:rPr>
                <w:sz w:val="24"/>
                <w:szCs w:val="24"/>
                <w:lang w:val="pt-BR"/>
              </w:rPr>
              <w:br w:type="textWrapping"/>
            </w:r>
            <w:r>
              <w:rPr>
                <w:sz w:val="24"/>
                <w:szCs w:val="24"/>
                <w:lang w:val="pt-BR"/>
              </w:rPr>
              <w:t>c) a restituição imediata da quantia paga, atualizada monetariamente.</w:t>
            </w:r>
          </w:p>
          <w:p w14:paraId="0AECED09">
            <w:pPr>
              <w:pStyle w:val="15"/>
              <w:numPr>
                <w:ilvl w:val="2"/>
                <w:numId w:val="18"/>
              </w:numPr>
              <w:tabs>
                <w:tab w:val="left" w:pos="977"/>
              </w:tabs>
              <w:spacing w:line="360" w:lineRule="auto"/>
              <w:jc w:val="both"/>
              <w:rPr>
                <w:b/>
                <w:bCs/>
                <w:sz w:val="24"/>
                <w:szCs w:val="24"/>
                <w:lang w:val="pt-BR"/>
              </w:rPr>
            </w:pPr>
            <w:r>
              <w:rPr>
                <w:sz w:val="24"/>
                <w:szCs w:val="24"/>
                <w:lang w:val="pt-BR"/>
              </w:rPr>
              <w:t>A aplicação de qualquer sanção será precedida de processo administrativo, garantindo-se o contraditório e a ampla defesa, conforme determina o art. 5º, LV, da Constituição Federal e o art. 158, §1º, da Lei nº 14.133/2021.</w:t>
            </w:r>
          </w:p>
        </w:tc>
      </w:tr>
      <w:tr w14:paraId="32EBCD2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571" w:type="dxa"/>
          </w:tcPr>
          <w:p w14:paraId="59A5C40E">
            <w:pPr>
              <w:pStyle w:val="15"/>
              <w:numPr>
                <w:ilvl w:val="1"/>
                <w:numId w:val="18"/>
              </w:numPr>
              <w:tabs>
                <w:tab w:val="left" w:pos="936"/>
              </w:tabs>
              <w:jc w:val="both"/>
              <w:rPr>
                <w:b/>
                <w:bCs/>
                <w:sz w:val="24"/>
                <w:szCs w:val="24"/>
                <w:lang w:val="pt-BR"/>
              </w:rPr>
            </w:pPr>
            <w:r>
              <w:rPr>
                <w:b/>
                <w:bCs/>
                <w:sz w:val="24"/>
                <w:szCs w:val="24"/>
              </w:rPr>
              <w:t>NECESSIDADE</w:t>
            </w:r>
            <w:r>
              <w:rPr>
                <w:b/>
                <w:bCs/>
                <w:spacing w:val="-2"/>
                <w:sz w:val="24"/>
                <w:szCs w:val="24"/>
              </w:rPr>
              <w:t xml:space="preserve"> </w:t>
            </w:r>
            <w:r>
              <w:rPr>
                <w:b/>
                <w:bCs/>
                <w:sz w:val="24"/>
                <w:szCs w:val="24"/>
              </w:rPr>
              <w:t>DE APRESENTAÇÃO</w:t>
            </w:r>
            <w:r>
              <w:rPr>
                <w:b/>
                <w:bCs/>
                <w:spacing w:val="-1"/>
                <w:sz w:val="24"/>
                <w:szCs w:val="24"/>
              </w:rPr>
              <w:t xml:space="preserve"> </w:t>
            </w:r>
            <w:r>
              <w:rPr>
                <w:b/>
                <w:bCs/>
                <w:sz w:val="24"/>
                <w:szCs w:val="24"/>
              </w:rPr>
              <w:t>DE</w:t>
            </w:r>
            <w:r>
              <w:rPr>
                <w:b/>
                <w:bCs/>
                <w:spacing w:val="-1"/>
                <w:sz w:val="24"/>
                <w:szCs w:val="24"/>
              </w:rPr>
              <w:t xml:space="preserve"> </w:t>
            </w:r>
            <w:r>
              <w:rPr>
                <w:b/>
                <w:bCs/>
                <w:sz w:val="24"/>
                <w:szCs w:val="24"/>
              </w:rPr>
              <w:t>RELATÓRIOS</w:t>
            </w:r>
            <w:r>
              <w:rPr>
                <w:b/>
                <w:bCs/>
                <w:spacing w:val="-3"/>
                <w:sz w:val="24"/>
                <w:szCs w:val="24"/>
              </w:rPr>
              <w:t xml:space="preserve"> </w:t>
            </w:r>
            <w:r>
              <w:rPr>
                <w:b/>
                <w:bCs/>
                <w:sz w:val="24"/>
                <w:szCs w:val="24"/>
              </w:rPr>
              <w:t xml:space="preserve">DE </w:t>
            </w:r>
            <w:r>
              <w:rPr>
                <w:b/>
                <w:bCs/>
                <w:spacing w:val="-2"/>
                <w:sz w:val="24"/>
                <w:szCs w:val="24"/>
              </w:rPr>
              <w:t>MANUTENÇÃO</w:t>
            </w:r>
            <w:r>
              <w:rPr>
                <w:b/>
                <w:bCs/>
                <w:spacing w:val="-2"/>
                <w:sz w:val="24"/>
                <w:szCs w:val="24"/>
                <w:lang w:val="pt-BR"/>
              </w:rPr>
              <w:t xml:space="preserve">: </w:t>
            </w:r>
          </w:p>
          <w:p w14:paraId="475F2979">
            <w:pPr>
              <w:pStyle w:val="15"/>
              <w:numPr>
                <w:ilvl w:val="2"/>
                <w:numId w:val="18"/>
              </w:numPr>
              <w:tabs>
                <w:tab w:val="left" w:pos="936"/>
              </w:tabs>
              <w:spacing w:line="360" w:lineRule="auto"/>
              <w:jc w:val="both"/>
              <w:rPr>
                <w:sz w:val="24"/>
                <w:szCs w:val="24"/>
                <w:lang w:val="pt-BR"/>
              </w:rPr>
            </w:pPr>
            <w:r>
              <w:rPr>
                <w:sz w:val="24"/>
                <w:szCs w:val="24"/>
                <w:lang w:val="pt-BR"/>
              </w:rPr>
              <w:t>A contratante deverá apresentar, sempre quando do pagamento das notas fiscais a contratada, pela fiscalização do contrato, relatórios detalhados da utilização das quantidades carregadas e aplicadas, bem como local de aplicação, seguindo as prerrogativas da IN 038/2009 em sua atualização mais recente.</w:t>
            </w:r>
          </w:p>
          <w:p w14:paraId="28C6DF60">
            <w:pPr>
              <w:pStyle w:val="15"/>
              <w:numPr>
                <w:ilvl w:val="2"/>
                <w:numId w:val="18"/>
              </w:numPr>
              <w:tabs>
                <w:tab w:val="left" w:pos="936"/>
              </w:tabs>
              <w:spacing w:line="360" w:lineRule="auto"/>
              <w:jc w:val="both"/>
              <w:rPr>
                <w:sz w:val="24"/>
                <w:szCs w:val="24"/>
                <w:lang w:val="pt-BR"/>
              </w:rPr>
            </w:pPr>
            <w:r>
              <w:rPr>
                <w:sz w:val="24"/>
                <w:szCs w:val="24"/>
                <w:lang w:val="pt-BR"/>
              </w:rPr>
              <w:t>O relatório deverá ser assinado pelo responsável técnico designado fiscal da contratante e enviado por meio digital, garantindo a rastreabilidade e a transparência do histórico de manutenções, nos termos do art. 117 da Lei nº 14.133/2021 e do Decreto Municipal nº 360/2023.</w:t>
            </w:r>
          </w:p>
          <w:p w14:paraId="7074263C">
            <w:pPr>
              <w:pStyle w:val="15"/>
              <w:numPr>
                <w:ilvl w:val="2"/>
                <w:numId w:val="18"/>
              </w:numPr>
              <w:tabs>
                <w:tab w:val="left" w:pos="936"/>
              </w:tabs>
              <w:spacing w:line="360" w:lineRule="auto"/>
              <w:jc w:val="both"/>
              <w:rPr>
                <w:b/>
                <w:bCs/>
                <w:sz w:val="24"/>
                <w:szCs w:val="24"/>
                <w:lang w:val="pt-BR"/>
              </w:rPr>
            </w:pPr>
            <w:r>
              <w:rPr>
                <w:sz w:val="24"/>
                <w:szCs w:val="24"/>
                <w:lang w:val="pt-BR"/>
              </w:rPr>
              <w:t>O não cumprimento dessa obrigação poderá ensejar aplicação de sanções administrativas previstas na legislação vigente, inclusive suspensão do pagamento até a regularização da pendência, quando aplicável.</w:t>
            </w:r>
          </w:p>
        </w:tc>
      </w:tr>
      <w:tr w14:paraId="3E2DBE6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571" w:type="dxa"/>
          </w:tcPr>
          <w:p w14:paraId="1B290BE2">
            <w:pPr>
              <w:pStyle w:val="15"/>
              <w:numPr>
                <w:ilvl w:val="1"/>
                <w:numId w:val="18"/>
              </w:numPr>
              <w:tabs>
                <w:tab w:val="left" w:pos="1049"/>
              </w:tabs>
              <w:spacing w:line="360" w:lineRule="auto"/>
              <w:ind w:right="-45"/>
              <w:jc w:val="both"/>
              <w:rPr>
                <w:b/>
                <w:bCs/>
                <w:sz w:val="24"/>
                <w:szCs w:val="24"/>
                <w:lang w:val="pt-BR"/>
              </w:rPr>
            </w:pPr>
            <w:r>
              <w:rPr>
                <w:b/>
                <w:bCs/>
                <w:sz w:val="24"/>
                <w:szCs w:val="24"/>
              </w:rPr>
              <w:t>MOBILIZAÇÃO E DESMOBILIZAÇÃO DO CANTEIRO DE OBRAS (BARRACÃO, INSTALAÇÕES DE PONTOS DE ÁGUA, ENERGIA E ESGOTO)</w:t>
            </w:r>
            <w:r>
              <w:rPr>
                <w:b/>
                <w:bCs/>
                <w:sz w:val="24"/>
                <w:szCs w:val="24"/>
                <w:lang w:val="pt-BR"/>
              </w:rPr>
              <w:t>:</w:t>
            </w:r>
          </w:p>
          <w:p w14:paraId="326D9DEE">
            <w:pPr>
              <w:pStyle w:val="15"/>
              <w:numPr>
                <w:ilvl w:val="0"/>
                <w:numId w:val="20"/>
              </w:numPr>
              <w:tabs>
                <w:tab w:val="left" w:pos="1049"/>
              </w:tabs>
              <w:spacing w:line="360" w:lineRule="auto"/>
              <w:ind w:left="425" w:leftChars="0" w:right="508" w:hanging="425" w:firstLineChars="0"/>
              <w:jc w:val="both"/>
              <w:rPr>
                <w:b/>
                <w:bCs/>
                <w:sz w:val="24"/>
                <w:szCs w:val="24"/>
                <w:lang w:val="pt-BR"/>
              </w:rPr>
            </w:pPr>
            <w:r>
              <w:rPr>
                <w:b/>
                <w:bCs/>
                <w:sz w:val="24"/>
                <w:szCs w:val="24"/>
                <w:lang w:val="pt-BR"/>
              </w:rPr>
              <w:t>Da Natureza do Objeto e da Inaplicabilidade Direta</w:t>
            </w:r>
          </w:p>
          <w:p w14:paraId="01D70A9E">
            <w:pPr>
              <w:pStyle w:val="15"/>
              <w:tabs>
                <w:tab w:val="left" w:pos="1049"/>
              </w:tabs>
              <w:spacing w:line="360" w:lineRule="auto"/>
              <w:ind w:left="0" w:right="508" w:firstLine="0"/>
              <w:jc w:val="both"/>
              <w:rPr>
                <w:b w:val="0"/>
                <w:bCs w:val="0"/>
                <w:sz w:val="24"/>
                <w:szCs w:val="24"/>
                <w:lang w:val="pt-BR"/>
              </w:rPr>
            </w:pPr>
            <w:r>
              <w:rPr>
                <w:b w:val="0"/>
                <w:bCs w:val="0"/>
                <w:sz w:val="24"/>
                <w:szCs w:val="24"/>
                <w:lang w:val="pt-BR"/>
              </w:rPr>
              <w:t xml:space="preserve">Por se tratar de um procedimento licitatório voltado exclusivamente à </w:t>
            </w:r>
            <w:r>
              <w:rPr>
                <w:rFonts w:hint="default"/>
                <w:b w:val="0"/>
                <w:bCs w:val="0"/>
                <w:sz w:val="24"/>
                <w:szCs w:val="24"/>
                <w:lang w:val="pt-BR"/>
              </w:rPr>
              <w:t xml:space="preserve">contrato de </w:t>
            </w:r>
            <w:r>
              <w:rPr>
                <w:b w:val="0"/>
                <w:bCs w:val="0"/>
                <w:sz w:val="24"/>
                <w:szCs w:val="24"/>
                <w:lang w:val="pt-BR"/>
              </w:rPr>
              <w:t>aquisição de material (cascalho), este certame não compreende a execução direta de obras ou serviços de engenharia por parte da detentora da ata. Consequentemente, não haverá previsão de custos ou encargos para mobilização, desmobilização ou instalação de canteiro de obras vinculados a este processo de fornecimento, em estrita observância aos parâmetros de composição de custos e diretrizes estabelecidas pelo Decreto Municipal nº 359/2023.</w:t>
            </w:r>
          </w:p>
          <w:p w14:paraId="6F9FD80C">
            <w:pPr>
              <w:pStyle w:val="15"/>
              <w:numPr>
                <w:ilvl w:val="0"/>
                <w:numId w:val="21"/>
              </w:numPr>
              <w:tabs>
                <w:tab w:val="left" w:pos="1049"/>
              </w:tabs>
              <w:spacing w:line="360" w:lineRule="auto"/>
              <w:ind w:left="425" w:leftChars="0" w:right="508" w:hanging="425" w:firstLineChars="0"/>
              <w:jc w:val="both"/>
              <w:rPr>
                <w:b/>
                <w:bCs/>
                <w:sz w:val="24"/>
                <w:szCs w:val="24"/>
                <w:lang w:val="pt-BR"/>
              </w:rPr>
            </w:pPr>
            <w:r>
              <w:rPr>
                <w:b/>
                <w:bCs/>
                <w:sz w:val="24"/>
                <w:szCs w:val="24"/>
                <w:lang w:val="pt-BR"/>
              </w:rPr>
              <w:t>Da Execução dos Futuros Projetos e Convênios</w:t>
            </w:r>
          </w:p>
          <w:p w14:paraId="5951145D">
            <w:pPr>
              <w:pStyle w:val="15"/>
              <w:tabs>
                <w:tab w:val="left" w:pos="1049"/>
              </w:tabs>
              <w:spacing w:line="360" w:lineRule="auto"/>
              <w:ind w:left="0" w:right="508" w:firstLine="0"/>
              <w:jc w:val="both"/>
              <w:rPr>
                <w:b w:val="0"/>
                <w:bCs w:val="0"/>
                <w:sz w:val="24"/>
                <w:szCs w:val="24"/>
                <w:lang w:val="pt-BR"/>
              </w:rPr>
            </w:pPr>
            <w:r>
              <w:rPr>
                <w:b w:val="0"/>
                <w:bCs w:val="0"/>
                <w:sz w:val="24"/>
                <w:szCs w:val="24"/>
                <w:lang w:val="pt-BR"/>
              </w:rPr>
              <w:t xml:space="preserve">O material a ser adquirido por meio desta </w:t>
            </w:r>
            <w:r>
              <w:rPr>
                <w:rFonts w:hint="default"/>
                <w:b w:val="0"/>
                <w:bCs w:val="0"/>
                <w:sz w:val="24"/>
                <w:szCs w:val="24"/>
                <w:lang w:val="pt-BR"/>
              </w:rPr>
              <w:t>contratação</w:t>
            </w:r>
            <w:r>
              <w:rPr>
                <w:b w:val="0"/>
                <w:bCs w:val="0"/>
                <w:sz w:val="24"/>
                <w:szCs w:val="24"/>
                <w:lang w:val="pt-BR"/>
              </w:rPr>
              <w:t xml:space="preserve"> destina-se a suprir as demandas do Município em obras diretas, bem como a cumprir as contrapartidas em convênios firmados com órgãos federais e estaduais. Nessas parcerias, caberá à municipalidade a execução de base, sub-base ou, tão somente, o fornecimento regular do cascalho.</w:t>
            </w:r>
          </w:p>
          <w:p w14:paraId="446BE099">
            <w:pPr>
              <w:pStyle w:val="15"/>
              <w:numPr>
                <w:ilvl w:val="0"/>
                <w:numId w:val="22"/>
              </w:numPr>
              <w:tabs>
                <w:tab w:val="left" w:pos="0"/>
                <w:tab w:val="left" w:pos="1049"/>
                <w:tab w:val="clear" w:pos="425"/>
              </w:tabs>
              <w:spacing w:line="360" w:lineRule="auto"/>
              <w:ind w:left="425" w:leftChars="0" w:right="508" w:hanging="425" w:firstLineChars="0"/>
              <w:jc w:val="both"/>
              <w:rPr>
                <w:b/>
                <w:bCs/>
                <w:sz w:val="24"/>
                <w:szCs w:val="24"/>
                <w:lang w:val="pt-BR"/>
              </w:rPr>
            </w:pPr>
            <w:r>
              <w:rPr>
                <w:b/>
                <w:bCs/>
                <w:sz w:val="24"/>
                <w:szCs w:val="24"/>
                <w:lang w:val="pt-BR"/>
              </w:rPr>
              <w:t>Da Alocação das Estruturas de Canteiro</w:t>
            </w:r>
          </w:p>
          <w:p w14:paraId="692B9920">
            <w:pPr>
              <w:pStyle w:val="15"/>
              <w:tabs>
                <w:tab w:val="left" w:pos="1049"/>
              </w:tabs>
              <w:spacing w:line="360" w:lineRule="auto"/>
              <w:ind w:left="0" w:right="508" w:firstLine="0"/>
              <w:jc w:val="both"/>
              <w:rPr>
                <w:b w:val="0"/>
                <w:bCs w:val="0"/>
                <w:sz w:val="24"/>
                <w:szCs w:val="24"/>
                <w:lang w:val="pt-BR"/>
              </w:rPr>
            </w:pPr>
            <w:r>
              <w:rPr>
                <w:b w:val="0"/>
                <w:bCs w:val="0"/>
                <w:sz w:val="24"/>
                <w:szCs w:val="24"/>
                <w:lang w:val="pt-BR"/>
              </w:rPr>
              <w:t>Quando da efetiva execução das obras e dos futuros projetos de engenharia vinculados aos referidos convênios, a responsabilidade pela mobilização, desmobilização e manutenção do canteiro de obras dar-se-á da seguinte forma:</w:t>
            </w:r>
          </w:p>
          <w:p w14:paraId="45C0AF3B">
            <w:pPr>
              <w:pStyle w:val="15"/>
              <w:numPr>
                <w:ilvl w:val="0"/>
                <w:numId w:val="23"/>
              </w:numPr>
              <w:tabs>
                <w:tab w:val="left" w:pos="1049"/>
                <w:tab w:val="clear" w:pos="425"/>
              </w:tabs>
              <w:spacing w:line="360" w:lineRule="auto"/>
              <w:ind w:left="0" w:leftChars="0" w:right="508" w:firstLine="998" w:firstLineChars="416"/>
              <w:jc w:val="both"/>
              <w:rPr>
                <w:b/>
                <w:bCs/>
                <w:sz w:val="24"/>
                <w:szCs w:val="24"/>
                <w:lang w:val="pt-BR"/>
              </w:rPr>
            </w:pPr>
            <w:r>
              <w:rPr>
                <w:b w:val="0"/>
                <w:bCs w:val="0"/>
                <w:sz w:val="24"/>
                <w:szCs w:val="24"/>
                <w:lang w:val="pt-BR"/>
              </w:rPr>
              <w:t>Contratações de Terceiros: Caso a execução do objeto principal seja delegada a empresas terceirizadas, a estrutura de canteiro de obras, bem como sua respectiva mobilização e desmobilização, constará obrigatoriamente nas planilhas orçamentárias e nos projetos executivos das respectivas prestações de serviços dessas empresas contratadas, seguindo os ritos e regramentos vigentes para contratos de obras e serviços.</w:t>
            </w:r>
          </w:p>
          <w:p w14:paraId="10B9ACFA">
            <w:pPr>
              <w:pStyle w:val="15"/>
              <w:numPr>
                <w:ilvl w:val="0"/>
                <w:numId w:val="23"/>
              </w:numPr>
              <w:tabs>
                <w:tab w:val="left" w:pos="1049"/>
                <w:tab w:val="clear" w:pos="425"/>
              </w:tabs>
              <w:spacing w:line="360" w:lineRule="auto"/>
              <w:ind w:left="0" w:leftChars="0" w:right="508" w:firstLine="998" w:firstLineChars="416"/>
              <w:jc w:val="both"/>
              <w:rPr>
                <w:b/>
                <w:bCs/>
                <w:sz w:val="24"/>
                <w:szCs w:val="24"/>
                <w:lang w:val="pt-BR"/>
              </w:rPr>
            </w:pPr>
            <w:r>
              <w:rPr>
                <w:b w:val="0"/>
                <w:bCs w:val="0"/>
                <w:sz w:val="24"/>
                <w:szCs w:val="24"/>
                <w:lang w:val="pt-BR"/>
              </w:rPr>
              <w:t>Execução Direta pelo Município: Nos casos em que o Município optar pela execução direta das frentes de trabalho com maquinário e pessoal próprios (serviços de base e sub-base), serão utilizadas as estruturas administrativas e de apoio operacional já existentes e pertencentes à Secretaria competente, sem qualquer ônus associado à presente ata de fornecimento de material.</w:t>
            </w:r>
          </w:p>
        </w:tc>
      </w:tr>
      <w:tr w14:paraId="7D9DBC7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571" w:type="dxa"/>
          </w:tcPr>
          <w:p w14:paraId="7BEF19A3">
            <w:pPr>
              <w:pStyle w:val="15"/>
              <w:numPr>
                <w:ilvl w:val="1"/>
                <w:numId w:val="18"/>
              </w:numPr>
              <w:tabs>
                <w:tab w:val="left" w:pos="1022"/>
              </w:tabs>
              <w:ind w:right="-45"/>
              <w:jc w:val="both"/>
              <w:rPr>
                <w:b/>
                <w:bCs/>
                <w:sz w:val="24"/>
                <w:szCs w:val="24"/>
                <w:lang w:val="pt-BR"/>
              </w:rPr>
            </w:pPr>
            <w:r>
              <w:rPr>
                <w:b/>
                <w:bCs/>
                <w:sz w:val="24"/>
                <w:szCs w:val="24"/>
              </w:rPr>
              <w:t>LIMPEZA</w:t>
            </w:r>
            <w:r>
              <w:rPr>
                <w:b/>
                <w:bCs/>
                <w:spacing w:val="30"/>
                <w:sz w:val="24"/>
                <w:szCs w:val="24"/>
              </w:rPr>
              <w:t xml:space="preserve"> </w:t>
            </w:r>
            <w:r>
              <w:rPr>
                <w:b/>
                <w:bCs/>
                <w:sz w:val="24"/>
                <w:szCs w:val="24"/>
              </w:rPr>
              <w:t>DOS LOCAIS</w:t>
            </w:r>
            <w:r>
              <w:rPr>
                <w:b/>
                <w:bCs/>
                <w:spacing w:val="30"/>
                <w:sz w:val="24"/>
                <w:szCs w:val="24"/>
              </w:rPr>
              <w:t xml:space="preserve"> </w:t>
            </w:r>
            <w:r>
              <w:rPr>
                <w:b/>
                <w:bCs/>
                <w:sz w:val="24"/>
                <w:szCs w:val="24"/>
              </w:rPr>
              <w:t>DE INSTALAÇÃO</w:t>
            </w:r>
            <w:r>
              <w:rPr>
                <w:b/>
                <w:bCs/>
                <w:spacing w:val="30"/>
                <w:sz w:val="24"/>
                <w:szCs w:val="24"/>
              </w:rPr>
              <w:t xml:space="preserve"> </w:t>
            </w:r>
            <w:r>
              <w:rPr>
                <w:b/>
                <w:bCs/>
                <w:sz w:val="24"/>
                <w:szCs w:val="24"/>
              </w:rPr>
              <w:t>E/OU</w:t>
            </w:r>
            <w:r>
              <w:rPr>
                <w:b/>
                <w:bCs/>
                <w:spacing w:val="30"/>
                <w:sz w:val="24"/>
                <w:szCs w:val="24"/>
              </w:rPr>
              <w:t xml:space="preserve"> </w:t>
            </w:r>
            <w:r>
              <w:rPr>
                <w:b/>
                <w:bCs/>
                <w:sz w:val="24"/>
                <w:szCs w:val="24"/>
              </w:rPr>
              <w:t>REMOÇÃO</w:t>
            </w:r>
            <w:r>
              <w:rPr>
                <w:b/>
                <w:bCs/>
                <w:spacing w:val="30"/>
                <w:sz w:val="24"/>
                <w:szCs w:val="24"/>
              </w:rPr>
              <w:t xml:space="preserve"> </w:t>
            </w:r>
            <w:r>
              <w:rPr>
                <w:b/>
                <w:bCs/>
                <w:sz w:val="24"/>
                <w:szCs w:val="24"/>
              </w:rPr>
              <w:t>DE ENTULHOS; EXIGÊNCIAS</w:t>
            </w:r>
            <w:r>
              <w:rPr>
                <w:b/>
                <w:bCs/>
                <w:spacing w:val="30"/>
                <w:sz w:val="24"/>
                <w:szCs w:val="24"/>
              </w:rPr>
              <w:t xml:space="preserve"> </w:t>
            </w:r>
            <w:r>
              <w:rPr>
                <w:b/>
                <w:bCs/>
                <w:sz w:val="24"/>
                <w:szCs w:val="24"/>
              </w:rPr>
              <w:t>ESPECÍFICAS PARA O OBJETO A SER CONTRATADO</w:t>
            </w:r>
            <w:r>
              <w:rPr>
                <w:b/>
                <w:bCs/>
                <w:sz w:val="24"/>
                <w:szCs w:val="24"/>
                <w:lang w:val="pt-BR"/>
              </w:rPr>
              <w:t>:</w:t>
            </w:r>
          </w:p>
          <w:p w14:paraId="1EB76B57">
            <w:pPr>
              <w:pStyle w:val="15"/>
              <w:tabs>
                <w:tab w:val="left" w:pos="1022"/>
              </w:tabs>
              <w:ind w:left="0" w:right="508" w:firstLine="0"/>
              <w:jc w:val="both"/>
              <w:rPr>
                <w:b/>
                <w:bCs/>
                <w:sz w:val="24"/>
                <w:szCs w:val="24"/>
                <w:lang w:val="pt-BR"/>
              </w:rPr>
            </w:pPr>
            <w:r>
              <w:rPr>
                <w:sz w:val="24"/>
                <w:szCs w:val="24"/>
                <w:lang w:val="pt-BR"/>
              </w:rPr>
              <w:t>Não se aplica</w:t>
            </w:r>
          </w:p>
        </w:tc>
      </w:tr>
      <w:tr w14:paraId="0554687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571" w:type="dxa"/>
          </w:tcPr>
          <w:p w14:paraId="27536B6F">
            <w:pPr>
              <w:pStyle w:val="15"/>
              <w:numPr>
                <w:ilvl w:val="1"/>
                <w:numId w:val="18"/>
              </w:numPr>
              <w:tabs>
                <w:tab w:val="left" w:pos="1025"/>
              </w:tabs>
              <w:ind w:right="-45"/>
              <w:jc w:val="both"/>
              <w:rPr>
                <w:b/>
                <w:bCs/>
                <w:sz w:val="24"/>
                <w:szCs w:val="24"/>
                <w:lang w:val="pt-BR"/>
              </w:rPr>
            </w:pPr>
            <w:r>
              <w:rPr>
                <w:b/>
                <w:bCs/>
                <w:sz w:val="24"/>
                <w:szCs w:val="24"/>
              </w:rPr>
              <w:t>NECESSIDADE</w:t>
            </w:r>
            <w:r>
              <w:rPr>
                <w:b/>
                <w:bCs/>
                <w:spacing w:val="31"/>
                <w:sz w:val="24"/>
                <w:szCs w:val="24"/>
              </w:rPr>
              <w:t xml:space="preserve"> </w:t>
            </w:r>
            <w:r>
              <w:rPr>
                <w:b/>
                <w:bCs/>
                <w:sz w:val="24"/>
                <w:szCs w:val="24"/>
              </w:rPr>
              <w:t>DE</w:t>
            </w:r>
            <w:r>
              <w:rPr>
                <w:b/>
                <w:bCs/>
                <w:spacing w:val="31"/>
                <w:sz w:val="24"/>
                <w:szCs w:val="24"/>
              </w:rPr>
              <w:t xml:space="preserve"> </w:t>
            </w:r>
            <w:r>
              <w:rPr>
                <w:b/>
                <w:bCs/>
                <w:sz w:val="24"/>
                <w:szCs w:val="24"/>
              </w:rPr>
              <w:t>DISPONIBILIZAÇÃO</w:t>
            </w:r>
            <w:r>
              <w:rPr>
                <w:b/>
                <w:bCs/>
                <w:spacing w:val="32"/>
                <w:sz w:val="24"/>
                <w:szCs w:val="24"/>
              </w:rPr>
              <w:t xml:space="preserve"> </w:t>
            </w:r>
            <w:r>
              <w:rPr>
                <w:b/>
                <w:bCs/>
                <w:sz w:val="24"/>
                <w:szCs w:val="24"/>
              </w:rPr>
              <w:t>DE</w:t>
            </w:r>
            <w:r>
              <w:rPr>
                <w:b/>
                <w:bCs/>
                <w:spacing w:val="31"/>
                <w:sz w:val="24"/>
                <w:szCs w:val="24"/>
              </w:rPr>
              <w:t xml:space="preserve"> </w:t>
            </w:r>
            <w:r>
              <w:rPr>
                <w:b/>
                <w:bCs/>
                <w:sz w:val="24"/>
                <w:szCs w:val="24"/>
              </w:rPr>
              <w:t>SAC</w:t>
            </w:r>
            <w:r>
              <w:rPr>
                <w:b/>
                <w:bCs/>
                <w:spacing w:val="30"/>
                <w:sz w:val="24"/>
                <w:szCs w:val="24"/>
              </w:rPr>
              <w:t xml:space="preserve"> </w:t>
            </w:r>
            <w:r>
              <w:rPr>
                <w:b/>
                <w:bCs/>
                <w:sz w:val="24"/>
                <w:szCs w:val="24"/>
              </w:rPr>
              <w:t>E</w:t>
            </w:r>
            <w:r>
              <w:rPr>
                <w:b/>
                <w:bCs/>
                <w:spacing w:val="31"/>
                <w:sz w:val="24"/>
                <w:szCs w:val="24"/>
              </w:rPr>
              <w:t xml:space="preserve"> </w:t>
            </w:r>
            <w:r>
              <w:rPr>
                <w:b/>
                <w:bCs/>
                <w:sz w:val="24"/>
                <w:szCs w:val="24"/>
              </w:rPr>
              <w:t>INDICAÇÃO</w:t>
            </w:r>
            <w:r>
              <w:rPr>
                <w:b/>
                <w:bCs/>
                <w:spacing w:val="29"/>
                <w:sz w:val="24"/>
                <w:szCs w:val="24"/>
              </w:rPr>
              <w:t xml:space="preserve"> </w:t>
            </w:r>
            <w:r>
              <w:rPr>
                <w:b/>
                <w:bCs/>
                <w:sz w:val="24"/>
                <w:szCs w:val="24"/>
              </w:rPr>
              <w:t>DO</w:t>
            </w:r>
            <w:r>
              <w:rPr>
                <w:b/>
                <w:bCs/>
                <w:spacing w:val="32"/>
                <w:sz w:val="24"/>
                <w:szCs w:val="24"/>
              </w:rPr>
              <w:t xml:space="preserve"> </w:t>
            </w:r>
            <w:r>
              <w:rPr>
                <w:b/>
                <w:bCs/>
                <w:sz w:val="24"/>
                <w:szCs w:val="24"/>
              </w:rPr>
              <w:t>NÚMERO</w:t>
            </w:r>
            <w:r>
              <w:rPr>
                <w:b/>
                <w:bCs/>
                <w:spacing w:val="32"/>
                <w:sz w:val="24"/>
                <w:szCs w:val="24"/>
              </w:rPr>
              <w:t xml:space="preserve"> </w:t>
            </w:r>
            <w:r>
              <w:rPr>
                <w:b/>
                <w:bCs/>
                <w:sz w:val="24"/>
                <w:szCs w:val="24"/>
              </w:rPr>
              <w:t>PARA</w:t>
            </w:r>
            <w:r>
              <w:rPr>
                <w:b/>
                <w:bCs/>
                <w:spacing w:val="32"/>
                <w:sz w:val="24"/>
                <w:szCs w:val="24"/>
              </w:rPr>
              <w:t xml:space="preserve"> </w:t>
            </w:r>
            <w:r>
              <w:rPr>
                <w:b/>
                <w:bCs/>
                <w:sz w:val="24"/>
                <w:szCs w:val="24"/>
              </w:rPr>
              <w:t xml:space="preserve">ATENDIMENTO </w:t>
            </w:r>
            <w:r>
              <w:rPr>
                <w:b/>
                <w:bCs/>
                <w:spacing w:val="-2"/>
                <w:sz w:val="24"/>
                <w:szCs w:val="24"/>
              </w:rPr>
              <w:t>COMERCIAL</w:t>
            </w:r>
            <w:r>
              <w:rPr>
                <w:b/>
                <w:bCs/>
                <w:spacing w:val="-2"/>
                <w:sz w:val="24"/>
                <w:szCs w:val="24"/>
                <w:lang w:val="pt-BR"/>
              </w:rPr>
              <w:t>:</w:t>
            </w:r>
          </w:p>
          <w:p w14:paraId="464D4B47">
            <w:pPr>
              <w:pStyle w:val="15"/>
              <w:numPr>
                <w:ilvl w:val="2"/>
                <w:numId w:val="18"/>
              </w:numPr>
              <w:tabs>
                <w:tab w:val="left" w:pos="1025"/>
                <w:tab w:val="left" w:pos="9400"/>
              </w:tabs>
              <w:spacing w:line="360" w:lineRule="auto"/>
              <w:ind w:right="-45"/>
              <w:jc w:val="both"/>
              <w:rPr>
                <w:spacing w:val="-2"/>
                <w:sz w:val="24"/>
                <w:szCs w:val="24"/>
                <w:lang w:val="pt-BR"/>
              </w:rPr>
            </w:pPr>
            <w:r>
              <w:rPr>
                <w:spacing w:val="-2"/>
                <w:sz w:val="24"/>
                <w:szCs w:val="24"/>
                <w:lang w:val="pt-BR"/>
              </w:rPr>
              <w:t>Deverá ser informados canais de atendimento (telefone, e-mail ou plataforma digital) deverão ser informados de forma clara no ato da contratação.</w:t>
            </w:r>
          </w:p>
          <w:p w14:paraId="1E4DC759">
            <w:pPr>
              <w:pStyle w:val="15"/>
              <w:numPr>
                <w:ilvl w:val="2"/>
                <w:numId w:val="18"/>
              </w:numPr>
              <w:tabs>
                <w:tab w:val="left" w:pos="1025"/>
                <w:tab w:val="left" w:pos="9400"/>
              </w:tabs>
              <w:spacing w:line="360" w:lineRule="auto"/>
              <w:ind w:right="-45"/>
              <w:jc w:val="both"/>
              <w:rPr>
                <w:spacing w:val="-2"/>
                <w:sz w:val="24"/>
                <w:szCs w:val="24"/>
                <w:lang w:val="pt-BR"/>
              </w:rPr>
            </w:pPr>
            <w:r>
              <w:rPr>
                <w:spacing w:val="-2"/>
                <w:sz w:val="24"/>
                <w:szCs w:val="24"/>
                <w:lang w:val="pt-BR"/>
              </w:rPr>
              <w:t>O atendimento deverá observar os princípios da eficiência, transparência e boa-fé, garantindo respostas a curto prazo e tratamento adequado às solicitações, nos termos do art. 5º, incisos IV e V, e art. 141, inciso I, da Lei nº 14.133/2021, bem como das disposições do Decreto Municipal nº 360/2023.</w:t>
            </w:r>
          </w:p>
          <w:p w14:paraId="28E57208">
            <w:pPr>
              <w:pStyle w:val="15"/>
              <w:numPr>
                <w:ilvl w:val="2"/>
                <w:numId w:val="18"/>
              </w:numPr>
              <w:tabs>
                <w:tab w:val="left" w:pos="1025"/>
                <w:tab w:val="left" w:pos="9400"/>
              </w:tabs>
              <w:spacing w:line="360" w:lineRule="auto"/>
              <w:ind w:right="-45"/>
              <w:jc w:val="both"/>
              <w:rPr>
                <w:b/>
                <w:bCs/>
                <w:sz w:val="24"/>
                <w:szCs w:val="24"/>
                <w:lang w:val="pt-BR"/>
              </w:rPr>
            </w:pPr>
            <w:r>
              <w:rPr>
                <w:spacing w:val="-2"/>
                <w:sz w:val="24"/>
                <w:szCs w:val="24"/>
                <w:lang w:val="pt-BR"/>
              </w:rPr>
              <w:t>O descumprimento desta obrigação poderá ensejar aplicação das sanções administrativas previstas na legislação vigente, sem prejuízo das demais medidas cabíveis.</w:t>
            </w:r>
          </w:p>
        </w:tc>
      </w:tr>
      <w:tr w14:paraId="5093DD4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571" w:type="dxa"/>
          </w:tcPr>
          <w:p w14:paraId="123747C3">
            <w:pPr>
              <w:numPr>
                <w:ilvl w:val="1"/>
                <w:numId w:val="18"/>
              </w:numPr>
              <w:jc w:val="both"/>
              <w:rPr>
                <w:rFonts w:ascii="Times New Roman" w:hAnsi="Times New Roman" w:cs="Times New Roman"/>
                <w:b/>
                <w:bCs/>
                <w:sz w:val="24"/>
                <w:szCs w:val="24"/>
                <w:lang w:val="pt-BR"/>
              </w:rPr>
            </w:pPr>
            <w:r>
              <w:rPr>
                <w:rFonts w:ascii="Times New Roman" w:hAnsi="Times New Roman" w:cs="Times New Roman"/>
                <w:b/>
                <w:bCs/>
                <w:sz w:val="24"/>
                <w:szCs w:val="24"/>
                <w:lang w:val="pt-BR"/>
              </w:rPr>
              <w:t xml:space="preserve">POSSIBILIDADE DE SUPORTE TÉCNICO REMOTO OU PELO SÍTIO ELETRÔNICO, BEM COMO O PRAZO PARA ATENDIMENTO, FORMA DE ATENDIMENTO (0-800, E-MAIL, ETC.), PRAZO E FORMA PARA A SOLUÇÃO DO PROBLEMA, SUBSTITUIÇÃO DO EQUIPAMENTO DEFEITUOSO: </w:t>
            </w:r>
          </w:p>
          <w:p w14:paraId="6DC8CAB8">
            <w:pPr>
              <w:numPr>
                <w:ilvl w:val="2"/>
                <w:numId w:val="18"/>
              </w:numPr>
              <w:spacing w:line="360" w:lineRule="auto"/>
              <w:jc w:val="both"/>
              <w:rPr>
                <w:rFonts w:ascii="Times New Roman" w:hAnsi="Times New Roman" w:cs="Times New Roman"/>
                <w:sz w:val="24"/>
                <w:szCs w:val="24"/>
                <w:lang w:val="pt-BR"/>
              </w:rPr>
            </w:pPr>
            <w:r>
              <w:rPr>
                <w:rFonts w:ascii="Times New Roman" w:hAnsi="Times New Roman" w:cs="Times New Roman"/>
                <w:sz w:val="24"/>
                <w:szCs w:val="24"/>
                <w:lang w:val="pt-BR"/>
              </w:rPr>
              <w:t>A contratada deverá disponibilizar atendimento a contratante por meio de seu sítio eletrônico oficial, bem como canais de comunicação para orientação, solução de dúvidas, registro de solicitações, conforme as disposições do Código de Defesa do Consumidor (Lei nº 8.078/1990), especialmente no tocante ao direito à informação adequada e clara.</w:t>
            </w:r>
          </w:p>
          <w:p w14:paraId="4B15EE9A">
            <w:pPr>
              <w:numPr>
                <w:ilvl w:val="2"/>
                <w:numId w:val="18"/>
              </w:numPr>
              <w:spacing w:line="360" w:lineRule="auto"/>
              <w:jc w:val="both"/>
              <w:rPr>
                <w:rFonts w:ascii="Times New Roman" w:hAnsi="Times New Roman" w:cs="Times New Roman"/>
                <w:sz w:val="24"/>
                <w:szCs w:val="24"/>
                <w:lang w:val="pt-BR"/>
              </w:rPr>
            </w:pPr>
            <w:r>
              <w:rPr>
                <w:rFonts w:ascii="Times New Roman" w:hAnsi="Times New Roman" w:cs="Times New Roman"/>
                <w:sz w:val="24"/>
                <w:szCs w:val="24"/>
                <w:lang w:val="pt-BR"/>
              </w:rPr>
              <w:t>O prazo máximo para atendimento inicial não poderá exceder 24 (vinte e quatro) horas a contar do registro da solicitação pela Administração, devendo ser informado protocolo de atendimento para acompanhamento.</w:t>
            </w:r>
          </w:p>
          <w:p w14:paraId="236F6A3B">
            <w:pPr>
              <w:numPr>
                <w:ilvl w:val="2"/>
                <w:numId w:val="18"/>
              </w:numPr>
              <w:spacing w:line="360" w:lineRule="auto"/>
              <w:jc w:val="both"/>
              <w:rPr>
                <w:rFonts w:ascii="Times New Roman" w:hAnsi="Times New Roman" w:cs="Times New Roman"/>
                <w:sz w:val="24"/>
                <w:szCs w:val="24"/>
                <w:lang w:val="pt-BR"/>
              </w:rPr>
            </w:pPr>
            <w:r>
              <w:rPr>
                <w:rFonts w:ascii="Times New Roman" w:hAnsi="Times New Roman" w:cs="Times New Roman"/>
                <w:sz w:val="24"/>
                <w:szCs w:val="24"/>
                <w:lang w:val="pt-BR"/>
              </w:rPr>
              <w:t>A solução definitiva do problema deverá ocorrer no prazo máximo de 24 (vinte e quatro) horas, salvo em casos devidamente justificados e aceitos pela fiscalização contratual.</w:t>
            </w:r>
          </w:p>
          <w:p w14:paraId="044B1C93">
            <w:pPr>
              <w:numPr>
                <w:ilvl w:val="2"/>
                <w:numId w:val="18"/>
              </w:numPr>
              <w:spacing w:line="360" w:lineRule="auto"/>
              <w:jc w:val="both"/>
              <w:rPr>
                <w:rFonts w:ascii="Times New Roman" w:hAnsi="Times New Roman" w:cs="Times New Roman"/>
                <w:b/>
                <w:bCs/>
                <w:sz w:val="24"/>
                <w:szCs w:val="24"/>
                <w:lang w:val="pt-BR"/>
              </w:rPr>
            </w:pPr>
            <w:r>
              <w:rPr>
                <w:rFonts w:ascii="Times New Roman" w:hAnsi="Times New Roman" w:cs="Times New Roman"/>
                <w:sz w:val="24"/>
                <w:szCs w:val="24"/>
                <w:lang w:val="pt-BR"/>
              </w:rPr>
              <w:t>Em caso de vício recorrente ou falha não solucionada no prazo estabelecido, aplica-se o disposto no art. 18, §1º, incisos I a III, do Código de Defesa do Consumidor, podendo a Administração optar pela substituição imediata do bem por outro da mesma espécie, em perfeitas condições de uso, ou pela rescisão contratual com aplicação das sanções cabíveis previstas nos arts. 156 a 159 da Lei nº 14.133/2021 e no Decreto Municipal nº 360/2023.</w:t>
            </w:r>
          </w:p>
        </w:tc>
      </w:tr>
    </w:tbl>
    <w:p w14:paraId="539D27F7">
      <w:pPr>
        <w:jc w:val="both"/>
        <w:rPr>
          <w:rFonts w:ascii="Times New Roman" w:hAnsi="Times New Roman" w:cs="Times New Roman"/>
          <w:b/>
          <w:bCs/>
          <w:sz w:val="24"/>
          <w:szCs w:val="24"/>
          <w:lang w:val="pt-BR"/>
        </w:rPr>
      </w:pPr>
    </w:p>
    <w:tbl>
      <w:tblPr>
        <w:tblStyle w:val="14"/>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9571"/>
      </w:tblGrid>
      <w:tr w14:paraId="26BB6C0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9571" w:type="dxa"/>
            <w:shd w:val="clear" w:color="auto" w:fill="D7D7D7" w:themeFill="background1" w:themeFillShade="D8"/>
          </w:tcPr>
          <w:p w14:paraId="4F12FE87">
            <w:pPr>
              <w:numPr>
                <w:ilvl w:val="0"/>
                <w:numId w:val="24"/>
              </w:numPr>
              <w:jc w:val="both"/>
              <w:rPr>
                <w:rFonts w:ascii="Times New Roman" w:hAnsi="Times New Roman" w:cs="Times New Roman"/>
                <w:b/>
                <w:bCs/>
                <w:sz w:val="24"/>
                <w:szCs w:val="24"/>
                <w:lang w:val="pt-BR"/>
              </w:rPr>
            </w:pPr>
            <w:r>
              <w:rPr>
                <w:rFonts w:ascii="Times New Roman" w:hAnsi="Times New Roman" w:eastAsia="SimSun" w:cs="Times New Roman"/>
                <w:b/>
                <w:bCs/>
                <w:color w:val="000000"/>
                <w:sz w:val="24"/>
                <w:szCs w:val="24"/>
                <w:lang w:val="pt-BR" w:bidi="ar"/>
              </w:rPr>
              <w:t>CONTROLE E FISCALIZAÇÃO DO CONTRATO</w:t>
            </w:r>
          </w:p>
        </w:tc>
      </w:tr>
      <w:tr w14:paraId="3D12CFF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571" w:type="dxa"/>
          </w:tcPr>
          <w:p w14:paraId="7F2CA427">
            <w:pPr>
              <w:numPr>
                <w:ilvl w:val="1"/>
                <w:numId w:val="24"/>
              </w:numPr>
              <w:spacing w:line="360" w:lineRule="auto"/>
              <w:jc w:val="both"/>
              <w:rPr>
                <w:rFonts w:ascii="Times New Roman" w:hAnsi="Times New Roman" w:cs="Times New Roman"/>
                <w:sz w:val="24"/>
                <w:szCs w:val="24"/>
                <w:lang w:val="pt-BR"/>
              </w:rPr>
            </w:pPr>
            <w:r>
              <w:rPr>
                <w:rFonts w:ascii="Times New Roman" w:hAnsi="Times New Roman" w:cs="Times New Roman"/>
                <w:sz w:val="24"/>
                <w:szCs w:val="24"/>
                <w:lang w:val="pt-BR"/>
              </w:rPr>
              <w:t>A gestão e a fiscalização do presente contrato serão exercidas por servidor(es) designado(s) formalmente pela autoridade competente da Secretaria Municipal de Obras e Serviços Urbanos, nos termos do art. 117 da Lei Federal nº 14.133/2021, bem como das disposições contidas nos Decretos Municipais nº 359/2023 e nº 360/2023, que regulamentam, no âmbito do Município de Sinop, a aplicação da Nova Lei de Licitações e Contratos Administrativos.</w:t>
            </w:r>
          </w:p>
          <w:p w14:paraId="6EA27B47">
            <w:pPr>
              <w:numPr>
                <w:ilvl w:val="1"/>
                <w:numId w:val="24"/>
              </w:numPr>
              <w:spacing w:line="360" w:lineRule="auto"/>
              <w:jc w:val="both"/>
              <w:rPr>
                <w:rFonts w:ascii="Times New Roman" w:hAnsi="Times New Roman" w:cs="Times New Roman"/>
                <w:sz w:val="24"/>
                <w:szCs w:val="24"/>
                <w:lang w:val="pt-BR"/>
              </w:rPr>
            </w:pPr>
            <w:r>
              <w:rPr>
                <w:rFonts w:ascii="Times New Roman" w:hAnsi="Times New Roman" w:cs="Times New Roman"/>
                <w:sz w:val="24"/>
                <w:szCs w:val="24"/>
                <w:lang w:val="pt-BR"/>
              </w:rPr>
              <w:t>Compete ao fiscal do contrato:</w:t>
            </w:r>
          </w:p>
          <w:p w14:paraId="6A605098">
            <w:pPr>
              <w:numPr>
                <w:ilvl w:val="2"/>
                <w:numId w:val="24"/>
              </w:numPr>
              <w:spacing w:line="360" w:lineRule="auto"/>
              <w:jc w:val="both"/>
              <w:rPr>
                <w:rFonts w:ascii="Times New Roman" w:hAnsi="Times New Roman" w:cs="Times New Roman"/>
                <w:sz w:val="24"/>
                <w:szCs w:val="24"/>
                <w:lang w:val="pt-BR"/>
              </w:rPr>
            </w:pPr>
            <w:r>
              <w:rPr>
                <w:rFonts w:ascii="Times New Roman" w:hAnsi="Times New Roman" w:cs="Times New Roman"/>
                <w:sz w:val="24"/>
                <w:szCs w:val="24"/>
                <w:lang w:val="pt-BR"/>
              </w:rPr>
              <w:t>acompanhar, de forma sistemática, a execução contratual, registrando em relatório próprio as ocorrências e eventuais irregularidades;</w:t>
            </w:r>
          </w:p>
          <w:p w14:paraId="0C00D687">
            <w:pPr>
              <w:numPr>
                <w:ilvl w:val="2"/>
                <w:numId w:val="24"/>
              </w:numPr>
              <w:spacing w:line="360" w:lineRule="auto"/>
              <w:jc w:val="both"/>
              <w:rPr>
                <w:rFonts w:ascii="Times New Roman" w:hAnsi="Times New Roman" w:cs="Times New Roman"/>
                <w:sz w:val="24"/>
                <w:szCs w:val="24"/>
                <w:lang w:val="pt-BR"/>
              </w:rPr>
            </w:pPr>
            <w:r>
              <w:rPr>
                <w:rFonts w:ascii="Times New Roman" w:hAnsi="Times New Roman" w:cs="Times New Roman"/>
                <w:sz w:val="24"/>
                <w:szCs w:val="24"/>
                <w:lang w:val="pt-BR"/>
              </w:rPr>
              <w:t>verificar o cumprimento das especificações técnicas, prazos e condições estabelecidas no Termo de Referência, edital e contrato;</w:t>
            </w:r>
          </w:p>
          <w:p w14:paraId="17329D76">
            <w:pPr>
              <w:numPr>
                <w:ilvl w:val="2"/>
                <w:numId w:val="24"/>
              </w:numPr>
              <w:spacing w:line="360" w:lineRule="auto"/>
              <w:jc w:val="both"/>
              <w:rPr>
                <w:rFonts w:ascii="Times New Roman" w:hAnsi="Times New Roman" w:cs="Times New Roman"/>
                <w:sz w:val="24"/>
                <w:szCs w:val="24"/>
                <w:lang w:val="pt-BR"/>
              </w:rPr>
            </w:pPr>
            <w:r>
              <w:rPr>
                <w:rFonts w:ascii="Times New Roman" w:hAnsi="Times New Roman" w:cs="Times New Roman"/>
                <w:sz w:val="24"/>
                <w:szCs w:val="24"/>
                <w:lang w:val="pt-BR"/>
              </w:rPr>
              <w:t xml:space="preserve"> atestar a conformidade dos bens entregues, autorizando a emissão da nota fiscal para pagamento;</w:t>
            </w:r>
          </w:p>
          <w:p w14:paraId="0BCF75FC">
            <w:pPr>
              <w:numPr>
                <w:ilvl w:val="2"/>
                <w:numId w:val="24"/>
              </w:numPr>
              <w:spacing w:line="360" w:lineRule="auto"/>
              <w:jc w:val="both"/>
              <w:rPr>
                <w:rFonts w:ascii="Times New Roman" w:hAnsi="Times New Roman" w:cs="Times New Roman"/>
                <w:sz w:val="24"/>
                <w:szCs w:val="24"/>
                <w:lang w:val="pt-BR"/>
              </w:rPr>
            </w:pPr>
            <w:r>
              <w:rPr>
                <w:rFonts w:ascii="Times New Roman" w:hAnsi="Times New Roman" w:cs="Times New Roman"/>
                <w:sz w:val="24"/>
                <w:szCs w:val="24"/>
                <w:lang w:val="pt-BR"/>
              </w:rPr>
              <w:t>comunicar à autoridade competente quaisquer falhas ou inadimplementos contratuais, sugerindo a aplicação das penalidades cabíveis, conforme arts. 156 a 159 da Lei nº 14.133/2021 e dispositivos correlatos dos Decretos Municipais nº 359/2023 e nº 360/2023;</w:t>
            </w:r>
          </w:p>
          <w:p w14:paraId="30EE0E47">
            <w:pPr>
              <w:numPr>
                <w:ilvl w:val="2"/>
                <w:numId w:val="24"/>
              </w:numPr>
              <w:spacing w:line="360" w:lineRule="auto"/>
              <w:jc w:val="both"/>
              <w:rPr>
                <w:rFonts w:ascii="Times New Roman" w:hAnsi="Times New Roman" w:cs="Times New Roman"/>
                <w:sz w:val="24"/>
                <w:szCs w:val="24"/>
                <w:lang w:val="pt-BR"/>
              </w:rPr>
            </w:pPr>
            <w:r>
              <w:rPr>
                <w:rFonts w:ascii="Times New Roman" w:hAnsi="Times New Roman" w:cs="Times New Roman"/>
                <w:sz w:val="24"/>
                <w:szCs w:val="24"/>
                <w:lang w:val="pt-BR"/>
              </w:rPr>
              <w:t xml:space="preserve"> manter arquivo atualizado com registros fotográficos, laudos e demais documentos comprobatórios das fiscalizações realizadas;</w:t>
            </w:r>
          </w:p>
          <w:p w14:paraId="37A68971">
            <w:pPr>
              <w:numPr>
                <w:ilvl w:val="2"/>
                <w:numId w:val="24"/>
              </w:numPr>
              <w:spacing w:line="360" w:lineRule="auto"/>
              <w:jc w:val="both"/>
              <w:rPr>
                <w:rFonts w:ascii="Times New Roman" w:hAnsi="Times New Roman" w:cs="Times New Roman"/>
                <w:sz w:val="24"/>
                <w:szCs w:val="24"/>
                <w:lang w:val="pt-BR"/>
              </w:rPr>
            </w:pPr>
            <w:r>
              <w:rPr>
                <w:rFonts w:ascii="Times New Roman" w:hAnsi="Times New Roman" w:cs="Times New Roman"/>
                <w:sz w:val="24"/>
                <w:szCs w:val="24"/>
                <w:lang w:val="pt-BR"/>
              </w:rPr>
              <w:t>zelar para que todas as obrigações contratuais sejam cumpridas, preservando a economicidade, a eficiência e o interesse público.</w:t>
            </w:r>
          </w:p>
          <w:p w14:paraId="0AF3911E">
            <w:pPr>
              <w:numPr>
                <w:ilvl w:val="1"/>
                <w:numId w:val="24"/>
              </w:numPr>
              <w:spacing w:line="360" w:lineRule="auto"/>
              <w:jc w:val="both"/>
              <w:rPr>
                <w:rFonts w:ascii="Times New Roman" w:hAnsi="Times New Roman" w:cs="Times New Roman"/>
                <w:b/>
                <w:bCs/>
                <w:sz w:val="24"/>
                <w:szCs w:val="24"/>
                <w:lang w:val="pt-BR"/>
              </w:rPr>
            </w:pPr>
            <w:r>
              <w:rPr>
                <w:rFonts w:ascii="Times New Roman" w:hAnsi="Times New Roman" w:cs="Times New Roman"/>
                <w:sz w:val="24"/>
                <w:szCs w:val="24"/>
                <w:lang w:val="pt-BR"/>
              </w:rPr>
              <w:t>O contratado deverá garantir pleno acesso do fiscal do contrato às suas instalações, equipamentos, documentos e informações relacionadas à execução contratual, sempre que solicitado, sendo obrigatória a pronta correção de eventuais não conformidades apontadas.</w:t>
            </w:r>
          </w:p>
        </w:tc>
      </w:tr>
    </w:tbl>
    <w:p w14:paraId="15C01231">
      <w:pPr>
        <w:jc w:val="both"/>
        <w:rPr>
          <w:rFonts w:ascii="Times New Roman" w:hAnsi="Times New Roman" w:cs="Times New Roman"/>
          <w:b/>
          <w:bCs/>
          <w:sz w:val="24"/>
          <w:szCs w:val="24"/>
          <w:lang w:val="pt-BR"/>
        </w:rPr>
      </w:pPr>
    </w:p>
    <w:tbl>
      <w:tblPr>
        <w:tblStyle w:val="14"/>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9571"/>
      </w:tblGrid>
      <w:tr w14:paraId="3AC60EB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571" w:type="dxa"/>
            <w:shd w:val="clear" w:color="auto" w:fill="D7D7D7" w:themeFill="background1" w:themeFillShade="D8"/>
          </w:tcPr>
          <w:p w14:paraId="048699C7">
            <w:pPr>
              <w:numPr>
                <w:ilvl w:val="0"/>
                <w:numId w:val="25"/>
              </w:numPr>
              <w:jc w:val="both"/>
              <w:rPr>
                <w:rFonts w:ascii="Times New Roman" w:hAnsi="Times New Roman" w:cs="Times New Roman"/>
                <w:b/>
                <w:bCs/>
                <w:sz w:val="24"/>
                <w:szCs w:val="24"/>
                <w:lang w:val="pt-BR"/>
              </w:rPr>
            </w:pPr>
            <w:r>
              <w:rPr>
                <w:rFonts w:ascii="Times New Roman" w:hAnsi="Times New Roman" w:cs="Times New Roman"/>
                <w:b/>
                <w:bCs/>
                <w:sz w:val="24"/>
                <w:szCs w:val="24"/>
                <w:lang w:val="pt-BR"/>
              </w:rPr>
              <w:t>MEDIÇÃO E PAGAMENTO</w:t>
            </w:r>
          </w:p>
        </w:tc>
      </w:tr>
      <w:tr w14:paraId="68E6AD0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571" w:type="dxa"/>
          </w:tcPr>
          <w:p w14:paraId="5B2EFE0F">
            <w:pPr>
              <w:numPr>
                <w:ilvl w:val="1"/>
                <w:numId w:val="25"/>
              </w:numPr>
              <w:spacing w:line="360" w:lineRule="auto"/>
              <w:jc w:val="both"/>
              <w:rPr>
                <w:rFonts w:ascii="Times New Roman" w:hAnsi="Times New Roman" w:eastAsia="SimSun" w:cs="Times New Roman"/>
                <w:color w:val="000000"/>
                <w:sz w:val="24"/>
                <w:szCs w:val="24"/>
                <w:lang w:val="pt-BR" w:bidi="ar"/>
              </w:rPr>
            </w:pPr>
            <w:r>
              <w:rPr>
                <w:rFonts w:ascii="Times New Roman" w:hAnsi="Times New Roman" w:eastAsia="SimSun" w:cs="Times New Roman"/>
                <w:color w:val="000000"/>
                <w:sz w:val="24"/>
                <w:szCs w:val="24"/>
                <w:lang w:val="pt-BR" w:bidi="ar"/>
              </w:rPr>
              <w:t>O pagamento das despesas orçamentárias será efetuado conforme prazos e cronograma previstos no art. 7º do Decreto municipal nº 129/2024 e será efetuado mediante a apresentação da(s) respectiva(s) nota(s) fiscais/fatura devidamente acompanhada das certidões demonstrando sua regularidade fiscal e trabalhista, que serão liberadas para pagamento somente quando aferidas seu recebimento por meio de fiscal designado.</w:t>
            </w:r>
          </w:p>
          <w:p w14:paraId="34D56A27">
            <w:pPr>
              <w:numPr>
                <w:ilvl w:val="1"/>
                <w:numId w:val="25"/>
              </w:numPr>
              <w:spacing w:line="360" w:lineRule="auto"/>
              <w:jc w:val="both"/>
              <w:rPr>
                <w:rFonts w:ascii="Times New Roman" w:hAnsi="Times New Roman" w:eastAsia="SimSun" w:cs="Times New Roman"/>
                <w:color w:val="000000"/>
                <w:sz w:val="24"/>
                <w:szCs w:val="24"/>
                <w:lang w:val="pt-BR" w:bidi="ar"/>
              </w:rPr>
            </w:pPr>
            <w:r>
              <w:rPr>
                <w:rFonts w:ascii="Times New Roman" w:hAnsi="Times New Roman" w:eastAsia="SimSun" w:cs="Times New Roman"/>
                <w:color w:val="000000"/>
                <w:sz w:val="24"/>
                <w:szCs w:val="24"/>
                <w:lang w:val="pt-BR" w:bidi="ar"/>
              </w:rPr>
              <w:t xml:space="preserve"> As notas fiscais não poderão ter rasuras e deverão descrever corretamente o item, e número de empenho, o número do processo de compras, dados bancários para depósito, devendo ainda, destacar e discriminar a retenção a que está sujeita, informando de forma clara e inequívoca todos os impostos e alíquotas incidentes, cabendo a ela toda a responsabilidade pela eventual ausência dessa informação ou pela informação incorreta. </w:t>
            </w:r>
          </w:p>
          <w:p w14:paraId="7A5638CD">
            <w:pPr>
              <w:numPr>
                <w:ilvl w:val="1"/>
                <w:numId w:val="25"/>
              </w:numPr>
              <w:spacing w:line="360" w:lineRule="auto"/>
              <w:jc w:val="both"/>
              <w:rPr>
                <w:rFonts w:ascii="Times New Roman" w:hAnsi="Times New Roman" w:eastAsia="SimSun" w:cs="Times New Roman"/>
                <w:color w:val="000000"/>
                <w:sz w:val="24"/>
                <w:szCs w:val="24"/>
                <w:lang w:val="pt-BR" w:bidi="ar"/>
              </w:rPr>
            </w:pPr>
            <w:r>
              <w:rPr>
                <w:rFonts w:ascii="Times New Roman" w:hAnsi="Times New Roman" w:eastAsia="SimSun" w:cs="Times New Roman"/>
                <w:color w:val="000000"/>
                <w:sz w:val="24"/>
                <w:szCs w:val="24"/>
                <w:lang w:val="pt-BR" w:bidi="ar"/>
              </w:rPr>
              <w:t xml:space="preserve"> Os prestadores de serviço e fornecedores de bens deverão observar às regras de retenção dispostas na Instrução Normativa RFB nº 1.234, de 2012.</w:t>
            </w:r>
          </w:p>
          <w:p w14:paraId="58CDFA1F">
            <w:pPr>
              <w:numPr>
                <w:ilvl w:val="1"/>
                <w:numId w:val="25"/>
              </w:numPr>
              <w:spacing w:line="360" w:lineRule="auto"/>
              <w:jc w:val="both"/>
              <w:rPr>
                <w:rFonts w:ascii="Times New Roman" w:hAnsi="Times New Roman" w:eastAsia="SimSun" w:cs="Times New Roman"/>
                <w:color w:val="000000"/>
                <w:sz w:val="24"/>
                <w:szCs w:val="24"/>
                <w:lang w:val="pt-BR" w:bidi="ar"/>
              </w:rPr>
            </w:pPr>
            <w:r>
              <w:rPr>
                <w:rFonts w:ascii="Times New Roman" w:hAnsi="Times New Roman" w:eastAsia="SimSun" w:cs="Times New Roman"/>
                <w:color w:val="000000"/>
                <w:sz w:val="24"/>
                <w:szCs w:val="24"/>
                <w:lang w:val="pt-BR" w:bidi="ar"/>
              </w:rPr>
              <w:t>Caso a documentação não esteja de acordo com o solicitado, será devolvida para a correção, sendo válida a data de protocolo corrigida, para fins de prazo de pagamento.</w:t>
            </w:r>
          </w:p>
          <w:p w14:paraId="71015598">
            <w:pPr>
              <w:numPr>
                <w:ilvl w:val="1"/>
                <w:numId w:val="25"/>
              </w:numPr>
              <w:spacing w:line="360" w:lineRule="auto"/>
              <w:jc w:val="both"/>
              <w:rPr>
                <w:rFonts w:ascii="Times New Roman" w:hAnsi="Times New Roman" w:eastAsia="SimSun" w:cs="Times New Roman"/>
                <w:color w:val="000000"/>
                <w:sz w:val="24"/>
                <w:szCs w:val="24"/>
                <w:lang w:val="pt-BR" w:bidi="ar"/>
              </w:rPr>
            </w:pPr>
            <w:r>
              <w:rPr>
                <w:rFonts w:ascii="Times New Roman" w:hAnsi="Times New Roman" w:eastAsia="SimSun" w:cs="Times New Roman"/>
                <w:color w:val="000000"/>
                <w:sz w:val="24"/>
                <w:szCs w:val="24"/>
                <w:lang w:val="pt-BR" w:bidi="ar"/>
              </w:rPr>
              <w:t xml:space="preserve"> O Recebimento dos materiais não exclui a responsabilidade da contratada por vícios de qualidade ou disparidade com as especificações técnicas verificadas posteriormente;</w:t>
            </w:r>
          </w:p>
          <w:p w14:paraId="5B3D9C5B">
            <w:pPr>
              <w:numPr>
                <w:ilvl w:val="1"/>
                <w:numId w:val="25"/>
              </w:numPr>
              <w:spacing w:line="360" w:lineRule="auto"/>
              <w:jc w:val="both"/>
              <w:rPr>
                <w:rFonts w:ascii="Times New Roman" w:hAnsi="Times New Roman" w:eastAsia="SimSun" w:cs="Times New Roman"/>
                <w:color w:val="000000"/>
                <w:sz w:val="24"/>
                <w:szCs w:val="24"/>
                <w:lang w:val="pt-BR" w:bidi="ar"/>
              </w:rPr>
            </w:pPr>
            <w:r>
              <w:rPr>
                <w:rFonts w:ascii="Times New Roman" w:hAnsi="Times New Roman" w:eastAsia="SimSun" w:cs="Times New Roman"/>
                <w:color w:val="000000"/>
                <w:sz w:val="24"/>
                <w:szCs w:val="24"/>
                <w:lang w:val="pt-BR" w:bidi="ar"/>
              </w:rPr>
              <w:t xml:space="preserve"> Os materiais poderão ser rejeitados, no todo ou em parte, quando em desacordo com as especificações constantes neste Termo de Referência e na proposta, devendo ser substituídos em até 24 (vinte e quatro) horas, a contar da notificação da contratada, às suas custas, sem prejuízo da aplicação das penalidades.</w:t>
            </w:r>
          </w:p>
          <w:p w14:paraId="65A43DE0">
            <w:pPr>
              <w:numPr>
                <w:ilvl w:val="1"/>
                <w:numId w:val="25"/>
              </w:numPr>
              <w:spacing w:line="360" w:lineRule="auto"/>
              <w:jc w:val="both"/>
              <w:rPr>
                <w:rFonts w:ascii="Times New Roman" w:hAnsi="Times New Roman" w:cs="Times New Roman"/>
                <w:b/>
                <w:bCs/>
                <w:sz w:val="24"/>
                <w:szCs w:val="24"/>
                <w:lang w:val="pt-BR"/>
              </w:rPr>
            </w:pPr>
            <w:r>
              <w:rPr>
                <w:rFonts w:ascii="Times New Roman" w:hAnsi="Times New Roman" w:eastAsia="SimSun" w:cs="Times New Roman"/>
                <w:color w:val="000000"/>
                <w:sz w:val="24"/>
                <w:szCs w:val="24"/>
                <w:lang w:val="pt-BR" w:bidi="ar"/>
              </w:rPr>
              <w:t>O fornecedor deverá autorizar a retirada dos itens no prazo máximo de 24 (vinte e quatro) horas, contados a partir da data de assinatura do contrato ou da emissão da ordem de fornecimento, o que ocorrer por último.</w:t>
            </w:r>
          </w:p>
        </w:tc>
      </w:tr>
    </w:tbl>
    <w:p w14:paraId="748848D8">
      <w:pPr>
        <w:jc w:val="both"/>
        <w:rPr>
          <w:rFonts w:ascii="Times New Roman" w:hAnsi="Times New Roman" w:cs="Times New Roman"/>
          <w:b/>
          <w:bCs/>
          <w:sz w:val="24"/>
          <w:szCs w:val="24"/>
          <w:lang w:val="pt-BR"/>
        </w:rPr>
      </w:pPr>
    </w:p>
    <w:tbl>
      <w:tblPr>
        <w:tblStyle w:val="14"/>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9571"/>
      </w:tblGrid>
      <w:tr w14:paraId="0779CBC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571" w:type="dxa"/>
            <w:shd w:val="clear" w:color="auto" w:fill="D7D7D7" w:themeFill="background1" w:themeFillShade="D8"/>
          </w:tcPr>
          <w:p w14:paraId="2B5F70DE">
            <w:pPr>
              <w:numPr>
                <w:ilvl w:val="0"/>
                <w:numId w:val="26"/>
              </w:numPr>
              <w:jc w:val="both"/>
              <w:rPr>
                <w:rFonts w:ascii="Times New Roman" w:hAnsi="Times New Roman" w:cs="Times New Roman"/>
                <w:b/>
                <w:bCs/>
                <w:sz w:val="24"/>
                <w:szCs w:val="24"/>
                <w:lang w:val="pt-BR"/>
              </w:rPr>
            </w:pPr>
            <w:r>
              <w:rPr>
                <w:rFonts w:ascii="Times New Roman" w:hAnsi="Times New Roman" w:cs="Times New Roman"/>
                <w:b/>
                <w:bCs/>
                <w:sz w:val="24"/>
                <w:szCs w:val="24"/>
                <w:lang w:val="pt-BR"/>
              </w:rPr>
              <w:t>FORMA E CRITÉRIOS DE SELEÇÃO DO FORNECEDOR</w:t>
            </w:r>
          </w:p>
        </w:tc>
      </w:tr>
      <w:tr w14:paraId="339C782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571" w:type="dxa"/>
          </w:tcPr>
          <w:p w14:paraId="668BE7BC">
            <w:pPr>
              <w:numPr>
                <w:ilvl w:val="1"/>
                <w:numId w:val="26"/>
              </w:numPr>
              <w:spacing w:line="360" w:lineRule="auto"/>
              <w:jc w:val="both"/>
              <w:rPr>
                <w:rFonts w:ascii="Times New Roman" w:hAnsi="Times New Roman" w:eastAsia="SimSun" w:cs="Times New Roman"/>
                <w:sz w:val="24"/>
                <w:szCs w:val="24"/>
                <w:lang w:val="pt-BR" w:bidi="ar"/>
              </w:rPr>
            </w:pPr>
            <w:r>
              <w:rPr>
                <w:rFonts w:ascii="Times New Roman" w:hAnsi="Times New Roman" w:eastAsia="SimSun" w:cs="Times New Roman"/>
                <w:sz w:val="24"/>
                <w:szCs w:val="24"/>
                <w:lang w:val="pt-BR" w:bidi="ar"/>
              </w:rPr>
              <w:t>O(s) fornecedor(es) será(ão) credenciado (os) por meio da realização do procedimento auxiliar através de Chamamento Público para Credenciamento, sem disputa de lances, mediante aceitação do preço fixado pela Administração.</w:t>
            </w:r>
          </w:p>
          <w:p w14:paraId="204611F5">
            <w:pPr>
              <w:numPr>
                <w:ilvl w:val="1"/>
                <w:numId w:val="26"/>
              </w:numPr>
              <w:spacing w:line="360" w:lineRule="auto"/>
              <w:jc w:val="both"/>
              <w:rPr>
                <w:rFonts w:ascii="Times New Roman" w:hAnsi="Times New Roman" w:eastAsia="SimSun" w:cs="Times New Roman"/>
                <w:sz w:val="24"/>
                <w:szCs w:val="24"/>
                <w:lang w:val="pt-BR" w:bidi="ar"/>
              </w:rPr>
            </w:pPr>
            <w:r>
              <w:rPr>
                <w:rFonts w:ascii="Times New Roman" w:hAnsi="Times New Roman" w:eastAsia="SimSun" w:cs="Times New Roman"/>
                <w:sz w:val="24"/>
                <w:szCs w:val="24"/>
                <w:lang w:val="pt-BR" w:bidi="ar"/>
              </w:rPr>
              <w:t xml:space="preserve"> A referida licitação trata - se de bens e serviços comuns e será realizada preferencialmente sob a forma eletrônica conforme Art. 17 do § 2º da Lei n° 14.133/2021. </w:t>
            </w:r>
          </w:p>
          <w:p w14:paraId="3B2BA4BE">
            <w:pPr>
              <w:numPr>
                <w:ilvl w:val="1"/>
                <w:numId w:val="26"/>
              </w:numPr>
              <w:spacing w:line="360" w:lineRule="auto"/>
              <w:jc w:val="both"/>
              <w:rPr>
                <w:rFonts w:ascii="Times New Roman" w:hAnsi="Times New Roman" w:eastAsia="SimSun" w:cs="Times New Roman"/>
                <w:sz w:val="24"/>
                <w:szCs w:val="24"/>
                <w:lang w:val="pt-BR" w:bidi="ar"/>
              </w:rPr>
            </w:pPr>
            <w:r>
              <w:rPr>
                <w:rFonts w:ascii="Times New Roman" w:hAnsi="Times New Roman" w:eastAsia="SimSun" w:cs="Times New Roman"/>
                <w:sz w:val="24"/>
                <w:szCs w:val="24"/>
                <w:lang w:val="pt-BR" w:bidi="ar"/>
              </w:rPr>
              <w:t>Para fins de habilitação, deverá o licitante comprovar os seguintes requisitos:</w:t>
            </w:r>
          </w:p>
          <w:p w14:paraId="145BE478">
            <w:pPr>
              <w:spacing w:line="360" w:lineRule="auto"/>
              <w:jc w:val="both"/>
              <w:rPr>
                <w:rFonts w:ascii="Times New Roman" w:hAnsi="Times New Roman" w:eastAsia="SimSun" w:cs="Times New Roman"/>
                <w:b/>
                <w:bCs/>
                <w:sz w:val="24"/>
                <w:szCs w:val="24"/>
                <w:lang w:val="pt-BR" w:bidi="ar"/>
              </w:rPr>
            </w:pPr>
            <w:r>
              <w:rPr>
                <w:rFonts w:ascii="Times New Roman" w:hAnsi="Times New Roman" w:eastAsia="SimSun" w:cs="Times New Roman"/>
                <w:b/>
                <w:bCs/>
                <w:sz w:val="24"/>
                <w:szCs w:val="24"/>
                <w:lang w:val="pt-BR" w:bidi="ar"/>
              </w:rPr>
              <w:t>Habilitação jurídica:</w:t>
            </w:r>
          </w:p>
          <w:p w14:paraId="24588219">
            <w:pPr>
              <w:numPr>
                <w:ilvl w:val="1"/>
                <w:numId w:val="26"/>
              </w:numPr>
              <w:spacing w:line="360" w:lineRule="auto"/>
              <w:jc w:val="both"/>
              <w:rPr>
                <w:rFonts w:ascii="Times New Roman" w:hAnsi="Times New Roman" w:eastAsia="SimSun" w:cs="Times New Roman"/>
                <w:sz w:val="24"/>
                <w:szCs w:val="24"/>
                <w:lang w:val="pt-BR" w:bidi="ar"/>
              </w:rPr>
            </w:pPr>
            <w:r>
              <w:rPr>
                <w:rFonts w:ascii="Times New Roman" w:hAnsi="Times New Roman" w:eastAsia="SimSun" w:cs="Times New Roman"/>
                <w:sz w:val="24"/>
                <w:szCs w:val="24"/>
                <w:lang w:val="pt-BR" w:bidi="ar"/>
              </w:rPr>
              <w:t>Pessoa física: cédula de identidade (RG) ou documento equivalente que, por força de lei, tenha validade para fins de identificação em todo o território nacional;</w:t>
            </w:r>
          </w:p>
          <w:p w14:paraId="7283BCE4">
            <w:pPr>
              <w:numPr>
                <w:ilvl w:val="1"/>
                <w:numId w:val="26"/>
              </w:numPr>
              <w:spacing w:line="360" w:lineRule="auto"/>
              <w:jc w:val="both"/>
              <w:rPr>
                <w:rFonts w:ascii="Times New Roman" w:hAnsi="Times New Roman" w:eastAsia="SimSun" w:cs="Times New Roman"/>
                <w:sz w:val="24"/>
                <w:szCs w:val="24"/>
                <w:lang w:val="pt-BR" w:bidi="ar"/>
              </w:rPr>
            </w:pPr>
            <w:r>
              <w:rPr>
                <w:rFonts w:ascii="Times New Roman" w:hAnsi="Times New Roman" w:eastAsia="SimSun" w:cs="Times New Roman"/>
                <w:sz w:val="24"/>
                <w:szCs w:val="24"/>
                <w:lang w:val="pt-BR" w:bidi="ar"/>
              </w:rPr>
              <w:t xml:space="preserve">Empresário individual: inscrição no Registro Público de Empresas Mercantis, a cargo da Junta Comercial da respectiva sede; </w:t>
            </w:r>
          </w:p>
          <w:p w14:paraId="42F25F6E">
            <w:pPr>
              <w:numPr>
                <w:ilvl w:val="1"/>
                <w:numId w:val="26"/>
              </w:numPr>
              <w:spacing w:line="360" w:lineRule="auto"/>
              <w:jc w:val="both"/>
              <w:rPr>
                <w:rFonts w:ascii="Times New Roman" w:hAnsi="Times New Roman" w:eastAsia="SimSun" w:cs="Times New Roman"/>
                <w:sz w:val="24"/>
                <w:szCs w:val="24"/>
                <w:lang w:val="pt-BR" w:bidi="ar"/>
              </w:rPr>
            </w:pPr>
            <w:r>
              <w:rPr>
                <w:rFonts w:ascii="Times New Roman" w:hAnsi="Times New Roman" w:eastAsia="SimSun" w:cs="Times New Roman"/>
                <w:sz w:val="24"/>
                <w:szCs w:val="24"/>
                <w:lang w:val="pt-BR" w:bidi="ar"/>
              </w:rPr>
              <w:t xml:space="preserve">Microempreendedor Individual - MEI: Certificado da Condição de Microempreendedor Individual - CCMEI, cuja aceitação ficará condicionada à verificação da autenticidade no sítio </w:t>
            </w:r>
            <w:r>
              <w:fldChar w:fldCharType="begin"/>
            </w:r>
            <w:r>
              <w:instrText xml:space="preserve"> HYPERLINK "https://www.gov.br/empresas-e-negocios/pt-br/empreendedor" \h </w:instrText>
            </w:r>
            <w:r>
              <w:fldChar w:fldCharType="separate"/>
            </w:r>
            <w:r>
              <w:rPr>
                <w:rFonts w:ascii="Times New Roman" w:hAnsi="Times New Roman" w:eastAsia="SimSun" w:cs="Times New Roman"/>
                <w:sz w:val="24"/>
                <w:szCs w:val="24"/>
                <w:lang w:val="pt-BR" w:bidi="ar"/>
              </w:rPr>
              <w:t>https://www.gov.br/empresas-e-negocios/pt-br/empreendedor</w:t>
            </w:r>
            <w:r>
              <w:rPr>
                <w:rFonts w:ascii="Times New Roman" w:hAnsi="Times New Roman" w:eastAsia="SimSun" w:cs="Times New Roman"/>
                <w:sz w:val="24"/>
                <w:szCs w:val="24"/>
                <w:lang w:val="pt-BR" w:bidi="ar"/>
              </w:rPr>
              <w:fldChar w:fldCharType="end"/>
            </w:r>
            <w:r>
              <w:rPr>
                <w:rFonts w:ascii="Times New Roman" w:hAnsi="Times New Roman" w:eastAsia="SimSun" w:cs="Times New Roman"/>
                <w:sz w:val="24"/>
                <w:szCs w:val="24"/>
                <w:lang w:val="pt-BR" w:bidi="ar"/>
              </w:rPr>
              <w:t>;</w:t>
            </w:r>
          </w:p>
          <w:p w14:paraId="6743C850">
            <w:pPr>
              <w:numPr>
                <w:ilvl w:val="1"/>
                <w:numId w:val="26"/>
              </w:numPr>
              <w:spacing w:line="360" w:lineRule="auto"/>
              <w:jc w:val="both"/>
              <w:rPr>
                <w:rFonts w:ascii="Times New Roman" w:hAnsi="Times New Roman" w:eastAsia="SimSun" w:cs="Times New Roman"/>
                <w:sz w:val="24"/>
                <w:szCs w:val="24"/>
                <w:lang w:val="pt-BR" w:bidi="ar"/>
              </w:rPr>
            </w:pPr>
            <w:r>
              <w:rPr>
                <w:rFonts w:ascii="Times New Roman" w:hAnsi="Times New Roman" w:eastAsia="SimSun" w:cs="Times New Roman"/>
                <w:sz w:val="24"/>
                <w:szCs w:val="24"/>
                <w:lang w:val="pt-BR" w:bidi="ar"/>
              </w:rPr>
              <w:t>Sociedade empresária, sociedade limitada unipessoal – SLU ou sociedade identificada como empresa individual de responsabilidade limitada - EIRELI: inscrição do ato constitutivo, estatuto ou contrato social no Registro Público de Empresas Mercantis, a cargo da Junta Comercial da respectiva sede, acompanhada de documento comprobatório de seus administradores;</w:t>
            </w:r>
          </w:p>
          <w:p w14:paraId="2E689E99">
            <w:pPr>
              <w:numPr>
                <w:ilvl w:val="1"/>
                <w:numId w:val="26"/>
              </w:numPr>
              <w:spacing w:line="360" w:lineRule="auto"/>
              <w:jc w:val="both"/>
              <w:rPr>
                <w:rFonts w:ascii="Times New Roman" w:hAnsi="Times New Roman" w:eastAsia="SimSun" w:cs="Times New Roman"/>
                <w:sz w:val="24"/>
                <w:szCs w:val="24"/>
                <w:lang w:val="pt-BR" w:bidi="ar"/>
              </w:rPr>
            </w:pPr>
            <w:r>
              <w:rPr>
                <w:rFonts w:ascii="Times New Roman" w:hAnsi="Times New Roman" w:eastAsia="SimSun" w:cs="Times New Roman"/>
                <w:sz w:val="24"/>
                <w:szCs w:val="24"/>
                <w:lang w:val="pt-BR" w:bidi="ar"/>
              </w:rPr>
              <w:t>Sociedade empresária, sociedade limitada unipessoal – SLU ou sociedade identificada como empresa individual de responsabilidade limitada - EIRELI: inscrição do ato constitutivo, estatuto ou contrato social no Registro Público de Empresas Mercantis, a cargo da Junta Comercial da respectiva sede, acompanhada de documento comprobatório de seus administradores;</w:t>
            </w:r>
          </w:p>
          <w:p w14:paraId="7E991EE2">
            <w:pPr>
              <w:numPr>
                <w:ilvl w:val="1"/>
                <w:numId w:val="26"/>
              </w:numPr>
              <w:spacing w:line="360" w:lineRule="auto"/>
              <w:jc w:val="both"/>
              <w:rPr>
                <w:rFonts w:ascii="Times New Roman" w:hAnsi="Times New Roman" w:eastAsia="SimSun" w:cs="Times New Roman"/>
                <w:sz w:val="24"/>
                <w:szCs w:val="24"/>
                <w:lang w:val="pt-BR" w:bidi="ar"/>
              </w:rPr>
            </w:pPr>
            <w:r>
              <w:rPr>
                <w:rFonts w:ascii="Times New Roman" w:hAnsi="Times New Roman" w:eastAsia="SimSun" w:cs="Times New Roman"/>
                <w:sz w:val="24"/>
                <w:szCs w:val="24"/>
                <w:lang w:val="pt-BR" w:bidi="ar"/>
              </w:rPr>
              <w:t xml:space="preserve"> Sociedade empresária estrangeira: portaria de autorização de funcionamento no Brasil, publicada no Diário Oficial da União e arquivada na Junta Comercial da unidade federativa onde se localizar a filial, agência, sucursal ou estabelecimento, a qual será considerada como sua sede;</w:t>
            </w:r>
          </w:p>
          <w:p w14:paraId="5342B2FF">
            <w:pPr>
              <w:numPr>
                <w:ilvl w:val="1"/>
                <w:numId w:val="26"/>
              </w:numPr>
              <w:spacing w:line="360" w:lineRule="auto"/>
              <w:jc w:val="both"/>
              <w:rPr>
                <w:rFonts w:ascii="Times New Roman" w:hAnsi="Times New Roman" w:eastAsia="SimSun" w:cs="Times New Roman"/>
                <w:sz w:val="24"/>
                <w:szCs w:val="24"/>
                <w:lang w:val="pt-BR" w:bidi="ar"/>
              </w:rPr>
            </w:pPr>
            <w:r>
              <w:rPr>
                <w:rFonts w:ascii="Times New Roman" w:hAnsi="Times New Roman" w:eastAsia="SimSun" w:cs="Times New Roman"/>
                <w:sz w:val="24"/>
                <w:szCs w:val="24"/>
                <w:lang w:val="pt-BR" w:bidi="ar"/>
              </w:rPr>
              <w:t xml:space="preserve"> Sociedade simples: inscrição do ato constitutivo no Registro Civil de Pessoas Jurídicas do local de sua sede, acompanhada de documento comprobatório de seus administradores;</w:t>
            </w:r>
          </w:p>
          <w:p w14:paraId="40D9B3E2">
            <w:pPr>
              <w:numPr>
                <w:ilvl w:val="1"/>
                <w:numId w:val="26"/>
              </w:numPr>
              <w:spacing w:line="360" w:lineRule="auto"/>
              <w:jc w:val="both"/>
              <w:rPr>
                <w:rFonts w:ascii="Times New Roman" w:hAnsi="Times New Roman" w:eastAsia="SimSun" w:cs="Times New Roman"/>
                <w:sz w:val="24"/>
                <w:szCs w:val="24"/>
                <w:lang w:val="pt-BR" w:bidi="ar"/>
              </w:rPr>
            </w:pPr>
            <w:r>
              <w:rPr>
                <w:rFonts w:ascii="Times New Roman" w:hAnsi="Times New Roman" w:eastAsia="SimSun" w:cs="Times New Roman"/>
                <w:sz w:val="24"/>
                <w:szCs w:val="24"/>
                <w:lang w:val="pt-BR" w:bidi="ar"/>
              </w:rPr>
              <w:t xml:space="preserve"> Filial, sucursal ou agência de sociedade simples ou empresária: inscrição do ato constitutivo da filial, sucursal ou agência da sociedade simples ou empresária, respectivamente, no Registro Civil das Pessoas Jurídicas ou no Registro Público de Empresas </w:t>
            </w:r>
            <w:bookmarkStart w:id="0" w:name="_Int_ySfCXwr4"/>
            <w:r>
              <w:rPr>
                <w:rFonts w:ascii="Times New Roman" w:hAnsi="Times New Roman" w:eastAsia="SimSun" w:cs="Times New Roman"/>
                <w:sz w:val="24"/>
                <w:szCs w:val="24"/>
                <w:lang w:val="pt-BR" w:bidi="ar"/>
              </w:rPr>
              <w:t>Mercantis onde</w:t>
            </w:r>
            <w:bookmarkEnd w:id="0"/>
            <w:r>
              <w:rPr>
                <w:rFonts w:ascii="Times New Roman" w:hAnsi="Times New Roman" w:eastAsia="SimSun" w:cs="Times New Roman"/>
                <w:sz w:val="24"/>
                <w:szCs w:val="24"/>
                <w:lang w:val="pt-BR" w:bidi="ar"/>
              </w:rPr>
              <w:t xml:space="preserve"> opera, com averbação no Registro onde tem sede a matriz;</w:t>
            </w:r>
          </w:p>
          <w:p w14:paraId="7AD6B75F">
            <w:pPr>
              <w:numPr>
                <w:ilvl w:val="1"/>
                <w:numId w:val="26"/>
              </w:numPr>
              <w:spacing w:line="360" w:lineRule="auto"/>
              <w:jc w:val="both"/>
              <w:rPr>
                <w:rFonts w:ascii="Times New Roman" w:hAnsi="Times New Roman" w:eastAsia="SimSun" w:cs="Times New Roman"/>
                <w:sz w:val="24"/>
                <w:szCs w:val="24"/>
                <w:lang w:val="pt-BR" w:bidi="ar"/>
              </w:rPr>
            </w:pPr>
            <w:r>
              <w:rPr>
                <w:rFonts w:ascii="Times New Roman" w:hAnsi="Times New Roman" w:eastAsia="SimSun" w:cs="Times New Roman"/>
                <w:sz w:val="24"/>
                <w:szCs w:val="24"/>
                <w:lang w:val="pt-BR" w:bidi="ar"/>
              </w:rPr>
              <w:t>No caso do item 9.8., caso a empresa for identificada como EIRELI em seus atos constitutivos, ela deverá ser considerada como convertida em SLU, automaticamente pelo agente de contratação, devendo os seus atos constitutivos serem considerados regulares como EIRELI, mas a empresa deverá se comportar na contratação como uma SLU.</w:t>
            </w:r>
          </w:p>
          <w:p w14:paraId="1A45A24A">
            <w:pPr>
              <w:numPr>
                <w:ilvl w:val="1"/>
                <w:numId w:val="26"/>
              </w:numPr>
              <w:spacing w:line="360" w:lineRule="auto"/>
              <w:jc w:val="both"/>
              <w:rPr>
                <w:rFonts w:ascii="Times New Roman" w:hAnsi="Times New Roman" w:eastAsia="SimSun" w:cs="Times New Roman"/>
                <w:sz w:val="24"/>
                <w:szCs w:val="24"/>
                <w:lang w:val="pt-BR" w:bidi="ar"/>
              </w:rPr>
            </w:pPr>
            <w:r>
              <w:rPr>
                <w:rFonts w:ascii="Times New Roman" w:hAnsi="Times New Roman" w:eastAsia="SimSun" w:cs="Times New Roman"/>
                <w:sz w:val="24"/>
                <w:szCs w:val="24"/>
                <w:lang w:val="pt-BR" w:bidi="ar"/>
              </w:rPr>
              <w:t xml:space="preserve"> Tratando-se de procurador, apresentar procuração por instrumento público ou particular, que comprove os poderes do mandante para a outorga, com firma reconhecida, da qual constem poderes específicos para formular lances, negociar preço, interpor recursos, desistir de sua interposição e praticar todos os demais atos pertinentes ao certame.</w:t>
            </w:r>
          </w:p>
          <w:p w14:paraId="0736CB29">
            <w:pPr>
              <w:numPr>
                <w:ilvl w:val="1"/>
                <w:numId w:val="26"/>
              </w:numPr>
              <w:spacing w:line="360" w:lineRule="auto"/>
              <w:jc w:val="both"/>
              <w:rPr>
                <w:rFonts w:ascii="Times New Roman" w:hAnsi="Times New Roman" w:eastAsia="SimSun" w:cs="Times New Roman"/>
                <w:sz w:val="24"/>
                <w:szCs w:val="24"/>
                <w:lang w:val="pt-BR" w:bidi="ar"/>
              </w:rPr>
            </w:pPr>
            <w:r>
              <w:rPr>
                <w:rFonts w:ascii="Times New Roman" w:hAnsi="Times New Roman" w:eastAsia="SimSun" w:cs="Times New Roman"/>
                <w:sz w:val="24"/>
                <w:szCs w:val="24"/>
                <w:lang w:val="pt-BR" w:bidi="ar"/>
              </w:rPr>
              <w:t>Os documentos apresentados deverão estar acompanhados de todas as alterações ou da consolidação respectiva.</w:t>
            </w:r>
          </w:p>
          <w:p w14:paraId="611579B2">
            <w:pPr>
              <w:spacing w:line="360" w:lineRule="auto"/>
              <w:jc w:val="both"/>
              <w:rPr>
                <w:rFonts w:ascii="Times New Roman" w:hAnsi="Times New Roman" w:eastAsia="SimSun" w:cs="Times New Roman"/>
                <w:b/>
                <w:bCs/>
                <w:sz w:val="24"/>
                <w:szCs w:val="24"/>
                <w:lang w:val="pt-BR" w:bidi="ar"/>
              </w:rPr>
            </w:pPr>
            <w:r>
              <w:rPr>
                <w:rFonts w:ascii="Times New Roman" w:hAnsi="Times New Roman" w:eastAsia="SimSun" w:cs="Times New Roman"/>
                <w:b/>
                <w:bCs/>
                <w:sz w:val="24"/>
                <w:szCs w:val="24"/>
                <w:lang w:val="pt-BR" w:bidi="ar"/>
              </w:rPr>
              <w:t>Habilitação fiscal, social e trabalhista:</w:t>
            </w:r>
          </w:p>
          <w:p w14:paraId="1F51A2EF">
            <w:pPr>
              <w:numPr>
                <w:ilvl w:val="1"/>
                <w:numId w:val="26"/>
              </w:numPr>
              <w:spacing w:line="360" w:lineRule="auto"/>
              <w:jc w:val="both"/>
              <w:rPr>
                <w:rFonts w:ascii="Times New Roman" w:hAnsi="Times New Roman" w:eastAsia="SimSun" w:cs="Times New Roman"/>
                <w:sz w:val="24"/>
                <w:szCs w:val="24"/>
                <w:lang w:val="pt-BR" w:bidi="ar"/>
              </w:rPr>
            </w:pPr>
            <w:r>
              <w:rPr>
                <w:rFonts w:ascii="Times New Roman" w:hAnsi="Times New Roman" w:eastAsia="SimSun" w:cs="Times New Roman"/>
                <w:sz w:val="24"/>
                <w:szCs w:val="24"/>
                <w:lang w:val="pt-BR" w:bidi="ar"/>
              </w:rPr>
              <w:t xml:space="preserve"> Prova de inscrição no Cadastro Nacional de Pessoas Jurídicas (CNPJ) ou no Cadastro de Pessoas Físicas (CPF), conforme o caso;</w:t>
            </w:r>
          </w:p>
          <w:p w14:paraId="356F200B">
            <w:pPr>
              <w:numPr>
                <w:ilvl w:val="1"/>
                <w:numId w:val="26"/>
              </w:numPr>
              <w:spacing w:line="360" w:lineRule="auto"/>
              <w:jc w:val="both"/>
              <w:rPr>
                <w:rFonts w:ascii="Times New Roman" w:hAnsi="Times New Roman" w:eastAsia="SimSun" w:cs="Times New Roman"/>
                <w:sz w:val="24"/>
                <w:szCs w:val="24"/>
                <w:lang w:val="pt-BR" w:bidi="ar"/>
              </w:rPr>
            </w:pPr>
            <w:r>
              <w:rPr>
                <w:rFonts w:ascii="Times New Roman" w:hAnsi="Times New Roman" w:eastAsia="SimSun" w:cs="Times New Roman"/>
                <w:sz w:val="24"/>
                <w:szCs w:val="24"/>
                <w:lang w:val="pt-BR" w:bidi="ar"/>
              </w:rPr>
              <w:t xml:space="preserve">Prova de inscrição no cadastro de contribuintes Estadual/Distrital ou Municipal/Distrital relativo ao domicílio ou sede do fornecedor, pertinente ao seu ramo de atividade e compatível com o objeto contratual; </w:t>
            </w:r>
          </w:p>
          <w:p w14:paraId="5C95858C">
            <w:pPr>
              <w:numPr>
                <w:ilvl w:val="1"/>
                <w:numId w:val="26"/>
              </w:numPr>
              <w:spacing w:line="360" w:lineRule="auto"/>
              <w:jc w:val="both"/>
              <w:rPr>
                <w:rFonts w:ascii="Times New Roman" w:hAnsi="Times New Roman" w:eastAsia="SimSun" w:cs="Times New Roman"/>
                <w:sz w:val="24"/>
                <w:szCs w:val="24"/>
                <w:lang w:val="pt-BR" w:bidi="ar"/>
              </w:rPr>
            </w:pPr>
            <w:r>
              <w:rPr>
                <w:rFonts w:ascii="Times New Roman" w:hAnsi="Times New Roman" w:eastAsia="SimSun" w:cs="Times New Roman"/>
                <w:sz w:val="24"/>
                <w:szCs w:val="24"/>
                <w:lang w:val="pt-BR" w:bidi="ar"/>
              </w:rPr>
              <w:t xml:space="preserve">  Prova de regularidade fiscal perante a Fazenda Nacional, mediante apresentação de certidão expedida conjuntamente pela Secretaria da Receita Federal do Brasil (RFB) e pela Procuradoria-Geral da Fazenda Nacional (PGFN), referente a todos os créditos tributários federais e à Dívida Ativa da União (DAU) por elas administrados, inclusive aqueles relativos à Seguridade Social, nos termos da Portaria Conjunta nº 1.751/2014, bem como prova de regularidade com a Fazenda Estadual/Distrital ou Municipal/Distrital do domicílio ou sede do fornecedor, relativa à atividade em cujo exercício contrata ou concorre;</w:t>
            </w:r>
          </w:p>
          <w:p w14:paraId="69F9D437">
            <w:pPr>
              <w:numPr>
                <w:ilvl w:val="1"/>
                <w:numId w:val="26"/>
              </w:numPr>
              <w:spacing w:line="360" w:lineRule="auto"/>
              <w:jc w:val="both"/>
              <w:rPr>
                <w:rFonts w:ascii="Times New Roman" w:hAnsi="Times New Roman" w:eastAsia="SimSun" w:cs="Times New Roman"/>
                <w:sz w:val="24"/>
                <w:szCs w:val="24"/>
                <w:lang w:val="pt-BR" w:bidi="ar"/>
              </w:rPr>
            </w:pPr>
            <w:r>
              <w:rPr>
                <w:rFonts w:ascii="Times New Roman" w:hAnsi="Times New Roman" w:eastAsia="SimSun" w:cs="Times New Roman"/>
                <w:sz w:val="24"/>
                <w:szCs w:val="24"/>
                <w:lang w:val="pt-BR" w:bidi="ar"/>
              </w:rPr>
              <w:t xml:space="preserve"> Prova de regularidade com o Fundo de Garantia do Tempo de Serviço (FGTS);</w:t>
            </w:r>
          </w:p>
          <w:p w14:paraId="07A44A92">
            <w:pPr>
              <w:numPr>
                <w:ilvl w:val="1"/>
                <w:numId w:val="26"/>
              </w:numPr>
              <w:spacing w:line="360" w:lineRule="auto"/>
              <w:jc w:val="both"/>
              <w:rPr>
                <w:rFonts w:ascii="Times New Roman" w:hAnsi="Times New Roman" w:eastAsia="SimSun" w:cs="Times New Roman"/>
                <w:sz w:val="24"/>
                <w:szCs w:val="24"/>
                <w:lang w:val="pt-BR" w:bidi="ar"/>
              </w:rPr>
            </w:pPr>
            <w:r>
              <w:rPr>
                <w:rFonts w:ascii="Times New Roman" w:hAnsi="Times New Roman" w:eastAsia="SimSun" w:cs="Times New Roman"/>
                <w:sz w:val="24"/>
                <w:szCs w:val="24"/>
                <w:lang w:val="pt-BR" w:bidi="ar"/>
              </w:rPr>
              <w:t xml:space="preserve"> Prova de inexistência de débitos inadimplidos perante a Justiça do Trabalho, mediante a apresentação de certidão negativa ou positiva com efeito de negativa, nos termos do Título VII-A da Consolidação das Leis do Trabalho, aprovada pelo Decreto-Lei nº 5.452/1943;</w:t>
            </w:r>
          </w:p>
          <w:p w14:paraId="61CBA955">
            <w:pPr>
              <w:spacing w:line="360" w:lineRule="auto"/>
              <w:jc w:val="both"/>
              <w:rPr>
                <w:rFonts w:ascii="Times New Roman" w:hAnsi="Times New Roman" w:eastAsia="SimSun" w:cs="Times New Roman"/>
                <w:sz w:val="24"/>
                <w:szCs w:val="24"/>
                <w:lang w:val="pt-BR" w:bidi="ar"/>
              </w:rPr>
            </w:pPr>
            <w:r>
              <w:rPr>
                <w:rFonts w:ascii="Times New Roman" w:hAnsi="Times New Roman" w:eastAsia="SimSun" w:cs="Times New Roman"/>
                <w:sz w:val="24"/>
                <w:szCs w:val="24"/>
                <w:lang w:val="pt-BR" w:bidi="ar"/>
              </w:rPr>
              <w:t xml:space="preserve"> </w:t>
            </w:r>
            <w:r>
              <w:rPr>
                <w:rFonts w:ascii="Times New Roman" w:hAnsi="Times New Roman" w:eastAsia="SimSun" w:cs="Times New Roman"/>
                <w:b/>
                <w:bCs/>
                <w:sz w:val="24"/>
                <w:szCs w:val="24"/>
                <w:lang w:val="pt-BR" w:bidi="ar"/>
              </w:rPr>
              <w:t>Qualificação Econômico-Financeira:</w:t>
            </w:r>
          </w:p>
          <w:p w14:paraId="01B9AAFD">
            <w:pPr>
              <w:numPr>
                <w:ilvl w:val="0"/>
                <w:numId w:val="27"/>
              </w:numPr>
              <w:tabs>
                <w:tab w:val="left" w:pos="0"/>
                <w:tab w:val="clear" w:pos="425"/>
              </w:tabs>
              <w:spacing w:line="360" w:lineRule="auto"/>
              <w:ind w:left="5" w:leftChars="0" w:hanging="5" w:firstLineChars="0"/>
              <w:jc w:val="both"/>
              <w:rPr>
                <w:rFonts w:ascii="Times New Roman" w:hAnsi="Times New Roman" w:eastAsia="SimSun" w:cs="Times New Roman"/>
                <w:sz w:val="24"/>
                <w:szCs w:val="24"/>
                <w:lang w:val="pt-BR" w:bidi="ar"/>
              </w:rPr>
            </w:pPr>
            <w:r>
              <w:rPr>
                <w:rFonts w:ascii="Times New Roman" w:hAnsi="Times New Roman" w:eastAsia="SimSun" w:cs="Times New Roman"/>
                <w:sz w:val="24"/>
                <w:szCs w:val="24"/>
                <w:lang w:val="pt-BR" w:bidi="ar"/>
              </w:rPr>
              <w:t>Em estrita observância ao princípio da ampla competitividade e ao art. 79, inciso I, da Lei Federal nº 14.133/2021, as exigências de qualificação econômico-financeira para o presente credenciamento foram delimitadas de forma simplificada, abstendo-se a Administração de exigir Balanço Patrimonial, Capital Mínimo ou Índices Contábeis (Liquidez Geral, Liquidez Corrente e Solvência Geral).</w:t>
            </w:r>
          </w:p>
          <w:p w14:paraId="346C8EBC">
            <w:pPr>
              <w:numPr>
                <w:ilvl w:val="0"/>
                <w:numId w:val="28"/>
              </w:numPr>
              <w:tabs>
                <w:tab w:val="left" w:pos="0"/>
                <w:tab w:val="clear" w:pos="425"/>
              </w:tabs>
              <w:spacing w:line="360" w:lineRule="auto"/>
              <w:ind w:left="0" w:leftChars="0" w:firstLine="398" w:firstLineChars="166"/>
              <w:jc w:val="both"/>
              <w:rPr>
                <w:rFonts w:ascii="Times New Roman" w:hAnsi="Times New Roman" w:eastAsia="SimSun" w:cs="Times New Roman"/>
                <w:sz w:val="24"/>
                <w:szCs w:val="24"/>
                <w:lang w:val="pt-BR" w:bidi="ar"/>
              </w:rPr>
            </w:pPr>
            <w:r>
              <w:rPr>
                <w:rFonts w:ascii="Times New Roman" w:hAnsi="Times New Roman" w:eastAsia="SimSun" w:cs="Times New Roman"/>
                <w:sz w:val="24"/>
                <w:szCs w:val="24"/>
                <w:lang w:val="pt-BR" w:bidi="ar"/>
              </w:rPr>
              <w:t xml:space="preserve"> A referida modelagem encontra amparo na jurisprudência consolidada do Tribunal de Contas da União (TCU), a exemplo do Acórdão nº 2.618/2022-Plenário, que considera restritiva e ilegal a fixação de índices contábeis complexos em procedimentos de credenciamento, haja vista que o instituto visa à universalidade de fornecedores e à ampla participação de interessados.</w:t>
            </w:r>
          </w:p>
          <w:p w14:paraId="34D638DD">
            <w:pPr>
              <w:numPr>
                <w:ilvl w:val="0"/>
                <w:numId w:val="28"/>
              </w:numPr>
              <w:tabs>
                <w:tab w:val="left" w:pos="0"/>
                <w:tab w:val="clear" w:pos="425"/>
              </w:tabs>
              <w:spacing w:line="360" w:lineRule="auto"/>
              <w:ind w:left="0" w:leftChars="0" w:firstLine="398" w:firstLineChars="166"/>
              <w:jc w:val="both"/>
              <w:rPr>
                <w:rFonts w:ascii="Times New Roman" w:hAnsi="Times New Roman" w:eastAsia="SimSun" w:cs="Times New Roman"/>
                <w:sz w:val="24"/>
                <w:szCs w:val="24"/>
                <w:lang w:val="pt-BR" w:bidi="ar"/>
              </w:rPr>
            </w:pPr>
            <w:r>
              <w:rPr>
                <w:rFonts w:ascii="Times New Roman" w:hAnsi="Times New Roman" w:eastAsia="SimSun" w:cs="Times New Roman"/>
                <w:sz w:val="24"/>
                <w:szCs w:val="24"/>
                <w:lang w:val="pt-BR" w:bidi="ar"/>
              </w:rPr>
              <w:t>Ademais, a natureza do objeto e a modelagem da execução contratual justificam o afastamento de tais exigências burocráticas, considerando que:</w:t>
            </w:r>
          </w:p>
          <w:p w14:paraId="5C743CB0">
            <w:pPr>
              <w:numPr>
                <w:ilvl w:val="0"/>
                <w:numId w:val="0"/>
              </w:numPr>
              <w:spacing w:line="360" w:lineRule="auto"/>
              <w:ind w:leftChars="0"/>
              <w:jc w:val="both"/>
              <w:rPr>
                <w:rFonts w:ascii="Times New Roman" w:hAnsi="Times New Roman" w:eastAsia="SimSun" w:cs="Times New Roman"/>
                <w:sz w:val="24"/>
                <w:szCs w:val="24"/>
                <w:lang w:val="pt-BR" w:bidi="ar"/>
              </w:rPr>
            </w:pPr>
            <w:r>
              <w:rPr>
                <w:rFonts w:ascii="Times New Roman" w:hAnsi="Times New Roman" w:eastAsia="SimSun" w:cs="Times New Roman"/>
                <w:sz w:val="24"/>
                <w:szCs w:val="24"/>
                <w:lang w:val="pt-BR" w:bidi="ar"/>
              </w:rPr>
              <w:t>a) Os pagamentos serão realizados exclusivamente por medição, condicionados à efetiva entrega e recepção do material (cascalho) pela Administração Pública;</w:t>
            </w:r>
          </w:p>
          <w:p w14:paraId="7E22E3A9">
            <w:pPr>
              <w:numPr>
                <w:ilvl w:val="0"/>
                <w:numId w:val="0"/>
              </w:numPr>
              <w:spacing w:line="360" w:lineRule="auto"/>
              <w:ind w:leftChars="0"/>
              <w:jc w:val="both"/>
              <w:rPr>
                <w:rFonts w:ascii="Times New Roman" w:hAnsi="Times New Roman" w:eastAsia="SimSun" w:cs="Times New Roman"/>
                <w:sz w:val="24"/>
                <w:szCs w:val="24"/>
                <w:lang w:val="pt-BR" w:bidi="ar"/>
              </w:rPr>
            </w:pPr>
            <w:r>
              <w:rPr>
                <w:rFonts w:ascii="Times New Roman" w:hAnsi="Times New Roman" w:eastAsia="SimSun" w:cs="Times New Roman"/>
                <w:sz w:val="24"/>
                <w:szCs w:val="24"/>
                <w:lang w:val="pt-BR" w:bidi="ar"/>
              </w:rPr>
              <w:t>b) Fica descaracterizado qualquer risco de prejuízo financeiro por inadimplência prévia ou antecipação de valores por parte deste órgão ordenador;</w:t>
            </w:r>
          </w:p>
          <w:p w14:paraId="53955E64">
            <w:pPr>
              <w:numPr>
                <w:ilvl w:val="0"/>
                <w:numId w:val="0"/>
              </w:numPr>
              <w:spacing w:line="360" w:lineRule="auto"/>
              <w:ind w:leftChars="0"/>
              <w:jc w:val="both"/>
              <w:rPr>
                <w:rFonts w:ascii="Times New Roman" w:hAnsi="Times New Roman" w:eastAsia="SimSun" w:cs="Times New Roman"/>
                <w:sz w:val="24"/>
                <w:szCs w:val="24"/>
                <w:lang w:val="pt-BR" w:bidi="ar"/>
              </w:rPr>
            </w:pPr>
            <w:r>
              <w:rPr>
                <w:rFonts w:ascii="Times New Roman" w:hAnsi="Times New Roman" w:eastAsia="SimSun" w:cs="Times New Roman"/>
                <w:sz w:val="24"/>
                <w:szCs w:val="24"/>
                <w:lang w:val="pt-BR" w:bidi="ar"/>
              </w:rPr>
              <w:t>c) A exigência restringe-se, portanto, à comprovação da higidez jurídica e comercial por meio da Certidão Negativa de Falência ou Insolvência Civil, documento suficiente para atestar a aptidão do interessado em contratar com o Poder Público, em conformidade com o art. 69, inciso II, da Lei nº 14.133/2021.</w:t>
            </w:r>
          </w:p>
          <w:p w14:paraId="15268AED">
            <w:pPr>
              <w:spacing w:line="360" w:lineRule="auto"/>
              <w:jc w:val="both"/>
              <w:rPr>
                <w:rFonts w:ascii="Times New Roman" w:hAnsi="Times New Roman" w:eastAsia="SimSun" w:cs="Times New Roman"/>
                <w:b/>
                <w:bCs/>
                <w:sz w:val="24"/>
                <w:szCs w:val="24"/>
                <w:lang w:val="pt-BR" w:bidi="ar"/>
              </w:rPr>
            </w:pPr>
            <w:r>
              <w:rPr>
                <w:rFonts w:ascii="Times New Roman" w:hAnsi="Times New Roman" w:eastAsia="SimSun" w:cs="Times New Roman"/>
                <w:b/>
                <w:bCs/>
                <w:sz w:val="24"/>
                <w:szCs w:val="24"/>
                <w:lang w:val="pt-BR" w:bidi="ar"/>
              </w:rPr>
              <w:t>Documentação de Qualificação Técnica Obrigatória – Fornecimento de Cascalho:</w:t>
            </w:r>
          </w:p>
          <w:p w14:paraId="48D6C0E9">
            <w:pPr>
              <w:numPr>
                <w:ilvl w:val="0"/>
                <w:numId w:val="29"/>
              </w:numPr>
              <w:spacing w:line="360" w:lineRule="auto"/>
              <w:ind w:left="425" w:leftChars="0" w:hanging="425" w:firstLineChars="0"/>
              <w:jc w:val="both"/>
              <w:rPr>
                <w:rFonts w:ascii="Times New Roman" w:hAnsi="Times New Roman" w:eastAsia="SimSun" w:cs="Times New Roman"/>
                <w:b/>
                <w:bCs/>
                <w:sz w:val="24"/>
                <w:szCs w:val="24"/>
                <w:lang w:val="pt-BR" w:bidi="ar"/>
              </w:rPr>
            </w:pPr>
            <w:r>
              <w:rPr>
                <w:rFonts w:ascii="Times New Roman" w:hAnsi="Times New Roman" w:eastAsia="SimSun" w:cs="Times New Roman"/>
                <w:sz w:val="24"/>
                <w:szCs w:val="24"/>
                <w:lang w:val="pt-BR" w:bidi="ar"/>
              </w:rPr>
              <w:t>Licença Ambiental válida SEMA-MT</w:t>
            </w:r>
          </w:p>
          <w:p w14:paraId="26B58D20">
            <w:pPr>
              <w:numPr>
                <w:ilvl w:val="0"/>
                <w:numId w:val="29"/>
              </w:numPr>
              <w:spacing w:line="360" w:lineRule="auto"/>
              <w:ind w:left="425" w:leftChars="0" w:hanging="425" w:firstLineChars="0"/>
              <w:jc w:val="both"/>
              <w:rPr>
                <w:rFonts w:ascii="Times New Roman" w:hAnsi="Times New Roman" w:eastAsia="SimSun" w:cs="Times New Roman"/>
                <w:b/>
                <w:bCs/>
                <w:sz w:val="24"/>
                <w:szCs w:val="24"/>
                <w:lang w:val="pt-BR" w:bidi="ar"/>
              </w:rPr>
            </w:pPr>
            <w:r>
              <w:rPr>
                <w:rFonts w:ascii="Times New Roman" w:hAnsi="Times New Roman" w:eastAsia="SimSun" w:cs="Times New Roman"/>
                <w:sz w:val="24"/>
                <w:szCs w:val="24"/>
                <w:lang w:val="pt-BR" w:bidi="ar"/>
              </w:rPr>
              <w:t>Cadastro ativo na Agência Nacional de Mineração (ANM) ou fase de licenciamento.</w:t>
            </w:r>
          </w:p>
          <w:p w14:paraId="14B8DCD5">
            <w:pPr>
              <w:numPr>
                <w:ilvl w:val="0"/>
                <w:numId w:val="29"/>
              </w:numPr>
              <w:spacing w:line="360" w:lineRule="auto"/>
              <w:ind w:left="425" w:leftChars="0" w:hanging="425" w:firstLineChars="0"/>
              <w:jc w:val="both"/>
              <w:rPr>
                <w:rFonts w:ascii="Times New Roman" w:hAnsi="Times New Roman" w:eastAsia="SimSun" w:cs="Times New Roman"/>
                <w:b/>
                <w:bCs/>
                <w:sz w:val="24"/>
                <w:szCs w:val="24"/>
                <w:lang w:val="pt-BR" w:bidi="ar"/>
              </w:rPr>
            </w:pPr>
            <w:r>
              <w:rPr>
                <w:rFonts w:ascii="Times New Roman" w:hAnsi="Times New Roman" w:eastAsia="SimSun" w:cs="Times New Roman"/>
                <w:sz w:val="24"/>
                <w:szCs w:val="24"/>
                <w:lang w:val="pt-BR" w:bidi="ar"/>
              </w:rPr>
              <w:t>Anotação de Responsabilidade Técnica (ART) ou Termo de Responsabilidade Técnica.</w:t>
            </w:r>
          </w:p>
          <w:p w14:paraId="11A822D0">
            <w:pPr>
              <w:numPr>
                <w:ilvl w:val="0"/>
                <w:numId w:val="29"/>
              </w:numPr>
              <w:tabs>
                <w:tab w:val="clear" w:pos="425"/>
              </w:tabs>
              <w:spacing w:line="360" w:lineRule="auto"/>
              <w:ind w:left="5" w:leftChars="0" w:hanging="5" w:firstLineChars="0"/>
              <w:jc w:val="both"/>
              <w:rPr>
                <w:rFonts w:ascii="Times New Roman" w:hAnsi="Times New Roman" w:eastAsia="SimSun" w:cs="Times New Roman"/>
                <w:b/>
                <w:bCs/>
                <w:sz w:val="24"/>
                <w:szCs w:val="24"/>
                <w:lang w:val="pt-BR" w:bidi="ar"/>
              </w:rPr>
            </w:pPr>
            <w:r>
              <w:rPr>
                <w:rFonts w:ascii="Times New Roman" w:hAnsi="Times New Roman" w:eastAsia="SimSun" w:cs="Times New Roman"/>
                <w:sz w:val="24"/>
                <w:szCs w:val="24"/>
                <w:lang w:val="pt-BR" w:bidi="ar"/>
              </w:rPr>
              <w:t>Apresentação de atestado de capacidade técnica emitido por pessoa jurídica de direito público ou privado, que comprove fornecimento de bens de natureza semelhante ao objeto</w:t>
            </w:r>
            <w:r>
              <w:rPr>
                <w:rFonts w:hint="default" w:ascii="Times New Roman" w:hAnsi="Times New Roman" w:eastAsia="SimSun" w:cs="Times New Roman"/>
                <w:sz w:val="24"/>
                <w:szCs w:val="24"/>
                <w:lang w:val="pt-BR" w:bidi="ar"/>
              </w:rPr>
              <w:t>.</w:t>
            </w:r>
          </w:p>
          <w:p w14:paraId="7A088327">
            <w:pPr>
              <w:numPr>
                <w:ilvl w:val="0"/>
                <w:numId w:val="29"/>
              </w:numPr>
              <w:tabs>
                <w:tab w:val="clear" w:pos="425"/>
              </w:tabs>
              <w:spacing w:line="360" w:lineRule="auto"/>
              <w:ind w:left="5" w:leftChars="0" w:hanging="5" w:firstLineChars="0"/>
              <w:jc w:val="both"/>
              <w:rPr>
                <w:rFonts w:ascii="Times New Roman" w:hAnsi="Times New Roman" w:eastAsia="SimSun" w:cs="Times New Roman"/>
                <w:b/>
                <w:bCs/>
                <w:sz w:val="24"/>
                <w:szCs w:val="24"/>
                <w:lang w:val="pt-BR" w:bidi="ar"/>
              </w:rPr>
            </w:pPr>
            <w:r>
              <w:rPr>
                <w:rFonts w:ascii="Times New Roman" w:hAnsi="Times New Roman" w:eastAsia="SimSun" w:cs="Times New Roman"/>
                <w:sz w:val="24"/>
                <w:szCs w:val="24"/>
                <w:lang w:bidi="ar"/>
              </w:rPr>
              <w:t>Da Qualificação Técnico-Operacional: Para fins de habilitação,</w:t>
            </w:r>
            <w:r>
              <w:rPr>
                <w:rFonts w:ascii="Times New Roman" w:hAnsi="Times New Roman" w:eastAsia="SimSun" w:cs="Times New Roman"/>
                <w:color w:val="FF0000"/>
                <w:sz w:val="24"/>
                <w:szCs w:val="24"/>
                <w:lang w:bidi="ar"/>
              </w:rPr>
              <w:t xml:space="preserve"> </w:t>
            </w:r>
            <w:r>
              <w:rPr>
                <w:rFonts w:ascii="Times New Roman" w:hAnsi="Times New Roman" w:eastAsia="SimSun" w:cs="Times New Roman"/>
                <w:b w:val="0"/>
                <w:bCs w:val="0"/>
                <w:color w:val="auto"/>
                <w:sz w:val="24"/>
                <w:szCs w:val="24"/>
                <w:lang w:bidi="ar"/>
              </w:rPr>
              <w:t xml:space="preserve">a interessada deverá </w:t>
            </w:r>
            <w:r>
              <w:rPr>
                <w:rFonts w:ascii="Times New Roman" w:hAnsi="Times New Roman" w:eastAsia="SimSun" w:cs="Times New Roman"/>
                <w:sz w:val="24"/>
                <w:szCs w:val="24"/>
                <w:lang w:bidi="ar"/>
              </w:rPr>
              <w:t>apresentar um ou mais atestados de capacidade técnica que comprovem a execução prévia e satisfatória de serviços compatíveis com o objeto deste credenciamento (extração/fornecimento de cascalho), em quantitativo mínimo correspondente a 30% (trinta por cento) do volume total estimado para a contratação, exigência esta fixada para garantir a segurança operacional do Município com amparo no art. 67, § 2º, da Lei nº 14.133/2021 e na jurisprudência pacificada do Tribunal de Contas da União (Acórdãos nº 1.284/2003, 1.636/2007 e 3.167/2014 – Plenário), que reconhece a legalidade de índices de até 50% sem que isso configure restrição indevida à competitividade.</w:t>
            </w:r>
          </w:p>
          <w:p w14:paraId="78231FD0">
            <w:pPr>
              <w:numPr>
                <w:ilvl w:val="0"/>
                <w:numId w:val="0"/>
              </w:numPr>
              <w:spacing w:line="360" w:lineRule="auto"/>
              <w:ind w:leftChars="0"/>
              <w:jc w:val="both"/>
              <w:rPr>
                <w:rFonts w:ascii="Times New Roman" w:hAnsi="Times New Roman" w:eastAsia="SimSun" w:cs="Times New Roman"/>
                <w:b/>
                <w:bCs/>
                <w:sz w:val="24"/>
                <w:szCs w:val="24"/>
                <w:lang w:val="pt-BR" w:bidi="ar"/>
              </w:rPr>
            </w:pPr>
          </w:p>
        </w:tc>
      </w:tr>
    </w:tbl>
    <w:p w14:paraId="14B9B20E">
      <w:pPr>
        <w:jc w:val="both"/>
        <w:rPr>
          <w:rFonts w:ascii="Times New Roman" w:hAnsi="Times New Roman" w:cs="Times New Roman"/>
          <w:b/>
          <w:bCs/>
          <w:sz w:val="24"/>
          <w:szCs w:val="24"/>
          <w:lang w:val="pt-BR"/>
        </w:rPr>
      </w:pPr>
    </w:p>
    <w:tbl>
      <w:tblPr>
        <w:tblStyle w:val="14"/>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9571"/>
      </w:tblGrid>
      <w:tr w14:paraId="506B482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571" w:type="dxa"/>
            <w:shd w:val="clear" w:color="auto" w:fill="D7D7D7" w:themeFill="background1" w:themeFillShade="D8"/>
          </w:tcPr>
          <w:p w14:paraId="32F086AC">
            <w:pPr>
              <w:numPr>
                <w:ilvl w:val="0"/>
                <w:numId w:val="26"/>
              </w:numPr>
              <w:jc w:val="both"/>
              <w:rPr>
                <w:rFonts w:ascii="Times New Roman" w:hAnsi="Times New Roman" w:cs="Times New Roman"/>
                <w:b/>
                <w:bCs/>
                <w:sz w:val="24"/>
                <w:szCs w:val="24"/>
                <w:lang w:val="pt-BR"/>
              </w:rPr>
            </w:pPr>
            <w:r>
              <w:rPr>
                <w:rFonts w:ascii="Times New Roman" w:hAnsi="Times New Roman" w:eastAsia="SimSun" w:cs="Times New Roman"/>
                <w:b/>
                <w:bCs/>
                <w:color w:val="000000"/>
                <w:sz w:val="24"/>
                <w:szCs w:val="24"/>
                <w:lang w:val="pt-BR" w:bidi="ar"/>
              </w:rPr>
              <w:t>CUSTO ESTIMADO DA CONTRATAÇÃO/PREÇO DE REFERÊNCIA</w:t>
            </w:r>
          </w:p>
        </w:tc>
      </w:tr>
      <w:tr w14:paraId="216DEA9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571" w:type="dxa"/>
          </w:tcPr>
          <w:p w14:paraId="2308A2D2">
            <w:pPr>
              <w:spacing w:line="360" w:lineRule="auto"/>
              <w:jc w:val="both"/>
              <w:rPr>
                <w:rFonts w:hint="default" w:ascii="Times New Roman" w:hAnsi="Times New Roman"/>
                <w:sz w:val="24"/>
                <w:szCs w:val="24"/>
              </w:rPr>
            </w:pPr>
            <w:r>
              <w:rPr>
                <w:rFonts w:hint="default" w:ascii="Times New Roman" w:hAnsi="Times New Roman"/>
                <w:sz w:val="24"/>
                <w:szCs w:val="24"/>
              </w:rPr>
              <w:t>O valor estimado para esta contratação é de R$ 5.32</w:t>
            </w:r>
            <w:r>
              <w:rPr>
                <w:rFonts w:hint="default" w:ascii="Times New Roman" w:hAnsi="Times New Roman"/>
                <w:sz w:val="24"/>
                <w:szCs w:val="24"/>
                <w:lang w:val="pt-BR"/>
              </w:rPr>
              <w:t>3</w:t>
            </w:r>
            <w:r>
              <w:rPr>
                <w:rFonts w:hint="default" w:ascii="Times New Roman" w:hAnsi="Times New Roman"/>
                <w:sz w:val="24"/>
                <w:szCs w:val="24"/>
              </w:rPr>
              <w:t xml:space="preserve">.500,00 (cinco milhões, trezentos e vinte e </w:t>
            </w:r>
            <w:r>
              <w:rPr>
                <w:rFonts w:hint="default" w:ascii="Times New Roman" w:hAnsi="Times New Roman"/>
                <w:sz w:val="24"/>
                <w:szCs w:val="24"/>
                <w:lang w:val="pt-BR"/>
              </w:rPr>
              <w:t>três</w:t>
            </w:r>
            <w:r>
              <w:rPr>
                <w:rFonts w:hint="default" w:ascii="Times New Roman" w:hAnsi="Times New Roman"/>
                <w:sz w:val="24"/>
                <w:szCs w:val="24"/>
              </w:rPr>
              <w:t xml:space="preserve"> mil e quinhentos reais). O custo atual estimado no processo decorre da inserção de quantitativos de itens para obras diretas e do item terra para aterro, não contemplados nos anos anteriores.</w:t>
            </w:r>
          </w:p>
          <w:p w14:paraId="6BD1D6E4">
            <w:pPr>
              <w:spacing w:line="360" w:lineRule="auto"/>
              <w:jc w:val="both"/>
              <w:rPr>
                <w:rFonts w:hint="default" w:ascii="Times New Roman" w:hAnsi="Times New Roman"/>
                <w:sz w:val="24"/>
                <w:szCs w:val="24"/>
              </w:rPr>
            </w:pPr>
            <w:r>
              <w:rPr>
                <w:rFonts w:hint="default" w:ascii="Times New Roman" w:hAnsi="Times New Roman"/>
                <w:sz w:val="24"/>
                <w:szCs w:val="24"/>
              </w:rPr>
              <w:t>Para a estimativa do fornecimento e da escavação/carga do material de jazida (cascalho), adotaram-se duas composições de custos distintas, conforme detalhado a seguir:</w:t>
            </w:r>
          </w:p>
          <w:p w14:paraId="204912A7">
            <w:pPr>
              <w:spacing w:line="360" w:lineRule="auto"/>
              <w:jc w:val="both"/>
              <w:rPr>
                <w:rFonts w:hint="default" w:ascii="Times New Roman" w:hAnsi="Times New Roman"/>
                <w:sz w:val="24"/>
                <w:szCs w:val="24"/>
              </w:rPr>
            </w:pPr>
          </w:p>
          <w:p w14:paraId="723E2DFB">
            <w:pPr>
              <w:spacing w:line="360" w:lineRule="auto"/>
              <w:jc w:val="both"/>
              <w:rPr>
                <w:rFonts w:hint="default" w:ascii="Times New Roman" w:hAnsi="Times New Roman"/>
                <w:sz w:val="24"/>
                <w:szCs w:val="24"/>
              </w:rPr>
            </w:pPr>
            <w:r>
              <w:rPr>
                <w:rFonts w:hint="default" w:ascii="Times New Roman" w:hAnsi="Times New Roman"/>
                <w:sz w:val="24"/>
                <w:szCs w:val="24"/>
              </w:rPr>
              <w:t>Cascalho (insumo, sem carregamento): sobre o custo unitário direto do material aplicou-se o percentual de Benefícios e Despesas Indiretas (BDI) de 15,28%, resultando no valor final de referência de R$ 26,65 por m³.</w:t>
            </w:r>
          </w:p>
          <w:p w14:paraId="2D77E641">
            <w:pPr>
              <w:spacing w:line="360" w:lineRule="auto"/>
              <w:jc w:val="both"/>
              <w:rPr>
                <w:rFonts w:hint="default" w:ascii="Times New Roman" w:hAnsi="Times New Roman"/>
                <w:sz w:val="24"/>
                <w:szCs w:val="24"/>
              </w:rPr>
            </w:pPr>
            <w:r>
              <w:rPr>
                <w:rFonts w:hint="default" w:ascii="Times New Roman" w:hAnsi="Times New Roman"/>
                <w:sz w:val="24"/>
                <w:szCs w:val="24"/>
              </w:rPr>
              <w:t>Cascalho com carregamento (escavação e carga com escavadeira hidráulica): sobre o custo unitário direto da operação, que engloba equipamento, mão de obra e encargos sociais, aplicou-se o percentual de BDI de 20,70%, resultando no valor final de referência de R$ 32,50 por m³.</w:t>
            </w:r>
          </w:p>
          <w:p w14:paraId="061042BB">
            <w:pPr>
              <w:spacing w:line="360" w:lineRule="auto"/>
              <w:jc w:val="both"/>
              <w:rPr>
                <w:rFonts w:hint="default" w:ascii="Times New Roman" w:hAnsi="Times New Roman"/>
                <w:sz w:val="24"/>
                <w:szCs w:val="24"/>
              </w:rPr>
            </w:pPr>
          </w:p>
          <w:p w14:paraId="2E5570CA">
            <w:pPr>
              <w:spacing w:line="360" w:lineRule="auto"/>
              <w:jc w:val="both"/>
              <w:rPr>
                <w:rFonts w:hint="default" w:ascii="Times New Roman" w:hAnsi="Times New Roman" w:cs="Times New Roman"/>
                <w:sz w:val="24"/>
                <w:szCs w:val="24"/>
                <w:lang w:val="pt-BR"/>
              </w:rPr>
            </w:pPr>
            <w:r>
              <w:rPr>
                <w:rFonts w:hint="default" w:ascii="Times New Roman" w:hAnsi="Times New Roman"/>
                <w:sz w:val="24"/>
                <w:szCs w:val="24"/>
              </w:rPr>
              <w:t>A memória de cálculo e o detalhamento dos equipamentos, mão de obra e encargos sociais estão demonstrados nas planilhas de composição de preço unitário (CPU) apresentadas a seguir</w:t>
            </w:r>
            <w:r>
              <w:rPr>
                <w:rFonts w:hint="default" w:ascii="Times New Roman" w:hAnsi="Times New Roman"/>
                <w:sz w:val="24"/>
                <w:szCs w:val="24"/>
                <w:lang w:val="pt-BR"/>
              </w:rPr>
              <w:t>:</w:t>
            </w:r>
          </w:p>
          <w:p w14:paraId="6F476801">
            <w:pPr>
              <w:rPr>
                <w:rFonts w:hint="default" w:ascii="Times New Roman" w:hAnsi="Times New Roman" w:cs="Times New Roman"/>
                <w:sz w:val="24"/>
                <w:szCs w:val="24"/>
                <w:lang w:val="pt-BR"/>
              </w:rPr>
            </w:pPr>
            <w:r>
              <w:rPr>
                <w:rFonts w:ascii="Times New Roman" w:hAnsi="Times New Roman" w:cs="Times New Roman"/>
                <w:sz w:val="24"/>
                <w:szCs w:val="24"/>
              </w:rPr>
              <w:drawing>
                <wp:inline distT="0" distB="0" distL="114300" distR="114300">
                  <wp:extent cx="5978525" cy="1996440"/>
                  <wp:effectExtent l="0" t="0" r="3175" b="3810"/>
                  <wp:docPr id="1" name="Imagem 1" descr="composição cascalho sem carregamento_page-00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m 1" descr="composição cascalho sem carregamento_page-0001"/>
                          <pic:cNvPicPr>
                            <a:picLocks noChangeAspect="1"/>
                          </pic:cNvPicPr>
                        </pic:nvPicPr>
                        <pic:blipFill>
                          <a:blip r:embed="rId9"/>
                          <a:stretch>
                            <a:fillRect/>
                          </a:stretch>
                        </pic:blipFill>
                        <pic:spPr>
                          <a:xfrm>
                            <a:off x="0" y="0"/>
                            <a:ext cx="5978525" cy="1996440"/>
                          </a:xfrm>
                          <a:prstGeom prst="rect">
                            <a:avLst/>
                          </a:prstGeom>
                        </pic:spPr>
                      </pic:pic>
                    </a:graphicData>
                  </a:graphic>
                </wp:inline>
              </w:drawing>
            </w:r>
            <w:r>
              <w:rPr>
                <w:rFonts w:ascii="Times New Roman" w:hAnsi="Times New Roman" w:cs="Times New Roman"/>
                <w:sz w:val="24"/>
                <w:szCs w:val="24"/>
              </w:rPr>
              <w:br w:type="textWrapping"/>
            </w:r>
            <w:r>
              <w:rPr>
                <w:rFonts w:ascii="Times New Roman" w:hAnsi="Times New Roman" w:cs="Times New Roman"/>
                <w:sz w:val="24"/>
                <w:szCs w:val="24"/>
              </w:rPr>
              <w:br w:type="textWrapping"/>
            </w:r>
            <w:r>
              <w:rPr>
                <w:rFonts w:hint="default" w:ascii="Times New Roman" w:hAnsi="Times New Roman" w:cs="Times New Roman"/>
                <w:sz w:val="24"/>
                <w:szCs w:val="24"/>
                <w:lang w:val="pt-BR"/>
              </w:rPr>
              <w:drawing>
                <wp:inline distT="0" distB="0" distL="114300" distR="114300">
                  <wp:extent cx="5799455" cy="8444865"/>
                  <wp:effectExtent l="0" t="0" r="10795" b="13335"/>
                  <wp:docPr id="5" name="Imagem 5" descr="composição cascalho com casrregamento_page-00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m 5" descr="composição cascalho com casrregamento_page-0001"/>
                          <pic:cNvPicPr>
                            <a:picLocks noChangeAspect="1"/>
                          </pic:cNvPicPr>
                        </pic:nvPicPr>
                        <pic:blipFill>
                          <a:blip r:embed="rId10"/>
                          <a:stretch>
                            <a:fillRect/>
                          </a:stretch>
                        </pic:blipFill>
                        <pic:spPr>
                          <a:xfrm>
                            <a:off x="0" y="0"/>
                            <a:ext cx="5799455" cy="8444865"/>
                          </a:xfrm>
                          <a:prstGeom prst="rect">
                            <a:avLst/>
                          </a:prstGeom>
                        </pic:spPr>
                      </pic:pic>
                    </a:graphicData>
                  </a:graphic>
                </wp:inline>
              </w:drawing>
            </w:r>
          </w:p>
        </w:tc>
      </w:tr>
    </w:tbl>
    <w:p w14:paraId="395736C1">
      <w:pPr>
        <w:jc w:val="both"/>
        <w:rPr>
          <w:rFonts w:ascii="Times New Roman" w:hAnsi="Times New Roman" w:cs="Times New Roman"/>
          <w:b/>
          <w:bCs/>
          <w:sz w:val="24"/>
          <w:szCs w:val="24"/>
          <w:lang w:val="pt-BR"/>
        </w:rPr>
      </w:pPr>
    </w:p>
    <w:tbl>
      <w:tblPr>
        <w:tblStyle w:val="14"/>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9571"/>
      </w:tblGrid>
      <w:tr w14:paraId="7AF7657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571" w:type="dxa"/>
            <w:shd w:val="clear" w:color="auto" w:fill="D7D7D7" w:themeFill="background1" w:themeFillShade="D8"/>
          </w:tcPr>
          <w:p w14:paraId="3CE6BD42">
            <w:pPr>
              <w:numPr>
                <w:ilvl w:val="0"/>
                <w:numId w:val="26"/>
              </w:numPr>
              <w:jc w:val="both"/>
              <w:rPr>
                <w:rFonts w:ascii="Times New Roman" w:hAnsi="Times New Roman" w:cs="Times New Roman"/>
                <w:b/>
                <w:bCs/>
                <w:sz w:val="24"/>
                <w:szCs w:val="24"/>
                <w:lang w:val="pt-BR"/>
              </w:rPr>
            </w:pPr>
            <w:r>
              <w:rPr>
                <w:rFonts w:ascii="Times New Roman" w:hAnsi="Times New Roman" w:cs="Times New Roman"/>
                <w:b/>
                <w:bCs/>
                <w:sz w:val="24"/>
                <w:szCs w:val="24"/>
                <w:lang w:val="pt-BR"/>
              </w:rPr>
              <w:t>DOTAÇÃO ORÇAMENTÁRIA</w:t>
            </w:r>
          </w:p>
        </w:tc>
      </w:tr>
      <w:tr w14:paraId="279F508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571" w:type="dxa"/>
          </w:tcPr>
          <w:p w14:paraId="7FFC73EC">
            <w:pPr>
              <w:jc w:val="both"/>
              <w:rPr>
                <w:rFonts w:ascii="Times New Roman" w:hAnsi="Times New Roman" w:cs="Times New Roman"/>
                <w:sz w:val="24"/>
                <w:szCs w:val="24"/>
                <w:lang w:val="pt-BR"/>
              </w:rPr>
            </w:pPr>
            <w:r>
              <w:rPr>
                <w:rFonts w:ascii="Times New Roman" w:hAnsi="Times New Roman" w:cs="Times New Roman"/>
                <w:b/>
                <w:bCs/>
                <w:sz w:val="24"/>
                <w:szCs w:val="24"/>
                <w:lang w:val="pt-BR"/>
              </w:rPr>
              <w:t>2035</w:t>
            </w:r>
            <w:r>
              <w:rPr>
                <w:rFonts w:ascii="Times New Roman" w:hAnsi="Times New Roman" w:cs="Times New Roman"/>
                <w:sz w:val="24"/>
                <w:szCs w:val="24"/>
                <w:lang w:val="pt-BR"/>
              </w:rPr>
              <w:t xml:space="preserve">.33.90.30.00.00.1.500.0000000 </w:t>
            </w:r>
            <w:r>
              <w:rPr>
                <w:rFonts w:ascii="Times New Roman" w:hAnsi="Times New Roman" w:cs="Times New Roman"/>
                <w:b/>
                <w:bCs/>
                <w:sz w:val="24"/>
                <w:szCs w:val="24"/>
                <w:lang w:val="pt-BR"/>
              </w:rPr>
              <w:t>-</w:t>
            </w:r>
            <w:r>
              <w:rPr>
                <w:rFonts w:ascii="Times New Roman" w:hAnsi="Times New Roman" w:cs="Times New Roman"/>
                <w:sz w:val="24"/>
                <w:szCs w:val="24"/>
                <w:lang w:val="pt-BR"/>
              </w:rPr>
              <w:t xml:space="preserve"> Recurso Próprio</w:t>
            </w:r>
          </w:p>
          <w:p w14:paraId="543AE21B">
            <w:pPr>
              <w:jc w:val="both"/>
              <w:rPr>
                <w:rFonts w:ascii="Times New Roman" w:hAnsi="Times New Roman" w:cs="Times New Roman"/>
                <w:sz w:val="24"/>
                <w:szCs w:val="24"/>
                <w:lang w:val="pt-BR"/>
              </w:rPr>
            </w:pPr>
            <w:r>
              <w:rPr>
                <w:rFonts w:ascii="Times New Roman" w:hAnsi="Times New Roman" w:cs="Times New Roman"/>
                <w:b/>
                <w:bCs/>
                <w:sz w:val="24"/>
                <w:szCs w:val="24"/>
                <w:lang w:val="pt-BR"/>
              </w:rPr>
              <w:t>2039.</w:t>
            </w:r>
            <w:r>
              <w:rPr>
                <w:rFonts w:ascii="Times New Roman" w:hAnsi="Times New Roman" w:cs="Times New Roman"/>
                <w:sz w:val="24"/>
                <w:szCs w:val="24"/>
                <w:lang w:val="pt-BR"/>
              </w:rPr>
              <w:t>33.90.30.00.00.1.500.0000000 - Recurso Próprio</w:t>
            </w:r>
          </w:p>
          <w:p w14:paraId="2E0B5612">
            <w:pPr>
              <w:jc w:val="both"/>
              <w:rPr>
                <w:rFonts w:ascii="Times New Roman" w:hAnsi="Times New Roman" w:cs="Times New Roman"/>
                <w:sz w:val="24"/>
                <w:szCs w:val="24"/>
                <w:lang w:val="pt-BR"/>
              </w:rPr>
            </w:pPr>
            <w:r>
              <w:rPr>
                <w:rFonts w:ascii="Times New Roman" w:hAnsi="Times New Roman" w:cs="Times New Roman"/>
                <w:b/>
                <w:bCs/>
                <w:sz w:val="24"/>
                <w:szCs w:val="24"/>
                <w:lang w:val="pt-BR"/>
              </w:rPr>
              <w:t>2039.</w:t>
            </w:r>
            <w:r>
              <w:rPr>
                <w:rFonts w:ascii="Times New Roman" w:hAnsi="Times New Roman" w:cs="Times New Roman"/>
                <w:sz w:val="24"/>
                <w:szCs w:val="24"/>
                <w:lang w:val="pt-BR"/>
              </w:rPr>
              <w:t>33.90.30.00.00.2.759.00000700 -FHETAB</w:t>
            </w:r>
          </w:p>
          <w:p w14:paraId="03F1B028">
            <w:pPr>
              <w:jc w:val="both"/>
              <w:rPr>
                <w:rFonts w:ascii="Times New Roman" w:hAnsi="Times New Roman" w:cs="Times New Roman"/>
                <w:sz w:val="24"/>
                <w:szCs w:val="24"/>
                <w:lang w:val="pt-BR"/>
              </w:rPr>
            </w:pPr>
            <w:r>
              <w:rPr>
                <w:rFonts w:ascii="Times New Roman" w:hAnsi="Times New Roman" w:cs="Times New Roman"/>
                <w:b/>
                <w:bCs/>
                <w:sz w:val="24"/>
                <w:szCs w:val="24"/>
                <w:lang w:val="pt-BR"/>
              </w:rPr>
              <w:t>2039.</w:t>
            </w:r>
            <w:r>
              <w:rPr>
                <w:rFonts w:ascii="Times New Roman" w:hAnsi="Times New Roman" w:cs="Times New Roman"/>
                <w:sz w:val="24"/>
                <w:szCs w:val="24"/>
                <w:lang w:val="pt-BR"/>
              </w:rPr>
              <w:t>33.90.30.00.00.2.759.00000702 -Fundo  Municipal do Transporte</w:t>
            </w:r>
          </w:p>
          <w:p w14:paraId="69FFAA2C">
            <w:pPr>
              <w:jc w:val="both"/>
              <w:rPr>
                <w:rFonts w:ascii="Times New Roman" w:hAnsi="Times New Roman" w:cs="Times New Roman"/>
                <w:sz w:val="24"/>
                <w:szCs w:val="24"/>
                <w:lang w:val="pt-BR"/>
              </w:rPr>
            </w:pPr>
            <w:r>
              <w:rPr>
                <w:rFonts w:ascii="Times New Roman" w:hAnsi="Times New Roman" w:cs="Times New Roman"/>
                <w:b/>
                <w:bCs/>
                <w:sz w:val="24"/>
                <w:szCs w:val="24"/>
                <w:lang w:val="pt-BR"/>
              </w:rPr>
              <w:t>1017.</w:t>
            </w:r>
            <w:r>
              <w:rPr>
                <w:rFonts w:ascii="Times New Roman" w:hAnsi="Times New Roman" w:cs="Times New Roman"/>
                <w:sz w:val="24"/>
                <w:szCs w:val="24"/>
                <w:lang w:val="pt-BR"/>
              </w:rPr>
              <w:t>44.90.51.00.00.1.500.0000000 - Recurso Próprio</w:t>
            </w:r>
          </w:p>
          <w:p w14:paraId="10304A4E">
            <w:pPr>
              <w:jc w:val="both"/>
              <w:rPr>
                <w:rFonts w:ascii="Times New Roman" w:hAnsi="Times New Roman" w:cs="Times New Roman"/>
                <w:b/>
                <w:bCs/>
                <w:sz w:val="24"/>
                <w:szCs w:val="24"/>
                <w:lang w:val="pt-BR"/>
              </w:rPr>
            </w:pPr>
            <w:r>
              <w:rPr>
                <w:rFonts w:ascii="Times New Roman" w:hAnsi="Times New Roman" w:cs="Times New Roman"/>
                <w:b/>
                <w:bCs/>
                <w:sz w:val="24"/>
                <w:szCs w:val="24"/>
                <w:lang w:val="pt-BR"/>
              </w:rPr>
              <w:t>1015.</w:t>
            </w:r>
            <w:r>
              <w:rPr>
                <w:rFonts w:ascii="Times New Roman" w:hAnsi="Times New Roman" w:cs="Times New Roman"/>
                <w:sz w:val="24"/>
                <w:szCs w:val="24"/>
                <w:lang w:val="pt-BR"/>
              </w:rPr>
              <w:t>44.90.51.00.00.1.500.0000000 - Recurso Próprio</w:t>
            </w:r>
          </w:p>
        </w:tc>
      </w:tr>
    </w:tbl>
    <w:p w14:paraId="25E11BBE">
      <w:pPr>
        <w:jc w:val="both"/>
        <w:rPr>
          <w:rFonts w:ascii="Times New Roman" w:hAnsi="Times New Roman" w:cs="Times New Roman"/>
          <w:b/>
          <w:bCs/>
          <w:sz w:val="24"/>
          <w:szCs w:val="24"/>
          <w:lang w:val="pt-BR"/>
        </w:rPr>
      </w:pPr>
    </w:p>
    <w:tbl>
      <w:tblPr>
        <w:tblStyle w:val="14"/>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9571"/>
      </w:tblGrid>
      <w:tr w14:paraId="2CE4E5A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571" w:type="dxa"/>
            <w:shd w:val="clear" w:color="auto" w:fill="D7D7D7" w:themeFill="background1" w:themeFillShade="D8"/>
          </w:tcPr>
          <w:p w14:paraId="47F2138D">
            <w:pPr>
              <w:numPr>
                <w:ilvl w:val="0"/>
                <w:numId w:val="26"/>
              </w:numPr>
              <w:jc w:val="both"/>
              <w:rPr>
                <w:rFonts w:ascii="Times New Roman" w:hAnsi="Times New Roman" w:cs="Times New Roman"/>
                <w:b/>
                <w:bCs/>
                <w:sz w:val="24"/>
                <w:szCs w:val="24"/>
                <w:lang w:val="pt-BR"/>
              </w:rPr>
            </w:pPr>
            <w:r>
              <w:rPr>
                <w:rFonts w:ascii="Times New Roman" w:hAnsi="Times New Roman" w:eastAsia="SimSun" w:cs="Times New Roman"/>
                <w:b/>
                <w:bCs/>
                <w:sz w:val="24"/>
                <w:szCs w:val="24"/>
                <w:lang w:val="pt-BR" w:bidi="ar"/>
              </w:rPr>
              <w:t>DEMAIS INFORMAÇÕES ESPECÍFICAS DO PROJETO BÁSICO</w:t>
            </w:r>
          </w:p>
        </w:tc>
      </w:tr>
      <w:tr w14:paraId="45402B7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571" w:type="dxa"/>
          </w:tcPr>
          <w:p w14:paraId="644B4B46">
            <w:pPr>
              <w:numPr>
                <w:ilvl w:val="1"/>
                <w:numId w:val="26"/>
              </w:numPr>
              <w:spacing w:line="360" w:lineRule="auto"/>
              <w:jc w:val="both"/>
              <w:rPr>
                <w:rFonts w:ascii="Times New Roman" w:hAnsi="Times New Roman" w:cs="Times New Roman"/>
                <w:sz w:val="24"/>
                <w:szCs w:val="24"/>
                <w:lang w:val="pt-BR"/>
              </w:rPr>
            </w:pPr>
            <w:r>
              <w:rPr>
                <w:rFonts w:ascii="Times New Roman" w:hAnsi="Times New Roman" w:cs="Times New Roman"/>
                <w:sz w:val="24"/>
                <w:szCs w:val="24"/>
                <w:lang w:val="pt-BR"/>
              </w:rPr>
              <w:t xml:space="preserve"> Sustentabilidade ambiental – Os itens deverão atender às normas ambientais vigentes conforme os órgãos competentes, pertinentes ao objeto.</w:t>
            </w:r>
          </w:p>
          <w:p w14:paraId="3793B630">
            <w:pPr>
              <w:spacing w:line="360" w:lineRule="auto"/>
              <w:jc w:val="both"/>
              <w:rPr>
                <w:rFonts w:ascii="Times New Roman" w:hAnsi="Times New Roman" w:cs="Times New Roman"/>
                <w:sz w:val="24"/>
                <w:szCs w:val="24"/>
                <w:lang w:val="pt-BR"/>
              </w:rPr>
            </w:pPr>
            <w:r>
              <w:rPr>
                <w:rFonts w:ascii="Times New Roman" w:hAnsi="Times New Roman" w:cs="Times New Roman"/>
                <w:b/>
                <w:bCs/>
                <w:sz w:val="24"/>
                <w:szCs w:val="24"/>
                <w:lang w:val="pt-BR"/>
              </w:rPr>
              <w:t>12.2.</w:t>
            </w:r>
            <w:r>
              <w:rPr>
                <w:rFonts w:ascii="Times New Roman" w:hAnsi="Times New Roman" w:cs="Times New Roman"/>
                <w:sz w:val="24"/>
                <w:szCs w:val="24"/>
                <w:lang w:val="pt-BR"/>
              </w:rPr>
              <w:t xml:space="preserve">  Fiscalização – O contrato será fiscalizado por servidor designado, nos termos do art. 117 da Lei nº 14.133/2021 e do Decreto Municipal nº 360/2023, devendo a fiscalização registrar ocorrências em relatório próprio e solicitar providências sempre que necessário.</w:t>
            </w:r>
          </w:p>
          <w:p w14:paraId="38C12FA5">
            <w:pPr>
              <w:spacing w:line="360" w:lineRule="auto"/>
              <w:jc w:val="both"/>
              <w:rPr>
                <w:rFonts w:ascii="Times New Roman" w:hAnsi="Times New Roman" w:cs="Times New Roman"/>
                <w:sz w:val="24"/>
                <w:szCs w:val="24"/>
                <w:lang w:val="pt-BR"/>
              </w:rPr>
            </w:pPr>
            <w:r>
              <w:rPr>
                <w:rFonts w:ascii="Times New Roman" w:hAnsi="Times New Roman" w:cs="Times New Roman"/>
                <w:b/>
                <w:bCs/>
                <w:sz w:val="24"/>
                <w:szCs w:val="24"/>
                <w:lang w:val="pt-BR"/>
              </w:rPr>
              <w:t xml:space="preserve">12.3.  </w:t>
            </w:r>
            <w:r>
              <w:rPr>
                <w:rFonts w:ascii="Times New Roman" w:hAnsi="Times New Roman" w:cs="Times New Roman"/>
                <w:sz w:val="24"/>
                <w:szCs w:val="24"/>
                <w:lang w:val="pt-BR"/>
              </w:rPr>
              <w:t>Sanções administrativas – O descumprimento total ou parcial das obrigações assumidas pela contratada, incluindo atraso na entrega, fornecimento de equipamentos em desacordo com as especificações, inobservância de prazos ou qualquer infração às disposições contratuais, sujeitará a contratada às sanções previstas nos arts. 156 a 159 da Lei nº 14.133/2021 e no Decreto Municipal nº 360/2023, sem prejuízo das demais cominações legais cabíveis.</w:t>
            </w:r>
          </w:p>
          <w:p w14:paraId="664DAF78">
            <w:pPr>
              <w:spacing w:line="360" w:lineRule="auto"/>
              <w:jc w:val="both"/>
              <w:rPr>
                <w:rFonts w:ascii="Times New Roman" w:hAnsi="Times New Roman" w:cs="Times New Roman"/>
                <w:sz w:val="24"/>
                <w:szCs w:val="24"/>
                <w:lang w:val="pt-BR"/>
              </w:rPr>
            </w:pPr>
            <w:r>
              <w:rPr>
                <w:rFonts w:ascii="Times New Roman" w:hAnsi="Times New Roman" w:cs="Times New Roman"/>
                <w:b/>
                <w:bCs/>
                <w:sz w:val="24"/>
                <w:szCs w:val="24"/>
                <w:lang w:val="pt-BR"/>
              </w:rPr>
              <w:t xml:space="preserve">12.3.1. </w:t>
            </w:r>
            <w:r>
              <w:rPr>
                <w:rFonts w:ascii="Times New Roman" w:hAnsi="Times New Roman" w:cs="Times New Roman"/>
                <w:sz w:val="24"/>
                <w:szCs w:val="24"/>
                <w:lang w:val="pt-BR"/>
              </w:rPr>
              <w:t>As sanções aplicáveis poderão compreender, isolada ou cumulativamente, conforme a gravidade da infração e o interesse público:</w:t>
            </w:r>
          </w:p>
          <w:p w14:paraId="4D518953">
            <w:pPr>
              <w:numPr>
                <w:ilvl w:val="0"/>
                <w:numId w:val="30"/>
              </w:numPr>
              <w:spacing w:line="360" w:lineRule="auto"/>
              <w:jc w:val="both"/>
              <w:rPr>
                <w:rFonts w:ascii="Times New Roman" w:hAnsi="Times New Roman" w:cs="Times New Roman"/>
                <w:sz w:val="24"/>
                <w:szCs w:val="24"/>
                <w:lang w:val="pt-BR"/>
              </w:rPr>
            </w:pPr>
            <w:r>
              <w:rPr>
                <w:rFonts w:ascii="Times New Roman" w:hAnsi="Times New Roman" w:cs="Times New Roman"/>
                <w:sz w:val="24"/>
                <w:szCs w:val="24"/>
                <w:lang w:val="pt-BR"/>
              </w:rPr>
              <w:t>Advertência;</w:t>
            </w:r>
          </w:p>
          <w:p w14:paraId="4C0E2339">
            <w:pPr>
              <w:numPr>
                <w:ilvl w:val="0"/>
                <w:numId w:val="30"/>
              </w:numPr>
              <w:spacing w:line="360" w:lineRule="auto"/>
              <w:jc w:val="both"/>
              <w:rPr>
                <w:rFonts w:ascii="Times New Roman" w:hAnsi="Times New Roman" w:cs="Times New Roman"/>
                <w:sz w:val="24"/>
                <w:szCs w:val="24"/>
                <w:lang w:val="pt-BR"/>
              </w:rPr>
            </w:pPr>
            <w:r>
              <w:rPr>
                <w:rFonts w:ascii="Times New Roman" w:hAnsi="Times New Roman" w:cs="Times New Roman"/>
                <w:sz w:val="24"/>
                <w:szCs w:val="24"/>
                <w:lang w:val="pt-BR"/>
              </w:rPr>
              <w:t>Multa moratória ou compensatória, calculada sobre o valor contratual ou sobre a parcela inadimplida;</w:t>
            </w:r>
          </w:p>
          <w:p w14:paraId="556A1507">
            <w:pPr>
              <w:numPr>
                <w:ilvl w:val="0"/>
                <w:numId w:val="30"/>
              </w:numPr>
              <w:spacing w:line="360" w:lineRule="auto"/>
              <w:jc w:val="both"/>
              <w:rPr>
                <w:rFonts w:ascii="Times New Roman" w:hAnsi="Times New Roman" w:cs="Times New Roman"/>
                <w:sz w:val="24"/>
                <w:szCs w:val="24"/>
                <w:lang w:val="pt-BR"/>
              </w:rPr>
            </w:pPr>
            <w:r>
              <w:rPr>
                <w:rFonts w:ascii="Times New Roman" w:hAnsi="Times New Roman" w:cs="Times New Roman"/>
                <w:sz w:val="24"/>
                <w:szCs w:val="24"/>
                <w:lang w:val="pt-BR"/>
              </w:rPr>
              <w:t>Impedimento de licitar e contratar com a Administração Pública Municipal pelo prazo de até 3 (três) anos.</w:t>
            </w:r>
          </w:p>
          <w:p w14:paraId="61B586C8">
            <w:pPr>
              <w:numPr>
                <w:ilvl w:val="0"/>
                <w:numId w:val="30"/>
              </w:numPr>
              <w:spacing w:line="360" w:lineRule="auto"/>
              <w:jc w:val="both"/>
              <w:rPr>
                <w:rFonts w:ascii="Times New Roman" w:hAnsi="Times New Roman" w:cs="Times New Roman"/>
                <w:sz w:val="24"/>
                <w:szCs w:val="24"/>
                <w:lang w:val="pt-BR"/>
              </w:rPr>
            </w:pPr>
            <w:r>
              <w:rPr>
                <w:rFonts w:ascii="Times New Roman" w:hAnsi="Times New Roman" w:cs="Times New Roman"/>
                <w:sz w:val="24"/>
                <w:szCs w:val="24"/>
                <w:lang w:val="pt-BR"/>
              </w:rPr>
              <w:t>Declaração de inidoneidade para licitar ou contratar com qualquer ente federativo, enquanto perdurarem os motivos determinantes da punição ou até que seja promovida a reabilitação.</w:t>
            </w:r>
          </w:p>
          <w:p w14:paraId="0C008D50">
            <w:pPr>
              <w:spacing w:line="360" w:lineRule="auto"/>
              <w:jc w:val="both"/>
              <w:rPr>
                <w:rFonts w:ascii="Times New Roman" w:hAnsi="Times New Roman" w:cs="Times New Roman"/>
                <w:sz w:val="24"/>
                <w:szCs w:val="24"/>
                <w:lang w:val="pt-BR"/>
              </w:rPr>
            </w:pPr>
            <w:r>
              <w:rPr>
                <w:rFonts w:ascii="Times New Roman" w:hAnsi="Times New Roman" w:cs="Times New Roman"/>
                <w:b/>
                <w:bCs/>
                <w:sz w:val="24"/>
                <w:szCs w:val="24"/>
                <w:lang w:val="pt-BR"/>
              </w:rPr>
              <w:t>12.3.2.</w:t>
            </w:r>
            <w:r>
              <w:rPr>
                <w:rFonts w:ascii="Times New Roman" w:hAnsi="Times New Roman" w:cs="Times New Roman"/>
                <w:sz w:val="24"/>
                <w:szCs w:val="24"/>
                <w:lang w:val="pt-BR"/>
              </w:rPr>
              <w:t xml:space="preserve"> A aplicação das sanções observará o contraditório e a ampla defesa, conforme disposto no art. 157 da Lei nº 14.133/2021, sendo formalmente instaurado processo administrativo para apuração da infração.</w:t>
            </w:r>
          </w:p>
          <w:p w14:paraId="0C39E3B3">
            <w:pPr>
              <w:spacing w:line="360" w:lineRule="auto"/>
              <w:jc w:val="both"/>
              <w:rPr>
                <w:rFonts w:ascii="Times New Roman" w:hAnsi="Times New Roman" w:cs="Times New Roman"/>
                <w:sz w:val="24"/>
                <w:szCs w:val="24"/>
                <w:lang w:val="pt-BR"/>
              </w:rPr>
            </w:pPr>
            <w:r>
              <w:rPr>
                <w:rFonts w:ascii="Times New Roman" w:hAnsi="Times New Roman" w:cs="Times New Roman"/>
                <w:b/>
                <w:bCs/>
                <w:sz w:val="24"/>
                <w:szCs w:val="24"/>
                <w:lang w:val="pt-BR"/>
              </w:rPr>
              <w:t>12.3.3.</w:t>
            </w:r>
            <w:r>
              <w:rPr>
                <w:rFonts w:ascii="Times New Roman" w:hAnsi="Times New Roman" w:cs="Times New Roman"/>
                <w:sz w:val="24"/>
                <w:szCs w:val="24"/>
                <w:lang w:val="pt-BR"/>
              </w:rPr>
              <w:t xml:space="preserve"> As multas aplicadas poderão ser descontadas dos pagamentos devidos à contratada, da garantia prestada ou, quando for o caso, cobradas judicialmente.</w:t>
            </w:r>
          </w:p>
          <w:p w14:paraId="23E0EEE5">
            <w:pPr>
              <w:spacing w:line="360" w:lineRule="auto"/>
              <w:jc w:val="both"/>
              <w:rPr>
                <w:rFonts w:ascii="Times New Roman" w:hAnsi="Times New Roman" w:cs="Times New Roman"/>
                <w:sz w:val="24"/>
                <w:szCs w:val="24"/>
                <w:lang w:val="pt-BR"/>
              </w:rPr>
            </w:pPr>
            <w:r>
              <w:rPr>
                <w:rFonts w:ascii="Times New Roman" w:hAnsi="Times New Roman" w:cs="Times New Roman"/>
                <w:b/>
                <w:bCs/>
                <w:sz w:val="24"/>
                <w:szCs w:val="24"/>
                <w:lang w:val="pt-BR"/>
              </w:rPr>
              <w:t>12.3.4.</w:t>
            </w:r>
            <w:r>
              <w:rPr>
                <w:rFonts w:ascii="Times New Roman" w:hAnsi="Times New Roman" w:cs="Times New Roman"/>
                <w:sz w:val="24"/>
                <w:szCs w:val="24"/>
                <w:lang w:val="pt-BR"/>
              </w:rPr>
              <w:t xml:space="preserve"> As penalidades previstas no presente item não excluem a obrigação da contratada de indenizar a Administração por eventuais prejuízos causados, nos termos do art. 22, inciso VIII, da Lei nº 14.133/2021 e das disposições do Decreto Municipal nº 359/2023. e 360/2023.</w:t>
            </w:r>
          </w:p>
          <w:p w14:paraId="073988C2">
            <w:pPr>
              <w:spacing w:line="360" w:lineRule="auto"/>
              <w:jc w:val="both"/>
              <w:rPr>
                <w:rFonts w:ascii="Times New Roman" w:hAnsi="Times New Roman" w:cs="Times New Roman"/>
                <w:b/>
                <w:bCs/>
                <w:sz w:val="24"/>
                <w:szCs w:val="24"/>
                <w:lang w:val="pt-BR"/>
              </w:rPr>
            </w:pPr>
            <w:r>
              <w:rPr>
                <w:rFonts w:ascii="Times New Roman" w:hAnsi="Times New Roman" w:cs="Times New Roman"/>
                <w:b/>
                <w:bCs/>
                <w:sz w:val="24"/>
                <w:szCs w:val="24"/>
                <w:lang w:val="pt-BR"/>
              </w:rPr>
              <w:t>12.3.5.</w:t>
            </w:r>
            <w:r>
              <w:rPr>
                <w:rFonts w:ascii="Times New Roman" w:hAnsi="Times New Roman" w:cs="Times New Roman"/>
                <w:sz w:val="24"/>
                <w:szCs w:val="24"/>
                <w:lang w:val="pt-BR"/>
              </w:rPr>
              <w:t xml:space="preserve"> Conforme o art. 156, §1º, da Lei nº 14.133/2021, as sanções poderão ser aplicadas cumulativamente quando a gravidade da conduta assim justificar, devendo o gestor observar os princípios da proporcionalidade, razoabilidade e interesse público na escolha e dosimetria da penalidade.</w:t>
            </w:r>
          </w:p>
        </w:tc>
      </w:tr>
    </w:tbl>
    <w:p w14:paraId="656F896D">
      <w:pPr>
        <w:jc w:val="center"/>
        <w:rPr>
          <w:rFonts w:ascii="Times New Roman" w:hAnsi="Times New Roman" w:eastAsia="SimSun" w:cs="Times New Roman"/>
          <w:color w:val="000000"/>
          <w:sz w:val="24"/>
          <w:szCs w:val="24"/>
          <w:lang w:val="pt-BR" w:bidi="ar"/>
        </w:rPr>
      </w:pPr>
    </w:p>
    <w:p w14:paraId="01FE0999">
      <w:pPr>
        <w:jc w:val="center"/>
        <w:rPr>
          <w:rFonts w:ascii="Times New Roman" w:hAnsi="Times New Roman" w:eastAsia="SimSun" w:cs="Times New Roman"/>
          <w:color w:val="000000"/>
          <w:sz w:val="24"/>
          <w:szCs w:val="24"/>
          <w:lang w:val="pt-BR" w:bidi="ar"/>
        </w:rPr>
      </w:pPr>
    </w:p>
    <w:p w14:paraId="7B9C3765">
      <w:pPr>
        <w:jc w:val="center"/>
        <w:rPr>
          <w:rFonts w:hint="default" w:ascii="Times New Roman" w:hAnsi="Times New Roman" w:eastAsia="SimSun" w:cs="Times New Roman"/>
          <w:color w:val="000000"/>
          <w:sz w:val="24"/>
          <w:szCs w:val="24"/>
          <w:lang w:val="pt-BR" w:bidi="ar"/>
        </w:rPr>
      </w:pPr>
      <w:r>
        <w:rPr>
          <w:rFonts w:hint="default" w:ascii="Times New Roman" w:hAnsi="Times New Roman" w:eastAsia="SimSun" w:cs="Times New Roman"/>
          <w:color w:val="000000"/>
          <w:sz w:val="24"/>
          <w:szCs w:val="24"/>
          <w:lang w:val="pt-BR" w:bidi="ar"/>
        </w:rPr>
        <w:t xml:space="preserve">  </w:t>
      </w:r>
    </w:p>
    <w:p w14:paraId="7631EFDA">
      <w:pPr>
        <w:jc w:val="left"/>
        <w:rPr>
          <w:rFonts w:hint="default" w:ascii="Times New Roman" w:hAnsi="Times New Roman" w:eastAsia="SimSun" w:cs="Times New Roman"/>
          <w:color w:val="000000"/>
          <w:sz w:val="24"/>
          <w:szCs w:val="24"/>
          <w:lang w:val="pt-BR" w:bidi="ar"/>
        </w:rPr>
      </w:pPr>
      <w:r>
        <w:rPr>
          <w:rFonts w:ascii="Times New Roman" w:hAnsi="Times New Roman" w:eastAsia="SimSun" w:cs="Times New Roman"/>
          <w:color w:val="000000"/>
          <w:sz w:val="24"/>
          <w:szCs w:val="24"/>
          <w:lang w:val="pt-BR" w:bidi="ar"/>
        </w:rPr>
        <w:t>Debora Regina de Oliveira Strack</w:t>
      </w:r>
      <w:r>
        <w:rPr>
          <w:rFonts w:hint="default" w:ascii="Times New Roman" w:hAnsi="Times New Roman" w:eastAsia="SimSun" w:cs="Times New Roman"/>
          <w:color w:val="000000"/>
          <w:sz w:val="24"/>
          <w:szCs w:val="24"/>
          <w:lang w:val="pt-BR" w:bidi="ar"/>
        </w:rPr>
        <w:t xml:space="preserve">                                                  Ariel Nikolak Correia</w:t>
      </w:r>
    </w:p>
    <w:p w14:paraId="0AABA2DE">
      <w:pPr>
        <w:jc w:val="left"/>
        <w:rPr>
          <w:rFonts w:hint="default" w:ascii="Times New Roman" w:hAnsi="Times New Roman" w:eastAsia="SimSun" w:cs="Times New Roman"/>
          <w:color w:val="000000"/>
          <w:sz w:val="24"/>
          <w:szCs w:val="24"/>
          <w:lang w:val="pt-BR" w:bidi="ar"/>
        </w:rPr>
      </w:pPr>
      <w:r>
        <w:rPr>
          <w:rFonts w:ascii="Times New Roman" w:hAnsi="Times New Roman" w:eastAsia="SimSun" w:cs="Times New Roman"/>
          <w:color w:val="000000"/>
          <w:sz w:val="24"/>
          <w:szCs w:val="24"/>
          <w:lang w:val="pt-BR" w:bidi="ar"/>
        </w:rPr>
        <w:t>Responsável pelo TR</w:t>
      </w:r>
      <w:r>
        <w:rPr>
          <w:rFonts w:hint="default" w:ascii="Times New Roman" w:hAnsi="Times New Roman" w:eastAsia="SimSun" w:cs="Times New Roman"/>
          <w:color w:val="000000"/>
          <w:sz w:val="24"/>
          <w:szCs w:val="24"/>
          <w:lang w:val="pt-BR" w:bidi="ar"/>
        </w:rPr>
        <w:t xml:space="preserve">                                                                         Engenheiro Civil</w:t>
      </w:r>
    </w:p>
    <w:p w14:paraId="6BF5C5C9">
      <w:pPr>
        <w:jc w:val="left"/>
        <w:rPr>
          <w:rFonts w:hint="default" w:ascii="Times New Roman" w:hAnsi="Times New Roman" w:eastAsia="SimSun" w:cs="Times New Roman"/>
          <w:color w:val="000000"/>
          <w:sz w:val="24"/>
          <w:szCs w:val="24"/>
          <w:lang w:val="pt-BR" w:bidi="ar"/>
        </w:rPr>
      </w:pPr>
    </w:p>
    <w:tbl>
      <w:tblPr>
        <w:tblStyle w:val="14"/>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9571"/>
      </w:tblGrid>
      <w:tr w14:paraId="437DC0F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571" w:type="dxa"/>
            <w:shd w:val="clear" w:color="auto" w:fill="D7D7D7" w:themeFill="background1" w:themeFillShade="D8"/>
          </w:tcPr>
          <w:p w14:paraId="7593D5CB">
            <w:pPr>
              <w:numPr>
                <w:ilvl w:val="0"/>
                <w:numId w:val="26"/>
              </w:numPr>
              <w:rPr>
                <w:rFonts w:ascii="Times New Roman" w:hAnsi="Times New Roman" w:eastAsia="SimSun" w:cs="Times New Roman"/>
                <w:color w:val="000000"/>
                <w:sz w:val="24"/>
                <w:szCs w:val="24"/>
                <w:lang w:val="pt-BR" w:bidi="ar"/>
              </w:rPr>
            </w:pPr>
            <w:r>
              <w:rPr>
                <w:rFonts w:ascii="Times New Roman" w:hAnsi="Times New Roman" w:eastAsia="SimSun" w:cs="Times New Roman"/>
                <w:b/>
                <w:bCs/>
                <w:color w:val="000000"/>
                <w:sz w:val="24"/>
                <w:szCs w:val="24"/>
                <w:lang w:bidi="ar"/>
              </w:rPr>
              <w:t>CIÊNCIA DA AUTORIDADE COMPETENTE</w:t>
            </w:r>
          </w:p>
        </w:tc>
      </w:tr>
      <w:tr w14:paraId="4A31ACE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571" w:type="dxa"/>
          </w:tcPr>
          <w:p w14:paraId="4A606CB7">
            <w:pPr>
              <w:jc w:val="both"/>
              <w:rPr>
                <w:rFonts w:ascii="Times New Roman" w:hAnsi="Times New Roman" w:eastAsia="SimSun" w:cs="Times New Roman"/>
                <w:color w:val="000000"/>
                <w:sz w:val="24"/>
                <w:szCs w:val="24"/>
                <w:lang w:val="pt-BR" w:bidi="ar"/>
              </w:rPr>
            </w:pPr>
            <w:r>
              <w:rPr>
                <w:rFonts w:ascii="Times New Roman" w:hAnsi="Times New Roman" w:eastAsia="SimSun" w:cs="Times New Roman"/>
                <w:color w:val="000000"/>
                <w:sz w:val="24"/>
                <w:szCs w:val="24"/>
                <w:lang w:val="pt-BR" w:bidi="ar"/>
              </w:rPr>
              <w:t xml:space="preserve">(X) Concordo com o Termo de Referência/Projeto Básico realizado e autorizo a contratação nos termos da Lei 14.133/2021. </w:t>
            </w:r>
          </w:p>
          <w:p w14:paraId="70379007">
            <w:pPr>
              <w:jc w:val="both"/>
              <w:rPr>
                <w:rFonts w:ascii="Times New Roman" w:hAnsi="Times New Roman" w:eastAsia="SimSun" w:cs="Times New Roman"/>
                <w:color w:val="000000"/>
                <w:sz w:val="24"/>
                <w:szCs w:val="24"/>
                <w:lang w:val="pt-BR" w:bidi="ar"/>
              </w:rPr>
            </w:pPr>
          </w:p>
          <w:p w14:paraId="1E9D5DCC">
            <w:pPr>
              <w:jc w:val="both"/>
              <w:rPr>
                <w:rFonts w:ascii="Times New Roman" w:hAnsi="Times New Roman" w:eastAsia="SimSun" w:cs="Times New Roman"/>
                <w:color w:val="000000"/>
                <w:sz w:val="22"/>
                <w:szCs w:val="22"/>
                <w:lang w:val="pt-BR" w:bidi="ar"/>
              </w:rPr>
            </w:pPr>
            <w:r>
              <w:rPr>
                <w:rFonts w:ascii="Times New Roman" w:hAnsi="Times New Roman" w:eastAsia="SimSun" w:cs="Times New Roman"/>
                <w:color w:val="000000"/>
                <w:sz w:val="24"/>
                <w:szCs w:val="24"/>
                <w:lang w:val="pt-BR" w:bidi="ar"/>
              </w:rPr>
              <w:t>Sinop/MT, 26 de maio de 2026.</w:t>
            </w:r>
          </w:p>
          <w:p w14:paraId="16241B53">
            <w:pPr>
              <w:jc w:val="both"/>
              <w:rPr>
                <w:rFonts w:ascii="Times New Roman" w:hAnsi="Times New Roman" w:eastAsia="SimSun" w:cs="Times New Roman"/>
                <w:color w:val="000000"/>
                <w:sz w:val="24"/>
                <w:szCs w:val="24"/>
                <w:lang w:val="pt-BR" w:bidi="ar"/>
              </w:rPr>
            </w:pPr>
          </w:p>
          <w:p w14:paraId="02390C2F">
            <w:pPr>
              <w:jc w:val="both"/>
              <w:rPr>
                <w:rFonts w:ascii="Times New Roman" w:hAnsi="Times New Roman" w:eastAsia="SimSun" w:cs="Times New Roman"/>
                <w:color w:val="000000"/>
                <w:sz w:val="24"/>
                <w:szCs w:val="24"/>
                <w:lang w:val="pt-BR" w:bidi="ar"/>
              </w:rPr>
            </w:pPr>
          </w:p>
          <w:p w14:paraId="6195100F">
            <w:pPr>
              <w:jc w:val="center"/>
              <w:rPr>
                <w:rFonts w:ascii="Times New Roman" w:hAnsi="Times New Roman" w:eastAsia="SimSun" w:cs="Times New Roman"/>
                <w:color w:val="000000"/>
                <w:sz w:val="24"/>
                <w:szCs w:val="24"/>
                <w:lang w:val="pt-BR" w:bidi="ar"/>
              </w:rPr>
            </w:pPr>
            <w:r>
              <w:rPr>
                <w:rFonts w:ascii="Times New Roman" w:hAnsi="Times New Roman" w:eastAsia="SimSun" w:cs="Times New Roman"/>
                <w:color w:val="000000"/>
                <w:sz w:val="24"/>
                <w:szCs w:val="24"/>
                <w:lang w:val="pt-BR" w:bidi="ar"/>
              </w:rPr>
              <w:t>Lindomar Ferreira Guida</w:t>
            </w:r>
          </w:p>
          <w:p w14:paraId="2E95F701">
            <w:pPr>
              <w:jc w:val="center"/>
              <w:rPr>
                <w:rFonts w:ascii="Times New Roman" w:hAnsi="Times New Roman" w:eastAsia="SimSun" w:cs="Times New Roman"/>
                <w:color w:val="000000"/>
                <w:sz w:val="24"/>
                <w:szCs w:val="24"/>
                <w:lang w:val="pt-BR" w:bidi="ar"/>
              </w:rPr>
            </w:pPr>
            <w:r>
              <w:rPr>
                <w:rFonts w:ascii="Times New Roman" w:hAnsi="Times New Roman" w:eastAsia="SimSun" w:cs="Times New Roman"/>
                <w:color w:val="000000"/>
                <w:sz w:val="24"/>
                <w:szCs w:val="24"/>
                <w:lang w:val="pt-BR" w:bidi="ar"/>
              </w:rPr>
              <w:t>Secretário de Obras e Serviços Urbanos</w:t>
            </w:r>
          </w:p>
        </w:tc>
      </w:tr>
    </w:tbl>
    <w:p w14:paraId="2B001EE2">
      <w:pPr>
        <w:rPr>
          <w:rFonts w:ascii="Times New Roman" w:hAnsi="Times New Roman" w:cs="Times New Roman"/>
          <w:b/>
          <w:bCs/>
          <w:sz w:val="24"/>
          <w:szCs w:val="24"/>
          <w:lang w:val="pt-BR"/>
        </w:rPr>
      </w:pPr>
    </w:p>
    <w:p w14:paraId="5BC61DAA">
      <w:pPr>
        <w:rPr>
          <w:rFonts w:ascii="Times New Roman" w:hAnsi="Times New Roman" w:cs="Times New Roman"/>
          <w:b/>
          <w:bCs/>
          <w:sz w:val="24"/>
          <w:szCs w:val="24"/>
          <w:lang w:val="pt-BR"/>
        </w:rPr>
      </w:pPr>
    </w:p>
    <w:p w14:paraId="7C0F6143">
      <w:pPr>
        <w:rPr>
          <w:rFonts w:hint="default" w:ascii="Times New Roman" w:hAnsi="Times New Roman" w:cs="Times New Roman"/>
          <w:b/>
          <w:bCs/>
          <w:sz w:val="24"/>
          <w:szCs w:val="24"/>
          <w:lang w:val="pt-BR"/>
        </w:rPr>
      </w:pPr>
    </w:p>
    <w:sectPr>
      <w:headerReference r:id="rId3" w:type="default"/>
      <w:footerReference r:id="rId4" w:type="default"/>
      <w:type w:val="continuous"/>
      <w:pgSz w:w="11906" w:h="16838"/>
      <w:pgMar w:top="1417" w:right="850" w:bottom="1417" w:left="1701" w:header="320" w:footer="720" w:gutter="0"/>
      <w:pgNumType w:start="1"/>
      <w:cols w:space="720" w:num="1"/>
      <w:docGrid w:linePitch="360"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1"/>
    <w:family w:val="roman"/>
    <w:pitch w:val="default"/>
    <w:sig w:usb0="E0002EFF" w:usb1="C000785B" w:usb2="00000009" w:usb3="00000000" w:csb0="400001FF" w:csb1="FFFF0000"/>
  </w:font>
  <w:font w:name="宋体">
    <w:altName w:val="SimSun"/>
    <w:panose1 w:val="02010600030101010101"/>
    <w:charset w:val="86"/>
    <w:family w:val="auto"/>
    <w:pitch w:val="variable"/>
    <w:sig w:usb0="00000003" w:usb1="080E0000" w:usb2="00000010" w:usb3="00000000" w:csb0="00040001" w:csb1="00000000"/>
  </w:font>
  <w:font w:name="SimSun">
    <w:panose1 w:val="02010600030101010101"/>
    <w:charset w:val="86"/>
    <w:family w:val="auto"/>
    <w:pitch w:val="default"/>
    <w:sig w:usb0="00000203" w:usb1="288F0000" w:usb2="00000006" w:usb3="00000000" w:csb0="00040001" w:csb1="00000000"/>
  </w:font>
  <w:font w:name="Arial">
    <w:panose1 w:val="020B0604020202020204"/>
    <w:charset w:val="00"/>
    <w:family w:val="swiss"/>
    <w:pitch w:val="default"/>
    <w:sig w:usb0="E0002EFF" w:usb1="C000785B" w:usb2="00000009" w:usb3="00000000" w:csb0="400001FF" w:csb1="FFFF0000"/>
  </w:font>
  <w:font w:name="Courier New">
    <w:panose1 w:val="02070309020205020404"/>
    <w:charset w:val="00"/>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SimHei">
    <w:altName w:val="SimSun"/>
    <w:panose1 w:val="02010609060101010101"/>
    <w:charset w:val="86"/>
    <w:family w:val="modern"/>
    <w:pitch w:val="default"/>
    <w:sig w:usb0="800002BF" w:usb1="38CF7CFA" w:usb2="00000016" w:usb3="00000000" w:csb0="00040001" w:csb1="00000000"/>
  </w:font>
  <w:font w:name="Calibri">
    <w:panose1 w:val="020F0502020204030204"/>
    <w:charset w:val="00"/>
    <w:family w:val="swiss"/>
    <w:pitch w:val="default"/>
    <w:sig w:usb0="E4002EFF" w:usb1="C000247B" w:usb2="00000009" w:usb3="00000000" w:csb0="200001FF" w:csb1="00000000"/>
  </w:font>
  <w:font w:name="Wingdings">
    <w:panose1 w:val="05000000000000000000"/>
    <w:charset w:val="02"/>
    <w:family w:val="auto"/>
    <w:pitch w:val="default"/>
    <w:sig w:usb0="00000000" w:usb1="00000000" w:usb2="00000000" w:usb3="00000000" w:csb0="80000000" w:csb1="00000000"/>
  </w:font>
  <w:font w:name="Segoe UI">
    <w:panose1 w:val="020B0502040204020203"/>
    <w:charset w:val="00"/>
    <w:family w:val="swiss"/>
    <w:pitch w:val="default"/>
    <w:sig w:usb0="E4002EFF" w:usb1="C000E47F" w:usb2="00000009" w:usb3="00000000" w:csb0="200001FF" w:csb1="00000000"/>
  </w:font>
  <w:font w:name="Cambria Math">
    <w:panose1 w:val="02040503050406030204"/>
    <w:charset w:val="00"/>
    <w:family w:val="roman"/>
    <w:pitch w:val="default"/>
    <w:sig w:usb0="E00006FF" w:usb1="420024FF" w:usb2="02000000" w:usb3="00000000" w:csb0="2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0D68BCE">
    <w:pPr>
      <w:jc w:val="center"/>
      <w:rPr>
        <w:color w:val="44546A" w:themeColor="text2"/>
        <w:lang w:val="pt-BR"/>
        <w14:textFill>
          <w14:solidFill>
            <w14:schemeClr w14:val="tx2"/>
          </w14:solidFill>
        </w14:textFill>
      </w:rPr>
    </w:pPr>
    <w:r>
      <w:rPr>
        <w:rFonts w:ascii="Times New Roman" w:hAnsi="Times New Roman" w:eastAsia="SimSun" w:cs="Times New Roman"/>
        <w:color w:val="44546A" w:themeColor="text2"/>
        <w:lang w:val="pt-BR" w:bidi="ar"/>
        <w14:textFill>
          <w14:solidFill>
            <w14:schemeClr w14:val="tx2"/>
          </w14:solidFill>
        </w14:textFill>
      </w:rPr>
      <w:t>Anexo V- Termo De Referência/Projeto Básico</w:t>
    </w:r>
  </w:p>
  <w:p w14:paraId="31BE186E">
    <w:pPr>
      <w:pStyle w:val="13"/>
      <w:rPr>
        <w:lang w:val="pt-BR"/>
      </w:rPr>
    </w:pP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B3E1F7C">
    <w:pPr>
      <w:pStyle w:val="12"/>
      <w:jc w:val="center"/>
      <w:rPr>
        <w:lang w:val="pt-BR"/>
      </w:rPr>
    </w:pPr>
    <w:r>
      <mc:AlternateContent>
        <mc:Choice Requires="wps">
          <w:drawing>
            <wp:anchor distT="0" distB="0" distL="114300" distR="114300" simplePos="0" relativeHeight="251659264" behindDoc="0" locked="0" layoutInCell="1" allowOverlap="1">
              <wp:simplePos x="0" y="0"/>
              <wp:positionH relativeFrom="margin">
                <wp:align>right</wp:align>
              </wp:positionH>
              <wp:positionV relativeFrom="paragraph">
                <wp:posOffset>0</wp:posOffset>
              </wp:positionV>
              <wp:extent cx="1828800" cy="1828800"/>
              <wp:effectExtent l="0" t="0" r="0" b="0"/>
              <wp:wrapNone/>
              <wp:docPr id="3" name="Caixa de Texto 3"/>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68B3549B">
                          <w:pPr>
                            <w:pStyle w:val="12"/>
                          </w:pPr>
                          <w:r>
                            <w:fldChar w:fldCharType="begin"/>
                          </w:r>
                          <w:r>
                            <w:instrText xml:space="preserve"> PAGE  \* MERGEFORMAT </w:instrText>
                          </w:r>
                          <w:r>
                            <w:fldChar w:fldCharType="separate"/>
                          </w:r>
                          <w:r>
                            <w:t>1</w:t>
                          </w:r>
                          <w:r>
                            <w:fldChar w:fldCharType="end"/>
                          </w:r>
                          <w:r>
                            <w:t xml:space="preserve"> / </w:t>
                          </w:r>
                          <w:r>
                            <w:fldChar w:fldCharType="begin"/>
                          </w:r>
                          <w:r>
                            <w:instrText xml:space="preserve"> NUMPAGES  \* MERGEFORMAT </w:instrText>
                          </w:r>
                          <w:r>
                            <w:fldChar w:fldCharType="separate"/>
                          </w:r>
                          <w:r>
                            <w:t>28</w:t>
                          </w:r>
                          <w: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top:0pt;height:144pt;width:144pt;mso-position-horizontal:right;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">
              <v:fill on="f" focussize="0,0"/>
              <v:stroke on="f" weight="0.5pt"/>
              <v:imagedata o:title=""/>
              <o:lock v:ext="edit" aspectratio="f"/>
              <v:textbox inset="0mm,0mm,0mm,0mm" style="mso-fit-shape-to-text:t;">
                <w:txbxContent>
                  <w:p w14:paraId="68B3549B">
                    <w:pPr>
                      <w:pStyle w:val="12"/>
                    </w:pPr>
                    <w:r>
                      <w:fldChar w:fldCharType="begin"/>
                    </w:r>
                    <w:r>
                      <w:instrText xml:space="preserve"> PAGE  \* MERGEFORMAT </w:instrText>
                    </w:r>
                    <w:r>
                      <w:fldChar w:fldCharType="separate"/>
                    </w:r>
                    <w:r>
                      <w:t>1</w:t>
                    </w:r>
                    <w:r>
                      <w:fldChar w:fldCharType="end"/>
                    </w:r>
                    <w:r>
                      <w:t xml:space="preserve"> / </w:t>
                    </w:r>
                    <w:r>
                      <w:fldChar w:fldCharType="begin"/>
                    </w:r>
                    <w:r>
                      <w:instrText xml:space="preserve"> NUMPAGES  \* MERGEFORMAT </w:instrText>
                    </w:r>
                    <w:r>
                      <w:fldChar w:fldCharType="separate"/>
                    </w:r>
                    <w:r>
                      <w:t>28</w:t>
                    </w:r>
                    <w:r>
                      <w:fldChar w:fldCharType="end"/>
                    </w:r>
                  </w:p>
                </w:txbxContent>
              </v:textbox>
            </v:shape>
          </w:pict>
        </mc:Fallback>
      </mc:AlternateContent>
    </w:r>
    <w:r>
      <w:drawing>
        <wp:inline distT="0" distB="0" distL="114300" distR="114300">
          <wp:extent cx="3895725" cy="559435"/>
          <wp:effectExtent l="0" t="0" r="9525" b="12065"/>
          <wp:docPr id="6" name="Picture 3" descr="IMG_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icture 3" descr="IMG_256"/>
                  <pic:cNvPicPr>
                    <a:picLocks noChangeAspect="1"/>
                  </pic:cNvPicPr>
                </pic:nvPicPr>
                <pic:blipFill>
                  <a:blip r:embed="rId1"/>
                  <a:stretch>
                    <a:fillRect/>
                  </a:stretch>
                </pic:blipFill>
                <pic:spPr>
                  <a:xfrm>
                    <a:off x="0" y="0"/>
                    <a:ext cx="3895725" cy="559435"/>
                  </a:xfrm>
                  <a:prstGeom prst="rect">
                    <a:avLst/>
                  </a:prstGeom>
                  <a:noFill/>
                  <a:ln w="9525">
                    <a:noFill/>
                  </a:ln>
                </pic:spPr>
              </pic:pic>
            </a:graphicData>
          </a:graphic>
        </wp:inline>
      </w:drawing>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80A13ABF"/>
    <w:multiLevelType w:val="singleLevel"/>
    <w:tmpl w:val="80A13ABF"/>
    <w:lvl w:ilvl="0" w:tentative="0">
      <w:start w:val="1"/>
      <w:numFmt w:val="lowerLetter"/>
      <w:lvlText w:val="%1)"/>
      <w:lvlJc w:val="left"/>
      <w:pPr>
        <w:tabs>
          <w:tab w:val="left" w:pos="425"/>
        </w:tabs>
        <w:ind w:left="425" w:leftChars="0" w:hanging="425" w:firstLineChars="0"/>
      </w:pPr>
      <w:rPr>
        <w:rFonts w:hint="default"/>
      </w:rPr>
    </w:lvl>
  </w:abstractNum>
  <w:abstractNum w:abstractNumId="1">
    <w:nsid w:val="81AB0B97"/>
    <w:multiLevelType w:val="singleLevel"/>
    <w:tmpl w:val="81AB0B97"/>
    <w:lvl w:ilvl="0" w:tentative="0">
      <w:start w:val="2"/>
      <w:numFmt w:val="decimal"/>
      <w:lvlText w:val="5.%1."/>
      <w:lvlJc w:val="left"/>
      <w:pPr>
        <w:tabs>
          <w:tab w:val="left" w:pos="425"/>
        </w:tabs>
        <w:ind w:left="425" w:hanging="425"/>
      </w:pPr>
      <w:rPr>
        <w:rFonts w:hint="default"/>
        <w:b/>
        <w:bCs/>
      </w:rPr>
    </w:lvl>
  </w:abstractNum>
  <w:abstractNum w:abstractNumId="2">
    <w:nsid w:val="87F30833"/>
    <w:multiLevelType w:val="singleLevel"/>
    <w:tmpl w:val="87F30833"/>
    <w:lvl w:ilvl="0" w:tentative="0">
      <w:start w:val="5"/>
      <w:numFmt w:val="decimal"/>
      <w:lvlText w:val="5.%1."/>
      <w:lvlJc w:val="left"/>
      <w:pPr>
        <w:tabs>
          <w:tab w:val="left" w:pos="425"/>
        </w:tabs>
        <w:ind w:left="425" w:hanging="425"/>
      </w:pPr>
      <w:rPr>
        <w:rFonts w:hint="default"/>
      </w:rPr>
    </w:lvl>
  </w:abstractNum>
  <w:abstractNum w:abstractNumId="3">
    <w:nsid w:val="98FD4CFA"/>
    <w:multiLevelType w:val="multilevel"/>
    <w:tmpl w:val="98FD4CFA"/>
    <w:lvl w:ilvl="0" w:tentative="0">
      <w:start w:val="8"/>
      <w:numFmt w:val="decimal"/>
      <w:lvlText w:val="%1."/>
      <w:lvlJc w:val="left"/>
      <w:pPr>
        <w:tabs>
          <w:tab w:val="left" w:pos="425"/>
        </w:tabs>
        <w:ind w:left="425" w:hanging="425"/>
      </w:pPr>
      <w:rPr>
        <w:rFonts w:hint="default"/>
      </w:rPr>
    </w:lvl>
    <w:lvl w:ilvl="1" w:tentative="0">
      <w:start w:val="1"/>
      <w:numFmt w:val="decimal"/>
      <w:suff w:val="space"/>
      <w:lvlText w:val="%1.%2."/>
      <w:lvlJc w:val="left"/>
      <w:pPr>
        <w:ind w:left="0" w:firstLine="0"/>
      </w:pPr>
      <w:rPr>
        <w:rFonts w:hint="default"/>
        <w:b/>
        <w:bCs/>
        <w:i w:val="0"/>
        <w:iCs w:val="0"/>
      </w:rPr>
    </w:lvl>
    <w:lvl w:ilvl="2" w:tentative="0">
      <w:start w:val="1"/>
      <w:numFmt w:val="decimal"/>
      <w:suff w:val="space"/>
      <w:lvlText w:val="%1.%2.%3."/>
      <w:lvlJc w:val="left"/>
      <w:pPr>
        <w:ind w:left="0" w:firstLine="0"/>
      </w:pPr>
      <w:rPr>
        <w:rFonts w:hint="default"/>
      </w:rPr>
    </w:lvl>
    <w:lvl w:ilvl="3" w:tentative="0">
      <w:start w:val="1"/>
      <w:numFmt w:val="decimal"/>
      <w:suff w:val="space"/>
      <w:lvlText w:val="%1.%2.%3.%4."/>
      <w:lvlJc w:val="left"/>
      <w:pPr>
        <w:ind w:left="0" w:firstLine="0"/>
      </w:pPr>
      <w:rPr>
        <w:rFonts w:hint="default"/>
      </w:rPr>
    </w:lvl>
    <w:lvl w:ilvl="4" w:tentative="0">
      <w:start w:val="1"/>
      <w:numFmt w:val="decimal"/>
      <w:suff w:val="space"/>
      <w:lvlText w:val="%1.%2.%3.%4.%5."/>
      <w:lvlJc w:val="left"/>
      <w:pPr>
        <w:ind w:left="0" w:firstLine="0"/>
      </w:pPr>
      <w:rPr>
        <w:rFonts w:hint="default"/>
      </w:rPr>
    </w:lvl>
    <w:lvl w:ilvl="5" w:tentative="0">
      <w:start w:val="1"/>
      <w:numFmt w:val="decimal"/>
      <w:suff w:val="space"/>
      <w:lvlText w:val="%1.%2.%3.%4.%5.%6."/>
      <w:lvlJc w:val="left"/>
      <w:pPr>
        <w:ind w:left="0" w:firstLine="0"/>
      </w:pPr>
      <w:rPr>
        <w:rFonts w:hint="default"/>
      </w:rPr>
    </w:lvl>
    <w:lvl w:ilvl="6" w:tentative="0">
      <w:start w:val="1"/>
      <w:numFmt w:val="decimal"/>
      <w:suff w:val="space"/>
      <w:lvlText w:val="%1.%2.%3.%4.%5.%6.%7."/>
      <w:lvlJc w:val="left"/>
      <w:pPr>
        <w:ind w:left="0" w:firstLine="0"/>
      </w:pPr>
      <w:rPr>
        <w:rFonts w:hint="default"/>
      </w:rPr>
    </w:lvl>
    <w:lvl w:ilvl="7" w:tentative="0">
      <w:start w:val="1"/>
      <w:numFmt w:val="decimal"/>
      <w:suff w:val="space"/>
      <w:lvlText w:val="%1.%2.%3.%4.%5.%6.%7.%8."/>
      <w:lvlJc w:val="left"/>
      <w:pPr>
        <w:ind w:left="0" w:firstLine="0"/>
      </w:pPr>
      <w:rPr>
        <w:rFonts w:hint="default"/>
      </w:rPr>
    </w:lvl>
    <w:lvl w:ilvl="8" w:tentative="0">
      <w:start w:val="1"/>
      <w:numFmt w:val="decimal"/>
      <w:suff w:val="space"/>
      <w:lvlText w:val="%1.%2.%3.%4.%5.%6.%7.%8.%9."/>
      <w:lvlJc w:val="left"/>
      <w:pPr>
        <w:ind w:left="0" w:firstLine="0"/>
      </w:pPr>
      <w:rPr>
        <w:rFonts w:hint="default"/>
      </w:rPr>
    </w:lvl>
  </w:abstractNum>
  <w:abstractNum w:abstractNumId="4">
    <w:nsid w:val="A3D00E71"/>
    <w:multiLevelType w:val="multilevel"/>
    <w:tmpl w:val="A3D00E71"/>
    <w:lvl w:ilvl="0" w:tentative="0">
      <w:start w:val="9"/>
      <w:numFmt w:val="decimal"/>
      <w:lvlText w:val="%1."/>
      <w:lvlJc w:val="left"/>
      <w:pPr>
        <w:tabs>
          <w:tab w:val="left" w:pos="425"/>
        </w:tabs>
        <w:ind w:left="425" w:hanging="425"/>
      </w:pPr>
      <w:rPr>
        <w:rFonts w:hint="default"/>
        <w:b/>
        <w:bCs/>
        <w:sz w:val="24"/>
        <w:szCs w:val="24"/>
      </w:rPr>
    </w:lvl>
    <w:lvl w:ilvl="1" w:tentative="0">
      <w:start w:val="1"/>
      <w:numFmt w:val="decimal"/>
      <w:suff w:val="space"/>
      <w:lvlText w:val="%1.%2."/>
      <w:lvlJc w:val="left"/>
      <w:pPr>
        <w:ind w:left="0" w:firstLine="0"/>
      </w:pPr>
      <w:rPr>
        <w:rFonts w:hint="default"/>
        <w:b/>
        <w:bCs/>
        <w:color w:val="auto"/>
      </w:rPr>
    </w:lvl>
    <w:lvl w:ilvl="2" w:tentative="0">
      <w:start w:val="1"/>
      <w:numFmt w:val="decimal"/>
      <w:suff w:val="space"/>
      <w:lvlText w:val="%1.%2.%3."/>
      <w:lvlJc w:val="left"/>
      <w:pPr>
        <w:ind w:left="0" w:firstLine="0"/>
      </w:pPr>
      <w:rPr>
        <w:rFonts w:hint="default"/>
        <w:b/>
        <w:bCs/>
      </w:rPr>
    </w:lvl>
    <w:lvl w:ilvl="3" w:tentative="0">
      <w:start w:val="1"/>
      <w:numFmt w:val="decimal"/>
      <w:suff w:val="space"/>
      <w:lvlText w:val="%1.%2.%3.%4."/>
      <w:lvlJc w:val="left"/>
      <w:pPr>
        <w:ind w:left="0" w:firstLine="0"/>
      </w:pPr>
      <w:rPr>
        <w:rFonts w:hint="default"/>
      </w:rPr>
    </w:lvl>
    <w:lvl w:ilvl="4" w:tentative="0">
      <w:start w:val="1"/>
      <w:numFmt w:val="decimal"/>
      <w:suff w:val="space"/>
      <w:lvlText w:val="%1.%2.%3.%4.%5."/>
      <w:lvlJc w:val="left"/>
      <w:pPr>
        <w:ind w:left="0" w:firstLine="0"/>
      </w:pPr>
      <w:rPr>
        <w:rFonts w:hint="default"/>
      </w:rPr>
    </w:lvl>
    <w:lvl w:ilvl="5" w:tentative="0">
      <w:start w:val="1"/>
      <w:numFmt w:val="decimal"/>
      <w:suff w:val="space"/>
      <w:lvlText w:val="%1.%2.%3.%4.%5.%6."/>
      <w:lvlJc w:val="left"/>
      <w:pPr>
        <w:ind w:left="0" w:firstLine="0"/>
      </w:pPr>
      <w:rPr>
        <w:rFonts w:hint="default"/>
      </w:rPr>
    </w:lvl>
    <w:lvl w:ilvl="6" w:tentative="0">
      <w:start w:val="1"/>
      <w:numFmt w:val="decimal"/>
      <w:suff w:val="space"/>
      <w:lvlText w:val="%1.%2.%3.%4.%5.%6.%7."/>
      <w:lvlJc w:val="left"/>
      <w:pPr>
        <w:ind w:left="0" w:firstLine="0"/>
      </w:pPr>
      <w:rPr>
        <w:rFonts w:hint="default"/>
      </w:rPr>
    </w:lvl>
    <w:lvl w:ilvl="7" w:tentative="0">
      <w:start w:val="1"/>
      <w:numFmt w:val="decimal"/>
      <w:suff w:val="space"/>
      <w:lvlText w:val="%1.%2.%3.%4.%5.%6.%7.%8."/>
      <w:lvlJc w:val="left"/>
      <w:pPr>
        <w:ind w:left="0" w:firstLine="0"/>
      </w:pPr>
      <w:rPr>
        <w:rFonts w:hint="default"/>
      </w:rPr>
    </w:lvl>
    <w:lvl w:ilvl="8" w:tentative="0">
      <w:start w:val="1"/>
      <w:numFmt w:val="decimal"/>
      <w:suff w:val="space"/>
      <w:lvlText w:val="%1.%2.%3.%4.%5.%6.%7.%8.%9."/>
      <w:lvlJc w:val="left"/>
      <w:pPr>
        <w:ind w:left="0" w:firstLine="0"/>
      </w:pPr>
      <w:rPr>
        <w:rFonts w:hint="default"/>
      </w:rPr>
    </w:lvl>
  </w:abstractNum>
  <w:abstractNum w:abstractNumId="5">
    <w:nsid w:val="ADB2F7AA"/>
    <w:multiLevelType w:val="singleLevel"/>
    <w:tmpl w:val="ADB2F7AA"/>
    <w:lvl w:ilvl="0" w:tentative="0">
      <w:start w:val="1"/>
      <w:numFmt w:val="decimal"/>
      <w:lvlText w:val="5.3.%1."/>
      <w:lvlJc w:val="left"/>
      <w:pPr>
        <w:tabs>
          <w:tab w:val="left" w:pos="425"/>
        </w:tabs>
        <w:ind w:left="425" w:hanging="425"/>
      </w:pPr>
      <w:rPr>
        <w:rFonts w:hint="default"/>
        <w:b/>
        <w:bCs/>
      </w:rPr>
    </w:lvl>
  </w:abstractNum>
  <w:abstractNum w:abstractNumId="6">
    <w:nsid w:val="B22B5A85"/>
    <w:multiLevelType w:val="singleLevel"/>
    <w:tmpl w:val="B22B5A85"/>
    <w:lvl w:ilvl="0" w:tentative="0">
      <w:start w:val="1"/>
      <w:numFmt w:val="bullet"/>
      <w:lvlText w:val=""/>
      <w:lvlJc w:val="left"/>
      <w:pPr>
        <w:tabs>
          <w:tab w:val="left" w:pos="420"/>
        </w:tabs>
        <w:ind w:left="420" w:hanging="420"/>
      </w:pPr>
      <w:rPr>
        <w:rFonts w:hint="default" w:ascii="Wingdings" w:hAnsi="Wingdings"/>
      </w:rPr>
    </w:lvl>
  </w:abstractNum>
  <w:abstractNum w:abstractNumId="7">
    <w:nsid w:val="BE3EDDB9"/>
    <w:multiLevelType w:val="singleLevel"/>
    <w:tmpl w:val="BE3EDDB9"/>
    <w:lvl w:ilvl="0" w:tentative="0">
      <w:start w:val="7"/>
      <w:numFmt w:val="decimal"/>
      <w:lvlText w:val="5.%1."/>
      <w:lvlJc w:val="left"/>
      <w:pPr>
        <w:tabs>
          <w:tab w:val="left" w:pos="425"/>
        </w:tabs>
        <w:ind w:left="425" w:hanging="425"/>
      </w:pPr>
      <w:rPr>
        <w:rFonts w:hint="default"/>
      </w:rPr>
    </w:lvl>
  </w:abstractNum>
  <w:abstractNum w:abstractNumId="8">
    <w:nsid w:val="CDA26F72"/>
    <w:multiLevelType w:val="singleLevel"/>
    <w:tmpl w:val="CDA26F72"/>
    <w:lvl w:ilvl="0" w:tentative="0">
      <w:start w:val="2"/>
      <w:numFmt w:val="decimal"/>
      <w:lvlText w:val="2.%1."/>
      <w:lvlJc w:val="left"/>
      <w:pPr>
        <w:tabs>
          <w:tab w:val="left" w:pos="425"/>
        </w:tabs>
        <w:ind w:left="425" w:hanging="425"/>
      </w:pPr>
      <w:rPr>
        <w:rFonts w:hint="default" w:ascii="Times New Roman" w:hAnsi="Times New Roman" w:cs="Times New Roman"/>
        <w:b/>
        <w:bCs/>
        <w:sz w:val="24"/>
        <w:szCs w:val="24"/>
      </w:rPr>
    </w:lvl>
  </w:abstractNum>
  <w:abstractNum w:abstractNumId="9">
    <w:nsid w:val="E1814824"/>
    <w:multiLevelType w:val="singleLevel"/>
    <w:tmpl w:val="E1814824"/>
    <w:lvl w:ilvl="0" w:tentative="0">
      <w:start w:val="8"/>
      <w:numFmt w:val="decimal"/>
      <w:lvlText w:val="5.%1."/>
      <w:lvlJc w:val="left"/>
      <w:pPr>
        <w:tabs>
          <w:tab w:val="left" w:pos="425"/>
        </w:tabs>
        <w:ind w:left="425" w:hanging="425"/>
      </w:pPr>
      <w:rPr>
        <w:rFonts w:hint="default"/>
      </w:rPr>
    </w:lvl>
  </w:abstractNum>
  <w:abstractNum w:abstractNumId="10">
    <w:nsid w:val="EE0B70FE"/>
    <w:multiLevelType w:val="singleLevel"/>
    <w:tmpl w:val="EE0B70FE"/>
    <w:lvl w:ilvl="0" w:tentative="0">
      <w:start w:val="2"/>
      <w:numFmt w:val="decimal"/>
      <w:lvlText w:val="6.14.%1."/>
      <w:lvlJc w:val="left"/>
      <w:pPr>
        <w:tabs>
          <w:tab w:val="left" w:pos="425"/>
        </w:tabs>
        <w:ind w:left="425" w:leftChars="0" w:hanging="425" w:firstLineChars="0"/>
      </w:pPr>
      <w:rPr>
        <w:rFonts w:hint="default"/>
        <w:b/>
        <w:bCs/>
      </w:rPr>
    </w:lvl>
  </w:abstractNum>
  <w:abstractNum w:abstractNumId="11">
    <w:nsid w:val="FC6A40D0"/>
    <w:multiLevelType w:val="singleLevel"/>
    <w:tmpl w:val="FC6A40D0"/>
    <w:lvl w:ilvl="0" w:tentative="0">
      <w:start w:val="1"/>
      <w:numFmt w:val="decimal"/>
      <w:lvlText w:val="2.%1."/>
      <w:lvlJc w:val="left"/>
      <w:pPr>
        <w:tabs>
          <w:tab w:val="left" w:pos="425"/>
        </w:tabs>
        <w:ind w:left="425" w:hanging="425"/>
      </w:pPr>
      <w:rPr>
        <w:rFonts w:hint="default"/>
        <w:b/>
        <w:bCs/>
      </w:rPr>
    </w:lvl>
  </w:abstractNum>
  <w:abstractNum w:abstractNumId="12">
    <w:nsid w:val="000FD153"/>
    <w:multiLevelType w:val="singleLevel"/>
    <w:tmpl w:val="000FD153"/>
    <w:lvl w:ilvl="0" w:tentative="0">
      <w:start w:val="3"/>
      <w:numFmt w:val="decimal"/>
      <w:lvlText w:val="6.14.%1."/>
      <w:lvlJc w:val="left"/>
      <w:pPr>
        <w:tabs>
          <w:tab w:val="left" w:pos="425"/>
        </w:tabs>
        <w:ind w:left="425" w:leftChars="0" w:hanging="425" w:firstLineChars="0"/>
      </w:pPr>
      <w:rPr>
        <w:rFonts w:hint="default"/>
        <w:b/>
        <w:bCs/>
      </w:rPr>
    </w:lvl>
  </w:abstractNum>
  <w:abstractNum w:abstractNumId="13">
    <w:nsid w:val="025460F9"/>
    <w:multiLevelType w:val="multilevel"/>
    <w:tmpl w:val="025460F9"/>
    <w:lvl w:ilvl="0" w:tentative="0">
      <w:start w:val="6"/>
      <w:numFmt w:val="decimal"/>
      <w:lvlText w:val="%1."/>
      <w:lvlJc w:val="left"/>
      <w:pPr>
        <w:tabs>
          <w:tab w:val="left" w:pos="425"/>
        </w:tabs>
        <w:ind w:left="425" w:hanging="425"/>
      </w:pPr>
      <w:rPr>
        <w:rFonts w:hint="default"/>
      </w:rPr>
    </w:lvl>
    <w:lvl w:ilvl="1" w:tentative="0">
      <w:start w:val="1"/>
      <w:numFmt w:val="decimal"/>
      <w:suff w:val="space"/>
      <w:lvlText w:val="%1.%2."/>
      <w:lvlJc w:val="left"/>
      <w:pPr>
        <w:ind w:left="0" w:firstLine="0"/>
      </w:pPr>
      <w:rPr>
        <w:rFonts w:hint="default"/>
        <w:b/>
        <w:bCs/>
        <w:sz w:val="24"/>
        <w:szCs w:val="24"/>
      </w:rPr>
    </w:lvl>
    <w:lvl w:ilvl="2" w:tentative="0">
      <w:start w:val="1"/>
      <w:numFmt w:val="decimal"/>
      <w:suff w:val="space"/>
      <w:lvlText w:val="%1.%2.%3."/>
      <w:lvlJc w:val="left"/>
      <w:pPr>
        <w:ind w:left="200" w:firstLine="0"/>
      </w:pPr>
      <w:rPr>
        <w:rFonts w:hint="default" w:ascii="Times New Roman" w:hAnsi="Times New Roman" w:cs="Times New Roman"/>
        <w:b/>
        <w:bCs/>
        <w:sz w:val="24"/>
        <w:szCs w:val="24"/>
      </w:rPr>
    </w:lvl>
    <w:lvl w:ilvl="3" w:tentative="0">
      <w:start w:val="1"/>
      <w:numFmt w:val="decimal"/>
      <w:suff w:val="space"/>
      <w:lvlText w:val="%1.%2.%3.%4."/>
      <w:lvlJc w:val="left"/>
      <w:pPr>
        <w:ind w:left="0" w:firstLine="0"/>
      </w:pPr>
      <w:rPr>
        <w:rFonts w:hint="default"/>
        <w:b/>
        <w:bCs/>
      </w:rPr>
    </w:lvl>
    <w:lvl w:ilvl="4" w:tentative="0">
      <w:start w:val="1"/>
      <w:numFmt w:val="decimal"/>
      <w:suff w:val="space"/>
      <w:lvlText w:val="%1.%2.%3.%4.%5."/>
      <w:lvlJc w:val="left"/>
      <w:pPr>
        <w:ind w:left="0" w:firstLine="0"/>
      </w:pPr>
      <w:rPr>
        <w:rFonts w:hint="default"/>
      </w:rPr>
    </w:lvl>
    <w:lvl w:ilvl="5" w:tentative="0">
      <w:start w:val="1"/>
      <w:numFmt w:val="decimal"/>
      <w:suff w:val="space"/>
      <w:lvlText w:val="%1.%2.%3.%4.%5.%6."/>
      <w:lvlJc w:val="left"/>
      <w:pPr>
        <w:ind w:left="0" w:firstLine="0"/>
      </w:pPr>
      <w:rPr>
        <w:rFonts w:hint="default"/>
      </w:rPr>
    </w:lvl>
    <w:lvl w:ilvl="6" w:tentative="0">
      <w:start w:val="1"/>
      <w:numFmt w:val="decimal"/>
      <w:suff w:val="space"/>
      <w:lvlText w:val="%1.%2.%3.%4.%5.%6.%7."/>
      <w:lvlJc w:val="left"/>
      <w:pPr>
        <w:ind w:left="0" w:firstLine="0"/>
      </w:pPr>
      <w:rPr>
        <w:rFonts w:hint="default"/>
      </w:rPr>
    </w:lvl>
    <w:lvl w:ilvl="7" w:tentative="0">
      <w:start w:val="1"/>
      <w:numFmt w:val="decimal"/>
      <w:suff w:val="space"/>
      <w:lvlText w:val="%1.%2.%3.%4.%5.%6.%7.%8."/>
      <w:lvlJc w:val="left"/>
      <w:pPr>
        <w:ind w:left="0" w:firstLine="0"/>
      </w:pPr>
      <w:rPr>
        <w:rFonts w:hint="default"/>
      </w:rPr>
    </w:lvl>
    <w:lvl w:ilvl="8" w:tentative="0">
      <w:start w:val="1"/>
      <w:numFmt w:val="decimal"/>
      <w:suff w:val="space"/>
      <w:lvlText w:val="%1.%2.%3.%4.%5.%6.%7.%8.%9."/>
      <w:lvlJc w:val="left"/>
      <w:pPr>
        <w:ind w:left="0" w:firstLine="0"/>
      </w:pPr>
      <w:rPr>
        <w:rFonts w:hint="default"/>
      </w:rPr>
    </w:lvl>
  </w:abstractNum>
  <w:abstractNum w:abstractNumId="14">
    <w:nsid w:val="1097D41B"/>
    <w:multiLevelType w:val="singleLevel"/>
    <w:tmpl w:val="1097D41B"/>
    <w:lvl w:ilvl="0" w:tentative="0">
      <w:start w:val="1"/>
      <w:numFmt w:val="decimal"/>
      <w:lvlText w:val="6.14.%1."/>
      <w:lvlJc w:val="left"/>
      <w:pPr>
        <w:tabs>
          <w:tab w:val="left" w:pos="425"/>
        </w:tabs>
        <w:ind w:left="425" w:leftChars="0" w:hanging="425" w:firstLineChars="0"/>
      </w:pPr>
      <w:rPr>
        <w:rFonts w:hint="default"/>
        <w:b/>
        <w:bCs/>
      </w:rPr>
    </w:lvl>
  </w:abstractNum>
  <w:abstractNum w:abstractNumId="15">
    <w:nsid w:val="19F397D8"/>
    <w:multiLevelType w:val="singleLevel"/>
    <w:tmpl w:val="19F397D8"/>
    <w:lvl w:ilvl="0" w:tentative="0">
      <w:start w:val="1"/>
      <w:numFmt w:val="decimal"/>
      <w:lvlText w:val="9.20.%1."/>
      <w:lvlJc w:val="left"/>
      <w:pPr>
        <w:tabs>
          <w:tab w:val="left" w:pos="425"/>
        </w:tabs>
        <w:ind w:left="425" w:leftChars="0" w:hanging="425" w:firstLineChars="0"/>
      </w:pPr>
      <w:rPr>
        <w:rFonts w:hint="default"/>
        <w:b/>
        <w:bCs/>
      </w:rPr>
    </w:lvl>
  </w:abstractNum>
  <w:abstractNum w:abstractNumId="16">
    <w:nsid w:val="1CEAF06C"/>
    <w:multiLevelType w:val="singleLevel"/>
    <w:tmpl w:val="1CEAF06C"/>
    <w:lvl w:ilvl="0" w:tentative="0">
      <w:start w:val="1"/>
      <w:numFmt w:val="decimal"/>
      <w:lvlText w:val="5.%1"/>
      <w:lvlJc w:val="left"/>
      <w:pPr>
        <w:tabs>
          <w:tab w:val="left" w:pos="425"/>
        </w:tabs>
        <w:ind w:left="425" w:hanging="425"/>
      </w:pPr>
      <w:rPr>
        <w:rFonts w:hint="default" w:ascii="Times New Roman" w:hAnsi="Times New Roman" w:cs="Times New Roman"/>
      </w:rPr>
    </w:lvl>
  </w:abstractNum>
  <w:abstractNum w:abstractNumId="17">
    <w:nsid w:val="1D5C100D"/>
    <w:multiLevelType w:val="multilevel"/>
    <w:tmpl w:val="1D5C100D"/>
    <w:lvl w:ilvl="0" w:tentative="0">
      <w:start w:val="1"/>
      <w:numFmt w:val="decimal"/>
      <w:pStyle w:val="20"/>
      <w:lvlText w:val="%1."/>
      <w:lvlJc w:val="left"/>
      <w:pPr>
        <w:ind w:left="360" w:hanging="360"/>
      </w:pPr>
      <w:rPr>
        <w:rFonts w:hint="default" w:cs="Times New Roman"/>
        <w:b/>
        <w:u w:val="none"/>
      </w:rPr>
    </w:lvl>
    <w:lvl w:ilvl="1" w:tentative="0">
      <w:start w:val="1"/>
      <w:numFmt w:val="decimal"/>
      <w:pStyle w:val="17"/>
      <w:lvlText w:val="%1.%2."/>
      <w:lvlJc w:val="left"/>
      <w:pPr>
        <w:ind w:left="999" w:hanging="432"/>
      </w:pPr>
      <w:rPr>
        <w:rFonts w:hint="default" w:ascii="Arial" w:cs="Arial"/>
        <w:b/>
        <w:color w:val="auto"/>
        <w:sz w:val="22"/>
        <w:szCs w:val="22"/>
        <w:u w:val="none"/>
      </w:rPr>
    </w:lvl>
    <w:lvl w:ilvl="2" w:tentative="0">
      <w:start w:val="1"/>
      <w:numFmt w:val="decimal"/>
      <w:lvlText w:val="%1.%2.%3."/>
      <w:lvlJc w:val="left"/>
      <w:pPr>
        <w:ind w:left="1550" w:hanging="504"/>
      </w:pPr>
      <w:rPr>
        <w:rFonts w:hint="default" w:ascii="Arial" w:cs="Arial"/>
        <w:color w:val="auto"/>
        <w:szCs w:val="20"/>
        <w:u w:val="none"/>
      </w:rPr>
    </w:lvl>
    <w:lvl w:ilvl="3" w:tentative="0">
      <w:start w:val="1"/>
      <w:numFmt w:val="decimal"/>
      <w:lvlText w:val="%1.%2.%3.%4."/>
      <w:lvlJc w:val="left"/>
      <w:pPr>
        <w:ind w:left="2404" w:hanging="648"/>
      </w:pPr>
      <w:rPr>
        <w:rFonts w:hint="default" w:cs="Times New Roman"/>
        <w:u w:val="none"/>
      </w:rPr>
    </w:lvl>
    <w:lvl w:ilvl="4" w:tentative="0">
      <w:start w:val="1"/>
      <w:numFmt w:val="decimal"/>
      <w:lvlText w:val="%1.%2.%3.%4.%5."/>
      <w:lvlJc w:val="left"/>
      <w:pPr>
        <w:ind w:left="2232" w:hanging="792"/>
      </w:pPr>
      <w:rPr>
        <w:rFonts w:hint="default" w:cs="Times New Roman"/>
        <w:u w:val="none"/>
      </w:rPr>
    </w:lvl>
    <w:lvl w:ilvl="5" w:tentative="0">
      <w:start w:val="1"/>
      <w:numFmt w:val="decimal"/>
      <w:lvlText w:val="%1.%2.%3.%4.%5.%6."/>
      <w:lvlJc w:val="left"/>
      <w:pPr>
        <w:ind w:left="2736" w:hanging="936"/>
      </w:pPr>
      <w:rPr>
        <w:rFonts w:hint="default" w:cs="Times New Roman"/>
        <w:u w:val="none"/>
      </w:rPr>
    </w:lvl>
    <w:lvl w:ilvl="6" w:tentative="0">
      <w:start w:val="1"/>
      <w:numFmt w:val="decimal"/>
      <w:lvlText w:val="%1.%2.%3.%4.%5.%6.%7."/>
      <w:lvlJc w:val="left"/>
      <w:pPr>
        <w:ind w:left="3240" w:hanging="1080"/>
      </w:pPr>
      <w:rPr>
        <w:rFonts w:hint="default" w:cs="Times New Roman"/>
        <w:u w:val="none"/>
      </w:rPr>
    </w:lvl>
    <w:lvl w:ilvl="7" w:tentative="0">
      <w:start w:val="1"/>
      <w:numFmt w:val="decimal"/>
      <w:lvlText w:val="%1.%2.%3.%4.%5.%6.%7.%8."/>
      <w:lvlJc w:val="left"/>
      <w:pPr>
        <w:ind w:left="3744" w:hanging="1224"/>
      </w:pPr>
      <w:rPr>
        <w:rFonts w:hint="default" w:cs="Times New Roman"/>
        <w:u w:val="none"/>
      </w:rPr>
    </w:lvl>
    <w:lvl w:ilvl="8" w:tentative="0">
      <w:start w:val="1"/>
      <w:numFmt w:val="decimal"/>
      <w:lvlText w:val="%1.%2.%3.%4.%5.%6.%7.%8.%9."/>
      <w:lvlJc w:val="left"/>
      <w:pPr>
        <w:ind w:left="4320" w:hanging="1440"/>
      </w:pPr>
      <w:rPr>
        <w:rFonts w:hint="default" w:cs="Times New Roman"/>
        <w:u w:val="none"/>
      </w:rPr>
    </w:lvl>
  </w:abstractNum>
  <w:abstractNum w:abstractNumId="18">
    <w:nsid w:val="2B18776D"/>
    <w:multiLevelType w:val="singleLevel"/>
    <w:tmpl w:val="2B18776D"/>
    <w:lvl w:ilvl="0" w:tentative="0">
      <w:start w:val="1"/>
      <w:numFmt w:val="decimal"/>
      <w:lvlText w:val="2.3.%1."/>
      <w:lvlJc w:val="left"/>
      <w:pPr>
        <w:tabs>
          <w:tab w:val="left" w:pos="425"/>
        </w:tabs>
        <w:ind w:left="425" w:hanging="425"/>
      </w:pPr>
      <w:rPr>
        <w:rFonts w:hint="default"/>
        <w:b/>
        <w:bCs/>
      </w:rPr>
    </w:lvl>
  </w:abstractNum>
  <w:abstractNum w:abstractNumId="19">
    <w:nsid w:val="2BEEE612"/>
    <w:multiLevelType w:val="singleLevel"/>
    <w:tmpl w:val="2BEEE612"/>
    <w:lvl w:ilvl="0" w:tentative="0">
      <w:start w:val="1"/>
      <w:numFmt w:val="decimal"/>
      <w:lvlText w:val="9.2%1."/>
      <w:lvlJc w:val="left"/>
      <w:pPr>
        <w:tabs>
          <w:tab w:val="left" w:pos="425"/>
        </w:tabs>
        <w:ind w:left="425" w:leftChars="0" w:hanging="425" w:firstLineChars="0"/>
      </w:pPr>
      <w:rPr>
        <w:rFonts w:hint="default"/>
      </w:rPr>
    </w:lvl>
  </w:abstractNum>
  <w:abstractNum w:abstractNumId="20">
    <w:nsid w:val="2FF861E6"/>
    <w:multiLevelType w:val="singleLevel"/>
    <w:tmpl w:val="2FF861E6"/>
    <w:lvl w:ilvl="0" w:tentative="0">
      <w:start w:val="1"/>
      <w:numFmt w:val="none"/>
      <w:lvlText w:val="9.20."/>
      <w:lvlJc w:val="left"/>
      <w:pPr>
        <w:tabs>
          <w:tab w:val="left" w:pos="425"/>
        </w:tabs>
        <w:ind w:left="425" w:leftChars="0" w:hanging="425" w:firstLineChars="0"/>
      </w:pPr>
      <w:rPr>
        <w:rFonts w:hint="default"/>
        <w:b/>
        <w:bCs/>
      </w:rPr>
    </w:lvl>
  </w:abstractNum>
  <w:abstractNum w:abstractNumId="21">
    <w:nsid w:val="378C9D8A"/>
    <w:multiLevelType w:val="singleLevel"/>
    <w:tmpl w:val="378C9D8A"/>
    <w:lvl w:ilvl="0" w:tentative="0">
      <w:start w:val="2"/>
      <w:numFmt w:val="decimal"/>
      <w:lvlText w:val="%1."/>
      <w:lvlJc w:val="left"/>
      <w:pPr>
        <w:tabs>
          <w:tab w:val="left" w:pos="425"/>
        </w:tabs>
        <w:ind w:left="425" w:hanging="425"/>
      </w:pPr>
      <w:rPr>
        <w:rFonts w:hint="default"/>
      </w:rPr>
    </w:lvl>
  </w:abstractNum>
  <w:abstractNum w:abstractNumId="22">
    <w:nsid w:val="415549CA"/>
    <w:multiLevelType w:val="singleLevel"/>
    <w:tmpl w:val="415549CA"/>
    <w:lvl w:ilvl="0" w:tentative="0">
      <w:start w:val="4"/>
      <w:numFmt w:val="decimal"/>
      <w:lvlText w:val="5.3.%1."/>
      <w:lvlJc w:val="left"/>
      <w:pPr>
        <w:tabs>
          <w:tab w:val="left" w:pos="425"/>
        </w:tabs>
        <w:ind w:left="425" w:hanging="425"/>
      </w:pPr>
      <w:rPr>
        <w:rFonts w:hint="default"/>
        <w:b/>
        <w:bCs/>
      </w:rPr>
    </w:lvl>
  </w:abstractNum>
  <w:abstractNum w:abstractNumId="23">
    <w:nsid w:val="5AD50D6D"/>
    <w:multiLevelType w:val="multilevel"/>
    <w:tmpl w:val="5AD50D6D"/>
    <w:lvl w:ilvl="0" w:tentative="0">
      <w:start w:val="7"/>
      <w:numFmt w:val="decimal"/>
      <w:lvlText w:val="%1."/>
      <w:lvlJc w:val="left"/>
      <w:pPr>
        <w:tabs>
          <w:tab w:val="left" w:pos="425"/>
        </w:tabs>
        <w:ind w:left="425" w:hanging="425"/>
      </w:pPr>
      <w:rPr>
        <w:rFonts w:hint="default"/>
      </w:rPr>
    </w:lvl>
    <w:lvl w:ilvl="1" w:tentative="0">
      <w:start w:val="1"/>
      <w:numFmt w:val="decimal"/>
      <w:suff w:val="space"/>
      <w:lvlText w:val="%1.%2."/>
      <w:lvlJc w:val="left"/>
      <w:pPr>
        <w:ind w:left="0" w:firstLine="0"/>
      </w:pPr>
      <w:rPr>
        <w:rFonts w:hint="default"/>
        <w:b/>
        <w:bCs/>
      </w:rPr>
    </w:lvl>
    <w:lvl w:ilvl="2" w:tentative="0">
      <w:start w:val="1"/>
      <w:numFmt w:val="decimal"/>
      <w:suff w:val="space"/>
      <w:lvlText w:val="%1.%2.%3."/>
      <w:lvlJc w:val="left"/>
      <w:pPr>
        <w:ind w:left="0" w:firstLine="0"/>
      </w:pPr>
      <w:rPr>
        <w:rFonts w:hint="default"/>
        <w:b/>
        <w:bCs/>
      </w:rPr>
    </w:lvl>
    <w:lvl w:ilvl="3" w:tentative="0">
      <w:start w:val="1"/>
      <w:numFmt w:val="decimal"/>
      <w:suff w:val="space"/>
      <w:lvlText w:val="%1.%2.%3.%4."/>
      <w:lvlJc w:val="left"/>
      <w:pPr>
        <w:ind w:left="0" w:firstLine="0"/>
      </w:pPr>
      <w:rPr>
        <w:rFonts w:hint="default"/>
      </w:rPr>
    </w:lvl>
    <w:lvl w:ilvl="4" w:tentative="0">
      <w:start w:val="1"/>
      <w:numFmt w:val="decimal"/>
      <w:suff w:val="space"/>
      <w:lvlText w:val="%1.%2.%3.%4.%5."/>
      <w:lvlJc w:val="left"/>
      <w:pPr>
        <w:ind w:left="0" w:firstLine="0"/>
      </w:pPr>
      <w:rPr>
        <w:rFonts w:hint="default"/>
      </w:rPr>
    </w:lvl>
    <w:lvl w:ilvl="5" w:tentative="0">
      <w:start w:val="1"/>
      <w:numFmt w:val="decimal"/>
      <w:suff w:val="space"/>
      <w:lvlText w:val="%1.%2.%3.%4.%5.%6."/>
      <w:lvlJc w:val="left"/>
      <w:pPr>
        <w:ind w:left="0" w:firstLine="0"/>
      </w:pPr>
      <w:rPr>
        <w:rFonts w:hint="default"/>
      </w:rPr>
    </w:lvl>
    <w:lvl w:ilvl="6" w:tentative="0">
      <w:start w:val="1"/>
      <w:numFmt w:val="decimal"/>
      <w:suff w:val="space"/>
      <w:lvlText w:val="%1.%2.%3.%4.%5.%6.%7."/>
      <w:lvlJc w:val="left"/>
      <w:pPr>
        <w:ind w:left="0" w:firstLine="0"/>
      </w:pPr>
      <w:rPr>
        <w:rFonts w:hint="default"/>
      </w:rPr>
    </w:lvl>
    <w:lvl w:ilvl="7" w:tentative="0">
      <w:start w:val="1"/>
      <w:numFmt w:val="decimal"/>
      <w:suff w:val="space"/>
      <w:lvlText w:val="%1.%2.%3.%4.%5.%6.%7.%8."/>
      <w:lvlJc w:val="left"/>
      <w:pPr>
        <w:ind w:left="0" w:firstLine="0"/>
      </w:pPr>
      <w:rPr>
        <w:rFonts w:hint="default"/>
      </w:rPr>
    </w:lvl>
    <w:lvl w:ilvl="8" w:tentative="0">
      <w:start w:val="1"/>
      <w:numFmt w:val="decimal"/>
      <w:suff w:val="space"/>
      <w:lvlText w:val="%1.%2.%3.%4.%5.%6.%7.%8.%9."/>
      <w:lvlJc w:val="left"/>
      <w:pPr>
        <w:ind w:left="0" w:firstLine="0"/>
      </w:pPr>
      <w:rPr>
        <w:rFonts w:hint="default"/>
      </w:rPr>
    </w:lvl>
  </w:abstractNum>
  <w:abstractNum w:abstractNumId="24">
    <w:nsid w:val="5B1B2367"/>
    <w:multiLevelType w:val="singleLevel"/>
    <w:tmpl w:val="5B1B2367"/>
    <w:lvl w:ilvl="0" w:tentative="0">
      <w:start w:val="1"/>
      <w:numFmt w:val="decimal"/>
      <w:lvlText w:val="%1."/>
      <w:lvlJc w:val="left"/>
      <w:pPr>
        <w:tabs>
          <w:tab w:val="left" w:pos="425"/>
        </w:tabs>
        <w:ind w:left="425" w:hanging="425"/>
      </w:pPr>
      <w:rPr>
        <w:rFonts w:hint="default"/>
        <w:b/>
        <w:bCs/>
      </w:rPr>
    </w:lvl>
  </w:abstractNum>
  <w:abstractNum w:abstractNumId="25">
    <w:nsid w:val="651DF11F"/>
    <w:multiLevelType w:val="singleLevel"/>
    <w:tmpl w:val="651DF11F"/>
    <w:lvl w:ilvl="0" w:tentative="0">
      <w:start w:val="1"/>
      <w:numFmt w:val="decimal"/>
      <w:lvlText w:val="6.14.3.%1."/>
      <w:lvlJc w:val="left"/>
      <w:pPr>
        <w:tabs>
          <w:tab w:val="left" w:pos="425"/>
        </w:tabs>
        <w:ind w:left="425" w:leftChars="0" w:hanging="425" w:firstLineChars="0"/>
      </w:pPr>
      <w:rPr>
        <w:rFonts w:hint="default"/>
        <w:b/>
        <w:bCs/>
      </w:rPr>
    </w:lvl>
  </w:abstractNum>
  <w:abstractNum w:abstractNumId="26">
    <w:nsid w:val="683B8EE4"/>
    <w:multiLevelType w:val="multilevel"/>
    <w:tmpl w:val="683B8EE4"/>
    <w:lvl w:ilvl="0" w:tentative="0">
      <w:start w:val="3"/>
      <w:numFmt w:val="decimal"/>
      <w:lvlText w:val="%1."/>
      <w:lvlJc w:val="left"/>
      <w:pPr>
        <w:tabs>
          <w:tab w:val="left" w:pos="425"/>
        </w:tabs>
        <w:ind w:left="425" w:hanging="425"/>
      </w:pPr>
      <w:rPr>
        <w:rFonts w:hint="default"/>
        <w:b/>
        <w:bCs/>
        <w:sz w:val="24"/>
        <w:szCs w:val="24"/>
      </w:rPr>
    </w:lvl>
    <w:lvl w:ilvl="1" w:tentative="0">
      <w:start w:val="1"/>
      <w:numFmt w:val="decimal"/>
      <w:suff w:val="space"/>
      <w:lvlText w:val="%1.%2."/>
      <w:lvlJc w:val="left"/>
      <w:pPr>
        <w:ind w:left="200" w:firstLine="0"/>
      </w:pPr>
      <w:rPr>
        <w:rFonts w:hint="default"/>
        <w:b/>
        <w:bCs/>
      </w:rPr>
    </w:lvl>
    <w:lvl w:ilvl="2" w:tentative="0">
      <w:start w:val="1"/>
      <w:numFmt w:val="decimal"/>
      <w:suff w:val="space"/>
      <w:lvlText w:val="%1.%2.%3."/>
      <w:lvlJc w:val="left"/>
      <w:pPr>
        <w:ind w:left="0" w:firstLine="0"/>
      </w:pPr>
      <w:rPr>
        <w:rFonts w:hint="default"/>
      </w:rPr>
    </w:lvl>
    <w:lvl w:ilvl="3" w:tentative="0">
      <w:start w:val="1"/>
      <w:numFmt w:val="decimal"/>
      <w:suff w:val="space"/>
      <w:lvlText w:val="%1.%2.%3.%4."/>
      <w:lvlJc w:val="left"/>
      <w:pPr>
        <w:ind w:left="0" w:firstLine="0"/>
      </w:pPr>
      <w:rPr>
        <w:rFonts w:hint="default"/>
      </w:rPr>
    </w:lvl>
    <w:lvl w:ilvl="4" w:tentative="0">
      <w:start w:val="1"/>
      <w:numFmt w:val="decimal"/>
      <w:suff w:val="space"/>
      <w:lvlText w:val="%1.%2.%3.%4.%5."/>
      <w:lvlJc w:val="left"/>
      <w:pPr>
        <w:ind w:left="0" w:firstLine="0"/>
      </w:pPr>
      <w:rPr>
        <w:rFonts w:hint="default"/>
      </w:rPr>
    </w:lvl>
    <w:lvl w:ilvl="5" w:tentative="0">
      <w:start w:val="1"/>
      <w:numFmt w:val="decimal"/>
      <w:suff w:val="space"/>
      <w:lvlText w:val="%1.%2.%3.%4.%5.%6."/>
      <w:lvlJc w:val="left"/>
      <w:pPr>
        <w:ind w:left="0" w:firstLine="0"/>
      </w:pPr>
      <w:rPr>
        <w:rFonts w:hint="default"/>
      </w:rPr>
    </w:lvl>
    <w:lvl w:ilvl="6" w:tentative="0">
      <w:start w:val="1"/>
      <w:numFmt w:val="decimal"/>
      <w:suff w:val="space"/>
      <w:lvlText w:val="%1.%2.%3.%4.%5.%6.%7."/>
      <w:lvlJc w:val="left"/>
      <w:pPr>
        <w:ind w:left="0" w:firstLine="0"/>
      </w:pPr>
      <w:rPr>
        <w:rFonts w:hint="default"/>
      </w:rPr>
    </w:lvl>
    <w:lvl w:ilvl="7" w:tentative="0">
      <w:start w:val="1"/>
      <w:numFmt w:val="decimal"/>
      <w:suff w:val="space"/>
      <w:lvlText w:val="%1.%2.%3.%4.%5.%6.%7.%8."/>
      <w:lvlJc w:val="left"/>
      <w:pPr>
        <w:ind w:left="0" w:firstLine="0"/>
      </w:pPr>
      <w:rPr>
        <w:rFonts w:hint="default"/>
      </w:rPr>
    </w:lvl>
    <w:lvl w:ilvl="8" w:tentative="0">
      <w:start w:val="1"/>
      <w:numFmt w:val="decimal"/>
      <w:suff w:val="space"/>
      <w:lvlText w:val="%1.%2.%3.%4.%5.%6.%7.%8.%9."/>
      <w:lvlJc w:val="left"/>
      <w:pPr>
        <w:ind w:left="0" w:firstLine="0"/>
      </w:pPr>
      <w:rPr>
        <w:rFonts w:hint="default"/>
      </w:rPr>
    </w:lvl>
  </w:abstractNum>
  <w:abstractNum w:abstractNumId="27">
    <w:nsid w:val="6ABFCB76"/>
    <w:multiLevelType w:val="singleLevel"/>
    <w:tmpl w:val="6ABFCB76"/>
    <w:lvl w:ilvl="0" w:tentative="0">
      <w:start w:val="5"/>
      <w:numFmt w:val="decimal"/>
      <w:lvlText w:val="%1."/>
      <w:lvlJc w:val="left"/>
      <w:pPr>
        <w:tabs>
          <w:tab w:val="left" w:pos="425"/>
        </w:tabs>
        <w:ind w:left="425" w:hanging="425"/>
      </w:pPr>
      <w:rPr>
        <w:rFonts w:hint="default"/>
      </w:rPr>
    </w:lvl>
  </w:abstractNum>
  <w:abstractNum w:abstractNumId="28">
    <w:nsid w:val="73A211CD"/>
    <w:multiLevelType w:val="singleLevel"/>
    <w:tmpl w:val="73A211CD"/>
    <w:lvl w:ilvl="0" w:tentative="0">
      <w:start w:val="8"/>
      <w:numFmt w:val="decimal"/>
      <w:lvlText w:val="6.11.%1."/>
      <w:lvlJc w:val="left"/>
      <w:pPr>
        <w:tabs>
          <w:tab w:val="left" w:pos="425"/>
        </w:tabs>
        <w:ind w:left="425" w:hanging="425"/>
      </w:pPr>
      <w:rPr>
        <w:rFonts w:hint="default"/>
        <w:b/>
        <w:bCs/>
      </w:rPr>
    </w:lvl>
  </w:abstractNum>
  <w:abstractNum w:abstractNumId="29">
    <w:nsid w:val="7DE0C0D6"/>
    <w:multiLevelType w:val="singleLevel"/>
    <w:tmpl w:val="7DE0C0D6"/>
    <w:lvl w:ilvl="0" w:tentative="0">
      <w:start w:val="1"/>
      <w:numFmt w:val="bullet"/>
      <w:lvlText w:val=""/>
      <w:lvlJc w:val="left"/>
      <w:pPr>
        <w:tabs>
          <w:tab w:val="left" w:pos="420"/>
        </w:tabs>
        <w:ind w:left="420" w:hanging="420"/>
      </w:pPr>
      <w:rPr>
        <w:rFonts w:hint="default" w:ascii="Wingdings" w:hAnsi="Wingdings"/>
      </w:rPr>
    </w:lvl>
  </w:abstractNum>
  <w:num w:numId="1">
    <w:abstractNumId w:val="17"/>
  </w:num>
  <w:num w:numId="2">
    <w:abstractNumId w:val="24"/>
  </w:num>
  <w:num w:numId="3">
    <w:abstractNumId w:val="21"/>
  </w:num>
  <w:num w:numId="4">
    <w:abstractNumId w:val="11"/>
  </w:num>
  <w:num w:numId="5">
    <w:abstractNumId w:val="8"/>
  </w:num>
  <w:num w:numId="6">
    <w:abstractNumId w:val="18"/>
  </w:num>
  <w:num w:numId="7">
    <w:abstractNumId w:val="26"/>
  </w:num>
  <w:num w:numId="8">
    <w:abstractNumId w:val="27"/>
  </w:num>
  <w:num w:numId="9">
    <w:abstractNumId w:val="16"/>
  </w:num>
  <w:num w:numId="10">
    <w:abstractNumId w:val="1"/>
  </w:num>
  <w:num w:numId="11">
    <w:abstractNumId w:val="29"/>
  </w:num>
  <w:num w:numId="12">
    <w:abstractNumId w:val="5"/>
  </w:num>
  <w:num w:numId="13">
    <w:abstractNumId w:val="0"/>
  </w:num>
  <w:num w:numId="14">
    <w:abstractNumId w:val="22"/>
  </w:num>
  <w:num w:numId="15">
    <w:abstractNumId w:val="2"/>
  </w:num>
  <w:num w:numId="16">
    <w:abstractNumId w:val="7"/>
  </w:num>
  <w:num w:numId="17">
    <w:abstractNumId w:val="9"/>
  </w:num>
  <w:num w:numId="18">
    <w:abstractNumId w:val="13"/>
  </w:num>
  <w:num w:numId="19">
    <w:abstractNumId w:val="28"/>
  </w:num>
  <w:num w:numId="20">
    <w:abstractNumId w:val="14"/>
  </w:num>
  <w:num w:numId="21">
    <w:abstractNumId w:val="10"/>
  </w:num>
  <w:num w:numId="22">
    <w:abstractNumId w:val="12"/>
  </w:num>
  <w:num w:numId="23">
    <w:abstractNumId w:val="25"/>
  </w:num>
  <w:num w:numId="24">
    <w:abstractNumId w:val="23"/>
  </w:num>
  <w:num w:numId="25">
    <w:abstractNumId w:val="3"/>
  </w:num>
  <w:num w:numId="26">
    <w:abstractNumId w:val="4"/>
  </w:num>
  <w:num w:numId="27">
    <w:abstractNumId w:val="20"/>
  </w:num>
  <w:num w:numId="28">
    <w:abstractNumId w:val="15"/>
  </w:num>
  <w:num w:numId="29">
    <w:abstractNumId w:val="19"/>
  </w:num>
  <w:num w:numId="30">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SystemFonts/>
  <w:bordersDoNotSurroundHeader w:val="0"/>
  <w:bordersDoNotSurroundFooter w:val="0"/>
  <w:documentProtection w:enforcement="0"/>
  <w:defaultTabStop w:val="708"/>
  <w:hyphenationZone w:val="425"/>
  <w:drawingGridVerticalSpacing w:val="156"/>
  <w:displayHorizontalDrawingGridEvery w:val="1"/>
  <w:displayVerticalDrawingGridEvery w:val="1"/>
  <w:noPunctuationKerning w:val="1"/>
  <w:characterSpacingControl w:val="doNotCompress"/>
  <w:compat>
    <w:spaceForUL/>
    <w:doNotLeaveBackslashAlone/>
    <w:ulTrailSpace/>
    <w:doNotExpandShiftReturn/>
    <w:adjustLineHeightInTable/>
    <w:doNotWrapTextWithPunct/>
    <w:doNotUseEastAsianBreak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7E904741"/>
    <w:rsid w:val="00037CAF"/>
    <w:rsid w:val="00065874"/>
    <w:rsid w:val="001202D3"/>
    <w:rsid w:val="001453D9"/>
    <w:rsid w:val="0017092D"/>
    <w:rsid w:val="001B387D"/>
    <w:rsid w:val="002101CA"/>
    <w:rsid w:val="00296539"/>
    <w:rsid w:val="00297AED"/>
    <w:rsid w:val="002B61D8"/>
    <w:rsid w:val="002E66A5"/>
    <w:rsid w:val="00352950"/>
    <w:rsid w:val="00363FA8"/>
    <w:rsid w:val="003770F8"/>
    <w:rsid w:val="003816E3"/>
    <w:rsid w:val="003A1D12"/>
    <w:rsid w:val="003D0FFF"/>
    <w:rsid w:val="004613BB"/>
    <w:rsid w:val="005368DC"/>
    <w:rsid w:val="00554533"/>
    <w:rsid w:val="005762CF"/>
    <w:rsid w:val="005A61F6"/>
    <w:rsid w:val="005C32C4"/>
    <w:rsid w:val="00605CFD"/>
    <w:rsid w:val="006436A7"/>
    <w:rsid w:val="00656813"/>
    <w:rsid w:val="006712A1"/>
    <w:rsid w:val="006769FE"/>
    <w:rsid w:val="0068271A"/>
    <w:rsid w:val="007821F7"/>
    <w:rsid w:val="00796FE3"/>
    <w:rsid w:val="007A34C2"/>
    <w:rsid w:val="007F746F"/>
    <w:rsid w:val="00806EE2"/>
    <w:rsid w:val="008542CE"/>
    <w:rsid w:val="00865D51"/>
    <w:rsid w:val="0089602C"/>
    <w:rsid w:val="008A445C"/>
    <w:rsid w:val="008C3620"/>
    <w:rsid w:val="00946B8A"/>
    <w:rsid w:val="00947AA1"/>
    <w:rsid w:val="009A1A3F"/>
    <w:rsid w:val="009B303D"/>
    <w:rsid w:val="009E0A4D"/>
    <w:rsid w:val="00A27270"/>
    <w:rsid w:val="00A80885"/>
    <w:rsid w:val="00A808B8"/>
    <w:rsid w:val="00A94D67"/>
    <w:rsid w:val="00AE297B"/>
    <w:rsid w:val="00AE4074"/>
    <w:rsid w:val="00AF7811"/>
    <w:rsid w:val="00B14763"/>
    <w:rsid w:val="00B61B69"/>
    <w:rsid w:val="00BA7564"/>
    <w:rsid w:val="00BE1909"/>
    <w:rsid w:val="00BF3D3A"/>
    <w:rsid w:val="00CA31D1"/>
    <w:rsid w:val="00CB22E7"/>
    <w:rsid w:val="00CF3F42"/>
    <w:rsid w:val="00D05B5F"/>
    <w:rsid w:val="00D4724C"/>
    <w:rsid w:val="00DA6219"/>
    <w:rsid w:val="00DB16DC"/>
    <w:rsid w:val="00DE70E1"/>
    <w:rsid w:val="00EE5436"/>
    <w:rsid w:val="00F02A06"/>
    <w:rsid w:val="00F50808"/>
    <w:rsid w:val="00F6587A"/>
    <w:rsid w:val="00F66F91"/>
    <w:rsid w:val="00FA618C"/>
    <w:rsid w:val="00FD4C1E"/>
    <w:rsid w:val="00FF4536"/>
    <w:rsid w:val="0B9354C4"/>
    <w:rsid w:val="0D6002AE"/>
    <w:rsid w:val="0D621E8D"/>
    <w:rsid w:val="0E3C6E98"/>
    <w:rsid w:val="0F86776E"/>
    <w:rsid w:val="10D167C2"/>
    <w:rsid w:val="11096204"/>
    <w:rsid w:val="14166AFD"/>
    <w:rsid w:val="175D3FB2"/>
    <w:rsid w:val="17C8164D"/>
    <w:rsid w:val="195533BA"/>
    <w:rsid w:val="1AA36A0E"/>
    <w:rsid w:val="1E76314F"/>
    <w:rsid w:val="1E7F5930"/>
    <w:rsid w:val="20F65C8B"/>
    <w:rsid w:val="229D47D4"/>
    <w:rsid w:val="244D13E4"/>
    <w:rsid w:val="25491017"/>
    <w:rsid w:val="2BB3023F"/>
    <w:rsid w:val="2C341A92"/>
    <w:rsid w:val="2D57425F"/>
    <w:rsid w:val="2ED84683"/>
    <w:rsid w:val="2EEB1AAE"/>
    <w:rsid w:val="2FEA53D6"/>
    <w:rsid w:val="315E5506"/>
    <w:rsid w:val="320A5916"/>
    <w:rsid w:val="32991515"/>
    <w:rsid w:val="32FD08B8"/>
    <w:rsid w:val="34DA5A22"/>
    <w:rsid w:val="373A0377"/>
    <w:rsid w:val="37FA67A9"/>
    <w:rsid w:val="3A223383"/>
    <w:rsid w:val="3B691927"/>
    <w:rsid w:val="3D720206"/>
    <w:rsid w:val="40AB22EC"/>
    <w:rsid w:val="410F22A9"/>
    <w:rsid w:val="44A577F0"/>
    <w:rsid w:val="455F0F77"/>
    <w:rsid w:val="49C11F8B"/>
    <w:rsid w:val="4A2F60BF"/>
    <w:rsid w:val="4C087A99"/>
    <w:rsid w:val="4DAD4C65"/>
    <w:rsid w:val="4EB47EF5"/>
    <w:rsid w:val="4FEE0D6D"/>
    <w:rsid w:val="5E2E04A1"/>
    <w:rsid w:val="5F8F3AEB"/>
    <w:rsid w:val="5FAE7FE0"/>
    <w:rsid w:val="64CA4411"/>
    <w:rsid w:val="673E1098"/>
    <w:rsid w:val="6A104C8E"/>
    <w:rsid w:val="6A5537FE"/>
    <w:rsid w:val="6B007E2E"/>
    <w:rsid w:val="6B3B0299"/>
    <w:rsid w:val="6DD60240"/>
    <w:rsid w:val="720F3385"/>
    <w:rsid w:val="7AA027D6"/>
    <w:rsid w:val="7CB2369F"/>
    <w:rsid w:val="7E904741"/>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0"/>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SimSun" w:cs="Times New Roman"/>
      </w:rPr>
    </w:rPrDefault>
    <w:pPrDefault/>
  </w:docDefaults>
  <w:latentStyles w:count="260" w:defQFormat="0" w:defUnhideWhenUsed="1" w:defSemiHidden="1" w:defUIPriority="99" w:defLockedState="0">
    <w:lsdException w:qFormat="1" w:unhideWhenUsed="0" w:uiPriority="0" w:semiHidden="0" w:name="Normal"/>
    <w:lsdException w:qFormat="1" w:uiPriority="9"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iPriority="1" w:semiHidden="0" w:name="Default Paragraph Font"/>
    <w:lsdException w:qFormat="1" w:unhideWhenUsed="0" w:uiPriority="1"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qFormat="1"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qFormat="1" w:uiPriority="99" w:semiHidden="0" w:name="Hyperlink"/>
    <w:lsdException w:unhideWhenUsed="0" w:uiPriority="0" w:semiHidden="0" w:name="FollowedHyperlink"/>
    <w:lsdException w:qFormat="1" w:unhideWhenUsed="0" w:uiPriority="22"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nhideWhenUsed="0" w:uiPriority="99"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iPriority="99" w:name="Normal Table"/>
    <w:lsdException w:unhideWhenUsed="0" w:uiPriority="0" w:semiHidden="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uiPriority="0" w:name="Table Elegant"/>
    <w:lsdException w:uiPriority="0" w:name="Table Professional"/>
    <w:lsdException w:uiPriority="0" w:name="Table Subtle 1"/>
    <w:lsdException w:uiPriority="0" w:name="Table Subtle 2"/>
    <w:lsdException w:uiPriority="0" w:name="Table Web 1"/>
    <w:lsdException w:uiPriority="0" w:name="Table Web 2"/>
    <w:lsdException w:uiPriority="0" w:name="Table Web 3"/>
    <w:lsdException w:unhideWhenUsed="0" w:uiPriority="0" w:semiHidden="0" w:name="Balloon Text"/>
    <w:lsdException w:qFormat="1" w:unhideWhenUsed="0" w:uiPriority="0" w:semiHidden="0" w:name="Table Grid"/>
    <w:lsdException w:uiPriority="0" w:name="Table Theme"/>
    <w:lsdException w:qFormat="1" w:unhideWhenUsed="0" w:uiPriority="1" w:semiHidden="0" w:name="List Paragraph"/>
  </w:latentStyles>
  <w:style w:type="paragraph" w:default="1" w:styleId="1">
    <w:name w:val="Normal"/>
    <w:qFormat/>
    <w:uiPriority w:val="0"/>
    <w:rPr>
      <w:rFonts w:asciiTheme="minorHAnsi" w:hAnsiTheme="minorHAnsi" w:eastAsiaTheme="minorEastAsia" w:cstheme="minorBidi"/>
      <w:lang w:val="en-US" w:eastAsia="zh-CN" w:bidi="ar-SA"/>
    </w:rPr>
  </w:style>
  <w:style w:type="paragraph" w:styleId="2">
    <w:name w:val="heading 1"/>
    <w:basedOn w:val="1"/>
    <w:next w:val="1"/>
    <w:unhideWhenUsed/>
    <w:qFormat/>
    <w:uiPriority w:val="9"/>
    <w:pPr>
      <w:keepNext/>
      <w:jc w:val="center"/>
      <w:outlineLvl w:val="0"/>
    </w:pPr>
    <w:rPr>
      <w:rFonts w:hint="eastAsia" w:ascii="Arial" w:hAnsi="Arial"/>
      <w:color w:val="000080"/>
      <w:sz w:val="28"/>
    </w:rPr>
  </w:style>
  <w:style w:type="paragraph" w:styleId="3">
    <w:name w:val="heading 2"/>
    <w:next w:val="1"/>
    <w:semiHidden/>
    <w:unhideWhenUsed/>
    <w:qFormat/>
    <w:uiPriority w:val="0"/>
    <w:pPr>
      <w:spacing w:beforeAutospacing="1" w:afterAutospacing="1"/>
      <w:outlineLvl w:val="1"/>
    </w:pPr>
    <w:rPr>
      <w:rFonts w:hint="eastAsia" w:ascii="SimSun" w:hAnsi="SimSun" w:eastAsia="SimSun" w:cs="Times New Roman"/>
      <w:b/>
      <w:bCs/>
      <w:i/>
      <w:sz w:val="36"/>
      <w:szCs w:val="36"/>
      <w:lang w:val="en-US" w:eastAsia="zh-CN" w:bidi="ar-SA"/>
    </w:rPr>
  </w:style>
  <w:style w:type="paragraph" w:styleId="4">
    <w:name w:val="heading 3"/>
    <w:next w:val="1"/>
    <w:semiHidden/>
    <w:unhideWhenUsed/>
    <w:qFormat/>
    <w:uiPriority w:val="0"/>
    <w:pPr>
      <w:spacing w:beforeAutospacing="1" w:afterAutospacing="1"/>
      <w:outlineLvl w:val="2"/>
    </w:pPr>
    <w:rPr>
      <w:rFonts w:hint="eastAsia" w:ascii="SimSun" w:hAnsi="SimSun" w:eastAsia="SimSun" w:cs="Times New Roman"/>
      <w:b/>
      <w:bCs/>
      <w:sz w:val="26"/>
      <w:szCs w:val="26"/>
      <w:lang w:val="en-US" w:eastAsia="zh-CN" w:bidi="ar-SA"/>
    </w:rPr>
  </w:style>
  <w:style w:type="character" w:default="1" w:styleId="5">
    <w:name w:val="Default Paragraph Font"/>
    <w:unhideWhenUsed/>
    <w:qFormat/>
    <w:uiPriority w:val="1"/>
  </w:style>
  <w:style w:type="table" w:default="1" w:styleId="6">
    <w:name w:val="Normal Table"/>
    <w:semiHidden/>
    <w:unhideWhenUsed/>
    <w:qFormat/>
    <w:uiPriority w:val="99"/>
    <w:tblPr>
      <w:tblCellMar>
        <w:top w:w="0" w:type="dxa"/>
        <w:left w:w="108" w:type="dxa"/>
        <w:bottom w:w="0" w:type="dxa"/>
        <w:right w:w="108" w:type="dxa"/>
      </w:tblCellMar>
    </w:tblPr>
  </w:style>
  <w:style w:type="character" w:styleId="7">
    <w:name w:val="Strong"/>
    <w:basedOn w:val="5"/>
    <w:qFormat/>
    <w:uiPriority w:val="22"/>
    <w:rPr>
      <w:b/>
      <w:bCs/>
    </w:rPr>
  </w:style>
  <w:style w:type="character" w:styleId="8">
    <w:name w:val="Hyperlink"/>
    <w:basedOn w:val="5"/>
    <w:unhideWhenUsed/>
    <w:qFormat/>
    <w:uiPriority w:val="99"/>
    <w:rPr>
      <w:rFonts w:hint="default" w:cs="Times New Roman"/>
      <w:color w:val="0000FF"/>
      <w:sz w:val="24"/>
      <w:szCs w:val="24"/>
      <w:u w:val="single"/>
    </w:rPr>
  </w:style>
  <w:style w:type="paragraph" w:styleId="9">
    <w:name w:val="Body Text"/>
    <w:basedOn w:val="1"/>
    <w:qFormat/>
    <w:uiPriority w:val="1"/>
    <w:rPr>
      <w:i/>
      <w:iCs/>
      <w:sz w:val="24"/>
      <w:szCs w:val="24"/>
    </w:rPr>
  </w:style>
  <w:style w:type="paragraph" w:styleId="10">
    <w:name w:val="Normal (Web)"/>
    <w:basedOn w:val="1"/>
    <w:qFormat/>
    <w:uiPriority w:val="99"/>
    <w:pPr>
      <w:spacing w:beforeAutospacing="1" w:afterAutospacing="1"/>
    </w:pPr>
    <w:rPr>
      <w:rFonts w:ascii="Times New Roman" w:hAnsi="Times New Roman" w:eastAsia="SimSun" w:cs="Times New Roman"/>
      <w:szCs w:val="24"/>
    </w:rPr>
  </w:style>
  <w:style w:type="paragraph" w:styleId="11">
    <w:name w:val="Body Text 2"/>
    <w:basedOn w:val="1"/>
    <w:unhideWhenUsed/>
    <w:qFormat/>
    <w:uiPriority w:val="0"/>
    <w:pPr>
      <w:autoSpaceDE w:val="0"/>
      <w:autoSpaceDN w:val="0"/>
    </w:pPr>
    <w:rPr>
      <w:rFonts w:ascii="Courier New" w:cs="Courier New"/>
      <w:color w:val="000000"/>
    </w:rPr>
  </w:style>
  <w:style w:type="paragraph" w:styleId="12">
    <w:name w:val="header"/>
    <w:basedOn w:val="1"/>
    <w:qFormat/>
    <w:uiPriority w:val="0"/>
    <w:pPr>
      <w:tabs>
        <w:tab w:val="center" w:pos="4252"/>
        <w:tab w:val="right" w:pos="8504"/>
      </w:tabs>
    </w:pPr>
  </w:style>
  <w:style w:type="paragraph" w:styleId="13">
    <w:name w:val="footer"/>
    <w:basedOn w:val="1"/>
    <w:qFormat/>
    <w:uiPriority w:val="0"/>
    <w:pPr>
      <w:tabs>
        <w:tab w:val="center" w:pos="4252"/>
        <w:tab w:val="right" w:pos="8504"/>
      </w:tabs>
    </w:pPr>
  </w:style>
  <w:style w:type="table" w:styleId="14">
    <w:name w:val="Table Grid"/>
    <w:basedOn w:val="6"/>
    <w:qFormat/>
    <w:uiPriority w:val="0"/>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styleId="15">
    <w:name w:val="List Paragraph"/>
    <w:basedOn w:val="1"/>
    <w:qFormat/>
    <w:uiPriority w:val="1"/>
    <w:pPr>
      <w:ind w:left="143" w:firstLine="2834"/>
    </w:pPr>
    <w:rPr>
      <w:rFonts w:ascii="Times New Roman" w:hAnsi="Times New Roman" w:eastAsia="Times New Roman" w:cs="Times New Roman"/>
      <w:lang w:val="pt-PT" w:eastAsia="en-US"/>
    </w:rPr>
  </w:style>
  <w:style w:type="paragraph" w:customStyle="1" w:styleId="16">
    <w:name w:val="Table Paragraph"/>
    <w:basedOn w:val="1"/>
    <w:unhideWhenUsed/>
    <w:qFormat/>
    <w:uiPriority w:val="1"/>
    <w:rPr>
      <w:lang w:val="pt-PT" w:eastAsia="en-US"/>
    </w:rPr>
  </w:style>
  <w:style w:type="paragraph" w:customStyle="1" w:styleId="17">
    <w:name w:val="Nivel 2"/>
    <w:basedOn w:val="1"/>
    <w:unhideWhenUsed/>
    <w:qFormat/>
    <w:uiPriority w:val="0"/>
    <w:pPr>
      <w:numPr>
        <w:ilvl w:val="1"/>
        <w:numId w:val="1"/>
      </w:numPr>
      <w:spacing w:before="120" w:after="120" w:line="276" w:lineRule="auto"/>
      <w:jc w:val="both"/>
    </w:pPr>
    <w:rPr>
      <w:rFonts w:hint="eastAsia" w:ascii="Arial" w:hAnsi="Arial" w:cs="Arial"/>
      <w:color w:val="000000"/>
    </w:rPr>
  </w:style>
  <w:style w:type="paragraph" w:customStyle="1" w:styleId="18">
    <w:name w:val="Nível 1-Sem Num Preto"/>
    <w:basedOn w:val="19"/>
    <w:unhideWhenUsed/>
    <w:qFormat/>
    <w:uiPriority w:val="0"/>
    <w:pPr>
      <w:tabs>
        <w:tab w:val="left" w:pos="567"/>
      </w:tabs>
    </w:pPr>
    <w:rPr>
      <w:lang w:bidi="hi-IN"/>
    </w:rPr>
  </w:style>
  <w:style w:type="paragraph" w:customStyle="1" w:styleId="19">
    <w:name w:val="Nível 1-Sem Num"/>
    <w:basedOn w:val="20"/>
    <w:unhideWhenUsed/>
    <w:qFormat/>
    <w:uiPriority w:val="0"/>
    <w:pPr>
      <w:numPr>
        <w:numId w:val="0"/>
      </w:numPr>
      <w:tabs>
        <w:tab w:val="left" w:pos="567"/>
      </w:tabs>
      <w:outlineLvl w:val="1"/>
    </w:pPr>
    <w:rPr>
      <w:color w:val="FF0000"/>
    </w:rPr>
  </w:style>
  <w:style w:type="paragraph" w:customStyle="1" w:styleId="20">
    <w:name w:val="Nivel 01"/>
    <w:basedOn w:val="2"/>
    <w:next w:val="1"/>
    <w:unhideWhenUsed/>
    <w:qFormat/>
    <w:uiPriority w:val="0"/>
    <w:pPr>
      <w:numPr>
        <w:ilvl w:val="0"/>
        <w:numId w:val="1"/>
      </w:numPr>
      <w:tabs>
        <w:tab w:val="left" w:pos="567"/>
      </w:tabs>
      <w:spacing w:before="288" w:beforeLines="120" w:after="288" w:afterLines="120" w:line="312" w:lineRule="auto"/>
      <w:jc w:val="both"/>
    </w:pPr>
    <w:rPr>
      <w:rFonts w:cs="Arial"/>
      <w:sz w:val="20"/>
    </w:rPr>
  </w:style>
  <w:style w:type="table" w:customStyle="1" w:styleId="21">
    <w:name w:val="Tabela com grade1"/>
    <w:basedOn w:val="6"/>
    <w:qFormat/>
    <w:uiPriority w:val="39"/>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customStyle="1" w:styleId="22">
    <w:name w:val="Table Normal1"/>
    <w:semiHidden/>
    <w:unhideWhenUsed/>
    <w:qFormat/>
    <w:uiPriority w:val="2"/>
    <w:tblPr>
      <w:tblCellMar>
        <w:top w:w="0" w:type="dxa"/>
        <w:left w:w="0" w:type="dxa"/>
        <w:bottom w:w="0" w:type="dxa"/>
        <w:right w:w="0" w:type="dxa"/>
      </w:tblCellMar>
    </w:tblPr>
  </w:style>
  <w:style w:type="character" w:customStyle="1" w:styleId="23">
    <w:name w:val="citation-52"/>
    <w:basedOn w:val="5"/>
    <w:qFormat/>
    <w:uiPriority w:val="0"/>
  </w:style>
  <w:style w:type="character" w:customStyle="1" w:styleId="24">
    <w:name w:val="citation-51"/>
    <w:basedOn w:val="5"/>
    <w:qFormat/>
    <w:uiPriority w:val="0"/>
  </w:style>
  <w:style w:type="character" w:customStyle="1" w:styleId="25">
    <w:name w:val="citation-50"/>
    <w:basedOn w:val="5"/>
    <w:qFormat/>
    <w:uiPriority w:val="0"/>
  </w:style>
  <w:style w:type="character" w:customStyle="1" w:styleId="26">
    <w:name w:val="citation-49"/>
    <w:basedOn w:val="5"/>
    <w:qFormat/>
    <w:uiPriority w:val="0"/>
  </w:style>
  <w:style w:type="character" w:customStyle="1" w:styleId="27">
    <w:name w:val="citation-48"/>
    <w:basedOn w:val="5"/>
    <w:qFormat/>
    <w:uiPriority w:val="0"/>
  </w:style>
  <w:style w:type="character" w:customStyle="1" w:styleId="28">
    <w:name w:val="citation-47"/>
    <w:basedOn w:val="5"/>
    <w:qFormat/>
    <w:uiPriority w:val="0"/>
  </w:style>
  <w:style w:type="character" w:customStyle="1" w:styleId="29">
    <w:name w:val="citation-46"/>
    <w:basedOn w:val="5"/>
    <w:qFormat/>
    <w:uiPriority w:val="0"/>
  </w:style>
  <w:style w:type="character" w:customStyle="1" w:styleId="30">
    <w:name w:val="citation-45"/>
    <w:basedOn w:val="5"/>
    <w:qFormat/>
    <w:uiPriority w:val="0"/>
  </w:style>
  <w:style w:type="character" w:customStyle="1" w:styleId="31">
    <w:name w:val="citation-44"/>
    <w:basedOn w:val="5"/>
    <w:qFormat/>
    <w:uiPriority w:val="0"/>
  </w:style>
  <w:style w:type="character" w:customStyle="1" w:styleId="32">
    <w:name w:val="citation-43"/>
    <w:basedOn w:val="5"/>
    <w:qFormat/>
    <w:uiPriority w:val="0"/>
  </w:style>
</w:styles>
</file>

<file path=word/_rels/document.xml.rels><?xml version="1.0" encoding="UTF-8" standalone="yes"?>
<Relationships xmlns="http://schemas.openxmlformats.org/package/2006/relationships"><Relationship Id="rId9" Type="http://schemas.openxmlformats.org/officeDocument/2006/relationships/image" Target="media/image5.jpeg"/><Relationship Id="rId8" Type="http://schemas.openxmlformats.org/officeDocument/2006/relationships/image" Target="media/image4.jpeg"/><Relationship Id="rId7" Type="http://schemas.openxmlformats.org/officeDocument/2006/relationships/image" Target="media/image3.jpeg"/><Relationship Id="rId6" Type="http://schemas.openxmlformats.org/officeDocument/2006/relationships/image" Target="media/image2.emf"/><Relationship Id="rId5" Type="http://schemas.openxmlformats.org/officeDocument/2006/relationships/theme" Target="theme/theme1.xml"/><Relationship Id="rId4" Type="http://schemas.openxmlformats.org/officeDocument/2006/relationships/footer" Target="footer1.xml"/><Relationship Id="rId3" Type="http://schemas.openxmlformats.org/officeDocument/2006/relationships/header" Target="header1.xml"/><Relationship Id="rId2" Type="http://schemas.openxmlformats.org/officeDocument/2006/relationships/settings" Target="settings.xml"/><Relationship Id="rId13" Type="http://schemas.openxmlformats.org/officeDocument/2006/relationships/fontTable" Target="fontTable.xml"/><Relationship Id="rId12" Type="http://schemas.openxmlformats.org/officeDocument/2006/relationships/numbering" Target="numbering.xml"/><Relationship Id="rId11" Type="http://schemas.openxmlformats.org/officeDocument/2006/relationships/customXml" Target="../customXml/item1.xml"/><Relationship Id="rId10" Type="http://schemas.openxmlformats.org/officeDocument/2006/relationships/image" Target="media/image6.jpeg"/><Relationship Id="rId1" Type="http://schemas.openxmlformats.org/officeDocument/2006/relationships/styles" Target="styles.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Pages>32</Pages>
  <Words>9251</Words>
  <Characters>54825</Characters>
  <Lines>408</Lines>
  <Paragraphs>115</Paragraphs>
  <TotalTime>27</TotalTime>
  <ScaleCrop>false</ScaleCrop>
  <LinksUpToDate>false</LinksUpToDate>
  <CharactersWithSpaces>63888</CharactersWithSpaces>
  <Application>WPS Office_12.1.0.28032_F1E327BC-269C-435d-A152-05C5408002CA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2025-06-12T15:50:00Z</dcterms:created>
  <dc:creator>aline</dc:creator>
  <cp:lastModifiedBy>Marcello Pavan</cp:lastModifiedBy>
  <cp:lastPrinted>2026-07-16T14:41:00Z</cp:lastPrinted>
  <dcterms:modified xsi:type="dcterms:W3CDTF">2026-08-13T13:05:50Z</dcterms:modified>
  <cp:revision>29</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1046-12.1.0.28032</vt:lpwstr>
  </property>
  <property fmtid="{D5CDD505-2E9C-101B-9397-08002B2CF9AE}" pid="3" name="ICV">
    <vt:lpwstr>8C981E19295645EC94477E404BF7802B_13</vt:lpwstr>
  </property>
  <property fmtid="{D5CDD505-2E9C-101B-9397-08002B2CF9AE}" pid="4" name="KSOTemplateDocerSaveRecord">
    <vt:lpwstr>eyJoZGlkIjoiMDg0OGNmYThlMmQzNTRjZTBmZjMyMWRkYTIzNjZmZDYiLCJ1c2VySWQiOiIxMjM2OTUxMDYzMzM3In0=</vt:lpwstr>
  </property>
</Properties>
</file>