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498B67">
      <w:pPr>
        <w:pBdr>
          <w:top w:val="double" w:color="auto" w:sz="4" w:space="1"/>
          <w:left w:val="double" w:color="auto" w:sz="4" w:space="4"/>
          <w:bottom w:val="double" w:color="auto" w:sz="4" w:space="1"/>
          <w:right w:val="double" w:color="auto" w:sz="4" w:space="4"/>
        </w:pBdr>
        <w:shd w:val="clear" w:color="auto" w:fill="D8D8D8" w:themeFill="background1" w:themeFillShade="D9"/>
        <w:spacing w:line="360" w:lineRule="auto"/>
        <w:jc w:val="center"/>
        <w:rPr>
          <w:rFonts w:ascii="Arial" w:hAnsi="Arial" w:cs="Arial"/>
          <w:b/>
          <w:bCs/>
          <w:sz w:val="22"/>
          <w:szCs w:val="22"/>
        </w:rPr>
      </w:pPr>
      <w:r>
        <w:rPr>
          <w:rFonts w:ascii="Arial" w:hAnsi="Arial" w:cs="Arial"/>
          <w:b/>
          <w:bCs/>
          <w:color w:val="000000"/>
          <w:sz w:val="22"/>
          <w:szCs w:val="22"/>
        </w:rPr>
        <w:t>TERMO DE REFERÊNCIA</w:t>
      </w:r>
    </w:p>
    <w:p w14:paraId="2775AD36">
      <w:pPr>
        <w:spacing w:line="360" w:lineRule="auto"/>
        <w:rPr>
          <w:rFonts w:ascii="Arial" w:hAnsi="Arial" w:cs="Arial"/>
          <w:b/>
          <w:bCs/>
          <w:sz w:val="22"/>
          <w:szCs w:val="22"/>
        </w:rPr>
      </w:pPr>
    </w:p>
    <w:p w14:paraId="6882AC55">
      <w:pPr>
        <w:spacing w:line="360" w:lineRule="auto"/>
        <w:rPr>
          <w:rFonts w:ascii="Arial" w:hAnsi="Arial" w:cs="Arial"/>
          <w:b/>
          <w:bCs/>
          <w:sz w:val="22"/>
          <w:szCs w:val="22"/>
        </w:rPr>
      </w:pPr>
      <w:r>
        <w:rPr>
          <w:rFonts w:ascii="Arial" w:hAnsi="Arial" w:cs="Arial"/>
          <w:b/>
          <w:bCs/>
          <w:sz w:val="22"/>
          <w:szCs w:val="22"/>
        </w:rPr>
        <w:t xml:space="preserve">SIGILO:   (  )   SIM   (X) NÃO   </w:t>
      </w:r>
    </w:p>
    <w:p w14:paraId="781A3029">
      <w:pPr>
        <w:spacing w:line="360" w:lineRule="auto"/>
        <w:rPr>
          <w:rFonts w:ascii="Arial" w:hAnsi="Arial" w:cs="Arial"/>
          <w:b/>
          <w:bCs/>
          <w:sz w:val="22"/>
          <w:szCs w:val="22"/>
        </w:rPr>
      </w:pPr>
      <w:r>
        <w:rPr>
          <w:rFonts w:ascii="Arial" w:hAnsi="Arial" w:cs="Arial"/>
          <w:b/>
          <w:bCs/>
          <w:sz w:val="22"/>
          <w:szCs w:val="22"/>
        </w:rPr>
        <w:t>PREVISÃO NO PLANO DE CONTRATAÇÃO ANUAL: (X) SIM  ( ) NÃO</w:t>
      </w:r>
    </w:p>
    <w:p w14:paraId="1FB69BB1">
      <w:pPr>
        <w:spacing w:line="240" w:lineRule="auto"/>
        <w:rPr>
          <w:rFonts w:ascii="Arial" w:hAnsi="Arial" w:cs="Arial"/>
          <w:b/>
          <w:bCs/>
          <w:sz w:val="22"/>
          <w:szCs w:val="22"/>
        </w:rPr>
      </w:pPr>
    </w:p>
    <w:p w14:paraId="3B7FA673">
      <w:pPr>
        <w:numPr>
          <w:ilvl w:val="0"/>
          <w:numId w:val="2"/>
        </w:numPr>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s>
        <w:spacing w:line="360" w:lineRule="auto"/>
        <w:ind w:left="5802" w:hanging="5802"/>
        <w:jc w:val="center"/>
        <w:rPr>
          <w:rFonts w:ascii="Arial" w:hAnsi="Arial" w:cs="Arial"/>
          <w:b/>
          <w:sz w:val="22"/>
          <w:szCs w:val="22"/>
        </w:rPr>
      </w:pPr>
      <w:r>
        <w:rPr>
          <w:rFonts w:ascii="Arial" w:hAnsi="Arial" w:cs="Arial"/>
          <w:b/>
          <w:bCs/>
          <w:sz w:val="22"/>
          <w:szCs w:val="22"/>
        </w:rPr>
        <w:t>ÁREA DEMANDANTE:</w:t>
      </w:r>
    </w:p>
    <w:p w14:paraId="2B2158C1">
      <w:pPr>
        <w:spacing w:line="360" w:lineRule="auto"/>
        <w:jc w:val="left"/>
        <w:rPr>
          <w:rFonts w:ascii="Arial" w:hAnsi="Arial" w:cs="Arial"/>
          <w:b/>
          <w:sz w:val="22"/>
          <w:szCs w:val="22"/>
        </w:rPr>
      </w:pPr>
    </w:p>
    <w:p w14:paraId="3956A8D3">
      <w:pPr>
        <w:spacing w:line="360" w:lineRule="auto"/>
        <w:jc w:val="left"/>
        <w:rPr>
          <w:rFonts w:ascii="Arial" w:hAnsi="Arial" w:cs="Arial"/>
          <w:bCs/>
          <w:sz w:val="22"/>
          <w:szCs w:val="22"/>
        </w:rPr>
      </w:pPr>
      <w:r>
        <w:rPr>
          <w:rFonts w:ascii="Arial" w:hAnsi="Arial" w:cs="Arial"/>
          <w:b/>
          <w:sz w:val="22"/>
          <w:szCs w:val="22"/>
        </w:rPr>
        <w:t xml:space="preserve">Secretaria Demandante: </w:t>
      </w:r>
      <w:r>
        <w:rPr>
          <w:rFonts w:ascii="Arial" w:hAnsi="Arial" w:cs="Arial"/>
          <w:bCs/>
          <w:sz w:val="22"/>
          <w:szCs w:val="22"/>
        </w:rPr>
        <w:t>Secretaria de Administração e Modernização</w:t>
      </w:r>
    </w:p>
    <w:p w14:paraId="4C976FC8">
      <w:pPr>
        <w:spacing w:line="360" w:lineRule="auto"/>
        <w:jc w:val="left"/>
        <w:rPr>
          <w:rFonts w:ascii="Arial" w:hAnsi="Arial" w:cs="Arial"/>
          <w:bCs/>
          <w:sz w:val="22"/>
          <w:szCs w:val="22"/>
        </w:rPr>
      </w:pPr>
      <w:r>
        <w:rPr>
          <w:rFonts w:ascii="Arial" w:hAnsi="Arial" w:cs="Arial"/>
          <w:b/>
          <w:sz w:val="22"/>
          <w:szCs w:val="22"/>
        </w:rPr>
        <w:t>Secretária: Elizabete Cilião Guilherme</w:t>
      </w:r>
    </w:p>
    <w:p w14:paraId="68A83048">
      <w:pPr>
        <w:widowControl/>
        <w:adjustRightInd/>
        <w:spacing w:line="360" w:lineRule="auto"/>
        <w:textAlignment w:val="auto"/>
        <w:rPr>
          <w:rFonts w:ascii="Arial" w:hAnsi="Arial" w:cs="Arial"/>
          <w:bCs/>
          <w:sz w:val="22"/>
          <w:szCs w:val="22"/>
        </w:rPr>
      </w:pPr>
      <w:r>
        <w:rPr>
          <w:rFonts w:ascii="Arial" w:hAnsi="Arial" w:cs="Arial"/>
          <w:b/>
          <w:sz w:val="22"/>
          <w:szCs w:val="22"/>
        </w:rPr>
        <w:t>Email</w:t>
      </w:r>
      <w:r>
        <w:rPr>
          <w:rFonts w:ascii="Arial" w:hAnsi="Arial" w:cs="Arial"/>
          <w:bCs/>
          <w:sz w:val="22"/>
          <w:szCs w:val="22"/>
        </w:rPr>
        <w:t xml:space="preserve"> </w:t>
      </w:r>
      <w:r>
        <w:rPr>
          <w:rFonts w:ascii="Arial" w:hAnsi="Arial" w:cs="Arial"/>
          <w:b/>
          <w:sz w:val="22"/>
          <w:szCs w:val="22"/>
        </w:rPr>
        <w:t>(institucional):</w:t>
      </w:r>
      <w:r>
        <w:rPr>
          <w:rFonts w:ascii="Arial" w:hAnsi="Arial" w:cs="Arial"/>
          <w:bCs/>
          <w:sz w:val="22"/>
          <w:szCs w:val="22"/>
        </w:rPr>
        <w:t xml:space="preserve"> </w:t>
      </w:r>
      <w:r>
        <w:fldChar w:fldCharType="begin"/>
      </w:r>
      <w:r>
        <w:instrText xml:space="preserve"> HYPERLINK "mailto:sinopcompras@gmail.com" </w:instrText>
      </w:r>
      <w:r>
        <w:fldChar w:fldCharType="separate"/>
      </w:r>
      <w:r>
        <w:rPr>
          <w:rStyle w:val="8"/>
          <w:rFonts w:ascii="Arial" w:hAnsi="Arial" w:cs="Arial"/>
          <w:bCs/>
          <w:sz w:val="22"/>
          <w:szCs w:val="22"/>
        </w:rPr>
        <w:t>sinopcompras@gmail.com</w:t>
      </w:r>
      <w:r>
        <w:rPr>
          <w:rStyle w:val="8"/>
          <w:rFonts w:ascii="Arial" w:hAnsi="Arial" w:cs="Arial"/>
          <w:bCs/>
          <w:sz w:val="22"/>
          <w:szCs w:val="22"/>
        </w:rPr>
        <w:fldChar w:fldCharType="end"/>
      </w:r>
    </w:p>
    <w:p w14:paraId="17513830">
      <w:pPr>
        <w:widowControl/>
        <w:adjustRightInd/>
        <w:spacing w:line="360" w:lineRule="auto"/>
        <w:textAlignment w:val="auto"/>
        <w:rPr>
          <w:rFonts w:ascii="Arial" w:hAnsi="Arial" w:cs="Arial"/>
          <w:b/>
          <w:sz w:val="22"/>
          <w:szCs w:val="22"/>
        </w:rPr>
      </w:pPr>
      <w:r>
        <w:rPr>
          <w:rFonts w:ascii="Arial" w:hAnsi="Arial" w:cs="Arial"/>
          <w:bCs/>
          <w:sz w:val="22"/>
          <w:szCs w:val="22"/>
        </w:rPr>
        <w:t xml:space="preserve">Telefone </w:t>
      </w:r>
      <w:r>
        <w:rPr>
          <w:rFonts w:ascii="Arial" w:hAnsi="Arial" w:cs="Arial"/>
          <w:b/>
          <w:sz w:val="22"/>
          <w:szCs w:val="22"/>
        </w:rPr>
        <w:t>(institucional): (66) 3520-7298</w:t>
      </w:r>
    </w:p>
    <w:p w14:paraId="21E550D9">
      <w:pPr>
        <w:widowControl/>
        <w:adjustRightInd/>
        <w:spacing w:line="360" w:lineRule="auto"/>
        <w:textAlignment w:val="auto"/>
        <w:rPr>
          <w:rFonts w:ascii="Arial" w:hAnsi="Arial" w:cs="Arial"/>
          <w:b/>
          <w:sz w:val="22"/>
          <w:szCs w:val="22"/>
        </w:rPr>
      </w:pPr>
    </w:p>
    <w:p w14:paraId="755B4C47">
      <w:pPr>
        <w:pBdr>
          <w:top w:val="double" w:color="auto" w:sz="4" w:space="1"/>
          <w:left w:val="double" w:color="auto" w:sz="4" w:space="4"/>
          <w:bottom w:val="double" w:color="auto" w:sz="4" w:space="1"/>
          <w:right w:val="double" w:color="auto" w:sz="4" w:space="0"/>
          <w:between w:val="double" w:color="auto" w:sz="4" w:space="1"/>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2. OBJETO</w:t>
      </w:r>
      <w:r>
        <w:rPr>
          <w:rFonts w:hint="default" w:ascii="Arial" w:hAnsi="Arial" w:cs="Arial"/>
          <w:b/>
          <w:bCs/>
          <w:sz w:val="22"/>
          <w:szCs w:val="22"/>
          <w:lang w:val="pt-BR"/>
        </w:rPr>
        <w:t>:</w:t>
      </w:r>
    </w:p>
    <w:p w14:paraId="4A8A2984">
      <w:pPr>
        <w:autoSpaceDE w:val="0"/>
        <w:autoSpaceDN w:val="0"/>
        <w:spacing w:line="360" w:lineRule="auto"/>
        <w:rPr>
          <w:rFonts w:ascii="Arial" w:hAnsi="Arial" w:cs="Arial"/>
          <w:b/>
          <w:bCs/>
          <w:sz w:val="22"/>
          <w:szCs w:val="22"/>
        </w:rPr>
      </w:pPr>
    </w:p>
    <w:p w14:paraId="50598EF9">
      <w:pPr>
        <w:tabs>
          <w:tab w:val="left" w:pos="0"/>
        </w:tabs>
        <w:spacing w:line="360" w:lineRule="auto"/>
        <w:rPr>
          <w:rFonts w:ascii="Arial" w:hAnsi="Arial" w:cs="Arial"/>
          <w:b/>
          <w:bCs/>
          <w:sz w:val="22"/>
          <w:szCs w:val="22"/>
        </w:rPr>
      </w:pPr>
      <w:r>
        <w:rPr>
          <w:rFonts w:ascii="Arial" w:hAnsi="Arial" w:cs="Arial"/>
          <w:b/>
          <w:bCs/>
          <w:sz w:val="22"/>
          <w:szCs w:val="22"/>
        </w:rPr>
        <w:t xml:space="preserve">2.1. </w:t>
      </w:r>
      <w:r>
        <w:rPr>
          <w:rFonts w:ascii="Arial" w:hAnsi="Arial" w:cs="Arial"/>
          <w:sz w:val="22"/>
          <w:szCs w:val="22"/>
        </w:rPr>
        <w:t>A presente licitação tem por objeto o Registro de Preços para futura e eventual aquisição de oxigênio gasoso medicinal, acetileno e materiais correlatos. A contratação visa atender às necessidades da Secretaria Municipal de Saúde, da Secretaria Municipal de Obras e Serviços Urbanos, conforme as condições, quantidades e exigências estabelecidas neste termo de referência e no Estudo Técnico Preliminar (ETP). O objetivo é selecionar as propostas mais vantajosas para a Administração Pública do Município de Sinop</w:t>
      </w:r>
      <w:r>
        <w:rPr>
          <w:rFonts w:ascii="Arial" w:hAnsi="Arial" w:cs="Arial"/>
          <w:b/>
          <w:bCs/>
          <w:sz w:val="22"/>
          <w:szCs w:val="22"/>
        </w:rPr>
        <w:t>.</w:t>
      </w:r>
    </w:p>
    <w:p w14:paraId="16CEB7C2">
      <w:pPr>
        <w:tabs>
          <w:tab w:val="left" w:pos="0"/>
        </w:tabs>
        <w:spacing w:line="360" w:lineRule="auto"/>
        <w:rPr>
          <w:rFonts w:ascii="Arial" w:hAnsi="Arial" w:cs="Arial"/>
          <w:b/>
          <w:bCs/>
          <w:sz w:val="22"/>
          <w:szCs w:val="22"/>
        </w:rPr>
      </w:pPr>
      <w:r>
        <w:rPr>
          <w:rFonts w:ascii="Arial" w:hAnsi="Arial" w:cs="Arial"/>
          <w:b/>
          <w:bCs/>
          <w:sz w:val="22"/>
          <w:szCs w:val="22"/>
        </w:rPr>
        <w:t xml:space="preserve">2.1.2. </w:t>
      </w:r>
      <w:r>
        <w:rPr>
          <w:rFonts w:ascii="Arial" w:hAnsi="Arial" w:cs="Arial"/>
          <w:sz w:val="22"/>
          <w:szCs w:val="22"/>
        </w:rPr>
        <w:t>Os objetos desta contratação são classificados como bens comuns, conforme justificativa constante no Estudo Técnico Preliminar (ETP) e nos termos do art. 6º, inciso XIII, da Lei Federal nº 14.133/2021. Essa classificação se deve ao fato de que seus padrões de desempenho e qualidade podem ser definidos objetivamente pelo edital, por meio de especificações usuais de mercado</w:t>
      </w:r>
      <w:r>
        <w:rPr>
          <w:rFonts w:ascii="Arial" w:hAnsi="Arial" w:cs="Arial"/>
          <w:b/>
          <w:bCs/>
          <w:sz w:val="22"/>
          <w:szCs w:val="22"/>
        </w:rPr>
        <w:t>.</w:t>
      </w:r>
    </w:p>
    <w:p w14:paraId="07BF6152">
      <w:pPr>
        <w:tabs>
          <w:tab w:val="left" w:pos="0"/>
        </w:tabs>
        <w:spacing w:line="360" w:lineRule="auto"/>
        <w:rPr>
          <w:rFonts w:ascii="Arial" w:hAnsi="Arial" w:cs="Arial"/>
          <w:sz w:val="22"/>
          <w:szCs w:val="22"/>
        </w:rPr>
      </w:pPr>
      <w:r>
        <w:rPr>
          <w:rFonts w:ascii="Arial" w:hAnsi="Arial" w:cs="Arial"/>
          <w:b/>
          <w:bCs/>
          <w:sz w:val="22"/>
          <w:szCs w:val="22"/>
        </w:rPr>
        <w:t xml:space="preserve">2.1.3. </w:t>
      </w:r>
      <w:r>
        <w:rPr>
          <w:rFonts w:ascii="Arial" w:hAnsi="Arial" w:cs="Arial"/>
          <w:sz w:val="22"/>
          <w:szCs w:val="22"/>
        </w:rPr>
        <w:t>Os itens solicitados foram descritos em conformidade com o Catálogo de Materiais e Serviços desenvolvido e mantido pelo Tribunal de Contas do Estado de Mato Grosso (TCE/MT). Este catálogo consiste em um banco de especificações de itens licitáveis de uso obrigatório para todos os órgãos sob a jurisdição do Tribunal. Adotado pelo Município de Sinop desde 2017, o sistema abrange uma ampla gama de suprimentos e serviços — tais como alimentos, produtos de higiene, vestuário, produtos químicos, maquinários, materiais de expediente e medicamentos. A padronização das descrições estimula a ampla concorrência entre produtos equivalentes nas licitações e viabiliza a consolidação de um banco de dados confiável, essencial para o controle e a análise dos preços praticados nas compras públicas do Estado de Mato Grosso.</w:t>
      </w:r>
    </w:p>
    <w:p w14:paraId="11425BC0">
      <w:pPr>
        <w:tabs>
          <w:tab w:val="left" w:pos="0"/>
        </w:tabs>
        <w:spacing w:line="360" w:lineRule="auto"/>
        <w:rPr>
          <w:rFonts w:ascii="Arial" w:hAnsi="Arial" w:cs="Arial"/>
          <w:b/>
          <w:bCs/>
          <w:sz w:val="22"/>
          <w:szCs w:val="22"/>
        </w:rPr>
      </w:pPr>
    </w:p>
    <w:p w14:paraId="651AA5F8">
      <w:pPr>
        <w:tabs>
          <w:tab w:val="left" w:pos="0"/>
        </w:tabs>
        <w:spacing w:line="360" w:lineRule="auto"/>
        <w:rPr>
          <w:rFonts w:ascii="Arial" w:hAnsi="Arial" w:cs="Arial"/>
          <w:b/>
          <w:bCs/>
          <w:sz w:val="22"/>
          <w:szCs w:val="22"/>
        </w:rPr>
      </w:pPr>
      <w:r>
        <w:rPr>
          <w:rFonts w:ascii="Arial" w:hAnsi="Arial" w:cs="Arial"/>
          <w:b/>
          <w:bCs/>
          <w:sz w:val="22"/>
          <w:szCs w:val="22"/>
        </w:rPr>
        <w:t>2.2. DESCRIÇÃO DO OBJETO E QUANTIDADES</w:t>
      </w:r>
    </w:p>
    <w:p w14:paraId="4A5DF8AE">
      <w:pPr>
        <w:tabs>
          <w:tab w:val="left" w:pos="0"/>
        </w:tabs>
        <w:spacing w:line="360" w:lineRule="auto"/>
        <w:rPr>
          <w:rFonts w:ascii="Arial" w:hAnsi="Arial" w:cs="Arial"/>
          <w:b/>
          <w:bCs/>
          <w:sz w:val="22"/>
          <w:szCs w:val="22"/>
        </w:rPr>
      </w:pPr>
      <w:r>
        <w:rPr>
          <w:rFonts w:ascii="Arial" w:hAnsi="Arial" w:cs="Arial"/>
          <w:sz w:val="22"/>
          <w:szCs w:val="22"/>
        </w:rPr>
        <w:t>Os quantitativos, as unidades de medida, as especificações e os valores estão detalhados na tabela a seguir</w:t>
      </w:r>
      <w:r>
        <w:rPr>
          <w:rFonts w:ascii="Arial" w:hAnsi="Arial" w:cs="Arial"/>
          <w:b/>
          <w:bCs/>
          <w:sz w:val="22"/>
          <w:szCs w:val="22"/>
        </w:rPr>
        <w:t>:</w:t>
      </w:r>
    </w:p>
    <w:tbl>
      <w:tblPr>
        <w:tblStyle w:val="5"/>
        <w:tblW w:w="10206" w:type="dxa"/>
        <w:tblInd w:w="-497" w:type="dxa"/>
        <w:tblLayout w:type="autofit"/>
        <w:tblCellMar>
          <w:top w:w="0" w:type="dxa"/>
          <w:left w:w="70" w:type="dxa"/>
          <w:bottom w:w="0" w:type="dxa"/>
          <w:right w:w="70" w:type="dxa"/>
        </w:tblCellMar>
      </w:tblPr>
      <w:tblGrid>
        <w:gridCol w:w="709"/>
        <w:gridCol w:w="871"/>
        <w:gridCol w:w="972"/>
        <w:gridCol w:w="2713"/>
        <w:gridCol w:w="1256"/>
        <w:gridCol w:w="992"/>
        <w:gridCol w:w="1134"/>
        <w:gridCol w:w="1559"/>
      </w:tblGrid>
      <w:tr w14:paraId="1B59479A">
        <w:tblPrEx>
          <w:tblCellMar>
            <w:top w:w="0" w:type="dxa"/>
            <w:left w:w="70" w:type="dxa"/>
            <w:bottom w:w="0" w:type="dxa"/>
            <w:right w:w="70" w:type="dxa"/>
          </w:tblCellMar>
        </w:tblPrEx>
        <w:trPr>
          <w:trHeight w:val="480"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128A9BF1">
            <w:pPr>
              <w:spacing w:line="240" w:lineRule="auto"/>
              <w:jc w:val="center"/>
              <w:rPr>
                <w:rFonts w:ascii="Arial" w:hAnsi="Arial" w:cs="Arial"/>
                <w:color w:val="000000"/>
                <w:sz w:val="18"/>
                <w:szCs w:val="18"/>
              </w:rPr>
            </w:pPr>
            <w:r>
              <w:rPr>
                <w:rFonts w:ascii="Arial" w:hAnsi="Arial" w:cs="Arial"/>
                <w:b/>
                <w:bCs/>
                <w:color w:val="000000"/>
                <w:sz w:val="18"/>
                <w:szCs w:val="18"/>
              </w:rPr>
              <w:t>Nº DO ITEM</w:t>
            </w:r>
          </w:p>
        </w:tc>
        <w:tc>
          <w:tcPr>
            <w:tcW w:w="871" w:type="dxa"/>
            <w:tcBorders>
              <w:top w:val="single" w:color="auto" w:sz="4" w:space="0"/>
              <w:left w:val="nil"/>
              <w:bottom w:val="single" w:color="auto" w:sz="4" w:space="0"/>
              <w:right w:val="single" w:color="auto" w:sz="4" w:space="0"/>
            </w:tcBorders>
            <w:noWrap/>
            <w:vAlign w:val="center"/>
          </w:tcPr>
          <w:p w14:paraId="6A8D2E09">
            <w:pPr>
              <w:spacing w:line="240" w:lineRule="auto"/>
              <w:jc w:val="center"/>
              <w:rPr>
                <w:rFonts w:ascii="Arial" w:hAnsi="Arial" w:cs="Arial"/>
                <w:color w:val="000000"/>
                <w:sz w:val="18"/>
                <w:szCs w:val="18"/>
              </w:rPr>
            </w:pPr>
            <w:r>
              <w:rPr>
                <w:rFonts w:ascii="Arial" w:hAnsi="Arial" w:cs="Arial"/>
                <w:b/>
                <w:bCs/>
                <w:color w:val="000000"/>
                <w:sz w:val="18"/>
                <w:szCs w:val="18"/>
              </w:rPr>
              <w:t>CÓDIGO PMS</w:t>
            </w:r>
          </w:p>
        </w:tc>
        <w:tc>
          <w:tcPr>
            <w:tcW w:w="972" w:type="dxa"/>
            <w:tcBorders>
              <w:top w:val="single" w:color="auto" w:sz="4" w:space="0"/>
              <w:left w:val="nil"/>
              <w:bottom w:val="single" w:color="auto" w:sz="4" w:space="0"/>
              <w:right w:val="single" w:color="auto" w:sz="4" w:space="0"/>
            </w:tcBorders>
            <w:noWrap/>
            <w:vAlign w:val="center"/>
          </w:tcPr>
          <w:p w14:paraId="452C0608">
            <w:pPr>
              <w:spacing w:line="240" w:lineRule="auto"/>
              <w:jc w:val="center"/>
              <w:rPr>
                <w:rFonts w:ascii="Arial" w:hAnsi="Arial" w:cs="Arial"/>
                <w:color w:val="000000"/>
                <w:sz w:val="18"/>
                <w:szCs w:val="18"/>
              </w:rPr>
            </w:pPr>
            <w:r>
              <w:rPr>
                <w:rFonts w:ascii="Arial" w:hAnsi="Arial" w:cs="Arial"/>
                <w:b/>
                <w:bCs/>
                <w:color w:val="000000"/>
                <w:sz w:val="18"/>
                <w:szCs w:val="18"/>
              </w:rPr>
              <w:t>CÓDIGO DO TCE</w:t>
            </w:r>
          </w:p>
        </w:tc>
        <w:tc>
          <w:tcPr>
            <w:tcW w:w="2713" w:type="dxa"/>
            <w:tcBorders>
              <w:top w:val="single" w:color="auto" w:sz="4" w:space="0"/>
              <w:left w:val="nil"/>
              <w:bottom w:val="single" w:color="auto" w:sz="4" w:space="0"/>
              <w:right w:val="single" w:color="auto" w:sz="4" w:space="0"/>
            </w:tcBorders>
            <w:vAlign w:val="center"/>
          </w:tcPr>
          <w:p w14:paraId="44F036ED">
            <w:pPr>
              <w:spacing w:line="240" w:lineRule="auto"/>
              <w:jc w:val="center"/>
              <w:rPr>
                <w:rFonts w:ascii="Arial" w:hAnsi="Arial" w:cs="Arial"/>
                <w:color w:val="000000"/>
                <w:sz w:val="18"/>
                <w:szCs w:val="18"/>
              </w:rPr>
            </w:pPr>
            <w:r>
              <w:rPr>
                <w:rFonts w:ascii="Arial" w:hAnsi="Arial" w:cs="Arial"/>
                <w:b/>
                <w:bCs/>
                <w:color w:val="000000"/>
                <w:sz w:val="18"/>
                <w:szCs w:val="18"/>
              </w:rPr>
              <w:t>DESCRIÇÃO</w:t>
            </w:r>
          </w:p>
        </w:tc>
        <w:tc>
          <w:tcPr>
            <w:tcW w:w="1256" w:type="dxa"/>
            <w:tcBorders>
              <w:top w:val="single" w:color="auto" w:sz="4" w:space="0"/>
              <w:left w:val="nil"/>
              <w:bottom w:val="single" w:color="auto" w:sz="4" w:space="0"/>
              <w:right w:val="single" w:color="auto" w:sz="4" w:space="0"/>
            </w:tcBorders>
            <w:vAlign w:val="center"/>
          </w:tcPr>
          <w:p w14:paraId="4E77E9A7">
            <w:pPr>
              <w:spacing w:line="240" w:lineRule="auto"/>
              <w:jc w:val="center"/>
              <w:rPr>
                <w:rFonts w:ascii="Arial" w:hAnsi="Arial" w:cs="Arial"/>
                <w:color w:val="000000"/>
                <w:sz w:val="16"/>
                <w:szCs w:val="16"/>
              </w:rPr>
            </w:pPr>
            <w:r>
              <w:rPr>
                <w:rFonts w:ascii="Arial" w:hAnsi="Arial" w:cs="Arial"/>
                <w:b/>
                <w:bCs/>
                <w:color w:val="000000"/>
                <w:sz w:val="16"/>
                <w:szCs w:val="16"/>
              </w:rPr>
              <w:t>UNIDADE DE FORNEC.</w:t>
            </w:r>
          </w:p>
        </w:tc>
        <w:tc>
          <w:tcPr>
            <w:tcW w:w="992" w:type="dxa"/>
            <w:tcBorders>
              <w:top w:val="single" w:color="auto" w:sz="4" w:space="0"/>
              <w:left w:val="nil"/>
              <w:bottom w:val="single" w:color="auto" w:sz="4" w:space="0"/>
              <w:right w:val="single" w:color="auto" w:sz="4" w:space="0"/>
            </w:tcBorders>
            <w:noWrap/>
            <w:vAlign w:val="center"/>
          </w:tcPr>
          <w:p w14:paraId="694B976A">
            <w:pPr>
              <w:spacing w:line="240" w:lineRule="auto"/>
              <w:jc w:val="center"/>
              <w:rPr>
                <w:rFonts w:ascii="Arial" w:hAnsi="Arial" w:cs="Arial"/>
                <w:color w:val="000000"/>
                <w:sz w:val="18"/>
                <w:szCs w:val="18"/>
              </w:rPr>
            </w:pPr>
            <w:r>
              <w:rPr>
                <w:rFonts w:ascii="Arial" w:hAnsi="Arial" w:cs="Arial"/>
                <w:b/>
                <w:bCs/>
                <w:color w:val="000000"/>
                <w:sz w:val="18"/>
                <w:szCs w:val="18"/>
              </w:rPr>
              <w:t>TOTAL DE ITENS</w:t>
            </w:r>
          </w:p>
        </w:tc>
        <w:tc>
          <w:tcPr>
            <w:tcW w:w="1134" w:type="dxa"/>
            <w:tcBorders>
              <w:top w:val="single" w:color="auto" w:sz="4" w:space="0"/>
              <w:left w:val="nil"/>
              <w:bottom w:val="single" w:color="auto" w:sz="4" w:space="0"/>
              <w:right w:val="single" w:color="auto" w:sz="4" w:space="0"/>
            </w:tcBorders>
            <w:noWrap/>
            <w:vAlign w:val="center"/>
          </w:tcPr>
          <w:p w14:paraId="13FC9EFE">
            <w:pPr>
              <w:spacing w:line="240" w:lineRule="auto"/>
              <w:jc w:val="center"/>
              <w:rPr>
                <w:rFonts w:ascii="Arial" w:hAnsi="Arial" w:cs="Arial"/>
                <w:color w:val="000000"/>
                <w:sz w:val="18"/>
                <w:szCs w:val="18"/>
              </w:rPr>
            </w:pPr>
            <w:r>
              <w:rPr>
                <w:rFonts w:ascii="Arial" w:hAnsi="Arial" w:cs="Arial"/>
                <w:b/>
                <w:bCs/>
                <w:color w:val="000000"/>
                <w:sz w:val="18"/>
                <w:szCs w:val="18"/>
              </w:rPr>
              <w:t>VALOR UNITÁRIO</w:t>
            </w:r>
          </w:p>
        </w:tc>
        <w:tc>
          <w:tcPr>
            <w:tcW w:w="1559" w:type="dxa"/>
            <w:tcBorders>
              <w:top w:val="single" w:color="auto" w:sz="4" w:space="0"/>
              <w:left w:val="nil"/>
              <w:bottom w:val="single" w:color="auto" w:sz="4" w:space="0"/>
              <w:right w:val="single" w:color="auto" w:sz="4" w:space="0"/>
            </w:tcBorders>
            <w:noWrap/>
            <w:vAlign w:val="center"/>
          </w:tcPr>
          <w:p w14:paraId="5D6C35D0">
            <w:pPr>
              <w:spacing w:line="240" w:lineRule="auto"/>
              <w:jc w:val="center"/>
              <w:rPr>
                <w:rFonts w:ascii="Arial" w:hAnsi="Arial" w:cs="Arial"/>
                <w:color w:val="000000"/>
                <w:sz w:val="18"/>
                <w:szCs w:val="18"/>
              </w:rPr>
            </w:pPr>
            <w:r>
              <w:rPr>
                <w:rFonts w:ascii="Arial" w:hAnsi="Arial" w:cs="Arial"/>
                <w:b/>
                <w:bCs/>
                <w:color w:val="000000"/>
                <w:sz w:val="18"/>
                <w:szCs w:val="18"/>
              </w:rPr>
              <w:t>VALOR TOTAL</w:t>
            </w:r>
          </w:p>
        </w:tc>
      </w:tr>
      <w:tr w14:paraId="118544FC">
        <w:tblPrEx>
          <w:tblCellMar>
            <w:top w:w="0" w:type="dxa"/>
            <w:left w:w="70" w:type="dxa"/>
            <w:bottom w:w="0" w:type="dxa"/>
            <w:right w:w="70" w:type="dxa"/>
          </w:tblCellMar>
        </w:tblPrEx>
        <w:trPr>
          <w:trHeight w:val="1494" w:hRule="atLeast"/>
        </w:trPr>
        <w:tc>
          <w:tcPr>
            <w:tcW w:w="709" w:type="dxa"/>
            <w:tcBorders>
              <w:top w:val="nil"/>
              <w:left w:val="single" w:color="auto" w:sz="4" w:space="0"/>
              <w:bottom w:val="single" w:color="auto" w:sz="4" w:space="0"/>
              <w:right w:val="single" w:color="auto" w:sz="4" w:space="0"/>
            </w:tcBorders>
            <w:noWrap/>
            <w:vAlign w:val="center"/>
          </w:tcPr>
          <w:p w14:paraId="4B1CAD05">
            <w:pPr>
              <w:spacing w:line="240" w:lineRule="auto"/>
              <w:jc w:val="center"/>
              <w:rPr>
                <w:rFonts w:ascii="Arial" w:hAnsi="Arial" w:cs="Arial"/>
                <w:color w:val="000000"/>
                <w:sz w:val="18"/>
                <w:szCs w:val="18"/>
              </w:rPr>
            </w:pPr>
            <w:r>
              <w:rPr>
                <w:rFonts w:ascii="Arial" w:hAnsi="Arial" w:cs="Arial"/>
                <w:color w:val="000000"/>
                <w:sz w:val="18"/>
                <w:szCs w:val="18"/>
              </w:rPr>
              <w:t>1</w:t>
            </w:r>
          </w:p>
        </w:tc>
        <w:tc>
          <w:tcPr>
            <w:tcW w:w="871" w:type="dxa"/>
            <w:tcBorders>
              <w:top w:val="nil"/>
              <w:left w:val="nil"/>
              <w:bottom w:val="single" w:color="auto" w:sz="4" w:space="0"/>
              <w:right w:val="single" w:color="auto" w:sz="4" w:space="0"/>
            </w:tcBorders>
            <w:noWrap/>
            <w:vAlign w:val="center"/>
          </w:tcPr>
          <w:p w14:paraId="26267CFF">
            <w:pPr>
              <w:spacing w:line="240" w:lineRule="auto"/>
              <w:jc w:val="center"/>
              <w:rPr>
                <w:rFonts w:ascii="Arial" w:hAnsi="Arial" w:cs="Arial"/>
                <w:color w:val="000000"/>
                <w:sz w:val="18"/>
                <w:szCs w:val="18"/>
              </w:rPr>
            </w:pPr>
            <w:r>
              <w:rPr>
                <w:rFonts w:ascii="Arial" w:hAnsi="Arial" w:cs="Arial"/>
                <w:color w:val="000000"/>
                <w:sz w:val="18"/>
                <w:szCs w:val="18"/>
              </w:rPr>
              <w:t>384464</w:t>
            </w:r>
          </w:p>
        </w:tc>
        <w:tc>
          <w:tcPr>
            <w:tcW w:w="972" w:type="dxa"/>
            <w:tcBorders>
              <w:top w:val="nil"/>
              <w:left w:val="nil"/>
              <w:bottom w:val="single" w:color="auto" w:sz="4" w:space="0"/>
              <w:right w:val="single" w:color="auto" w:sz="4" w:space="0"/>
            </w:tcBorders>
            <w:noWrap/>
            <w:vAlign w:val="center"/>
          </w:tcPr>
          <w:p w14:paraId="2D9616DC">
            <w:pPr>
              <w:spacing w:line="240" w:lineRule="auto"/>
              <w:jc w:val="center"/>
              <w:rPr>
                <w:rFonts w:ascii="Arial" w:hAnsi="Arial" w:cs="Arial"/>
                <w:color w:val="000000"/>
                <w:sz w:val="18"/>
                <w:szCs w:val="18"/>
              </w:rPr>
            </w:pPr>
            <w:r>
              <w:rPr>
                <w:rFonts w:ascii="Arial" w:hAnsi="Arial" w:cs="Arial"/>
                <w:color w:val="000000"/>
                <w:sz w:val="18"/>
                <w:szCs w:val="18"/>
              </w:rPr>
              <w:t>175087-9</w:t>
            </w:r>
          </w:p>
        </w:tc>
        <w:tc>
          <w:tcPr>
            <w:tcW w:w="2713" w:type="dxa"/>
            <w:tcBorders>
              <w:top w:val="nil"/>
              <w:left w:val="nil"/>
              <w:bottom w:val="single" w:color="auto" w:sz="4" w:space="0"/>
              <w:right w:val="single" w:color="auto" w:sz="4" w:space="0"/>
            </w:tcBorders>
            <w:vAlign w:val="bottom"/>
          </w:tcPr>
          <w:p w14:paraId="71F7AFB0">
            <w:pPr>
              <w:spacing w:line="240" w:lineRule="auto"/>
              <w:rPr>
                <w:rFonts w:ascii="Arial" w:hAnsi="Arial" w:cs="Arial"/>
                <w:color w:val="000000"/>
                <w:sz w:val="18"/>
                <w:szCs w:val="18"/>
              </w:rPr>
            </w:pPr>
            <w:r>
              <w:rPr>
                <w:rFonts w:ascii="Arial" w:hAnsi="Arial" w:cs="Arial"/>
                <w:color w:val="000000"/>
                <w:sz w:val="18"/>
                <w:szCs w:val="18"/>
              </w:rPr>
              <w:t>ACETILENO - PRODUTO FORNECIDO NO ESTADO GASOSO, ACONDICIONADO EM CILINDRO DE BAIXA PRESSAO. FORNECIDO EM CILINDRO DE CARGA DE 9 KG. (EXCLUSIVO PARA M.E. E E.P.P.)</w:t>
            </w:r>
          </w:p>
        </w:tc>
        <w:tc>
          <w:tcPr>
            <w:tcW w:w="1256" w:type="dxa"/>
            <w:tcBorders>
              <w:top w:val="nil"/>
              <w:left w:val="nil"/>
              <w:bottom w:val="single" w:color="auto" w:sz="4" w:space="0"/>
              <w:right w:val="single" w:color="auto" w:sz="4" w:space="0"/>
            </w:tcBorders>
            <w:vAlign w:val="center"/>
          </w:tcPr>
          <w:p w14:paraId="461BF4DD">
            <w:pPr>
              <w:spacing w:line="240" w:lineRule="auto"/>
              <w:jc w:val="center"/>
              <w:rPr>
                <w:rFonts w:ascii="Arial" w:hAnsi="Arial" w:cs="Arial"/>
                <w:color w:val="000000"/>
                <w:sz w:val="16"/>
                <w:szCs w:val="16"/>
              </w:rPr>
            </w:pPr>
            <w:r>
              <w:rPr>
                <w:rFonts w:ascii="Arial" w:hAnsi="Arial" w:cs="Arial"/>
                <w:color w:val="000000"/>
                <w:sz w:val="16"/>
                <w:szCs w:val="16"/>
              </w:rPr>
              <w:t>QUILOGRAMA</w:t>
            </w:r>
          </w:p>
        </w:tc>
        <w:tc>
          <w:tcPr>
            <w:tcW w:w="992" w:type="dxa"/>
            <w:tcBorders>
              <w:top w:val="nil"/>
              <w:left w:val="nil"/>
              <w:bottom w:val="single" w:color="auto" w:sz="4" w:space="0"/>
              <w:right w:val="single" w:color="auto" w:sz="4" w:space="0"/>
            </w:tcBorders>
            <w:noWrap/>
            <w:vAlign w:val="center"/>
          </w:tcPr>
          <w:p w14:paraId="398D9AED">
            <w:pPr>
              <w:spacing w:line="240" w:lineRule="auto"/>
              <w:jc w:val="center"/>
              <w:rPr>
                <w:rFonts w:ascii="Arial" w:hAnsi="Arial" w:cs="Arial"/>
                <w:color w:val="000000"/>
                <w:sz w:val="18"/>
                <w:szCs w:val="18"/>
              </w:rPr>
            </w:pPr>
            <w:r>
              <w:rPr>
                <w:rFonts w:ascii="Arial" w:hAnsi="Arial" w:cs="Arial"/>
                <w:color w:val="000000"/>
                <w:sz w:val="18"/>
                <w:szCs w:val="18"/>
              </w:rPr>
              <w:t>90</w:t>
            </w:r>
          </w:p>
        </w:tc>
        <w:tc>
          <w:tcPr>
            <w:tcW w:w="1134" w:type="dxa"/>
            <w:tcBorders>
              <w:top w:val="nil"/>
              <w:left w:val="nil"/>
              <w:bottom w:val="single" w:color="auto" w:sz="4" w:space="0"/>
              <w:right w:val="single" w:color="auto" w:sz="4" w:space="0"/>
            </w:tcBorders>
            <w:noWrap/>
            <w:vAlign w:val="center"/>
          </w:tcPr>
          <w:p w14:paraId="087D4B5F">
            <w:pPr>
              <w:spacing w:line="240" w:lineRule="auto"/>
              <w:jc w:val="center"/>
              <w:rPr>
                <w:rFonts w:ascii="Arial" w:hAnsi="Arial" w:cs="Arial"/>
                <w:color w:val="000000"/>
                <w:sz w:val="18"/>
                <w:szCs w:val="18"/>
              </w:rPr>
            </w:pPr>
            <w:r>
              <w:rPr>
                <w:rFonts w:ascii="Arial" w:hAnsi="Arial" w:cs="Arial"/>
                <w:color w:val="000000"/>
                <w:sz w:val="18"/>
                <w:szCs w:val="18"/>
              </w:rPr>
              <w:t>R$ 141,50</w:t>
            </w:r>
          </w:p>
        </w:tc>
        <w:tc>
          <w:tcPr>
            <w:tcW w:w="1559" w:type="dxa"/>
            <w:tcBorders>
              <w:top w:val="nil"/>
              <w:left w:val="nil"/>
              <w:bottom w:val="single" w:color="auto" w:sz="4" w:space="0"/>
              <w:right w:val="single" w:color="auto" w:sz="4" w:space="0"/>
            </w:tcBorders>
            <w:noWrap/>
            <w:vAlign w:val="center"/>
          </w:tcPr>
          <w:p w14:paraId="49C123BF">
            <w:pPr>
              <w:spacing w:line="240" w:lineRule="auto"/>
              <w:jc w:val="center"/>
              <w:rPr>
                <w:rFonts w:ascii="Arial" w:hAnsi="Arial" w:cs="Arial"/>
                <w:color w:val="000000"/>
                <w:sz w:val="18"/>
                <w:szCs w:val="18"/>
              </w:rPr>
            </w:pPr>
            <w:r>
              <w:rPr>
                <w:rFonts w:ascii="Arial" w:hAnsi="Arial" w:cs="Arial"/>
                <w:color w:val="000000"/>
                <w:sz w:val="18"/>
                <w:szCs w:val="18"/>
              </w:rPr>
              <w:t>R$ 12.735,00</w:t>
            </w:r>
          </w:p>
        </w:tc>
      </w:tr>
      <w:tr w14:paraId="459B90B0">
        <w:tblPrEx>
          <w:tblCellMar>
            <w:top w:w="0" w:type="dxa"/>
            <w:left w:w="70" w:type="dxa"/>
            <w:bottom w:w="0" w:type="dxa"/>
            <w:right w:w="70" w:type="dxa"/>
          </w:tblCellMar>
        </w:tblPrEx>
        <w:trPr>
          <w:trHeight w:val="60" w:hRule="atLeast"/>
        </w:trPr>
        <w:tc>
          <w:tcPr>
            <w:tcW w:w="709" w:type="dxa"/>
            <w:tcBorders>
              <w:top w:val="nil"/>
              <w:left w:val="single" w:color="auto" w:sz="4" w:space="0"/>
              <w:bottom w:val="single" w:color="auto" w:sz="4" w:space="0"/>
              <w:right w:val="single" w:color="auto" w:sz="4" w:space="0"/>
            </w:tcBorders>
            <w:noWrap/>
            <w:vAlign w:val="center"/>
          </w:tcPr>
          <w:p w14:paraId="40B42EEB">
            <w:pPr>
              <w:spacing w:line="240" w:lineRule="auto"/>
              <w:jc w:val="center"/>
              <w:rPr>
                <w:rFonts w:ascii="Arial" w:hAnsi="Arial" w:cs="Arial"/>
                <w:color w:val="000000"/>
                <w:sz w:val="18"/>
                <w:szCs w:val="18"/>
              </w:rPr>
            </w:pPr>
            <w:r>
              <w:rPr>
                <w:rFonts w:ascii="Arial" w:hAnsi="Arial" w:cs="Arial"/>
                <w:color w:val="000000"/>
                <w:sz w:val="18"/>
                <w:szCs w:val="18"/>
              </w:rPr>
              <w:t>2</w:t>
            </w:r>
          </w:p>
        </w:tc>
        <w:tc>
          <w:tcPr>
            <w:tcW w:w="871" w:type="dxa"/>
            <w:tcBorders>
              <w:top w:val="nil"/>
              <w:left w:val="nil"/>
              <w:bottom w:val="single" w:color="auto" w:sz="4" w:space="0"/>
              <w:right w:val="single" w:color="auto" w:sz="4" w:space="0"/>
            </w:tcBorders>
            <w:noWrap/>
            <w:vAlign w:val="center"/>
          </w:tcPr>
          <w:p w14:paraId="5B78D020">
            <w:pPr>
              <w:spacing w:line="240" w:lineRule="auto"/>
              <w:jc w:val="center"/>
              <w:rPr>
                <w:rFonts w:ascii="Arial" w:hAnsi="Arial" w:cs="Arial"/>
                <w:color w:val="000000"/>
                <w:sz w:val="18"/>
                <w:szCs w:val="18"/>
              </w:rPr>
            </w:pPr>
            <w:r>
              <w:rPr>
                <w:rFonts w:ascii="Arial" w:hAnsi="Arial" w:cs="Arial"/>
                <w:color w:val="000000"/>
                <w:sz w:val="18"/>
                <w:szCs w:val="18"/>
              </w:rPr>
              <w:t>394500</w:t>
            </w:r>
          </w:p>
        </w:tc>
        <w:tc>
          <w:tcPr>
            <w:tcW w:w="972" w:type="dxa"/>
            <w:tcBorders>
              <w:top w:val="nil"/>
              <w:left w:val="nil"/>
              <w:bottom w:val="single" w:color="auto" w:sz="4" w:space="0"/>
              <w:right w:val="single" w:color="auto" w:sz="4" w:space="0"/>
            </w:tcBorders>
            <w:noWrap/>
            <w:vAlign w:val="center"/>
          </w:tcPr>
          <w:p w14:paraId="44D544E6">
            <w:pPr>
              <w:spacing w:line="240" w:lineRule="auto"/>
              <w:jc w:val="center"/>
              <w:rPr>
                <w:rFonts w:ascii="Arial" w:hAnsi="Arial" w:cs="Arial"/>
                <w:color w:val="000000"/>
                <w:sz w:val="18"/>
                <w:szCs w:val="18"/>
              </w:rPr>
            </w:pPr>
            <w:r>
              <w:rPr>
                <w:rFonts w:ascii="Arial" w:hAnsi="Arial" w:cs="Arial"/>
                <w:color w:val="000000"/>
                <w:sz w:val="18"/>
                <w:szCs w:val="18"/>
              </w:rPr>
              <w:t>145558-3</w:t>
            </w:r>
          </w:p>
        </w:tc>
        <w:tc>
          <w:tcPr>
            <w:tcW w:w="2713" w:type="dxa"/>
            <w:tcBorders>
              <w:top w:val="nil"/>
              <w:left w:val="nil"/>
              <w:bottom w:val="single" w:color="auto" w:sz="4" w:space="0"/>
              <w:right w:val="single" w:color="auto" w:sz="4" w:space="0"/>
            </w:tcBorders>
            <w:vAlign w:val="bottom"/>
          </w:tcPr>
          <w:p w14:paraId="44C10D43">
            <w:pPr>
              <w:spacing w:line="240" w:lineRule="auto"/>
              <w:rPr>
                <w:rFonts w:ascii="Arial" w:hAnsi="Arial" w:cs="Arial"/>
                <w:color w:val="000000"/>
                <w:sz w:val="18"/>
                <w:szCs w:val="18"/>
              </w:rPr>
            </w:pPr>
            <w:r>
              <w:rPr>
                <w:rFonts w:ascii="Arial" w:hAnsi="Arial" w:cs="Arial"/>
                <w:color w:val="000000"/>
                <w:sz w:val="18"/>
                <w:szCs w:val="18"/>
              </w:rPr>
              <w:t>CHAVE AJUSTÁVEL DE 0 A 12 POLEGADAS, ABERTURA MÁXIMA DE 30MM, COM ORIFÍCIO PARA ARMAZENAMENTO EM PAINÉIS CABEÇA COM ESCALA MÉTRICA MARCADA. (EXCLUSIVO PARA M.E. E E.P.P.)</w:t>
            </w:r>
          </w:p>
        </w:tc>
        <w:tc>
          <w:tcPr>
            <w:tcW w:w="1256" w:type="dxa"/>
            <w:tcBorders>
              <w:top w:val="nil"/>
              <w:left w:val="nil"/>
              <w:bottom w:val="single" w:color="auto" w:sz="4" w:space="0"/>
              <w:right w:val="single" w:color="auto" w:sz="4" w:space="0"/>
            </w:tcBorders>
            <w:vAlign w:val="center"/>
          </w:tcPr>
          <w:p w14:paraId="3D2697C9">
            <w:pPr>
              <w:spacing w:line="240" w:lineRule="auto"/>
              <w:jc w:val="center"/>
              <w:rPr>
                <w:rFonts w:ascii="Arial" w:hAnsi="Arial" w:cs="Arial"/>
                <w:color w:val="000000"/>
                <w:sz w:val="16"/>
                <w:szCs w:val="16"/>
              </w:rPr>
            </w:pPr>
            <w:r>
              <w:rPr>
                <w:rFonts w:ascii="Arial" w:hAnsi="Arial" w:cs="Arial"/>
                <w:color w:val="000000"/>
                <w:sz w:val="16"/>
                <w:szCs w:val="16"/>
              </w:rPr>
              <w:t>UNIDADE</w:t>
            </w:r>
          </w:p>
        </w:tc>
        <w:tc>
          <w:tcPr>
            <w:tcW w:w="992" w:type="dxa"/>
            <w:tcBorders>
              <w:top w:val="nil"/>
              <w:left w:val="nil"/>
              <w:bottom w:val="single" w:color="auto" w:sz="4" w:space="0"/>
              <w:right w:val="single" w:color="auto" w:sz="4" w:space="0"/>
            </w:tcBorders>
            <w:noWrap/>
            <w:vAlign w:val="center"/>
          </w:tcPr>
          <w:p w14:paraId="0C99C8B3">
            <w:pPr>
              <w:spacing w:line="240" w:lineRule="auto"/>
              <w:jc w:val="center"/>
              <w:rPr>
                <w:rFonts w:ascii="Arial" w:hAnsi="Arial" w:cs="Arial"/>
                <w:color w:val="000000"/>
                <w:sz w:val="18"/>
                <w:szCs w:val="18"/>
              </w:rPr>
            </w:pPr>
            <w:r>
              <w:rPr>
                <w:rFonts w:ascii="Arial" w:hAnsi="Arial" w:cs="Arial"/>
                <w:color w:val="000000"/>
                <w:sz w:val="18"/>
                <w:szCs w:val="18"/>
              </w:rPr>
              <w:t>20</w:t>
            </w:r>
          </w:p>
        </w:tc>
        <w:tc>
          <w:tcPr>
            <w:tcW w:w="1134" w:type="dxa"/>
            <w:tcBorders>
              <w:top w:val="nil"/>
              <w:left w:val="nil"/>
              <w:bottom w:val="single" w:color="auto" w:sz="4" w:space="0"/>
              <w:right w:val="single" w:color="auto" w:sz="4" w:space="0"/>
            </w:tcBorders>
            <w:noWrap/>
            <w:vAlign w:val="center"/>
          </w:tcPr>
          <w:p w14:paraId="02B523DE">
            <w:pPr>
              <w:spacing w:line="240" w:lineRule="auto"/>
              <w:jc w:val="center"/>
              <w:rPr>
                <w:rFonts w:ascii="Arial" w:hAnsi="Arial" w:cs="Arial"/>
                <w:color w:val="000000"/>
                <w:sz w:val="18"/>
                <w:szCs w:val="18"/>
              </w:rPr>
            </w:pPr>
            <w:r>
              <w:rPr>
                <w:rFonts w:ascii="Arial" w:hAnsi="Arial" w:cs="Arial"/>
                <w:color w:val="000000"/>
                <w:sz w:val="18"/>
                <w:szCs w:val="18"/>
              </w:rPr>
              <w:t>R$ 130,25</w:t>
            </w:r>
          </w:p>
        </w:tc>
        <w:tc>
          <w:tcPr>
            <w:tcW w:w="1559" w:type="dxa"/>
            <w:tcBorders>
              <w:top w:val="nil"/>
              <w:left w:val="nil"/>
              <w:bottom w:val="single" w:color="auto" w:sz="4" w:space="0"/>
              <w:right w:val="single" w:color="auto" w:sz="4" w:space="0"/>
            </w:tcBorders>
            <w:noWrap/>
            <w:vAlign w:val="center"/>
          </w:tcPr>
          <w:p w14:paraId="7A2DAEE5">
            <w:pPr>
              <w:spacing w:line="240" w:lineRule="auto"/>
              <w:jc w:val="center"/>
              <w:rPr>
                <w:rFonts w:ascii="Arial" w:hAnsi="Arial" w:cs="Arial"/>
                <w:color w:val="000000"/>
                <w:sz w:val="18"/>
                <w:szCs w:val="18"/>
              </w:rPr>
            </w:pPr>
            <w:r>
              <w:rPr>
                <w:rFonts w:ascii="Arial" w:hAnsi="Arial" w:cs="Arial"/>
                <w:color w:val="000000"/>
                <w:sz w:val="18"/>
                <w:szCs w:val="18"/>
              </w:rPr>
              <w:t>R$ 2.605,00</w:t>
            </w:r>
          </w:p>
        </w:tc>
      </w:tr>
      <w:tr w14:paraId="736907E0">
        <w:tblPrEx>
          <w:tblCellMar>
            <w:top w:w="0" w:type="dxa"/>
            <w:left w:w="70" w:type="dxa"/>
            <w:bottom w:w="0" w:type="dxa"/>
            <w:right w:w="70" w:type="dxa"/>
          </w:tblCellMar>
        </w:tblPrEx>
        <w:trPr>
          <w:trHeight w:val="2599" w:hRule="atLeast"/>
        </w:trPr>
        <w:tc>
          <w:tcPr>
            <w:tcW w:w="709" w:type="dxa"/>
            <w:tcBorders>
              <w:top w:val="nil"/>
              <w:left w:val="single" w:color="auto" w:sz="4" w:space="0"/>
              <w:bottom w:val="single" w:color="auto" w:sz="4" w:space="0"/>
              <w:right w:val="single" w:color="auto" w:sz="4" w:space="0"/>
            </w:tcBorders>
            <w:noWrap/>
            <w:vAlign w:val="center"/>
          </w:tcPr>
          <w:p w14:paraId="7C0A8654">
            <w:pPr>
              <w:spacing w:line="240" w:lineRule="auto"/>
              <w:jc w:val="center"/>
              <w:rPr>
                <w:rFonts w:ascii="Arial" w:hAnsi="Arial" w:cs="Arial"/>
                <w:color w:val="000000"/>
                <w:sz w:val="18"/>
                <w:szCs w:val="18"/>
              </w:rPr>
            </w:pPr>
            <w:r>
              <w:rPr>
                <w:rFonts w:ascii="Arial" w:hAnsi="Arial" w:cs="Arial"/>
                <w:color w:val="000000"/>
                <w:sz w:val="18"/>
                <w:szCs w:val="18"/>
              </w:rPr>
              <w:t>3</w:t>
            </w:r>
          </w:p>
        </w:tc>
        <w:tc>
          <w:tcPr>
            <w:tcW w:w="871" w:type="dxa"/>
            <w:tcBorders>
              <w:top w:val="nil"/>
              <w:left w:val="nil"/>
              <w:bottom w:val="single" w:color="auto" w:sz="4" w:space="0"/>
              <w:right w:val="single" w:color="auto" w:sz="4" w:space="0"/>
            </w:tcBorders>
            <w:noWrap/>
            <w:vAlign w:val="center"/>
          </w:tcPr>
          <w:p w14:paraId="3AD02EEA">
            <w:pPr>
              <w:spacing w:line="240" w:lineRule="auto"/>
              <w:jc w:val="center"/>
              <w:rPr>
                <w:rFonts w:ascii="Arial" w:hAnsi="Arial" w:cs="Arial"/>
                <w:color w:val="000000"/>
                <w:sz w:val="18"/>
                <w:szCs w:val="18"/>
              </w:rPr>
            </w:pPr>
            <w:r>
              <w:rPr>
                <w:rFonts w:ascii="Arial" w:hAnsi="Arial" w:cs="Arial"/>
                <w:color w:val="000000"/>
                <w:sz w:val="18"/>
                <w:szCs w:val="18"/>
              </w:rPr>
              <w:t>402620</w:t>
            </w:r>
          </w:p>
        </w:tc>
        <w:tc>
          <w:tcPr>
            <w:tcW w:w="972" w:type="dxa"/>
            <w:tcBorders>
              <w:top w:val="nil"/>
              <w:left w:val="nil"/>
              <w:bottom w:val="single" w:color="auto" w:sz="4" w:space="0"/>
              <w:right w:val="single" w:color="auto" w:sz="4" w:space="0"/>
            </w:tcBorders>
            <w:noWrap/>
            <w:vAlign w:val="center"/>
          </w:tcPr>
          <w:p w14:paraId="5FA49E26">
            <w:pPr>
              <w:spacing w:line="240" w:lineRule="auto"/>
              <w:jc w:val="center"/>
              <w:rPr>
                <w:rFonts w:ascii="Arial" w:hAnsi="Arial" w:cs="Arial"/>
                <w:color w:val="000000"/>
                <w:sz w:val="18"/>
                <w:szCs w:val="18"/>
              </w:rPr>
            </w:pPr>
            <w:r>
              <w:rPr>
                <w:rFonts w:ascii="Arial" w:hAnsi="Arial" w:cs="Arial"/>
                <w:color w:val="000000"/>
                <w:sz w:val="18"/>
                <w:szCs w:val="18"/>
              </w:rPr>
              <w:t>0001838</w:t>
            </w:r>
          </w:p>
        </w:tc>
        <w:tc>
          <w:tcPr>
            <w:tcW w:w="2713" w:type="dxa"/>
            <w:tcBorders>
              <w:top w:val="nil"/>
              <w:left w:val="nil"/>
              <w:bottom w:val="single" w:color="auto" w:sz="4" w:space="0"/>
              <w:right w:val="single" w:color="auto" w:sz="4" w:space="0"/>
            </w:tcBorders>
            <w:vAlign w:val="bottom"/>
          </w:tcPr>
          <w:p w14:paraId="4953FB29">
            <w:pPr>
              <w:spacing w:line="240" w:lineRule="auto"/>
              <w:rPr>
                <w:rFonts w:ascii="Arial" w:hAnsi="Arial" w:cs="Arial"/>
                <w:color w:val="000000"/>
                <w:sz w:val="18"/>
                <w:szCs w:val="18"/>
              </w:rPr>
            </w:pPr>
            <w:r>
              <w:rPr>
                <w:rFonts w:ascii="Arial" w:hAnsi="Arial" w:cs="Arial"/>
                <w:color w:val="000000"/>
                <w:sz w:val="18"/>
                <w:szCs w:val="18"/>
              </w:rPr>
              <w:t>CONJUNTO PARA OXIGENACAO PORTATIL CONTENDO: CONJUNTO DE EQUIPAMENTOS PARA REALIZAR OXIGENACAO DE EMERGENCIA EM HOSPITAIS, CONSULTORIOS, ACADEMIAS, RESIDENCIAS ENTRE OUTROS. COMPOSTO POR UMA VALVULA REGULADORA PARA CILINDRO COM FLUXOMETRO - PARA OXIGENIO (VF010) E UM CONJUNTO DE UMIDIFICACAO COM FRASCO DE PVC DE 250ML (UD111), CILINDRO DE OXIGENIO COM CAPACIDADE PARA 3LTS / 0,45M3 (CO210) E MALETA EM COURVIN PARA ACONDICIONAMENTO (PU101). REGISTRO ANVISA. ( EXCLUSIVO PARA M.E E E.P.P.)</w:t>
            </w:r>
          </w:p>
        </w:tc>
        <w:tc>
          <w:tcPr>
            <w:tcW w:w="1256" w:type="dxa"/>
            <w:tcBorders>
              <w:top w:val="nil"/>
              <w:left w:val="nil"/>
              <w:bottom w:val="single" w:color="auto" w:sz="4" w:space="0"/>
              <w:right w:val="single" w:color="auto" w:sz="4" w:space="0"/>
            </w:tcBorders>
            <w:vAlign w:val="center"/>
          </w:tcPr>
          <w:p w14:paraId="35D72831">
            <w:pPr>
              <w:spacing w:line="240" w:lineRule="auto"/>
              <w:jc w:val="center"/>
              <w:rPr>
                <w:rFonts w:ascii="Arial" w:hAnsi="Arial" w:cs="Arial"/>
                <w:color w:val="000000"/>
                <w:sz w:val="16"/>
                <w:szCs w:val="16"/>
              </w:rPr>
            </w:pPr>
            <w:r>
              <w:rPr>
                <w:rFonts w:ascii="Arial" w:hAnsi="Arial" w:cs="Arial"/>
                <w:color w:val="000000"/>
                <w:sz w:val="16"/>
                <w:szCs w:val="16"/>
              </w:rPr>
              <w:t>UNIDADE</w:t>
            </w:r>
          </w:p>
        </w:tc>
        <w:tc>
          <w:tcPr>
            <w:tcW w:w="992" w:type="dxa"/>
            <w:tcBorders>
              <w:top w:val="nil"/>
              <w:left w:val="nil"/>
              <w:bottom w:val="single" w:color="auto" w:sz="4" w:space="0"/>
              <w:right w:val="single" w:color="auto" w:sz="4" w:space="0"/>
            </w:tcBorders>
            <w:noWrap/>
            <w:vAlign w:val="center"/>
          </w:tcPr>
          <w:p w14:paraId="1A2DA08B">
            <w:pPr>
              <w:spacing w:line="240" w:lineRule="auto"/>
              <w:jc w:val="center"/>
              <w:rPr>
                <w:rFonts w:ascii="Arial" w:hAnsi="Arial" w:cs="Arial"/>
                <w:color w:val="000000"/>
                <w:sz w:val="18"/>
                <w:szCs w:val="18"/>
              </w:rPr>
            </w:pPr>
            <w:r>
              <w:rPr>
                <w:rFonts w:ascii="Arial" w:hAnsi="Arial" w:cs="Arial"/>
                <w:color w:val="000000"/>
                <w:sz w:val="18"/>
                <w:szCs w:val="18"/>
              </w:rPr>
              <w:t>3</w:t>
            </w:r>
          </w:p>
        </w:tc>
        <w:tc>
          <w:tcPr>
            <w:tcW w:w="1134" w:type="dxa"/>
            <w:tcBorders>
              <w:top w:val="nil"/>
              <w:left w:val="nil"/>
              <w:bottom w:val="single" w:color="auto" w:sz="4" w:space="0"/>
              <w:right w:val="single" w:color="auto" w:sz="4" w:space="0"/>
            </w:tcBorders>
            <w:noWrap/>
            <w:vAlign w:val="center"/>
          </w:tcPr>
          <w:p w14:paraId="6374A593">
            <w:pPr>
              <w:spacing w:line="240" w:lineRule="auto"/>
              <w:jc w:val="center"/>
              <w:rPr>
                <w:rFonts w:ascii="Arial" w:hAnsi="Arial" w:cs="Arial"/>
                <w:color w:val="000000"/>
                <w:sz w:val="18"/>
                <w:szCs w:val="18"/>
              </w:rPr>
            </w:pPr>
            <w:r>
              <w:rPr>
                <w:rFonts w:ascii="Arial" w:hAnsi="Arial" w:cs="Arial"/>
                <w:color w:val="000000"/>
                <w:sz w:val="18"/>
                <w:szCs w:val="18"/>
              </w:rPr>
              <w:t>R$ 3.009,75</w:t>
            </w:r>
          </w:p>
        </w:tc>
        <w:tc>
          <w:tcPr>
            <w:tcW w:w="1559" w:type="dxa"/>
            <w:tcBorders>
              <w:top w:val="nil"/>
              <w:left w:val="nil"/>
              <w:bottom w:val="single" w:color="auto" w:sz="4" w:space="0"/>
              <w:right w:val="single" w:color="auto" w:sz="4" w:space="0"/>
            </w:tcBorders>
            <w:noWrap/>
            <w:vAlign w:val="center"/>
          </w:tcPr>
          <w:p w14:paraId="0D00D145">
            <w:pPr>
              <w:spacing w:line="240" w:lineRule="auto"/>
              <w:jc w:val="center"/>
              <w:rPr>
                <w:rFonts w:ascii="Arial" w:hAnsi="Arial" w:cs="Arial"/>
                <w:color w:val="000000"/>
                <w:sz w:val="18"/>
                <w:szCs w:val="18"/>
              </w:rPr>
            </w:pPr>
            <w:r>
              <w:rPr>
                <w:rFonts w:ascii="Arial" w:hAnsi="Arial" w:cs="Arial"/>
                <w:color w:val="000000"/>
                <w:sz w:val="18"/>
                <w:szCs w:val="18"/>
              </w:rPr>
              <w:t>R$ 9.029,25</w:t>
            </w:r>
          </w:p>
        </w:tc>
      </w:tr>
      <w:tr w14:paraId="1AF26CA7">
        <w:tblPrEx>
          <w:tblCellMar>
            <w:top w:w="0" w:type="dxa"/>
            <w:left w:w="70" w:type="dxa"/>
            <w:bottom w:w="0" w:type="dxa"/>
            <w:right w:w="70" w:type="dxa"/>
          </w:tblCellMar>
        </w:tblPrEx>
        <w:trPr>
          <w:trHeight w:val="1351"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1F6004FA">
            <w:pPr>
              <w:spacing w:line="240" w:lineRule="auto"/>
              <w:jc w:val="center"/>
              <w:rPr>
                <w:rFonts w:ascii="Arial" w:hAnsi="Arial" w:cs="Arial"/>
                <w:color w:val="000000"/>
                <w:sz w:val="18"/>
                <w:szCs w:val="18"/>
              </w:rPr>
            </w:pPr>
            <w:r>
              <w:rPr>
                <w:rFonts w:ascii="Arial" w:hAnsi="Arial" w:cs="Arial"/>
                <w:color w:val="000000"/>
                <w:sz w:val="18"/>
                <w:szCs w:val="18"/>
              </w:rPr>
              <w:t>4</w:t>
            </w:r>
          </w:p>
        </w:tc>
        <w:tc>
          <w:tcPr>
            <w:tcW w:w="871" w:type="dxa"/>
            <w:tcBorders>
              <w:top w:val="single" w:color="auto" w:sz="4" w:space="0"/>
              <w:left w:val="nil"/>
              <w:bottom w:val="single" w:color="auto" w:sz="4" w:space="0"/>
              <w:right w:val="single" w:color="auto" w:sz="4" w:space="0"/>
            </w:tcBorders>
            <w:noWrap/>
            <w:vAlign w:val="center"/>
          </w:tcPr>
          <w:p w14:paraId="41ABB42D">
            <w:pPr>
              <w:spacing w:line="240" w:lineRule="auto"/>
              <w:jc w:val="center"/>
              <w:rPr>
                <w:rFonts w:ascii="Arial" w:hAnsi="Arial" w:cs="Arial"/>
                <w:color w:val="000000"/>
                <w:sz w:val="18"/>
                <w:szCs w:val="18"/>
              </w:rPr>
            </w:pPr>
            <w:r>
              <w:rPr>
                <w:rFonts w:ascii="Arial" w:hAnsi="Arial" w:cs="Arial"/>
                <w:color w:val="000000"/>
                <w:sz w:val="18"/>
                <w:szCs w:val="18"/>
              </w:rPr>
              <w:t>395356</w:t>
            </w:r>
          </w:p>
        </w:tc>
        <w:tc>
          <w:tcPr>
            <w:tcW w:w="972" w:type="dxa"/>
            <w:tcBorders>
              <w:top w:val="single" w:color="auto" w:sz="4" w:space="0"/>
              <w:left w:val="nil"/>
              <w:bottom w:val="single" w:color="auto" w:sz="4" w:space="0"/>
              <w:right w:val="single" w:color="auto" w:sz="4" w:space="0"/>
            </w:tcBorders>
            <w:noWrap/>
            <w:vAlign w:val="center"/>
          </w:tcPr>
          <w:p w14:paraId="732BF584">
            <w:pPr>
              <w:spacing w:line="240" w:lineRule="auto"/>
              <w:jc w:val="center"/>
              <w:rPr>
                <w:rFonts w:ascii="Arial" w:hAnsi="Arial" w:cs="Arial"/>
                <w:color w:val="000000"/>
                <w:sz w:val="18"/>
                <w:szCs w:val="18"/>
              </w:rPr>
            </w:pPr>
            <w:r>
              <w:rPr>
                <w:rFonts w:ascii="Arial" w:hAnsi="Arial" w:cs="Arial"/>
                <w:color w:val="000000"/>
                <w:sz w:val="18"/>
                <w:szCs w:val="18"/>
              </w:rPr>
              <w:t>116505-4</w:t>
            </w:r>
          </w:p>
        </w:tc>
        <w:tc>
          <w:tcPr>
            <w:tcW w:w="2713" w:type="dxa"/>
            <w:tcBorders>
              <w:top w:val="single" w:color="auto" w:sz="4" w:space="0"/>
              <w:left w:val="nil"/>
              <w:bottom w:val="single" w:color="auto" w:sz="4" w:space="0"/>
              <w:right w:val="single" w:color="auto" w:sz="4" w:space="0"/>
            </w:tcBorders>
            <w:vAlign w:val="bottom"/>
          </w:tcPr>
          <w:p w14:paraId="7876BA9E">
            <w:pPr>
              <w:spacing w:line="240" w:lineRule="auto"/>
              <w:rPr>
                <w:rFonts w:ascii="Arial" w:hAnsi="Arial" w:cs="Arial"/>
                <w:color w:val="000000"/>
                <w:sz w:val="18"/>
                <w:szCs w:val="18"/>
              </w:rPr>
            </w:pPr>
            <w:r>
              <w:rPr>
                <w:rFonts w:ascii="Arial" w:hAnsi="Arial" w:cs="Arial"/>
                <w:color w:val="000000"/>
                <w:sz w:val="18"/>
                <w:szCs w:val="18"/>
              </w:rPr>
              <w:t>FLUXOMETRO COM A FUNCAO DE CONTROLAR A VAZAO DO OXIGENIO, DE ACORDO COM A LITRAGEM RECOMENDADA PELO MEDICO. PRODUTO DE CORPO DE METAL CROMADO, CAPSULA E BILHA EM POLICARBONATO (PC), ESCALA DE 0 A 15 LITROS POR MINUTO, ESFERA DE INOX, BOTAO DE CONTROLE DE FLUXO FIXADO QUE PERMITE FACIL MANUTENCAO, SISTEMA DE VEDACAO TIPO AGULHA EVITANDO VAZAMENTOS E E CONEXOES PADRAO ABNT, COM REGISTRO NA ANVISA. . ( EXCLUSIVO PARA M.E. E  E.P.P.)</w:t>
            </w:r>
          </w:p>
        </w:tc>
        <w:tc>
          <w:tcPr>
            <w:tcW w:w="1256" w:type="dxa"/>
            <w:tcBorders>
              <w:top w:val="single" w:color="auto" w:sz="4" w:space="0"/>
              <w:left w:val="nil"/>
              <w:bottom w:val="single" w:color="auto" w:sz="4" w:space="0"/>
              <w:right w:val="single" w:color="auto" w:sz="4" w:space="0"/>
            </w:tcBorders>
            <w:vAlign w:val="center"/>
          </w:tcPr>
          <w:p w14:paraId="7DE22E5D">
            <w:pPr>
              <w:spacing w:line="240" w:lineRule="auto"/>
              <w:jc w:val="center"/>
              <w:rPr>
                <w:rFonts w:ascii="Arial" w:hAnsi="Arial" w:cs="Arial"/>
                <w:color w:val="000000"/>
                <w:sz w:val="16"/>
                <w:szCs w:val="16"/>
              </w:rPr>
            </w:pPr>
            <w:r>
              <w:rPr>
                <w:rFonts w:ascii="Arial" w:hAnsi="Arial" w:cs="Arial"/>
                <w:color w:val="000000"/>
                <w:sz w:val="16"/>
                <w:szCs w:val="16"/>
              </w:rPr>
              <w:t>UNIDADE</w:t>
            </w:r>
          </w:p>
        </w:tc>
        <w:tc>
          <w:tcPr>
            <w:tcW w:w="992" w:type="dxa"/>
            <w:tcBorders>
              <w:top w:val="single" w:color="auto" w:sz="4" w:space="0"/>
              <w:left w:val="nil"/>
              <w:bottom w:val="single" w:color="auto" w:sz="4" w:space="0"/>
              <w:right w:val="single" w:color="auto" w:sz="4" w:space="0"/>
            </w:tcBorders>
            <w:noWrap/>
            <w:vAlign w:val="center"/>
          </w:tcPr>
          <w:p w14:paraId="6919A66F">
            <w:pPr>
              <w:spacing w:line="240" w:lineRule="auto"/>
              <w:jc w:val="center"/>
              <w:rPr>
                <w:rFonts w:ascii="Arial" w:hAnsi="Arial" w:cs="Arial"/>
                <w:color w:val="000000"/>
                <w:sz w:val="18"/>
                <w:szCs w:val="18"/>
              </w:rPr>
            </w:pPr>
            <w:r>
              <w:rPr>
                <w:rFonts w:ascii="Arial" w:hAnsi="Arial" w:cs="Arial"/>
                <w:color w:val="000000"/>
                <w:sz w:val="18"/>
                <w:szCs w:val="18"/>
              </w:rPr>
              <w:t>20</w:t>
            </w:r>
          </w:p>
        </w:tc>
        <w:tc>
          <w:tcPr>
            <w:tcW w:w="1134" w:type="dxa"/>
            <w:tcBorders>
              <w:top w:val="single" w:color="auto" w:sz="4" w:space="0"/>
              <w:left w:val="nil"/>
              <w:bottom w:val="single" w:color="auto" w:sz="4" w:space="0"/>
              <w:right w:val="single" w:color="auto" w:sz="4" w:space="0"/>
            </w:tcBorders>
            <w:noWrap/>
            <w:vAlign w:val="center"/>
          </w:tcPr>
          <w:p w14:paraId="1812EBE2">
            <w:pPr>
              <w:spacing w:line="240" w:lineRule="auto"/>
              <w:jc w:val="center"/>
              <w:rPr>
                <w:rFonts w:ascii="Arial" w:hAnsi="Arial" w:cs="Arial"/>
                <w:color w:val="000000"/>
                <w:sz w:val="18"/>
                <w:szCs w:val="18"/>
              </w:rPr>
            </w:pPr>
            <w:r>
              <w:rPr>
                <w:rFonts w:ascii="Arial" w:hAnsi="Arial" w:cs="Arial"/>
                <w:color w:val="000000"/>
                <w:sz w:val="18"/>
                <w:szCs w:val="18"/>
              </w:rPr>
              <w:t>R$ 75,00</w:t>
            </w:r>
          </w:p>
        </w:tc>
        <w:tc>
          <w:tcPr>
            <w:tcW w:w="1559" w:type="dxa"/>
            <w:tcBorders>
              <w:top w:val="single" w:color="auto" w:sz="4" w:space="0"/>
              <w:left w:val="nil"/>
              <w:bottom w:val="single" w:color="auto" w:sz="4" w:space="0"/>
              <w:right w:val="single" w:color="auto" w:sz="4" w:space="0"/>
            </w:tcBorders>
            <w:noWrap/>
            <w:vAlign w:val="center"/>
          </w:tcPr>
          <w:p w14:paraId="28F004BC">
            <w:pPr>
              <w:spacing w:line="240" w:lineRule="auto"/>
              <w:jc w:val="center"/>
              <w:rPr>
                <w:rFonts w:ascii="Arial" w:hAnsi="Arial" w:cs="Arial"/>
                <w:color w:val="000000"/>
                <w:sz w:val="18"/>
                <w:szCs w:val="18"/>
              </w:rPr>
            </w:pPr>
            <w:r>
              <w:rPr>
                <w:rFonts w:ascii="Arial" w:hAnsi="Arial" w:cs="Arial"/>
                <w:color w:val="000000"/>
                <w:sz w:val="18"/>
                <w:szCs w:val="18"/>
              </w:rPr>
              <w:t>R$ 1.510,00</w:t>
            </w:r>
          </w:p>
        </w:tc>
      </w:tr>
      <w:tr w14:paraId="3D3DFA31">
        <w:tblPrEx>
          <w:tblCellMar>
            <w:top w:w="0" w:type="dxa"/>
            <w:left w:w="70" w:type="dxa"/>
            <w:bottom w:w="0" w:type="dxa"/>
            <w:right w:w="70" w:type="dxa"/>
          </w:tblCellMar>
        </w:tblPrEx>
        <w:trPr>
          <w:trHeight w:val="297" w:hRule="atLeast"/>
        </w:trPr>
        <w:tc>
          <w:tcPr>
            <w:tcW w:w="709" w:type="dxa"/>
            <w:tcBorders>
              <w:top w:val="nil"/>
              <w:left w:val="single" w:color="auto" w:sz="4" w:space="0"/>
              <w:bottom w:val="single" w:color="auto" w:sz="4" w:space="0"/>
              <w:right w:val="single" w:color="auto" w:sz="4" w:space="0"/>
            </w:tcBorders>
            <w:noWrap/>
            <w:vAlign w:val="center"/>
          </w:tcPr>
          <w:p w14:paraId="613EF9AA">
            <w:pPr>
              <w:spacing w:line="240" w:lineRule="auto"/>
              <w:jc w:val="center"/>
              <w:rPr>
                <w:rFonts w:ascii="Arial" w:hAnsi="Arial" w:cs="Arial"/>
                <w:color w:val="000000"/>
                <w:sz w:val="18"/>
                <w:szCs w:val="18"/>
              </w:rPr>
            </w:pPr>
            <w:r>
              <w:rPr>
                <w:rFonts w:ascii="Arial" w:hAnsi="Arial" w:cs="Arial"/>
                <w:color w:val="000000"/>
                <w:sz w:val="18"/>
                <w:szCs w:val="18"/>
              </w:rPr>
              <w:t>5</w:t>
            </w:r>
          </w:p>
        </w:tc>
        <w:tc>
          <w:tcPr>
            <w:tcW w:w="871" w:type="dxa"/>
            <w:tcBorders>
              <w:top w:val="nil"/>
              <w:left w:val="nil"/>
              <w:bottom w:val="single" w:color="auto" w:sz="4" w:space="0"/>
              <w:right w:val="single" w:color="auto" w:sz="4" w:space="0"/>
            </w:tcBorders>
            <w:noWrap/>
            <w:vAlign w:val="center"/>
          </w:tcPr>
          <w:p w14:paraId="47FCD509">
            <w:pPr>
              <w:spacing w:line="240" w:lineRule="auto"/>
              <w:jc w:val="center"/>
              <w:rPr>
                <w:rFonts w:ascii="Arial" w:hAnsi="Arial" w:cs="Arial"/>
                <w:color w:val="000000"/>
                <w:sz w:val="18"/>
                <w:szCs w:val="18"/>
              </w:rPr>
            </w:pPr>
            <w:r>
              <w:rPr>
                <w:rFonts w:ascii="Arial" w:hAnsi="Arial" w:cs="Arial"/>
                <w:color w:val="000000"/>
                <w:sz w:val="18"/>
                <w:szCs w:val="18"/>
              </w:rPr>
              <w:t>404986</w:t>
            </w:r>
          </w:p>
        </w:tc>
        <w:tc>
          <w:tcPr>
            <w:tcW w:w="972" w:type="dxa"/>
            <w:tcBorders>
              <w:top w:val="nil"/>
              <w:left w:val="nil"/>
              <w:bottom w:val="single" w:color="auto" w:sz="4" w:space="0"/>
              <w:right w:val="single" w:color="auto" w:sz="4" w:space="0"/>
            </w:tcBorders>
            <w:noWrap/>
            <w:vAlign w:val="center"/>
          </w:tcPr>
          <w:p w14:paraId="498591C9">
            <w:pPr>
              <w:spacing w:line="240" w:lineRule="auto"/>
              <w:jc w:val="center"/>
              <w:rPr>
                <w:rFonts w:ascii="Arial" w:hAnsi="Arial" w:cs="Arial"/>
                <w:color w:val="000000"/>
                <w:sz w:val="18"/>
                <w:szCs w:val="18"/>
              </w:rPr>
            </w:pPr>
            <w:r>
              <w:rPr>
                <w:rFonts w:ascii="Arial" w:hAnsi="Arial" w:cs="Arial"/>
                <w:color w:val="000000"/>
                <w:sz w:val="18"/>
                <w:szCs w:val="18"/>
              </w:rPr>
              <w:t>407996-5</w:t>
            </w:r>
          </w:p>
        </w:tc>
        <w:tc>
          <w:tcPr>
            <w:tcW w:w="2713" w:type="dxa"/>
            <w:tcBorders>
              <w:top w:val="nil"/>
              <w:left w:val="nil"/>
              <w:bottom w:val="single" w:color="auto" w:sz="4" w:space="0"/>
              <w:right w:val="single" w:color="auto" w:sz="4" w:space="0"/>
            </w:tcBorders>
            <w:vAlign w:val="bottom"/>
          </w:tcPr>
          <w:p w14:paraId="2436ABDB">
            <w:pPr>
              <w:spacing w:line="240" w:lineRule="auto"/>
              <w:rPr>
                <w:rFonts w:ascii="Arial" w:hAnsi="Arial" w:cs="Arial"/>
                <w:color w:val="000000"/>
                <w:sz w:val="18"/>
                <w:szCs w:val="18"/>
              </w:rPr>
            </w:pPr>
            <w:r>
              <w:rPr>
                <w:rFonts w:ascii="Arial" w:hAnsi="Arial" w:cs="Arial"/>
                <w:color w:val="000000"/>
                <w:sz w:val="18"/>
                <w:szCs w:val="18"/>
              </w:rPr>
              <w:t>MISTURA DE GAS ARGONIO E DIOXIDO DE CARBONO ACONDICIONADO EM CILINDRO DE 10M³ FORNECIDO EM CONCENTRACAO DE 5% A 25% DE DIOXIDO DE CARBONO (CO2) COM ARGONIO EM BALANCO -  (EXCLUSIVO PARA M.E. E E.P.P.).</w:t>
            </w:r>
          </w:p>
        </w:tc>
        <w:tc>
          <w:tcPr>
            <w:tcW w:w="1256" w:type="dxa"/>
            <w:tcBorders>
              <w:top w:val="nil"/>
              <w:left w:val="nil"/>
              <w:bottom w:val="single" w:color="auto" w:sz="4" w:space="0"/>
              <w:right w:val="single" w:color="auto" w:sz="4" w:space="0"/>
            </w:tcBorders>
            <w:vAlign w:val="center"/>
          </w:tcPr>
          <w:p w14:paraId="606BB03F">
            <w:pPr>
              <w:spacing w:line="240" w:lineRule="auto"/>
              <w:jc w:val="center"/>
              <w:rPr>
                <w:rFonts w:ascii="Arial" w:hAnsi="Arial" w:cs="Arial"/>
                <w:color w:val="000000"/>
                <w:sz w:val="16"/>
                <w:szCs w:val="16"/>
              </w:rPr>
            </w:pPr>
            <w:r>
              <w:rPr>
                <w:rFonts w:ascii="Arial" w:hAnsi="Arial" w:cs="Arial"/>
                <w:color w:val="000000"/>
                <w:sz w:val="16"/>
                <w:szCs w:val="16"/>
              </w:rPr>
              <w:t>CILINDRO 10,000 METRO CUBICO</w:t>
            </w:r>
          </w:p>
        </w:tc>
        <w:tc>
          <w:tcPr>
            <w:tcW w:w="992" w:type="dxa"/>
            <w:tcBorders>
              <w:top w:val="nil"/>
              <w:left w:val="nil"/>
              <w:bottom w:val="single" w:color="auto" w:sz="4" w:space="0"/>
              <w:right w:val="single" w:color="auto" w:sz="4" w:space="0"/>
            </w:tcBorders>
            <w:noWrap/>
            <w:vAlign w:val="center"/>
          </w:tcPr>
          <w:p w14:paraId="1E5549DD">
            <w:pPr>
              <w:spacing w:line="240" w:lineRule="auto"/>
              <w:jc w:val="center"/>
              <w:rPr>
                <w:rFonts w:ascii="Arial" w:hAnsi="Arial" w:cs="Arial"/>
                <w:color w:val="000000"/>
                <w:sz w:val="18"/>
                <w:szCs w:val="18"/>
              </w:rPr>
            </w:pPr>
            <w:r>
              <w:rPr>
                <w:rFonts w:ascii="Arial" w:hAnsi="Arial" w:cs="Arial"/>
                <w:color w:val="000000"/>
                <w:sz w:val="18"/>
                <w:szCs w:val="18"/>
              </w:rPr>
              <w:t>60</w:t>
            </w:r>
          </w:p>
        </w:tc>
        <w:tc>
          <w:tcPr>
            <w:tcW w:w="1134" w:type="dxa"/>
            <w:tcBorders>
              <w:top w:val="nil"/>
              <w:left w:val="nil"/>
              <w:bottom w:val="single" w:color="auto" w:sz="4" w:space="0"/>
              <w:right w:val="single" w:color="auto" w:sz="4" w:space="0"/>
            </w:tcBorders>
            <w:noWrap/>
            <w:vAlign w:val="center"/>
          </w:tcPr>
          <w:p w14:paraId="48FF691E">
            <w:pPr>
              <w:spacing w:line="240" w:lineRule="auto"/>
              <w:jc w:val="center"/>
              <w:rPr>
                <w:rFonts w:ascii="Arial" w:hAnsi="Arial" w:cs="Arial"/>
                <w:color w:val="000000"/>
                <w:sz w:val="18"/>
                <w:szCs w:val="18"/>
              </w:rPr>
            </w:pPr>
            <w:r>
              <w:rPr>
                <w:rFonts w:ascii="Arial" w:hAnsi="Arial" w:cs="Arial"/>
                <w:color w:val="000000"/>
                <w:sz w:val="18"/>
                <w:szCs w:val="18"/>
              </w:rPr>
              <w:t>R$ 65,72</w:t>
            </w:r>
          </w:p>
        </w:tc>
        <w:tc>
          <w:tcPr>
            <w:tcW w:w="1559" w:type="dxa"/>
            <w:tcBorders>
              <w:top w:val="nil"/>
              <w:left w:val="nil"/>
              <w:bottom w:val="single" w:color="auto" w:sz="4" w:space="0"/>
              <w:right w:val="single" w:color="auto" w:sz="4" w:space="0"/>
            </w:tcBorders>
            <w:noWrap/>
            <w:vAlign w:val="center"/>
          </w:tcPr>
          <w:p w14:paraId="097088D5">
            <w:pPr>
              <w:spacing w:line="240" w:lineRule="auto"/>
              <w:jc w:val="center"/>
              <w:rPr>
                <w:rFonts w:ascii="Arial" w:hAnsi="Arial" w:cs="Arial"/>
                <w:color w:val="000000"/>
                <w:sz w:val="18"/>
                <w:szCs w:val="18"/>
              </w:rPr>
            </w:pPr>
            <w:r>
              <w:rPr>
                <w:rFonts w:ascii="Arial" w:hAnsi="Arial" w:cs="Arial"/>
                <w:color w:val="000000"/>
                <w:sz w:val="18"/>
                <w:szCs w:val="18"/>
              </w:rPr>
              <w:t>R$ 3.943,20</w:t>
            </w:r>
          </w:p>
        </w:tc>
      </w:tr>
      <w:tr w14:paraId="7008B96A">
        <w:tblPrEx>
          <w:tblCellMar>
            <w:top w:w="0" w:type="dxa"/>
            <w:left w:w="70" w:type="dxa"/>
            <w:bottom w:w="0" w:type="dxa"/>
            <w:right w:w="70" w:type="dxa"/>
          </w:tblCellMar>
        </w:tblPrEx>
        <w:trPr>
          <w:trHeight w:val="60" w:hRule="atLeast"/>
        </w:trPr>
        <w:tc>
          <w:tcPr>
            <w:tcW w:w="709" w:type="dxa"/>
            <w:tcBorders>
              <w:top w:val="nil"/>
              <w:left w:val="single" w:color="auto" w:sz="4" w:space="0"/>
              <w:bottom w:val="single" w:color="auto" w:sz="4" w:space="0"/>
              <w:right w:val="single" w:color="auto" w:sz="4" w:space="0"/>
            </w:tcBorders>
            <w:noWrap/>
            <w:vAlign w:val="center"/>
          </w:tcPr>
          <w:p w14:paraId="0DB40717">
            <w:pPr>
              <w:spacing w:line="240" w:lineRule="auto"/>
              <w:jc w:val="center"/>
              <w:rPr>
                <w:rFonts w:ascii="Arial" w:hAnsi="Arial" w:cs="Arial"/>
                <w:color w:val="000000"/>
                <w:sz w:val="18"/>
                <w:szCs w:val="18"/>
              </w:rPr>
            </w:pPr>
            <w:r>
              <w:rPr>
                <w:rFonts w:ascii="Arial" w:hAnsi="Arial" w:cs="Arial"/>
                <w:color w:val="000000"/>
                <w:sz w:val="18"/>
                <w:szCs w:val="18"/>
              </w:rPr>
              <w:t>6</w:t>
            </w:r>
          </w:p>
        </w:tc>
        <w:tc>
          <w:tcPr>
            <w:tcW w:w="871" w:type="dxa"/>
            <w:tcBorders>
              <w:top w:val="nil"/>
              <w:left w:val="nil"/>
              <w:bottom w:val="single" w:color="auto" w:sz="4" w:space="0"/>
              <w:right w:val="single" w:color="auto" w:sz="4" w:space="0"/>
            </w:tcBorders>
            <w:noWrap/>
            <w:vAlign w:val="center"/>
          </w:tcPr>
          <w:p w14:paraId="4E80B64D">
            <w:pPr>
              <w:spacing w:line="240" w:lineRule="auto"/>
              <w:jc w:val="center"/>
              <w:rPr>
                <w:rFonts w:ascii="Arial" w:hAnsi="Arial" w:cs="Arial"/>
                <w:color w:val="000000"/>
                <w:sz w:val="18"/>
                <w:szCs w:val="18"/>
              </w:rPr>
            </w:pPr>
            <w:r>
              <w:rPr>
                <w:rFonts w:ascii="Arial" w:hAnsi="Arial" w:cs="Arial"/>
                <w:color w:val="000000"/>
                <w:sz w:val="18"/>
                <w:szCs w:val="18"/>
              </w:rPr>
              <w:t>407133</w:t>
            </w:r>
          </w:p>
        </w:tc>
        <w:tc>
          <w:tcPr>
            <w:tcW w:w="972" w:type="dxa"/>
            <w:tcBorders>
              <w:top w:val="nil"/>
              <w:left w:val="nil"/>
              <w:bottom w:val="single" w:color="auto" w:sz="4" w:space="0"/>
              <w:right w:val="single" w:color="auto" w:sz="4" w:space="0"/>
            </w:tcBorders>
            <w:noWrap/>
            <w:vAlign w:val="center"/>
          </w:tcPr>
          <w:p w14:paraId="3ADE839C">
            <w:pPr>
              <w:spacing w:line="240" w:lineRule="auto"/>
              <w:jc w:val="center"/>
              <w:rPr>
                <w:rFonts w:ascii="Arial" w:hAnsi="Arial" w:cs="Arial"/>
                <w:color w:val="000000"/>
                <w:sz w:val="18"/>
                <w:szCs w:val="18"/>
              </w:rPr>
            </w:pPr>
            <w:r>
              <w:rPr>
                <w:rFonts w:ascii="Arial" w:hAnsi="Arial" w:cs="Arial"/>
                <w:color w:val="000000"/>
                <w:sz w:val="18"/>
                <w:szCs w:val="18"/>
              </w:rPr>
              <w:t>115960-7</w:t>
            </w:r>
          </w:p>
        </w:tc>
        <w:tc>
          <w:tcPr>
            <w:tcW w:w="2713" w:type="dxa"/>
            <w:tcBorders>
              <w:top w:val="nil"/>
              <w:left w:val="nil"/>
              <w:bottom w:val="single" w:color="auto" w:sz="4" w:space="0"/>
              <w:right w:val="single" w:color="auto" w:sz="4" w:space="0"/>
            </w:tcBorders>
            <w:vAlign w:val="bottom"/>
          </w:tcPr>
          <w:p w14:paraId="056BD722">
            <w:pPr>
              <w:spacing w:line="240" w:lineRule="auto"/>
              <w:rPr>
                <w:rFonts w:ascii="Arial" w:hAnsi="Arial" w:cs="Arial"/>
                <w:color w:val="000000"/>
                <w:sz w:val="18"/>
                <w:szCs w:val="18"/>
              </w:rPr>
            </w:pPr>
            <w:r>
              <w:rPr>
                <w:rFonts w:ascii="Arial" w:hAnsi="Arial" w:cs="Arial"/>
                <w:color w:val="000000"/>
                <w:sz w:val="18"/>
                <w:szCs w:val="18"/>
              </w:rPr>
              <w:t>NITROGENIO LIQUIDO. (EXCLUSIVO PARA  M.E.  E  E.P.P.).</w:t>
            </w:r>
          </w:p>
        </w:tc>
        <w:tc>
          <w:tcPr>
            <w:tcW w:w="1256" w:type="dxa"/>
            <w:tcBorders>
              <w:top w:val="nil"/>
              <w:left w:val="nil"/>
              <w:bottom w:val="single" w:color="auto" w:sz="4" w:space="0"/>
              <w:right w:val="single" w:color="auto" w:sz="4" w:space="0"/>
            </w:tcBorders>
            <w:vAlign w:val="center"/>
          </w:tcPr>
          <w:p w14:paraId="1528F691">
            <w:pPr>
              <w:spacing w:line="240" w:lineRule="auto"/>
              <w:jc w:val="center"/>
              <w:rPr>
                <w:rFonts w:ascii="Arial" w:hAnsi="Arial" w:cs="Arial"/>
                <w:color w:val="000000"/>
                <w:sz w:val="16"/>
                <w:szCs w:val="16"/>
              </w:rPr>
            </w:pPr>
            <w:r>
              <w:rPr>
                <w:rFonts w:ascii="Arial" w:hAnsi="Arial" w:cs="Arial"/>
                <w:color w:val="000000"/>
                <w:sz w:val="16"/>
                <w:szCs w:val="16"/>
              </w:rPr>
              <w:t>LITRO</w:t>
            </w:r>
          </w:p>
        </w:tc>
        <w:tc>
          <w:tcPr>
            <w:tcW w:w="992" w:type="dxa"/>
            <w:tcBorders>
              <w:top w:val="nil"/>
              <w:left w:val="nil"/>
              <w:bottom w:val="single" w:color="auto" w:sz="4" w:space="0"/>
              <w:right w:val="single" w:color="auto" w:sz="4" w:space="0"/>
            </w:tcBorders>
            <w:noWrap/>
            <w:vAlign w:val="center"/>
          </w:tcPr>
          <w:p w14:paraId="5F87C987">
            <w:pPr>
              <w:spacing w:line="240" w:lineRule="auto"/>
              <w:jc w:val="center"/>
              <w:rPr>
                <w:rFonts w:ascii="Arial" w:hAnsi="Arial" w:cs="Arial"/>
                <w:color w:val="000000"/>
                <w:sz w:val="18"/>
                <w:szCs w:val="18"/>
              </w:rPr>
            </w:pPr>
            <w:r>
              <w:rPr>
                <w:rFonts w:ascii="Arial" w:hAnsi="Arial" w:cs="Arial"/>
                <w:color w:val="000000"/>
                <w:sz w:val="18"/>
                <w:szCs w:val="18"/>
              </w:rPr>
              <w:t>400</w:t>
            </w:r>
          </w:p>
        </w:tc>
        <w:tc>
          <w:tcPr>
            <w:tcW w:w="1134" w:type="dxa"/>
            <w:tcBorders>
              <w:top w:val="nil"/>
              <w:left w:val="nil"/>
              <w:bottom w:val="single" w:color="auto" w:sz="4" w:space="0"/>
              <w:right w:val="single" w:color="auto" w:sz="4" w:space="0"/>
            </w:tcBorders>
            <w:noWrap/>
            <w:vAlign w:val="center"/>
          </w:tcPr>
          <w:p w14:paraId="774B2A5D">
            <w:pPr>
              <w:spacing w:line="240" w:lineRule="auto"/>
              <w:jc w:val="center"/>
              <w:rPr>
                <w:rFonts w:ascii="Arial" w:hAnsi="Arial" w:cs="Arial"/>
                <w:color w:val="000000"/>
                <w:sz w:val="18"/>
                <w:szCs w:val="18"/>
              </w:rPr>
            </w:pPr>
            <w:r>
              <w:rPr>
                <w:rFonts w:ascii="Arial" w:hAnsi="Arial" w:cs="Arial"/>
                <w:color w:val="000000"/>
                <w:sz w:val="18"/>
                <w:szCs w:val="18"/>
              </w:rPr>
              <w:t>R$ 59,65</w:t>
            </w:r>
          </w:p>
        </w:tc>
        <w:tc>
          <w:tcPr>
            <w:tcW w:w="1559" w:type="dxa"/>
            <w:tcBorders>
              <w:top w:val="nil"/>
              <w:left w:val="nil"/>
              <w:bottom w:val="single" w:color="auto" w:sz="4" w:space="0"/>
              <w:right w:val="single" w:color="auto" w:sz="4" w:space="0"/>
            </w:tcBorders>
            <w:noWrap/>
            <w:vAlign w:val="center"/>
          </w:tcPr>
          <w:p w14:paraId="19A52853">
            <w:pPr>
              <w:spacing w:line="240" w:lineRule="auto"/>
              <w:jc w:val="center"/>
              <w:rPr>
                <w:rFonts w:ascii="Arial" w:hAnsi="Arial" w:cs="Arial"/>
                <w:color w:val="000000"/>
                <w:sz w:val="18"/>
                <w:szCs w:val="18"/>
              </w:rPr>
            </w:pPr>
            <w:r>
              <w:rPr>
                <w:rFonts w:ascii="Arial" w:hAnsi="Arial" w:cs="Arial"/>
                <w:color w:val="000000"/>
                <w:sz w:val="18"/>
                <w:szCs w:val="18"/>
              </w:rPr>
              <w:t>R$ 23.860,00</w:t>
            </w:r>
          </w:p>
        </w:tc>
      </w:tr>
      <w:tr w14:paraId="56070B9C">
        <w:tblPrEx>
          <w:tblCellMar>
            <w:top w:w="0" w:type="dxa"/>
            <w:left w:w="70" w:type="dxa"/>
            <w:bottom w:w="0" w:type="dxa"/>
            <w:right w:w="70" w:type="dxa"/>
          </w:tblCellMar>
        </w:tblPrEx>
        <w:trPr>
          <w:trHeight w:val="60" w:hRule="atLeast"/>
        </w:trPr>
        <w:tc>
          <w:tcPr>
            <w:tcW w:w="709" w:type="dxa"/>
            <w:tcBorders>
              <w:top w:val="nil"/>
              <w:left w:val="single" w:color="auto" w:sz="4" w:space="0"/>
              <w:bottom w:val="single" w:color="auto" w:sz="4" w:space="0"/>
              <w:right w:val="single" w:color="auto" w:sz="4" w:space="0"/>
            </w:tcBorders>
            <w:noWrap/>
            <w:vAlign w:val="center"/>
          </w:tcPr>
          <w:p w14:paraId="19BDF95E">
            <w:pPr>
              <w:spacing w:line="240" w:lineRule="auto"/>
              <w:jc w:val="center"/>
              <w:rPr>
                <w:rFonts w:ascii="Arial" w:hAnsi="Arial" w:cs="Arial"/>
                <w:color w:val="000000"/>
                <w:sz w:val="18"/>
                <w:szCs w:val="18"/>
              </w:rPr>
            </w:pPr>
            <w:r>
              <w:rPr>
                <w:rFonts w:ascii="Arial" w:hAnsi="Arial" w:cs="Arial"/>
                <w:color w:val="000000"/>
                <w:sz w:val="18"/>
                <w:szCs w:val="18"/>
              </w:rPr>
              <w:t>7</w:t>
            </w:r>
          </w:p>
        </w:tc>
        <w:tc>
          <w:tcPr>
            <w:tcW w:w="871" w:type="dxa"/>
            <w:tcBorders>
              <w:top w:val="nil"/>
              <w:left w:val="nil"/>
              <w:bottom w:val="single" w:color="auto" w:sz="4" w:space="0"/>
              <w:right w:val="single" w:color="auto" w:sz="4" w:space="0"/>
            </w:tcBorders>
            <w:noWrap/>
            <w:vAlign w:val="center"/>
          </w:tcPr>
          <w:p w14:paraId="28144751">
            <w:pPr>
              <w:spacing w:line="240" w:lineRule="auto"/>
              <w:jc w:val="center"/>
              <w:rPr>
                <w:rFonts w:ascii="Arial" w:hAnsi="Arial" w:cs="Arial"/>
                <w:color w:val="000000"/>
                <w:sz w:val="18"/>
                <w:szCs w:val="18"/>
              </w:rPr>
            </w:pPr>
            <w:r>
              <w:rPr>
                <w:rFonts w:ascii="Arial" w:hAnsi="Arial" w:cs="Arial"/>
                <w:color w:val="000000"/>
                <w:sz w:val="18"/>
                <w:szCs w:val="18"/>
              </w:rPr>
              <w:t>384463</w:t>
            </w:r>
          </w:p>
        </w:tc>
        <w:tc>
          <w:tcPr>
            <w:tcW w:w="972" w:type="dxa"/>
            <w:tcBorders>
              <w:top w:val="nil"/>
              <w:left w:val="nil"/>
              <w:bottom w:val="single" w:color="auto" w:sz="4" w:space="0"/>
              <w:right w:val="single" w:color="auto" w:sz="4" w:space="0"/>
            </w:tcBorders>
            <w:noWrap/>
            <w:vAlign w:val="center"/>
          </w:tcPr>
          <w:p w14:paraId="2D00C2CC">
            <w:pPr>
              <w:spacing w:line="240" w:lineRule="auto"/>
              <w:jc w:val="center"/>
              <w:rPr>
                <w:rFonts w:ascii="Arial" w:hAnsi="Arial" w:cs="Arial"/>
                <w:color w:val="000000"/>
                <w:sz w:val="18"/>
                <w:szCs w:val="18"/>
              </w:rPr>
            </w:pPr>
            <w:r>
              <w:rPr>
                <w:rFonts w:ascii="Arial" w:hAnsi="Arial" w:cs="Arial"/>
                <w:color w:val="000000"/>
                <w:sz w:val="18"/>
                <w:szCs w:val="18"/>
              </w:rPr>
              <w:t>230590-9</w:t>
            </w:r>
          </w:p>
        </w:tc>
        <w:tc>
          <w:tcPr>
            <w:tcW w:w="2713" w:type="dxa"/>
            <w:tcBorders>
              <w:top w:val="nil"/>
              <w:left w:val="nil"/>
              <w:bottom w:val="single" w:color="auto" w:sz="4" w:space="0"/>
              <w:right w:val="single" w:color="auto" w:sz="4" w:space="0"/>
            </w:tcBorders>
            <w:vAlign w:val="bottom"/>
          </w:tcPr>
          <w:p w14:paraId="113DD3D2">
            <w:pPr>
              <w:spacing w:line="240" w:lineRule="auto"/>
              <w:rPr>
                <w:rFonts w:ascii="Arial" w:hAnsi="Arial" w:cs="Arial"/>
                <w:color w:val="000000"/>
                <w:sz w:val="18"/>
                <w:szCs w:val="18"/>
              </w:rPr>
            </w:pPr>
            <w:r>
              <w:rPr>
                <w:rFonts w:ascii="Arial" w:hAnsi="Arial" w:cs="Arial"/>
                <w:color w:val="000000"/>
                <w:sz w:val="18"/>
                <w:szCs w:val="18"/>
              </w:rPr>
              <w:t>OXIGENIO GASOSO - COM ELEMENTO OXIGENIO INDUSTRIAL SOLDA NAO LIQUEFEITO, EM ESTADO GASOSO E ACONDICIONADO EM CILINDROS DE ALTA PRESSAO, GRAU DE PUREZA MINIMO DE 99,5, FORNECIDO EM CILINDRO DE CARGA DE 10M3. (EXCLUSIVO PARA M.E. E E.P.P.)</w:t>
            </w:r>
          </w:p>
        </w:tc>
        <w:tc>
          <w:tcPr>
            <w:tcW w:w="1256" w:type="dxa"/>
            <w:tcBorders>
              <w:top w:val="nil"/>
              <w:left w:val="nil"/>
              <w:bottom w:val="single" w:color="auto" w:sz="4" w:space="0"/>
              <w:right w:val="single" w:color="auto" w:sz="4" w:space="0"/>
            </w:tcBorders>
            <w:vAlign w:val="center"/>
          </w:tcPr>
          <w:p w14:paraId="0BF3CC40">
            <w:pPr>
              <w:spacing w:line="240" w:lineRule="auto"/>
              <w:jc w:val="center"/>
              <w:rPr>
                <w:rFonts w:ascii="Arial" w:hAnsi="Arial" w:cs="Arial"/>
                <w:color w:val="000000"/>
                <w:sz w:val="16"/>
                <w:szCs w:val="16"/>
              </w:rPr>
            </w:pPr>
            <w:r>
              <w:rPr>
                <w:rFonts w:ascii="Arial" w:hAnsi="Arial" w:cs="Arial"/>
                <w:color w:val="000000"/>
                <w:sz w:val="16"/>
                <w:szCs w:val="16"/>
              </w:rPr>
              <w:t>METRO CUBICO</w:t>
            </w:r>
          </w:p>
        </w:tc>
        <w:tc>
          <w:tcPr>
            <w:tcW w:w="992" w:type="dxa"/>
            <w:tcBorders>
              <w:top w:val="nil"/>
              <w:left w:val="nil"/>
              <w:bottom w:val="single" w:color="auto" w:sz="4" w:space="0"/>
              <w:right w:val="single" w:color="auto" w:sz="4" w:space="0"/>
            </w:tcBorders>
            <w:noWrap/>
            <w:vAlign w:val="center"/>
          </w:tcPr>
          <w:p w14:paraId="22EF6621">
            <w:pPr>
              <w:spacing w:line="240" w:lineRule="auto"/>
              <w:jc w:val="center"/>
              <w:rPr>
                <w:rFonts w:ascii="Arial" w:hAnsi="Arial" w:cs="Arial"/>
                <w:color w:val="000000"/>
                <w:sz w:val="18"/>
                <w:szCs w:val="18"/>
              </w:rPr>
            </w:pPr>
            <w:r>
              <w:rPr>
                <w:rFonts w:ascii="Arial" w:hAnsi="Arial" w:cs="Arial"/>
                <w:color w:val="000000"/>
                <w:sz w:val="18"/>
                <w:szCs w:val="18"/>
              </w:rPr>
              <w:t>200</w:t>
            </w:r>
          </w:p>
        </w:tc>
        <w:tc>
          <w:tcPr>
            <w:tcW w:w="1134" w:type="dxa"/>
            <w:tcBorders>
              <w:top w:val="nil"/>
              <w:left w:val="nil"/>
              <w:bottom w:val="single" w:color="auto" w:sz="4" w:space="0"/>
              <w:right w:val="single" w:color="auto" w:sz="4" w:space="0"/>
            </w:tcBorders>
            <w:noWrap/>
            <w:vAlign w:val="center"/>
          </w:tcPr>
          <w:p w14:paraId="552DC047">
            <w:pPr>
              <w:spacing w:line="240" w:lineRule="auto"/>
              <w:jc w:val="center"/>
              <w:rPr>
                <w:rFonts w:ascii="Arial" w:hAnsi="Arial" w:cs="Arial"/>
                <w:color w:val="000000"/>
                <w:sz w:val="18"/>
                <w:szCs w:val="18"/>
              </w:rPr>
            </w:pPr>
            <w:r>
              <w:rPr>
                <w:rFonts w:ascii="Arial" w:hAnsi="Arial" w:cs="Arial"/>
                <w:color w:val="000000"/>
                <w:sz w:val="18"/>
                <w:szCs w:val="18"/>
              </w:rPr>
              <w:t>R$ 18,95</w:t>
            </w:r>
          </w:p>
        </w:tc>
        <w:tc>
          <w:tcPr>
            <w:tcW w:w="1559" w:type="dxa"/>
            <w:tcBorders>
              <w:top w:val="nil"/>
              <w:left w:val="nil"/>
              <w:bottom w:val="single" w:color="auto" w:sz="4" w:space="0"/>
              <w:right w:val="single" w:color="auto" w:sz="4" w:space="0"/>
            </w:tcBorders>
            <w:noWrap/>
            <w:vAlign w:val="center"/>
          </w:tcPr>
          <w:p w14:paraId="573637C9">
            <w:pPr>
              <w:spacing w:line="240" w:lineRule="auto"/>
              <w:jc w:val="center"/>
              <w:rPr>
                <w:rFonts w:ascii="Arial" w:hAnsi="Arial" w:cs="Arial"/>
                <w:color w:val="000000"/>
                <w:sz w:val="18"/>
                <w:szCs w:val="18"/>
              </w:rPr>
            </w:pPr>
            <w:r>
              <w:rPr>
                <w:rFonts w:ascii="Arial" w:hAnsi="Arial" w:cs="Arial"/>
                <w:color w:val="000000"/>
                <w:sz w:val="18"/>
                <w:szCs w:val="18"/>
              </w:rPr>
              <w:t>R$ 3.790,00</w:t>
            </w:r>
          </w:p>
        </w:tc>
      </w:tr>
      <w:tr w14:paraId="12EE39CE">
        <w:tblPrEx>
          <w:tblCellMar>
            <w:top w:w="0" w:type="dxa"/>
            <w:left w:w="70" w:type="dxa"/>
            <w:bottom w:w="0" w:type="dxa"/>
            <w:right w:w="70" w:type="dxa"/>
          </w:tblCellMar>
        </w:tblPrEx>
        <w:trPr>
          <w:trHeight w:val="60" w:hRule="atLeast"/>
        </w:trPr>
        <w:tc>
          <w:tcPr>
            <w:tcW w:w="709" w:type="dxa"/>
            <w:tcBorders>
              <w:top w:val="nil"/>
              <w:left w:val="single" w:color="auto" w:sz="4" w:space="0"/>
              <w:bottom w:val="single" w:color="auto" w:sz="4" w:space="0"/>
              <w:right w:val="single" w:color="auto" w:sz="4" w:space="0"/>
            </w:tcBorders>
            <w:noWrap/>
            <w:vAlign w:val="center"/>
          </w:tcPr>
          <w:p w14:paraId="67554798">
            <w:pPr>
              <w:spacing w:line="240" w:lineRule="auto"/>
              <w:jc w:val="center"/>
              <w:rPr>
                <w:rFonts w:ascii="Arial" w:hAnsi="Arial" w:cs="Arial"/>
                <w:color w:val="000000"/>
                <w:sz w:val="18"/>
                <w:szCs w:val="18"/>
              </w:rPr>
            </w:pPr>
            <w:r>
              <w:rPr>
                <w:rFonts w:ascii="Arial" w:hAnsi="Arial" w:cs="Arial"/>
                <w:color w:val="000000"/>
                <w:sz w:val="18"/>
                <w:szCs w:val="18"/>
              </w:rPr>
              <w:t>8</w:t>
            </w:r>
          </w:p>
        </w:tc>
        <w:tc>
          <w:tcPr>
            <w:tcW w:w="871" w:type="dxa"/>
            <w:tcBorders>
              <w:top w:val="nil"/>
              <w:left w:val="nil"/>
              <w:bottom w:val="single" w:color="auto" w:sz="4" w:space="0"/>
              <w:right w:val="single" w:color="auto" w:sz="4" w:space="0"/>
            </w:tcBorders>
            <w:noWrap/>
            <w:vAlign w:val="center"/>
          </w:tcPr>
          <w:p w14:paraId="4DA88FF3">
            <w:pPr>
              <w:spacing w:line="240" w:lineRule="auto"/>
              <w:jc w:val="center"/>
              <w:rPr>
                <w:rFonts w:ascii="Arial" w:hAnsi="Arial" w:cs="Arial"/>
                <w:color w:val="000000"/>
                <w:sz w:val="18"/>
                <w:szCs w:val="18"/>
              </w:rPr>
            </w:pPr>
            <w:r>
              <w:rPr>
                <w:rFonts w:ascii="Arial" w:hAnsi="Arial" w:cs="Arial"/>
                <w:color w:val="000000"/>
                <w:sz w:val="18"/>
                <w:szCs w:val="18"/>
              </w:rPr>
              <w:t>382394</w:t>
            </w:r>
          </w:p>
        </w:tc>
        <w:tc>
          <w:tcPr>
            <w:tcW w:w="972" w:type="dxa"/>
            <w:tcBorders>
              <w:top w:val="nil"/>
              <w:left w:val="nil"/>
              <w:bottom w:val="single" w:color="auto" w:sz="4" w:space="0"/>
              <w:right w:val="single" w:color="auto" w:sz="4" w:space="0"/>
            </w:tcBorders>
            <w:noWrap/>
            <w:vAlign w:val="center"/>
          </w:tcPr>
          <w:p w14:paraId="56A72F2C">
            <w:pPr>
              <w:spacing w:line="240" w:lineRule="auto"/>
              <w:jc w:val="center"/>
              <w:rPr>
                <w:rFonts w:ascii="Arial" w:hAnsi="Arial" w:cs="Arial"/>
                <w:color w:val="000000"/>
                <w:sz w:val="18"/>
                <w:szCs w:val="18"/>
              </w:rPr>
            </w:pPr>
            <w:r>
              <w:rPr>
                <w:rFonts w:ascii="Arial" w:hAnsi="Arial" w:cs="Arial"/>
                <w:color w:val="000000"/>
                <w:sz w:val="18"/>
                <w:szCs w:val="18"/>
              </w:rPr>
              <w:t>157731-0</w:t>
            </w:r>
          </w:p>
        </w:tc>
        <w:tc>
          <w:tcPr>
            <w:tcW w:w="2713" w:type="dxa"/>
            <w:tcBorders>
              <w:top w:val="nil"/>
              <w:left w:val="nil"/>
              <w:bottom w:val="single" w:color="auto" w:sz="4" w:space="0"/>
              <w:right w:val="single" w:color="auto" w:sz="4" w:space="0"/>
            </w:tcBorders>
            <w:vAlign w:val="bottom"/>
          </w:tcPr>
          <w:p w14:paraId="66C99947">
            <w:pPr>
              <w:spacing w:line="240" w:lineRule="auto"/>
              <w:rPr>
                <w:rFonts w:ascii="Arial" w:hAnsi="Arial" w:cs="Arial"/>
                <w:color w:val="000000"/>
                <w:sz w:val="18"/>
                <w:szCs w:val="18"/>
              </w:rPr>
            </w:pPr>
            <w:r>
              <w:rPr>
                <w:rFonts w:ascii="Arial" w:hAnsi="Arial" w:cs="Arial"/>
                <w:color w:val="000000"/>
                <w:sz w:val="18"/>
                <w:szCs w:val="18"/>
              </w:rPr>
              <w:t>OXIGENIO MEDICINAL 10 M³ (COTA PRINCIPAL)</w:t>
            </w:r>
          </w:p>
        </w:tc>
        <w:tc>
          <w:tcPr>
            <w:tcW w:w="1256" w:type="dxa"/>
            <w:tcBorders>
              <w:top w:val="nil"/>
              <w:left w:val="nil"/>
              <w:bottom w:val="single" w:color="auto" w:sz="4" w:space="0"/>
              <w:right w:val="single" w:color="auto" w:sz="4" w:space="0"/>
            </w:tcBorders>
            <w:vAlign w:val="center"/>
          </w:tcPr>
          <w:p w14:paraId="5F0A2104">
            <w:pPr>
              <w:spacing w:line="240" w:lineRule="auto"/>
              <w:jc w:val="center"/>
              <w:rPr>
                <w:rFonts w:ascii="Arial" w:hAnsi="Arial" w:cs="Arial"/>
                <w:color w:val="000000"/>
                <w:sz w:val="16"/>
                <w:szCs w:val="16"/>
              </w:rPr>
            </w:pPr>
            <w:r>
              <w:rPr>
                <w:rFonts w:ascii="Arial" w:hAnsi="Arial" w:cs="Arial"/>
                <w:color w:val="000000"/>
                <w:sz w:val="16"/>
                <w:szCs w:val="16"/>
              </w:rPr>
              <w:t>METRO CUBICO</w:t>
            </w:r>
          </w:p>
        </w:tc>
        <w:tc>
          <w:tcPr>
            <w:tcW w:w="992" w:type="dxa"/>
            <w:tcBorders>
              <w:top w:val="nil"/>
              <w:left w:val="nil"/>
              <w:bottom w:val="single" w:color="auto" w:sz="4" w:space="0"/>
              <w:right w:val="single" w:color="auto" w:sz="4" w:space="0"/>
            </w:tcBorders>
            <w:noWrap/>
            <w:vAlign w:val="center"/>
          </w:tcPr>
          <w:p w14:paraId="22A189B2">
            <w:pPr>
              <w:spacing w:line="240" w:lineRule="auto"/>
              <w:jc w:val="center"/>
              <w:rPr>
                <w:rFonts w:ascii="Arial" w:hAnsi="Arial" w:cs="Arial"/>
                <w:color w:val="000000"/>
                <w:sz w:val="18"/>
                <w:szCs w:val="18"/>
              </w:rPr>
            </w:pPr>
            <w:r>
              <w:rPr>
                <w:rFonts w:ascii="Arial" w:hAnsi="Arial" w:cs="Arial"/>
                <w:color w:val="000000"/>
                <w:sz w:val="18"/>
                <w:szCs w:val="18"/>
              </w:rPr>
              <w:t>31500</w:t>
            </w:r>
          </w:p>
        </w:tc>
        <w:tc>
          <w:tcPr>
            <w:tcW w:w="1134" w:type="dxa"/>
            <w:tcBorders>
              <w:top w:val="nil"/>
              <w:left w:val="nil"/>
              <w:bottom w:val="single" w:color="auto" w:sz="4" w:space="0"/>
              <w:right w:val="single" w:color="auto" w:sz="4" w:space="0"/>
            </w:tcBorders>
            <w:noWrap/>
            <w:vAlign w:val="center"/>
          </w:tcPr>
          <w:p w14:paraId="2A2C3314">
            <w:pPr>
              <w:spacing w:line="240" w:lineRule="auto"/>
              <w:jc w:val="center"/>
              <w:rPr>
                <w:rFonts w:ascii="Arial" w:hAnsi="Arial" w:cs="Arial"/>
                <w:color w:val="000000"/>
                <w:sz w:val="18"/>
                <w:szCs w:val="18"/>
              </w:rPr>
            </w:pPr>
            <w:r>
              <w:rPr>
                <w:rFonts w:ascii="Arial" w:hAnsi="Arial" w:cs="Arial"/>
                <w:color w:val="000000"/>
                <w:sz w:val="18"/>
                <w:szCs w:val="18"/>
              </w:rPr>
              <w:t>R$ 16,16</w:t>
            </w:r>
          </w:p>
        </w:tc>
        <w:tc>
          <w:tcPr>
            <w:tcW w:w="1559" w:type="dxa"/>
            <w:tcBorders>
              <w:top w:val="nil"/>
              <w:left w:val="nil"/>
              <w:bottom w:val="single" w:color="auto" w:sz="4" w:space="0"/>
              <w:right w:val="single" w:color="auto" w:sz="4" w:space="0"/>
            </w:tcBorders>
            <w:noWrap/>
            <w:vAlign w:val="center"/>
          </w:tcPr>
          <w:p w14:paraId="7CB04FB1">
            <w:pPr>
              <w:spacing w:line="240" w:lineRule="auto"/>
              <w:jc w:val="center"/>
              <w:rPr>
                <w:rFonts w:ascii="Arial" w:hAnsi="Arial" w:cs="Arial"/>
                <w:color w:val="000000"/>
                <w:sz w:val="18"/>
                <w:szCs w:val="18"/>
              </w:rPr>
            </w:pPr>
            <w:r>
              <w:rPr>
                <w:rFonts w:ascii="Arial" w:hAnsi="Arial" w:cs="Arial"/>
                <w:color w:val="000000"/>
                <w:sz w:val="18"/>
                <w:szCs w:val="18"/>
              </w:rPr>
              <w:t>R$ 509,040,00</w:t>
            </w:r>
          </w:p>
        </w:tc>
      </w:tr>
      <w:tr w14:paraId="58AEF84F">
        <w:tblPrEx>
          <w:tblCellMar>
            <w:top w:w="0" w:type="dxa"/>
            <w:left w:w="70" w:type="dxa"/>
            <w:bottom w:w="0" w:type="dxa"/>
            <w:right w:w="70" w:type="dxa"/>
          </w:tblCellMar>
        </w:tblPrEx>
        <w:trPr>
          <w:trHeight w:val="60" w:hRule="atLeast"/>
        </w:trPr>
        <w:tc>
          <w:tcPr>
            <w:tcW w:w="709" w:type="dxa"/>
            <w:tcBorders>
              <w:top w:val="nil"/>
              <w:left w:val="single" w:color="auto" w:sz="4" w:space="0"/>
              <w:bottom w:val="single" w:color="auto" w:sz="4" w:space="0"/>
              <w:right w:val="single" w:color="auto" w:sz="4" w:space="0"/>
            </w:tcBorders>
            <w:noWrap/>
            <w:vAlign w:val="center"/>
          </w:tcPr>
          <w:p w14:paraId="582C5B17">
            <w:pPr>
              <w:spacing w:line="240" w:lineRule="auto"/>
              <w:jc w:val="center"/>
              <w:rPr>
                <w:rFonts w:ascii="Arial" w:hAnsi="Arial" w:cs="Arial"/>
                <w:color w:val="000000"/>
                <w:sz w:val="18"/>
                <w:szCs w:val="18"/>
              </w:rPr>
            </w:pPr>
            <w:r>
              <w:rPr>
                <w:rFonts w:ascii="Arial" w:hAnsi="Arial" w:cs="Arial"/>
                <w:color w:val="000000"/>
                <w:sz w:val="18"/>
                <w:szCs w:val="18"/>
              </w:rPr>
              <w:t>9</w:t>
            </w:r>
          </w:p>
        </w:tc>
        <w:tc>
          <w:tcPr>
            <w:tcW w:w="871" w:type="dxa"/>
            <w:tcBorders>
              <w:top w:val="nil"/>
              <w:left w:val="nil"/>
              <w:bottom w:val="single" w:color="auto" w:sz="4" w:space="0"/>
              <w:right w:val="single" w:color="auto" w:sz="4" w:space="0"/>
            </w:tcBorders>
            <w:noWrap/>
            <w:vAlign w:val="center"/>
          </w:tcPr>
          <w:p w14:paraId="38AF7798">
            <w:pPr>
              <w:spacing w:line="240" w:lineRule="auto"/>
              <w:jc w:val="center"/>
              <w:rPr>
                <w:rFonts w:ascii="Arial" w:hAnsi="Arial" w:cs="Arial"/>
                <w:color w:val="000000"/>
                <w:sz w:val="18"/>
                <w:szCs w:val="18"/>
              </w:rPr>
            </w:pPr>
            <w:r>
              <w:rPr>
                <w:rFonts w:ascii="Arial" w:hAnsi="Arial" w:cs="Arial"/>
                <w:color w:val="000000"/>
                <w:sz w:val="18"/>
                <w:szCs w:val="18"/>
              </w:rPr>
              <w:t>382395</w:t>
            </w:r>
          </w:p>
        </w:tc>
        <w:tc>
          <w:tcPr>
            <w:tcW w:w="972" w:type="dxa"/>
            <w:tcBorders>
              <w:top w:val="nil"/>
              <w:left w:val="nil"/>
              <w:bottom w:val="single" w:color="auto" w:sz="4" w:space="0"/>
              <w:right w:val="single" w:color="auto" w:sz="4" w:space="0"/>
            </w:tcBorders>
            <w:noWrap/>
            <w:vAlign w:val="center"/>
          </w:tcPr>
          <w:p w14:paraId="3E8BCDD2">
            <w:pPr>
              <w:spacing w:line="240" w:lineRule="auto"/>
              <w:jc w:val="center"/>
              <w:rPr>
                <w:rFonts w:ascii="Arial" w:hAnsi="Arial" w:cs="Arial"/>
                <w:color w:val="000000"/>
                <w:sz w:val="18"/>
                <w:szCs w:val="18"/>
              </w:rPr>
            </w:pPr>
            <w:r>
              <w:rPr>
                <w:rFonts w:ascii="Arial" w:hAnsi="Arial" w:cs="Arial"/>
                <w:color w:val="000000"/>
                <w:sz w:val="18"/>
                <w:szCs w:val="18"/>
              </w:rPr>
              <w:t>157731-0</w:t>
            </w:r>
          </w:p>
        </w:tc>
        <w:tc>
          <w:tcPr>
            <w:tcW w:w="2713" w:type="dxa"/>
            <w:tcBorders>
              <w:top w:val="nil"/>
              <w:left w:val="nil"/>
              <w:bottom w:val="single" w:color="auto" w:sz="4" w:space="0"/>
              <w:right w:val="single" w:color="auto" w:sz="4" w:space="0"/>
            </w:tcBorders>
            <w:vAlign w:val="bottom"/>
          </w:tcPr>
          <w:p w14:paraId="1463D5B2">
            <w:pPr>
              <w:spacing w:line="240" w:lineRule="auto"/>
              <w:rPr>
                <w:rFonts w:ascii="Arial" w:hAnsi="Arial" w:cs="Arial"/>
                <w:color w:val="000000"/>
                <w:sz w:val="18"/>
                <w:szCs w:val="18"/>
              </w:rPr>
            </w:pPr>
            <w:r>
              <w:rPr>
                <w:rFonts w:ascii="Arial" w:hAnsi="Arial" w:cs="Arial"/>
                <w:color w:val="000000"/>
                <w:sz w:val="18"/>
                <w:szCs w:val="18"/>
              </w:rPr>
              <w:t>OXIGENIO MEDICINAL 10 M³ (COTA RESERVADA PARA M.E. E E.P.P.)</w:t>
            </w:r>
          </w:p>
        </w:tc>
        <w:tc>
          <w:tcPr>
            <w:tcW w:w="1256" w:type="dxa"/>
            <w:tcBorders>
              <w:top w:val="nil"/>
              <w:left w:val="nil"/>
              <w:bottom w:val="single" w:color="auto" w:sz="4" w:space="0"/>
              <w:right w:val="single" w:color="auto" w:sz="4" w:space="0"/>
            </w:tcBorders>
            <w:vAlign w:val="center"/>
          </w:tcPr>
          <w:p w14:paraId="5509D06D">
            <w:pPr>
              <w:spacing w:line="240" w:lineRule="auto"/>
              <w:jc w:val="center"/>
              <w:rPr>
                <w:rFonts w:ascii="Arial" w:hAnsi="Arial" w:cs="Arial"/>
                <w:color w:val="000000"/>
                <w:sz w:val="16"/>
                <w:szCs w:val="16"/>
              </w:rPr>
            </w:pPr>
            <w:r>
              <w:rPr>
                <w:rFonts w:ascii="Arial" w:hAnsi="Arial" w:cs="Arial"/>
                <w:color w:val="000000"/>
                <w:sz w:val="16"/>
                <w:szCs w:val="16"/>
              </w:rPr>
              <w:t>METRO CUBICO</w:t>
            </w:r>
          </w:p>
        </w:tc>
        <w:tc>
          <w:tcPr>
            <w:tcW w:w="992" w:type="dxa"/>
            <w:tcBorders>
              <w:top w:val="nil"/>
              <w:left w:val="nil"/>
              <w:bottom w:val="single" w:color="auto" w:sz="4" w:space="0"/>
              <w:right w:val="single" w:color="auto" w:sz="4" w:space="0"/>
            </w:tcBorders>
            <w:noWrap/>
            <w:vAlign w:val="center"/>
          </w:tcPr>
          <w:p w14:paraId="748DB95D">
            <w:pPr>
              <w:spacing w:line="240" w:lineRule="auto"/>
              <w:jc w:val="center"/>
              <w:rPr>
                <w:rFonts w:ascii="Arial" w:hAnsi="Arial" w:cs="Arial"/>
                <w:color w:val="000000"/>
                <w:sz w:val="18"/>
                <w:szCs w:val="18"/>
              </w:rPr>
            </w:pPr>
            <w:r>
              <w:rPr>
                <w:rFonts w:ascii="Arial" w:hAnsi="Arial" w:cs="Arial"/>
                <w:color w:val="000000"/>
                <w:sz w:val="18"/>
                <w:szCs w:val="18"/>
              </w:rPr>
              <w:t>10500</w:t>
            </w:r>
          </w:p>
        </w:tc>
        <w:tc>
          <w:tcPr>
            <w:tcW w:w="1134" w:type="dxa"/>
            <w:tcBorders>
              <w:top w:val="nil"/>
              <w:left w:val="nil"/>
              <w:bottom w:val="single" w:color="auto" w:sz="4" w:space="0"/>
              <w:right w:val="single" w:color="auto" w:sz="4" w:space="0"/>
            </w:tcBorders>
            <w:noWrap/>
            <w:vAlign w:val="center"/>
          </w:tcPr>
          <w:p w14:paraId="7C0D27D5">
            <w:pPr>
              <w:spacing w:line="240" w:lineRule="auto"/>
              <w:jc w:val="center"/>
              <w:rPr>
                <w:rFonts w:ascii="Arial" w:hAnsi="Arial" w:cs="Arial"/>
                <w:color w:val="000000"/>
                <w:sz w:val="18"/>
                <w:szCs w:val="18"/>
              </w:rPr>
            </w:pPr>
            <w:r>
              <w:rPr>
                <w:rFonts w:ascii="Arial" w:hAnsi="Arial" w:cs="Arial"/>
                <w:color w:val="000000"/>
                <w:sz w:val="18"/>
                <w:szCs w:val="18"/>
              </w:rPr>
              <w:t>R$ 16,16</w:t>
            </w:r>
          </w:p>
        </w:tc>
        <w:tc>
          <w:tcPr>
            <w:tcW w:w="1559" w:type="dxa"/>
            <w:tcBorders>
              <w:top w:val="nil"/>
              <w:left w:val="nil"/>
              <w:bottom w:val="single" w:color="auto" w:sz="4" w:space="0"/>
              <w:right w:val="single" w:color="auto" w:sz="4" w:space="0"/>
            </w:tcBorders>
            <w:noWrap/>
            <w:vAlign w:val="center"/>
          </w:tcPr>
          <w:p w14:paraId="1FBE0ABF">
            <w:pPr>
              <w:spacing w:line="240" w:lineRule="auto"/>
              <w:jc w:val="center"/>
              <w:rPr>
                <w:rFonts w:ascii="Arial" w:hAnsi="Arial" w:cs="Arial"/>
                <w:color w:val="000000"/>
                <w:sz w:val="18"/>
                <w:szCs w:val="18"/>
              </w:rPr>
            </w:pPr>
            <w:r>
              <w:rPr>
                <w:rFonts w:ascii="Arial" w:hAnsi="Arial" w:cs="Arial"/>
                <w:color w:val="000000"/>
                <w:sz w:val="18"/>
                <w:szCs w:val="18"/>
              </w:rPr>
              <w:t>R$ 169.680,00</w:t>
            </w:r>
          </w:p>
        </w:tc>
      </w:tr>
      <w:tr w14:paraId="41312C7B">
        <w:tblPrEx>
          <w:tblCellMar>
            <w:top w:w="0" w:type="dxa"/>
            <w:left w:w="70" w:type="dxa"/>
            <w:bottom w:w="0" w:type="dxa"/>
            <w:right w:w="70" w:type="dxa"/>
          </w:tblCellMar>
        </w:tblPrEx>
        <w:trPr>
          <w:trHeight w:val="60" w:hRule="atLeast"/>
        </w:trPr>
        <w:tc>
          <w:tcPr>
            <w:tcW w:w="709" w:type="dxa"/>
            <w:tcBorders>
              <w:top w:val="nil"/>
              <w:left w:val="single" w:color="auto" w:sz="4" w:space="0"/>
              <w:bottom w:val="single" w:color="auto" w:sz="4" w:space="0"/>
              <w:right w:val="single" w:color="auto" w:sz="4" w:space="0"/>
            </w:tcBorders>
            <w:noWrap/>
            <w:vAlign w:val="center"/>
          </w:tcPr>
          <w:p w14:paraId="4B78CE02">
            <w:pPr>
              <w:spacing w:line="240" w:lineRule="auto"/>
              <w:jc w:val="center"/>
              <w:rPr>
                <w:rFonts w:ascii="Arial" w:hAnsi="Arial" w:cs="Arial"/>
                <w:color w:val="000000"/>
                <w:sz w:val="18"/>
                <w:szCs w:val="18"/>
              </w:rPr>
            </w:pPr>
            <w:r>
              <w:rPr>
                <w:rFonts w:ascii="Arial" w:hAnsi="Arial" w:cs="Arial"/>
                <w:color w:val="000000"/>
                <w:sz w:val="18"/>
                <w:szCs w:val="18"/>
              </w:rPr>
              <w:t>10</w:t>
            </w:r>
          </w:p>
        </w:tc>
        <w:tc>
          <w:tcPr>
            <w:tcW w:w="871" w:type="dxa"/>
            <w:tcBorders>
              <w:top w:val="nil"/>
              <w:left w:val="nil"/>
              <w:bottom w:val="single" w:color="auto" w:sz="4" w:space="0"/>
              <w:right w:val="single" w:color="auto" w:sz="4" w:space="0"/>
            </w:tcBorders>
            <w:noWrap/>
            <w:vAlign w:val="center"/>
          </w:tcPr>
          <w:p w14:paraId="7483FE5C">
            <w:pPr>
              <w:spacing w:line="240" w:lineRule="auto"/>
              <w:jc w:val="center"/>
              <w:rPr>
                <w:rFonts w:ascii="Arial" w:hAnsi="Arial" w:cs="Arial"/>
                <w:color w:val="000000"/>
                <w:sz w:val="18"/>
                <w:szCs w:val="18"/>
              </w:rPr>
            </w:pPr>
            <w:r>
              <w:rPr>
                <w:rFonts w:ascii="Arial" w:hAnsi="Arial" w:cs="Arial"/>
                <w:color w:val="000000"/>
                <w:sz w:val="18"/>
                <w:szCs w:val="18"/>
              </w:rPr>
              <w:t>394507</w:t>
            </w:r>
          </w:p>
        </w:tc>
        <w:tc>
          <w:tcPr>
            <w:tcW w:w="972" w:type="dxa"/>
            <w:tcBorders>
              <w:top w:val="nil"/>
              <w:left w:val="nil"/>
              <w:bottom w:val="single" w:color="auto" w:sz="4" w:space="0"/>
              <w:right w:val="single" w:color="auto" w:sz="4" w:space="0"/>
            </w:tcBorders>
            <w:noWrap/>
            <w:vAlign w:val="center"/>
          </w:tcPr>
          <w:p w14:paraId="06C2153F">
            <w:pPr>
              <w:spacing w:line="240" w:lineRule="auto"/>
              <w:jc w:val="center"/>
              <w:rPr>
                <w:rFonts w:ascii="Arial" w:hAnsi="Arial" w:cs="Arial"/>
                <w:color w:val="000000"/>
                <w:sz w:val="18"/>
                <w:szCs w:val="18"/>
              </w:rPr>
            </w:pPr>
            <w:r>
              <w:rPr>
                <w:rFonts w:ascii="Arial" w:hAnsi="Arial" w:cs="Arial"/>
                <w:color w:val="000000"/>
                <w:sz w:val="18"/>
                <w:szCs w:val="18"/>
              </w:rPr>
              <w:t>227469-8</w:t>
            </w:r>
          </w:p>
        </w:tc>
        <w:tc>
          <w:tcPr>
            <w:tcW w:w="2713" w:type="dxa"/>
            <w:tcBorders>
              <w:top w:val="nil"/>
              <w:left w:val="nil"/>
              <w:bottom w:val="single" w:color="auto" w:sz="4" w:space="0"/>
              <w:right w:val="single" w:color="auto" w:sz="4" w:space="0"/>
            </w:tcBorders>
            <w:vAlign w:val="bottom"/>
          </w:tcPr>
          <w:p w14:paraId="5EB5D53F">
            <w:pPr>
              <w:spacing w:line="240" w:lineRule="auto"/>
              <w:rPr>
                <w:rFonts w:ascii="Arial" w:hAnsi="Arial" w:cs="Arial"/>
                <w:color w:val="000000"/>
                <w:sz w:val="18"/>
                <w:szCs w:val="18"/>
              </w:rPr>
            </w:pPr>
            <w:r>
              <w:rPr>
                <w:rFonts w:ascii="Arial" w:hAnsi="Arial" w:cs="Arial"/>
                <w:color w:val="000000"/>
                <w:sz w:val="18"/>
                <w:szCs w:val="18"/>
              </w:rPr>
              <w:t>OXIGENIO MEDICINAL 2 M3. (COTA PRINCIPAL)</w:t>
            </w:r>
          </w:p>
        </w:tc>
        <w:tc>
          <w:tcPr>
            <w:tcW w:w="1256" w:type="dxa"/>
            <w:tcBorders>
              <w:top w:val="nil"/>
              <w:left w:val="nil"/>
              <w:bottom w:val="single" w:color="auto" w:sz="4" w:space="0"/>
              <w:right w:val="single" w:color="auto" w:sz="4" w:space="0"/>
            </w:tcBorders>
            <w:vAlign w:val="center"/>
          </w:tcPr>
          <w:p w14:paraId="00C2B70B">
            <w:pPr>
              <w:spacing w:line="240" w:lineRule="auto"/>
              <w:jc w:val="center"/>
              <w:rPr>
                <w:rFonts w:ascii="Arial" w:hAnsi="Arial" w:cs="Arial"/>
                <w:color w:val="000000"/>
                <w:sz w:val="16"/>
                <w:szCs w:val="16"/>
              </w:rPr>
            </w:pPr>
            <w:r>
              <w:rPr>
                <w:rFonts w:ascii="Arial" w:hAnsi="Arial" w:cs="Arial"/>
                <w:color w:val="000000"/>
                <w:sz w:val="16"/>
                <w:szCs w:val="16"/>
              </w:rPr>
              <w:t>METRO CUBICO</w:t>
            </w:r>
          </w:p>
        </w:tc>
        <w:tc>
          <w:tcPr>
            <w:tcW w:w="992" w:type="dxa"/>
            <w:tcBorders>
              <w:top w:val="nil"/>
              <w:left w:val="nil"/>
              <w:bottom w:val="single" w:color="auto" w:sz="4" w:space="0"/>
              <w:right w:val="single" w:color="auto" w:sz="4" w:space="0"/>
            </w:tcBorders>
            <w:noWrap/>
            <w:vAlign w:val="center"/>
          </w:tcPr>
          <w:p w14:paraId="48F4DCB7">
            <w:pPr>
              <w:spacing w:line="240" w:lineRule="auto"/>
              <w:jc w:val="center"/>
              <w:rPr>
                <w:rFonts w:ascii="Arial" w:hAnsi="Arial" w:cs="Arial"/>
                <w:color w:val="000000"/>
                <w:sz w:val="18"/>
                <w:szCs w:val="18"/>
              </w:rPr>
            </w:pPr>
            <w:r>
              <w:rPr>
                <w:rFonts w:ascii="Arial" w:hAnsi="Arial" w:cs="Arial"/>
                <w:color w:val="000000"/>
                <w:sz w:val="18"/>
                <w:szCs w:val="18"/>
              </w:rPr>
              <w:t>2250</w:t>
            </w:r>
          </w:p>
        </w:tc>
        <w:tc>
          <w:tcPr>
            <w:tcW w:w="1134" w:type="dxa"/>
            <w:tcBorders>
              <w:top w:val="nil"/>
              <w:left w:val="nil"/>
              <w:bottom w:val="single" w:color="auto" w:sz="4" w:space="0"/>
              <w:right w:val="single" w:color="auto" w:sz="4" w:space="0"/>
            </w:tcBorders>
            <w:noWrap/>
            <w:vAlign w:val="center"/>
          </w:tcPr>
          <w:p w14:paraId="74C42967">
            <w:pPr>
              <w:spacing w:line="240" w:lineRule="auto"/>
              <w:jc w:val="center"/>
              <w:rPr>
                <w:rFonts w:ascii="Arial" w:hAnsi="Arial" w:cs="Arial"/>
                <w:color w:val="000000"/>
                <w:sz w:val="18"/>
                <w:szCs w:val="18"/>
              </w:rPr>
            </w:pPr>
            <w:r>
              <w:rPr>
                <w:rFonts w:ascii="Arial" w:hAnsi="Arial" w:cs="Arial"/>
                <w:color w:val="000000"/>
                <w:sz w:val="18"/>
                <w:szCs w:val="18"/>
              </w:rPr>
              <w:t>R$ 84,90</w:t>
            </w:r>
          </w:p>
        </w:tc>
        <w:tc>
          <w:tcPr>
            <w:tcW w:w="1559" w:type="dxa"/>
            <w:tcBorders>
              <w:top w:val="nil"/>
              <w:left w:val="nil"/>
              <w:bottom w:val="single" w:color="auto" w:sz="4" w:space="0"/>
              <w:right w:val="single" w:color="auto" w:sz="4" w:space="0"/>
            </w:tcBorders>
            <w:noWrap/>
            <w:vAlign w:val="center"/>
          </w:tcPr>
          <w:p w14:paraId="24754051">
            <w:pPr>
              <w:spacing w:line="240" w:lineRule="auto"/>
              <w:jc w:val="center"/>
              <w:rPr>
                <w:rFonts w:ascii="Arial" w:hAnsi="Arial" w:cs="Arial"/>
                <w:color w:val="000000"/>
                <w:sz w:val="18"/>
                <w:szCs w:val="18"/>
              </w:rPr>
            </w:pPr>
            <w:r>
              <w:rPr>
                <w:rFonts w:ascii="Arial" w:hAnsi="Arial" w:cs="Arial"/>
                <w:color w:val="000000"/>
                <w:sz w:val="18"/>
                <w:szCs w:val="18"/>
              </w:rPr>
              <w:t>R$ 191.025,00</w:t>
            </w:r>
          </w:p>
        </w:tc>
      </w:tr>
      <w:tr w14:paraId="06691E48">
        <w:tblPrEx>
          <w:tblCellMar>
            <w:top w:w="0" w:type="dxa"/>
            <w:left w:w="70" w:type="dxa"/>
            <w:bottom w:w="0" w:type="dxa"/>
            <w:right w:w="70" w:type="dxa"/>
          </w:tblCellMar>
        </w:tblPrEx>
        <w:trPr>
          <w:trHeight w:val="60" w:hRule="atLeast"/>
        </w:trPr>
        <w:tc>
          <w:tcPr>
            <w:tcW w:w="709" w:type="dxa"/>
            <w:tcBorders>
              <w:top w:val="nil"/>
              <w:left w:val="single" w:color="auto" w:sz="4" w:space="0"/>
              <w:bottom w:val="single" w:color="auto" w:sz="4" w:space="0"/>
              <w:right w:val="single" w:color="auto" w:sz="4" w:space="0"/>
            </w:tcBorders>
            <w:noWrap/>
            <w:vAlign w:val="center"/>
          </w:tcPr>
          <w:p w14:paraId="16844859">
            <w:pPr>
              <w:spacing w:line="240" w:lineRule="auto"/>
              <w:jc w:val="center"/>
              <w:rPr>
                <w:rFonts w:ascii="Arial" w:hAnsi="Arial" w:cs="Arial"/>
                <w:color w:val="000000"/>
                <w:sz w:val="18"/>
                <w:szCs w:val="18"/>
              </w:rPr>
            </w:pPr>
            <w:r>
              <w:rPr>
                <w:rFonts w:ascii="Arial" w:hAnsi="Arial" w:cs="Arial"/>
                <w:color w:val="000000"/>
                <w:sz w:val="18"/>
                <w:szCs w:val="18"/>
              </w:rPr>
              <w:t>11</w:t>
            </w:r>
          </w:p>
        </w:tc>
        <w:tc>
          <w:tcPr>
            <w:tcW w:w="871" w:type="dxa"/>
            <w:tcBorders>
              <w:top w:val="nil"/>
              <w:left w:val="nil"/>
              <w:bottom w:val="single" w:color="auto" w:sz="4" w:space="0"/>
              <w:right w:val="single" w:color="auto" w:sz="4" w:space="0"/>
            </w:tcBorders>
            <w:noWrap/>
            <w:vAlign w:val="center"/>
          </w:tcPr>
          <w:p w14:paraId="6BD833C1">
            <w:pPr>
              <w:spacing w:line="240" w:lineRule="auto"/>
              <w:jc w:val="center"/>
              <w:rPr>
                <w:rFonts w:ascii="Arial" w:hAnsi="Arial" w:cs="Arial"/>
                <w:color w:val="000000"/>
                <w:sz w:val="18"/>
                <w:szCs w:val="18"/>
              </w:rPr>
            </w:pPr>
            <w:r>
              <w:rPr>
                <w:rFonts w:ascii="Arial" w:hAnsi="Arial" w:cs="Arial"/>
                <w:color w:val="000000"/>
                <w:sz w:val="18"/>
                <w:szCs w:val="18"/>
              </w:rPr>
              <w:t>394508</w:t>
            </w:r>
          </w:p>
        </w:tc>
        <w:tc>
          <w:tcPr>
            <w:tcW w:w="972" w:type="dxa"/>
            <w:tcBorders>
              <w:top w:val="nil"/>
              <w:left w:val="nil"/>
              <w:bottom w:val="single" w:color="auto" w:sz="4" w:space="0"/>
              <w:right w:val="single" w:color="auto" w:sz="4" w:space="0"/>
            </w:tcBorders>
            <w:noWrap/>
            <w:vAlign w:val="center"/>
          </w:tcPr>
          <w:p w14:paraId="60466082">
            <w:pPr>
              <w:spacing w:line="240" w:lineRule="auto"/>
              <w:jc w:val="center"/>
              <w:rPr>
                <w:rFonts w:ascii="Arial" w:hAnsi="Arial" w:cs="Arial"/>
                <w:color w:val="000000"/>
                <w:sz w:val="18"/>
                <w:szCs w:val="18"/>
              </w:rPr>
            </w:pPr>
            <w:r>
              <w:rPr>
                <w:rFonts w:ascii="Arial" w:hAnsi="Arial" w:cs="Arial"/>
                <w:color w:val="000000"/>
                <w:sz w:val="18"/>
                <w:szCs w:val="18"/>
              </w:rPr>
              <w:t>227469-8</w:t>
            </w:r>
          </w:p>
        </w:tc>
        <w:tc>
          <w:tcPr>
            <w:tcW w:w="2713" w:type="dxa"/>
            <w:tcBorders>
              <w:top w:val="nil"/>
              <w:left w:val="nil"/>
              <w:bottom w:val="single" w:color="auto" w:sz="4" w:space="0"/>
              <w:right w:val="single" w:color="auto" w:sz="4" w:space="0"/>
            </w:tcBorders>
            <w:vAlign w:val="bottom"/>
          </w:tcPr>
          <w:p w14:paraId="06F13C90">
            <w:pPr>
              <w:spacing w:line="240" w:lineRule="auto"/>
              <w:rPr>
                <w:rFonts w:ascii="Arial" w:hAnsi="Arial" w:cs="Arial"/>
                <w:color w:val="000000"/>
                <w:sz w:val="18"/>
                <w:szCs w:val="18"/>
              </w:rPr>
            </w:pPr>
            <w:r>
              <w:rPr>
                <w:rFonts w:ascii="Arial" w:hAnsi="Arial" w:cs="Arial"/>
                <w:color w:val="000000"/>
                <w:sz w:val="18"/>
                <w:szCs w:val="18"/>
              </w:rPr>
              <w:t>OXIGÊNIO MEDICINAL 2 M3.(COTA RESERVADA PARA M.E.EE.P.P.)</w:t>
            </w:r>
          </w:p>
        </w:tc>
        <w:tc>
          <w:tcPr>
            <w:tcW w:w="1256" w:type="dxa"/>
            <w:tcBorders>
              <w:top w:val="nil"/>
              <w:left w:val="nil"/>
              <w:bottom w:val="single" w:color="auto" w:sz="4" w:space="0"/>
              <w:right w:val="single" w:color="auto" w:sz="4" w:space="0"/>
            </w:tcBorders>
            <w:vAlign w:val="center"/>
          </w:tcPr>
          <w:p w14:paraId="6FAD11EA">
            <w:pPr>
              <w:spacing w:line="240" w:lineRule="auto"/>
              <w:jc w:val="center"/>
              <w:rPr>
                <w:rFonts w:ascii="Arial" w:hAnsi="Arial" w:cs="Arial"/>
                <w:color w:val="000000"/>
                <w:sz w:val="16"/>
                <w:szCs w:val="16"/>
              </w:rPr>
            </w:pPr>
            <w:r>
              <w:rPr>
                <w:rFonts w:ascii="Arial" w:hAnsi="Arial" w:cs="Arial"/>
                <w:color w:val="000000"/>
                <w:sz w:val="16"/>
                <w:szCs w:val="16"/>
              </w:rPr>
              <w:t>METRO CUBICO</w:t>
            </w:r>
          </w:p>
        </w:tc>
        <w:tc>
          <w:tcPr>
            <w:tcW w:w="992" w:type="dxa"/>
            <w:tcBorders>
              <w:top w:val="nil"/>
              <w:left w:val="nil"/>
              <w:bottom w:val="single" w:color="auto" w:sz="4" w:space="0"/>
              <w:right w:val="single" w:color="auto" w:sz="4" w:space="0"/>
            </w:tcBorders>
            <w:noWrap/>
            <w:vAlign w:val="center"/>
          </w:tcPr>
          <w:p w14:paraId="5D952149">
            <w:pPr>
              <w:spacing w:line="240" w:lineRule="auto"/>
              <w:jc w:val="center"/>
              <w:rPr>
                <w:rFonts w:ascii="Arial" w:hAnsi="Arial" w:cs="Arial"/>
                <w:color w:val="000000"/>
                <w:sz w:val="18"/>
                <w:szCs w:val="18"/>
              </w:rPr>
            </w:pPr>
            <w:r>
              <w:rPr>
                <w:rFonts w:ascii="Arial" w:hAnsi="Arial" w:cs="Arial"/>
                <w:color w:val="000000"/>
                <w:sz w:val="18"/>
                <w:szCs w:val="18"/>
              </w:rPr>
              <w:t>750</w:t>
            </w:r>
          </w:p>
        </w:tc>
        <w:tc>
          <w:tcPr>
            <w:tcW w:w="1134" w:type="dxa"/>
            <w:tcBorders>
              <w:top w:val="nil"/>
              <w:left w:val="nil"/>
              <w:bottom w:val="single" w:color="auto" w:sz="4" w:space="0"/>
              <w:right w:val="single" w:color="auto" w:sz="4" w:space="0"/>
            </w:tcBorders>
            <w:noWrap/>
            <w:vAlign w:val="center"/>
          </w:tcPr>
          <w:p w14:paraId="3D2AE149">
            <w:pPr>
              <w:spacing w:line="240" w:lineRule="auto"/>
              <w:jc w:val="center"/>
              <w:rPr>
                <w:rFonts w:ascii="Arial" w:hAnsi="Arial" w:cs="Arial"/>
                <w:color w:val="000000"/>
                <w:sz w:val="18"/>
                <w:szCs w:val="18"/>
              </w:rPr>
            </w:pPr>
            <w:r>
              <w:rPr>
                <w:rFonts w:ascii="Arial" w:hAnsi="Arial" w:cs="Arial"/>
                <w:color w:val="000000"/>
                <w:sz w:val="18"/>
                <w:szCs w:val="18"/>
              </w:rPr>
              <w:t>R$ 84,90</w:t>
            </w:r>
          </w:p>
        </w:tc>
        <w:tc>
          <w:tcPr>
            <w:tcW w:w="1559" w:type="dxa"/>
            <w:tcBorders>
              <w:top w:val="nil"/>
              <w:left w:val="nil"/>
              <w:bottom w:val="single" w:color="auto" w:sz="4" w:space="0"/>
              <w:right w:val="single" w:color="auto" w:sz="4" w:space="0"/>
            </w:tcBorders>
            <w:noWrap/>
            <w:vAlign w:val="center"/>
          </w:tcPr>
          <w:p w14:paraId="31117959">
            <w:pPr>
              <w:spacing w:line="240" w:lineRule="auto"/>
              <w:jc w:val="center"/>
              <w:rPr>
                <w:rFonts w:ascii="Arial" w:hAnsi="Arial" w:cs="Arial"/>
                <w:color w:val="000000"/>
                <w:sz w:val="18"/>
                <w:szCs w:val="18"/>
              </w:rPr>
            </w:pPr>
            <w:r>
              <w:rPr>
                <w:rFonts w:ascii="Arial" w:hAnsi="Arial" w:cs="Arial"/>
                <w:color w:val="000000"/>
                <w:sz w:val="18"/>
                <w:szCs w:val="18"/>
              </w:rPr>
              <w:t>R$ 63.675,00</w:t>
            </w:r>
          </w:p>
        </w:tc>
      </w:tr>
      <w:tr w14:paraId="0EB48951">
        <w:tblPrEx>
          <w:tblCellMar>
            <w:top w:w="0" w:type="dxa"/>
            <w:left w:w="70" w:type="dxa"/>
            <w:bottom w:w="0" w:type="dxa"/>
            <w:right w:w="70" w:type="dxa"/>
          </w:tblCellMar>
        </w:tblPrEx>
        <w:trPr>
          <w:trHeight w:val="60" w:hRule="atLeast"/>
        </w:trPr>
        <w:tc>
          <w:tcPr>
            <w:tcW w:w="709" w:type="dxa"/>
            <w:tcBorders>
              <w:top w:val="nil"/>
              <w:left w:val="single" w:color="auto" w:sz="4" w:space="0"/>
              <w:bottom w:val="single" w:color="auto" w:sz="4" w:space="0"/>
              <w:right w:val="single" w:color="auto" w:sz="4" w:space="0"/>
            </w:tcBorders>
            <w:noWrap/>
            <w:vAlign w:val="center"/>
          </w:tcPr>
          <w:p w14:paraId="09BB668F">
            <w:pPr>
              <w:spacing w:line="240" w:lineRule="auto"/>
              <w:jc w:val="center"/>
              <w:rPr>
                <w:rFonts w:ascii="Arial" w:hAnsi="Arial" w:cs="Arial"/>
                <w:color w:val="000000"/>
                <w:sz w:val="18"/>
                <w:szCs w:val="18"/>
              </w:rPr>
            </w:pPr>
            <w:r>
              <w:rPr>
                <w:rFonts w:ascii="Arial" w:hAnsi="Arial" w:cs="Arial"/>
                <w:color w:val="000000"/>
                <w:sz w:val="18"/>
                <w:szCs w:val="18"/>
              </w:rPr>
              <w:t>12</w:t>
            </w:r>
          </w:p>
        </w:tc>
        <w:tc>
          <w:tcPr>
            <w:tcW w:w="871" w:type="dxa"/>
            <w:tcBorders>
              <w:top w:val="nil"/>
              <w:left w:val="nil"/>
              <w:bottom w:val="single" w:color="auto" w:sz="4" w:space="0"/>
              <w:right w:val="single" w:color="auto" w:sz="4" w:space="0"/>
            </w:tcBorders>
            <w:noWrap/>
            <w:vAlign w:val="center"/>
          </w:tcPr>
          <w:p w14:paraId="755A2A7A">
            <w:pPr>
              <w:spacing w:line="240" w:lineRule="auto"/>
              <w:jc w:val="center"/>
              <w:rPr>
                <w:rFonts w:ascii="Arial" w:hAnsi="Arial" w:cs="Arial"/>
                <w:color w:val="000000"/>
                <w:sz w:val="18"/>
                <w:szCs w:val="18"/>
              </w:rPr>
            </w:pPr>
            <w:r>
              <w:rPr>
                <w:rFonts w:ascii="Arial" w:hAnsi="Arial" w:cs="Arial"/>
                <w:color w:val="000000"/>
                <w:sz w:val="18"/>
                <w:szCs w:val="18"/>
              </w:rPr>
              <w:t>394509</w:t>
            </w:r>
          </w:p>
        </w:tc>
        <w:tc>
          <w:tcPr>
            <w:tcW w:w="972" w:type="dxa"/>
            <w:tcBorders>
              <w:top w:val="nil"/>
              <w:left w:val="nil"/>
              <w:bottom w:val="single" w:color="auto" w:sz="4" w:space="0"/>
              <w:right w:val="single" w:color="auto" w:sz="4" w:space="0"/>
            </w:tcBorders>
            <w:noWrap/>
            <w:vAlign w:val="center"/>
          </w:tcPr>
          <w:p w14:paraId="1F1C82CF">
            <w:pPr>
              <w:spacing w:line="240" w:lineRule="auto"/>
              <w:jc w:val="center"/>
              <w:rPr>
                <w:rFonts w:ascii="Arial" w:hAnsi="Arial" w:cs="Arial"/>
                <w:color w:val="000000"/>
                <w:sz w:val="18"/>
                <w:szCs w:val="18"/>
              </w:rPr>
            </w:pPr>
            <w:r>
              <w:rPr>
                <w:rFonts w:ascii="Arial" w:hAnsi="Arial" w:cs="Arial"/>
                <w:color w:val="000000"/>
                <w:sz w:val="18"/>
                <w:szCs w:val="18"/>
              </w:rPr>
              <w:t>252553-4</w:t>
            </w:r>
          </w:p>
        </w:tc>
        <w:tc>
          <w:tcPr>
            <w:tcW w:w="2713" w:type="dxa"/>
            <w:tcBorders>
              <w:top w:val="nil"/>
              <w:left w:val="nil"/>
              <w:bottom w:val="single" w:color="auto" w:sz="4" w:space="0"/>
              <w:right w:val="single" w:color="auto" w:sz="4" w:space="0"/>
            </w:tcBorders>
            <w:vAlign w:val="bottom"/>
          </w:tcPr>
          <w:p w14:paraId="23D2F5AD">
            <w:pPr>
              <w:spacing w:line="240" w:lineRule="auto"/>
              <w:rPr>
                <w:rFonts w:ascii="Arial" w:hAnsi="Arial" w:cs="Arial"/>
                <w:color w:val="000000"/>
                <w:sz w:val="18"/>
                <w:szCs w:val="18"/>
              </w:rPr>
            </w:pPr>
            <w:r>
              <w:rPr>
                <w:rFonts w:ascii="Arial" w:hAnsi="Arial" w:cs="Arial"/>
                <w:color w:val="000000"/>
                <w:sz w:val="18"/>
                <w:szCs w:val="18"/>
              </w:rPr>
              <w:t>OXIGENIO MEDICINAL 3 M3 (COTA PRINCIPAL)</w:t>
            </w:r>
          </w:p>
        </w:tc>
        <w:tc>
          <w:tcPr>
            <w:tcW w:w="1256" w:type="dxa"/>
            <w:tcBorders>
              <w:top w:val="nil"/>
              <w:left w:val="nil"/>
              <w:bottom w:val="single" w:color="auto" w:sz="4" w:space="0"/>
              <w:right w:val="single" w:color="auto" w:sz="4" w:space="0"/>
            </w:tcBorders>
            <w:vAlign w:val="center"/>
          </w:tcPr>
          <w:p w14:paraId="6F27A358">
            <w:pPr>
              <w:spacing w:line="240" w:lineRule="auto"/>
              <w:jc w:val="center"/>
              <w:rPr>
                <w:rFonts w:ascii="Arial" w:hAnsi="Arial" w:cs="Arial"/>
                <w:color w:val="000000"/>
                <w:sz w:val="16"/>
                <w:szCs w:val="16"/>
              </w:rPr>
            </w:pPr>
            <w:r>
              <w:rPr>
                <w:rFonts w:ascii="Arial" w:hAnsi="Arial" w:cs="Arial"/>
                <w:color w:val="000000"/>
                <w:sz w:val="16"/>
                <w:szCs w:val="16"/>
              </w:rPr>
              <w:t>METRO CUBICO</w:t>
            </w:r>
          </w:p>
        </w:tc>
        <w:tc>
          <w:tcPr>
            <w:tcW w:w="992" w:type="dxa"/>
            <w:tcBorders>
              <w:top w:val="nil"/>
              <w:left w:val="nil"/>
              <w:bottom w:val="single" w:color="auto" w:sz="4" w:space="0"/>
              <w:right w:val="single" w:color="auto" w:sz="4" w:space="0"/>
            </w:tcBorders>
            <w:noWrap/>
            <w:vAlign w:val="center"/>
          </w:tcPr>
          <w:p w14:paraId="5EB25B55">
            <w:pPr>
              <w:spacing w:line="240" w:lineRule="auto"/>
              <w:jc w:val="center"/>
              <w:rPr>
                <w:rFonts w:ascii="Arial" w:hAnsi="Arial" w:cs="Arial"/>
                <w:color w:val="000000"/>
                <w:sz w:val="18"/>
                <w:szCs w:val="18"/>
              </w:rPr>
            </w:pPr>
            <w:r>
              <w:rPr>
                <w:rFonts w:ascii="Arial" w:hAnsi="Arial" w:cs="Arial"/>
                <w:color w:val="000000"/>
                <w:sz w:val="18"/>
                <w:szCs w:val="18"/>
              </w:rPr>
              <w:t>2250</w:t>
            </w:r>
          </w:p>
        </w:tc>
        <w:tc>
          <w:tcPr>
            <w:tcW w:w="1134" w:type="dxa"/>
            <w:tcBorders>
              <w:top w:val="nil"/>
              <w:left w:val="nil"/>
              <w:bottom w:val="single" w:color="auto" w:sz="4" w:space="0"/>
              <w:right w:val="single" w:color="auto" w:sz="4" w:space="0"/>
            </w:tcBorders>
            <w:noWrap/>
            <w:vAlign w:val="center"/>
          </w:tcPr>
          <w:p w14:paraId="7B66A929">
            <w:pPr>
              <w:spacing w:line="240" w:lineRule="auto"/>
              <w:jc w:val="center"/>
              <w:rPr>
                <w:rFonts w:ascii="Arial" w:hAnsi="Arial" w:cs="Arial"/>
                <w:color w:val="000000"/>
                <w:sz w:val="18"/>
                <w:szCs w:val="18"/>
              </w:rPr>
            </w:pPr>
            <w:r>
              <w:rPr>
                <w:rFonts w:ascii="Arial" w:hAnsi="Arial" w:cs="Arial"/>
                <w:color w:val="000000"/>
                <w:sz w:val="18"/>
                <w:szCs w:val="18"/>
              </w:rPr>
              <w:t>R$ 95,05</w:t>
            </w:r>
          </w:p>
        </w:tc>
        <w:tc>
          <w:tcPr>
            <w:tcW w:w="1559" w:type="dxa"/>
            <w:tcBorders>
              <w:top w:val="nil"/>
              <w:left w:val="nil"/>
              <w:bottom w:val="single" w:color="auto" w:sz="4" w:space="0"/>
              <w:right w:val="single" w:color="auto" w:sz="4" w:space="0"/>
            </w:tcBorders>
            <w:noWrap/>
            <w:vAlign w:val="center"/>
          </w:tcPr>
          <w:p w14:paraId="2C748F91">
            <w:pPr>
              <w:spacing w:line="240" w:lineRule="auto"/>
              <w:jc w:val="center"/>
              <w:rPr>
                <w:rFonts w:ascii="Arial" w:hAnsi="Arial" w:cs="Arial"/>
                <w:color w:val="000000"/>
                <w:sz w:val="18"/>
                <w:szCs w:val="18"/>
              </w:rPr>
            </w:pPr>
            <w:r>
              <w:rPr>
                <w:rFonts w:ascii="Arial" w:hAnsi="Arial" w:cs="Arial"/>
                <w:color w:val="000000"/>
                <w:sz w:val="18"/>
                <w:szCs w:val="18"/>
              </w:rPr>
              <w:t>R$ 213.862,50</w:t>
            </w:r>
          </w:p>
        </w:tc>
      </w:tr>
      <w:tr w14:paraId="37E3F5B5">
        <w:tblPrEx>
          <w:tblCellMar>
            <w:top w:w="0" w:type="dxa"/>
            <w:left w:w="70" w:type="dxa"/>
            <w:bottom w:w="0" w:type="dxa"/>
            <w:right w:w="70" w:type="dxa"/>
          </w:tblCellMar>
        </w:tblPrEx>
        <w:trPr>
          <w:trHeight w:val="60" w:hRule="atLeast"/>
        </w:trPr>
        <w:tc>
          <w:tcPr>
            <w:tcW w:w="709" w:type="dxa"/>
            <w:tcBorders>
              <w:top w:val="nil"/>
              <w:left w:val="single" w:color="auto" w:sz="4" w:space="0"/>
              <w:bottom w:val="single" w:color="auto" w:sz="4" w:space="0"/>
              <w:right w:val="single" w:color="auto" w:sz="4" w:space="0"/>
            </w:tcBorders>
            <w:noWrap/>
            <w:vAlign w:val="center"/>
          </w:tcPr>
          <w:p w14:paraId="3F04A186">
            <w:pPr>
              <w:spacing w:line="240" w:lineRule="auto"/>
              <w:jc w:val="center"/>
              <w:rPr>
                <w:rFonts w:ascii="Arial" w:hAnsi="Arial" w:cs="Arial"/>
                <w:color w:val="000000"/>
                <w:sz w:val="18"/>
                <w:szCs w:val="18"/>
              </w:rPr>
            </w:pPr>
            <w:r>
              <w:rPr>
                <w:rFonts w:ascii="Arial" w:hAnsi="Arial" w:cs="Arial"/>
                <w:color w:val="000000"/>
                <w:sz w:val="18"/>
                <w:szCs w:val="18"/>
              </w:rPr>
              <w:t>13</w:t>
            </w:r>
          </w:p>
        </w:tc>
        <w:tc>
          <w:tcPr>
            <w:tcW w:w="871" w:type="dxa"/>
            <w:tcBorders>
              <w:top w:val="nil"/>
              <w:left w:val="nil"/>
              <w:bottom w:val="single" w:color="auto" w:sz="4" w:space="0"/>
              <w:right w:val="single" w:color="auto" w:sz="4" w:space="0"/>
            </w:tcBorders>
            <w:noWrap/>
            <w:vAlign w:val="center"/>
          </w:tcPr>
          <w:p w14:paraId="2FB554E4">
            <w:pPr>
              <w:spacing w:line="240" w:lineRule="auto"/>
              <w:jc w:val="center"/>
              <w:rPr>
                <w:rFonts w:ascii="Arial" w:hAnsi="Arial" w:cs="Arial"/>
                <w:color w:val="000000"/>
                <w:sz w:val="18"/>
                <w:szCs w:val="18"/>
              </w:rPr>
            </w:pPr>
            <w:r>
              <w:rPr>
                <w:rFonts w:ascii="Arial" w:hAnsi="Arial" w:cs="Arial"/>
                <w:color w:val="000000"/>
                <w:sz w:val="18"/>
                <w:szCs w:val="18"/>
              </w:rPr>
              <w:t>394510</w:t>
            </w:r>
          </w:p>
        </w:tc>
        <w:tc>
          <w:tcPr>
            <w:tcW w:w="972" w:type="dxa"/>
            <w:tcBorders>
              <w:top w:val="nil"/>
              <w:left w:val="nil"/>
              <w:bottom w:val="single" w:color="auto" w:sz="4" w:space="0"/>
              <w:right w:val="single" w:color="auto" w:sz="4" w:space="0"/>
            </w:tcBorders>
            <w:noWrap/>
            <w:vAlign w:val="center"/>
          </w:tcPr>
          <w:p w14:paraId="5A86860B">
            <w:pPr>
              <w:spacing w:line="240" w:lineRule="auto"/>
              <w:jc w:val="center"/>
              <w:rPr>
                <w:rFonts w:ascii="Arial" w:hAnsi="Arial" w:cs="Arial"/>
                <w:color w:val="000000"/>
                <w:sz w:val="18"/>
                <w:szCs w:val="18"/>
              </w:rPr>
            </w:pPr>
            <w:r>
              <w:rPr>
                <w:rFonts w:ascii="Arial" w:hAnsi="Arial" w:cs="Arial"/>
                <w:color w:val="000000"/>
                <w:sz w:val="18"/>
                <w:szCs w:val="18"/>
              </w:rPr>
              <w:t>252553-4</w:t>
            </w:r>
          </w:p>
        </w:tc>
        <w:tc>
          <w:tcPr>
            <w:tcW w:w="2713" w:type="dxa"/>
            <w:tcBorders>
              <w:top w:val="nil"/>
              <w:left w:val="nil"/>
              <w:bottom w:val="single" w:color="auto" w:sz="4" w:space="0"/>
              <w:right w:val="single" w:color="auto" w:sz="4" w:space="0"/>
            </w:tcBorders>
            <w:vAlign w:val="bottom"/>
          </w:tcPr>
          <w:p w14:paraId="75D13E51">
            <w:pPr>
              <w:spacing w:line="240" w:lineRule="auto"/>
              <w:rPr>
                <w:rFonts w:ascii="Arial" w:hAnsi="Arial" w:cs="Arial"/>
                <w:color w:val="000000"/>
                <w:sz w:val="18"/>
                <w:szCs w:val="18"/>
              </w:rPr>
            </w:pPr>
            <w:r>
              <w:rPr>
                <w:rFonts w:ascii="Arial" w:hAnsi="Arial" w:cs="Arial"/>
                <w:color w:val="000000"/>
                <w:sz w:val="18"/>
                <w:szCs w:val="18"/>
              </w:rPr>
              <w:t>OXIGÊNIO MEDICINAL 3 M3(COTA RESERVADA PARA M.E.EE.P.P.)</w:t>
            </w:r>
          </w:p>
        </w:tc>
        <w:tc>
          <w:tcPr>
            <w:tcW w:w="1256" w:type="dxa"/>
            <w:tcBorders>
              <w:top w:val="nil"/>
              <w:left w:val="nil"/>
              <w:bottom w:val="single" w:color="auto" w:sz="4" w:space="0"/>
              <w:right w:val="single" w:color="auto" w:sz="4" w:space="0"/>
            </w:tcBorders>
            <w:vAlign w:val="center"/>
          </w:tcPr>
          <w:p w14:paraId="77509FF6">
            <w:pPr>
              <w:spacing w:line="240" w:lineRule="auto"/>
              <w:jc w:val="center"/>
              <w:rPr>
                <w:rFonts w:ascii="Arial" w:hAnsi="Arial" w:cs="Arial"/>
                <w:color w:val="000000"/>
                <w:sz w:val="16"/>
                <w:szCs w:val="16"/>
              </w:rPr>
            </w:pPr>
            <w:r>
              <w:rPr>
                <w:rFonts w:ascii="Arial" w:hAnsi="Arial" w:cs="Arial"/>
                <w:color w:val="000000"/>
                <w:sz w:val="16"/>
                <w:szCs w:val="16"/>
              </w:rPr>
              <w:t>METRO CUBICO</w:t>
            </w:r>
          </w:p>
        </w:tc>
        <w:tc>
          <w:tcPr>
            <w:tcW w:w="992" w:type="dxa"/>
            <w:tcBorders>
              <w:top w:val="nil"/>
              <w:left w:val="nil"/>
              <w:bottom w:val="single" w:color="auto" w:sz="4" w:space="0"/>
              <w:right w:val="single" w:color="auto" w:sz="4" w:space="0"/>
            </w:tcBorders>
            <w:noWrap/>
            <w:vAlign w:val="center"/>
          </w:tcPr>
          <w:p w14:paraId="6B1587FE">
            <w:pPr>
              <w:spacing w:line="240" w:lineRule="auto"/>
              <w:jc w:val="center"/>
              <w:rPr>
                <w:rFonts w:ascii="Arial" w:hAnsi="Arial" w:cs="Arial"/>
                <w:color w:val="000000"/>
                <w:sz w:val="18"/>
                <w:szCs w:val="18"/>
              </w:rPr>
            </w:pPr>
            <w:r>
              <w:rPr>
                <w:rFonts w:ascii="Arial" w:hAnsi="Arial" w:cs="Arial"/>
                <w:color w:val="000000"/>
                <w:sz w:val="18"/>
                <w:szCs w:val="18"/>
              </w:rPr>
              <w:t>750</w:t>
            </w:r>
          </w:p>
        </w:tc>
        <w:tc>
          <w:tcPr>
            <w:tcW w:w="1134" w:type="dxa"/>
            <w:tcBorders>
              <w:top w:val="nil"/>
              <w:left w:val="nil"/>
              <w:bottom w:val="single" w:color="auto" w:sz="4" w:space="0"/>
              <w:right w:val="single" w:color="auto" w:sz="4" w:space="0"/>
            </w:tcBorders>
            <w:noWrap/>
            <w:vAlign w:val="center"/>
          </w:tcPr>
          <w:p w14:paraId="340EFD35">
            <w:pPr>
              <w:spacing w:line="240" w:lineRule="auto"/>
              <w:jc w:val="center"/>
              <w:rPr>
                <w:rFonts w:ascii="Arial" w:hAnsi="Arial" w:cs="Arial"/>
                <w:color w:val="000000"/>
                <w:sz w:val="18"/>
                <w:szCs w:val="18"/>
              </w:rPr>
            </w:pPr>
            <w:r>
              <w:rPr>
                <w:rFonts w:ascii="Arial" w:hAnsi="Arial" w:cs="Arial"/>
                <w:color w:val="000000"/>
                <w:sz w:val="18"/>
                <w:szCs w:val="18"/>
              </w:rPr>
              <w:t>R$ 95,05</w:t>
            </w:r>
          </w:p>
        </w:tc>
        <w:tc>
          <w:tcPr>
            <w:tcW w:w="1559" w:type="dxa"/>
            <w:tcBorders>
              <w:top w:val="nil"/>
              <w:left w:val="nil"/>
              <w:bottom w:val="single" w:color="auto" w:sz="4" w:space="0"/>
              <w:right w:val="single" w:color="auto" w:sz="4" w:space="0"/>
            </w:tcBorders>
            <w:noWrap/>
            <w:vAlign w:val="center"/>
          </w:tcPr>
          <w:p w14:paraId="3E149D51">
            <w:pPr>
              <w:spacing w:line="240" w:lineRule="auto"/>
              <w:jc w:val="center"/>
              <w:rPr>
                <w:rFonts w:ascii="Arial" w:hAnsi="Arial" w:cs="Arial"/>
                <w:color w:val="000000"/>
                <w:sz w:val="18"/>
                <w:szCs w:val="18"/>
              </w:rPr>
            </w:pPr>
            <w:r>
              <w:rPr>
                <w:rFonts w:ascii="Arial" w:hAnsi="Arial" w:cs="Arial"/>
                <w:color w:val="000000"/>
                <w:sz w:val="18"/>
                <w:szCs w:val="18"/>
              </w:rPr>
              <w:t>R$ 71.287,50</w:t>
            </w:r>
          </w:p>
        </w:tc>
      </w:tr>
      <w:tr w14:paraId="035A3ED1">
        <w:tblPrEx>
          <w:tblCellMar>
            <w:top w:w="0" w:type="dxa"/>
            <w:left w:w="70" w:type="dxa"/>
            <w:bottom w:w="0" w:type="dxa"/>
            <w:right w:w="70" w:type="dxa"/>
          </w:tblCellMar>
        </w:tblPrEx>
        <w:trPr>
          <w:trHeight w:val="60" w:hRule="atLeast"/>
        </w:trPr>
        <w:tc>
          <w:tcPr>
            <w:tcW w:w="709" w:type="dxa"/>
            <w:tcBorders>
              <w:top w:val="nil"/>
              <w:left w:val="single" w:color="auto" w:sz="4" w:space="0"/>
              <w:bottom w:val="single" w:color="auto" w:sz="4" w:space="0"/>
              <w:right w:val="single" w:color="auto" w:sz="4" w:space="0"/>
            </w:tcBorders>
            <w:noWrap/>
            <w:vAlign w:val="center"/>
          </w:tcPr>
          <w:p w14:paraId="3F55ECF5">
            <w:pPr>
              <w:spacing w:line="240" w:lineRule="auto"/>
              <w:jc w:val="center"/>
              <w:rPr>
                <w:rFonts w:ascii="Arial" w:hAnsi="Arial" w:cs="Arial"/>
                <w:color w:val="000000"/>
                <w:sz w:val="18"/>
                <w:szCs w:val="18"/>
              </w:rPr>
            </w:pPr>
            <w:r>
              <w:rPr>
                <w:rFonts w:ascii="Arial" w:hAnsi="Arial" w:cs="Arial"/>
                <w:color w:val="000000"/>
                <w:sz w:val="18"/>
                <w:szCs w:val="18"/>
              </w:rPr>
              <w:t>14</w:t>
            </w:r>
          </w:p>
        </w:tc>
        <w:tc>
          <w:tcPr>
            <w:tcW w:w="871" w:type="dxa"/>
            <w:tcBorders>
              <w:top w:val="nil"/>
              <w:left w:val="nil"/>
              <w:bottom w:val="single" w:color="auto" w:sz="4" w:space="0"/>
              <w:right w:val="single" w:color="auto" w:sz="4" w:space="0"/>
            </w:tcBorders>
            <w:noWrap/>
            <w:vAlign w:val="center"/>
          </w:tcPr>
          <w:p w14:paraId="5E70426D">
            <w:pPr>
              <w:spacing w:line="240" w:lineRule="auto"/>
              <w:jc w:val="center"/>
              <w:rPr>
                <w:rFonts w:ascii="Arial" w:hAnsi="Arial" w:cs="Arial"/>
                <w:color w:val="000000"/>
                <w:sz w:val="18"/>
                <w:szCs w:val="18"/>
              </w:rPr>
            </w:pPr>
            <w:r>
              <w:rPr>
                <w:rFonts w:ascii="Arial" w:hAnsi="Arial" w:cs="Arial"/>
                <w:color w:val="000000"/>
                <w:sz w:val="18"/>
                <w:szCs w:val="18"/>
              </w:rPr>
              <w:t>399234</w:t>
            </w:r>
          </w:p>
        </w:tc>
        <w:tc>
          <w:tcPr>
            <w:tcW w:w="972" w:type="dxa"/>
            <w:tcBorders>
              <w:top w:val="nil"/>
              <w:left w:val="nil"/>
              <w:bottom w:val="single" w:color="auto" w:sz="4" w:space="0"/>
              <w:right w:val="single" w:color="auto" w:sz="4" w:space="0"/>
            </w:tcBorders>
            <w:noWrap/>
            <w:vAlign w:val="center"/>
          </w:tcPr>
          <w:p w14:paraId="13B13E1F">
            <w:pPr>
              <w:spacing w:line="240" w:lineRule="auto"/>
              <w:jc w:val="center"/>
              <w:rPr>
                <w:rFonts w:ascii="Arial" w:hAnsi="Arial" w:cs="Arial"/>
                <w:color w:val="000000"/>
                <w:sz w:val="18"/>
                <w:szCs w:val="18"/>
              </w:rPr>
            </w:pPr>
            <w:r>
              <w:rPr>
                <w:rFonts w:ascii="Arial" w:hAnsi="Arial" w:cs="Arial"/>
                <w:color w:val="000000"/>
                <w:sz w:val="18"/>
                <w:szCs w:val="18"/>
              </w:rPr>
              <w:t>226063-8</w:t>
            </w:r>
          </w:p>
        </w:tc>
        <w:tc>
          <w:tcPr>
            <w:tcW w:w="2713" w:type="dxa"/>
            <w:tcBorders>
              <w:top w:val="nil"/>
              <w:left w:val="nil"/>
              <w:bottom w:val="single" w:color="auto" w:sz="4" w:space="0"/>
              <w:right w:val="single" w:color="auto" w:sz="4" w:space="0"/>
            </w:tcBorders>
            <w:vAlign w:val="bottom"/>
          </w:tcPr>
          <w:p w14:paraId="11A8DBAB">
            <w:pPr>
              <w:spacing w:line="240" w:lineRule="auto"/>
              <w:rPr>
                <w:rFonts w:ascii="Arial" w:hAnsi="Arial" w:cs="Arial"/>
                <w:color w:val="000000"/>
                <w:sz w:val="18"/>
                <w:szCs w:val="18"/>
              </w:rPr>
            </w:pPr>
            <w:r>
              <w:rPr>
                <w:rFonts w:ascii="Arial" w:hAnsi="Arial" w:cs="Arial"/>
                <w:color w:val="000000"/>
                <w:sz w:val="18"/>
                <w:szCs w:val="18"/>
              </w:rPr>
              <w:t>REGULADOR DE PRESSAO PARA CILINDRO DE ACETILENO COM DOIS MANOMETROS. 1  MANOMETRO</w:t>
            </w:r>
          </w:p>
        </w:tc>
        <w:tc>
          <w:tcPr>
            <w:tcW w:w="1256" w:type="dxa"/>
            <w:tcBorders>
              <w:top w:val="nil"/>
              <w:left w:val="nil"/>
              <w:bottom w:val="single" w:color="auto" w:sz="4" w:space="0"/>
              <w:right w:val="single" w:color="auto" w:sz="4" w:space="0"/>
            </w:tcBorders>
            <w:vAlign w:val="center"/>
          </w:tcPr>
          <w:p w14:paraId="15FFEFA3">
            <w:pPr>
              <w:spacing w:line="240" w:lineRule="auto"/>
              <w:jc w:val="center"/>
              <w:rPr>
                <w:rFonts w:ascii="Arial" w:hAnsi="Arial" w:cs="Arial"/>
                <w:color w:val="000000"/>
                <w:sz w:val="16"/>
                <w:szCs w:val="16"/>
              </w:rPr>
            </w:pPr>
            <w:r>
              <w:rPr>
                <w:rFonts w:ascii="Arial" w:hAnsi="Arial" w:cs="Arial"/>
                <w:color w:val="000000"/>
                <w:sz w:val="16"/>
                <w:szCs w:val="16"/>
              </w:rPr>
              <w:t>UNIDADE</w:t>
            </w:r>
          </w:p>
        </w:tc>
        <w:tc>
          <w:tcPr>
            <w:tcW w:w="992" w:type="dxa"/>
            <w:tcBorders>
              <w:top w:val="nil"/>
              <w:left w:val="nil"/>
              <w:bottom w:val="single" w:color="auto" w:sz="4" w:space="0"/>
              <w:right w:val="single" w:color="auto" w:sz="4" w:space="0"/>
            </w:tcBorders>
            <w:noWrap/>
            <w:vAlign w:val="center"/>
          </w:tcPr>
          <w:p w14:paraId="169902C1">
            <w:pPr>
              <w:spacing w:line="240" w:lineRule="auto"/>
              <w:jc w:val="center"/>
              <w:rPr>
                <w:rFonts w:ascii="Arial" w:hAnsi="Arial" w:cs="Arial"/>
                <w:color w:val="000000"/>
                <w:sz w:val="18"/>
                <w:szCs w:val="18"/>
              </w:rPr>
            </w:pPr>
            <w:r>
              <w:rPr>
                <w:rFonts w:ascii="Arial" w:hAnsi="Arial" w:cs="Arial"/>
                <w:color w:val="000000"/>
                <w:sz w:val="18"/>
                <w:szCs w:val="18"/>
              </w:rPr>
              <w:t>6</w:t>
            </w:r>
          </w:p>
        </w:tc>
        <w:tc>
          <w:tcPr>
            <w:tcW w:w="1134" w:type="dxa"/>
            <w:tcBorders>
              <w:top w:val="nil"/>
              <w:left w:val="nil"/>
              <w:bottom w:val="single" w:color="auto" w:sz="4" w:space="0"/>
              <w:right w:val="single" w:color="auto" w:sz="4" w:space="0"/>
            </w:tcBorders>
            <w:noWrap/>
            <w:vAlign w:val="center"/>
          </w:tcPr>
          <w:p w14:paraId="070B64FB">
            <w:pPr>
              <w:spacing w:line="240" w:lineRule="auto"/>
              <w:jc w:val="center"/>
              <w:rPr>
                <w:rFonts w:ascii="Arial" w:hAnsi="Arial" w:cs="Arial"/>
                <w:color w:val="000000"/>
                <w:sz w:val="18"/>
                <w:szCs w:val="18"/>
              </w:rPr>
            </w:pPr>
            <w:r>
              <w:rPr>
                <w:rFonts w:ascii="Arial" w:hAnsi="Arial" w:cs="Arial"/>
                <w:color w:val="000000"/>
                <w:sz w:val="18"/>
                <w:szCs w:val="18"/>
              </w:rPr>
              <w:t>R$ 377,50</w:t>
            </w:r>
          </w:p>
        </w:tc>
        <w:tc>
          <w:tcPr>
            <w:tcW w:w="1559" w:type="dxa"/>
            <w:tcBorders>
              <w:top w:val="nil"/>
              <w:left w:val="nil"/>
              <w:bottom w:val="single" w:color="auto" w:sz="4" w:space="0"/>
              <w:right w:val="single" w:color="auto" w:sz="4" w:space="0"/>
            </w:tcBorders>
            <w:noWrap/>
            <w:vAlign w:val="center"/>
          </w:tcPr>
          <w:p w14:paraId="5B2DB3DE">
            <w:pPr>
              <w:spacing w:line="240" w:lineRule="auto"/>
              <w:jc w:val="center"/>
              <w:rPr>
                <w:rFonts w:ascii="Arial" w:hAnsi="Arial" w:cs="Arial"/>
                <w:color w:val="000000"/>
                <w:sz w:val="18"/>
                <w:szCs w:val="18"/>
              </w:rPr>
            </w:pPr>
            <w:r>
              <w:rPr>
                <w:rFonts w:ascii="Arial" w:hAnsi="Arial" w:cs="Arial"/>
                <w:color w:val="000000"/>
                <w:sz w:val="18"/>
                <w:szCs w:val="18"/>
              </w:rPr>
              <w:t>R$ 2.265,00</w:t>
            </w:r>
          </w:p>
        </w:tc>
      </w:tr>
      <w:tr w14:paraId="4558AAC5">
        <w:tblPrEx>
          <w:tblCellMar>
            <w:top w:w="0" w:type="dxa"/>
            <w:left w:w="70" w:type="dxa"/>
            <w:bottom w:w="0" w:type="dxa"/>
            <w:right w:w="70" w:type="dxa"/>
          </w:tblCellMar>
        </w:tblPrEx>
        <w:trPr>
          <w:trHeight w:val="685" w:hRule="atLeast"/>
        </w:trPr>
        <w:tc>
          <w:tcPr>
            <w:tcW w:w="709" w:type="dxa"/>
            <w:tcBorders>
              <w:top w:val="nil"/>
              <w:left w:val="single" w:color="auto" w:sz="4" w:space="0"/>
              <w:bottom w:val="single" w:color="auto" w:sz="4" w:space="0"/>
              <w:right w:val="single" w:color="auto" w:sz="4" w:space="0"/>
            </w:tcBorders>
            <w:noWrap/>
            <w:vAlign w:val="center"/>
          </w:tcPr>
          <w:p w14:paraId="3828925F">
            <w:pPr>
              <w:spacing w:line="240" w:lineRule="auto"/>
              <w:jc w:val="center"/>
              <w:rPr>
                <w:rFonts w:ascii="Arial" w:hAnsi="Arial" w:cs="Arial"/>
                <w:color w:val="000000"/>
                <w:sz w:val="18"/>
                <w:szCs w:val="18"/>
              </w:rPr>
            </w:pPr>
            <w:r>
              <w:rPr>
                <w:rFonts w:ascii="Arial" w:hAnsi="Arial" w:cs="Arial"/>
                <w:color w:val="000000"/>
                <w:sz w:val="18"/>
                <w:szCs w:val="18"/>
              </w:rPr>
              <w:t>15</w:t>
            </w:r>
          </w:p>
        </w:tc>
        <w:tc>
          <w:tcPr>
            <w:tcW w:w="871" w:type="dxa"/>
            <w:tcBorders>
              <w:top w:val="nil"/>
              <w:left w:val="nil"/>
              <w:bottom w:val="single" w:color="auto" w:sz="4" w:space="0"/>
              <w:right w:val="single" w:color="auto" w:sz="4" w:space="0"/>
            </w:tcBorders>
            <w:noWrap/>
            <w:vAlign w:val="center"/>
          </w:tcPr>
          <w:p w14:paraId="07841411">
            <w:pPr>
              <w:spacing w:line="240" w:lineRule="auto"/>
              <w:jc w:val="center"/>
              <w:rPr>
                <w:rFonts w:ascii="Arial" w:hAnsi="Arial" w:cs="Arial"/>
                <w:color w:val="000000"/>
                <w:sz w:val="18"/>
                <w:szCs w:val="18"/>
              </w:rPr>
            </w:pPr>
            <w:r>
              <w:rPr>
                <w:rFonts w:ascii="Arial" w:hAnsi="Arial" w:cs="Arial"/>
                <w:color w:val="000000"/>
                <w:sz w:val="18"/>
                <w:szCs w:val="18"/>
              </w:rPr>
              <w:t>399235</w:t>
            </w:r>
          </w:p>
        </w:tc>
        <w:tc>
          <w:tcPr>
            <w:tcW w:w="972" w:type="dxa"/>
            <w:tcBorders>
              <w:top w:val="nil"/>
              <w:left w:val="nil"/>
              <w:bottom w:val="single" w:color="auto" w:sz="4" w:space="0"/>
              <w:right w:val="single" w:color="auto" w:sz="4" w:space="0"/>
            </w:tcBorders>
            <w:noWrap/>
            <w:vAlign w:val="center"/>
          </w:tcPr>
          <w:p w14:paraId="71028393">
            <w:pPr>
              <w:spacing w:line="240" w:lineRule="auto"/>
              <w:jc w:val="center"/>
              <w:rPr>
                <w:rFonts w:ascii="Arial" w:hAnsi="Arial" w:cs="Arial"/>
                <w:color w:val="000000"/>
                <w:sz w:val="18"/>
                <w:szCs w:val="18"/>
              </w:rPr>
            </w:pPr>
            <w:r>
              <w:rPr>
                <w:rFonts w:ascii="Arial" w:hAnsi="Arial" w:cs="Arial"/>
                <w:color w:val="000000"/>
                <w:sz w:val="18"/>
                <w:szCs w:val="18"/>
              </w:rPr>
              <w:t>150913-6</w:t>
            </w:r>
          </w:p>
        </w:tc>
        <w:tc>
          <w:tcPr>
            <w:tcW w:w="2713" w:type="dxa"/>
            <w:tcBorders>
              <w:top w:val="nil"/>
              <w:left w:val="nil"/>
              <w:bottom w:val="single" w:color="auto" w:sz="4" w:space="0"/>
              <w:right w:val="single" w:color="auto" w:sz="4" w:space="0"/>
            </w:tcBorders>
            <w:vAlign w:val="bottom"/>
          </w:tcPr>
          <w:p w14:paraId="087E8F79">
            <w:pPr>
              <w:spacing w:line="240" w:lineRule="auto"/>
              <w:rPr>
                <w:rFonts w:ascii="Arial" w:hAnsi="Arial" w:cs="Arial"/>
                <w:color w:val="000000"/>
                <w:sz w:val="18"/>
                <w:szCs w:val="18"/>
              </w:rPr>
            </w:pPr>
            <w:r>
              <w:rPr>
                <w:rFonts w:ascii="Arial" w:hAnsi="Arial" w:cs="Arial"/>
                <w:color w:val="000000"/>
                <w:sz w:val="18"/>
                <w:szCs w:val="18"/>
              </w:rPr>
              <w:t>REGULADOR DE PRESSAO PARA CILINDRO DE OXIGENIO COM CONEXAO TIPO UNIAO PARA PORCA ROSCA DIREITA 9/16 UNF-18. PRESSAO MAXIMA DE ENTRADA: 220 KGF / CM². MANOMETRO DE ENTRADA: DIAMETRO NOMINAL 62MMM, CAIXA EM LATAO FORJADO PINTURA DOURADO, COMPONENTES INTERNOS EM LATAO, ESCALA 4500 PSI X 315 KGF/CM². MANOMETRO DE SAIDA: DIAMETRO NOMINAL 62MMM, CAIXA EM LATAO FORJADO PINTURA DOURADO, COMPONENTES INTERNOS EM LATAO. ESCALAS: 700 PSI X 50KGF / CM², ALTA DURABILIDADE</w:t>
            </w:r>
          </w:p>
        </w:tc>
        <w:tc>
          <w:tcPr>
            <w:tcW w:w="1256" w:type="dxa"/>
            <w:tcBorders>
              <w:top w:val="nil"/>
              <w:left w:val="nil"/>
              <w:bottom w:val="single" w:color="auto" w:sz="4" w:space="0"/>
              <w:right w:val="single" w:color="auto" w:sz="4" w:space="0"/>
            </w:tcBorders>
            <w:vAlign w:val="center"/>
          </w:tcPr>
          <w:p w14:paraId="7A52CC2D">
            <w:pPr>
              <w:spacing w:line="240" w:lineRule="auto"/>
              <w:jc w:val="center"/>
              <w:rPr>
                <w:rFonts w:ascii="Arial" w:hAnsi="Arial" w:cs="Arial"/>
                <w:color w:val="000000"/>
                <w:sz w:val="16"/>
                <w:szCs w:val="16"/>
              </w:rPr>
            </w:pPr>
            <w:r>
              <w:rPr>
                <w:rFonts w:ascii="Arial" w:hAnsi="Arial" w:cs="Arial"/>
                <w:color w:val="000000"/>
                <w:sz w:val="16"/>
                <w:szCs w:val="16"/>
              </w:rPr>
              <w:t>UNIDADE</w:t>
            </w:r>
          </w:p>
        </w:tc>
        <w:tc>
          <w:tcPr>
            <w:tcW w:w="992" w:type="dxa"/>
            <w:tcBorders>
              <w:top w:val="nil"/>
              <w:left w:val="nil"/>
              <w:bottom w:val="single" w:color="auto" w:sz="4" w:space="0"/>
              <w:right w:val="single" w:color="auto" w:sz="4" w:space="0"/>
            </w:tcBorders>
            <w:noWrap/>
            <w:vAlign w:val="center"/>
          </w:tcPr>
          <w:p w14:paraId="556FD587">
            <w:pPr>
              <w:spacing w:line="240" w:lineRule="auto"/>
              <w:jc w:val="center"/>
              <w:rPr>
                <w:rFonts w:ascii="Arial" w:hAnsi="Arial" w:cs="Arial"/>
                <w:color w:val="000000"/>
                <w:sz w:val="18"/>
                <w:szCs w:val="18"/>
              </w:rPr>
            </w:pPr>
            <w:r>
              <w:rPr>
                <w:rFonts w:ascii="Arial" w:hAnsi="Arial" w:cs="Arial"/>
                <w:color w:val="000000"/>
                <w:sz w:val="18"/>
                <w:szCs w:val="18"/>
              </w:rPr>
              <w:t>6</w:t>
            </w:r>
          </w:p>
        </w:tc>
        <w:tc>
          <w:tcPr>
            <w:tcW w:w="1134" w:type="dxa"/>
            <w:tcBorders>
              <w:top w:val="nil"/>
              <w:left w:val="nil"/>
              <w:bottom w:val="single" w:color="auto" w:sz="4" w:space="0"/>
              <w:right w:val="single" w:color="auto" w:sz="4" w:space="0"/>
            </w:tcBorders>
            <w:noWrap/>
            <w:vAlign w:val="center"/>
          </w:tcPr>
          <w:p w14:paraId="3E5F8D8F">
            <w:pPr>
              <w:spacing w:line="240" w:lineRule="auto"/>
              <w:jc w:val="center"/>
              <w:rPr>
                <w:rFonts w:ascii="Arial" w:hAnsi="Arial" w:cs="Arial"/>
                <w:color w:val="000000"/>
                <w:sz w:val="18"/>
                <w:szCs w:val="18"/>
              </w:rPr>
            </w:pPr>
            <w:r>
              <w:rPr>
                <w:rFonts w:ascii="Arial" w:hAnsi="Arial" w:cs="Arial"/>
                <w:color w:val="000000"/>
                <w:sz w:val="18"/>
                <w:szCs w:val="18"/>
              </w:rPr>
              <w:t>R$ 461,61</w:t>
            </w:r>
          </w:p>
        </w:tc>
        <w:tc>
          <w:tcPr>
            <w:tcW w:w="1559" w:type="dxa"/>
            <w:tcBorders>
              <w:top w:val="nil"/>
              <w:left w:val="nil"/>
              <w:bottom w:val="single" w:color="auto" w:sz="4" w:space="0"/>
              <w:right w:val="single" w:color="auto" w:sz="4" w:space="0"/>
            </w:tcBorders>
            <w:noWrap/>
            <w:vAlign w:val="center"/>
          </w:tcPr>
          <w:p w14:paraId="72C687E7">
            <w:pPr>
              <w:spacing w:line="240" w:lineRule="auto"/>
              <w:jc w:val="center"/>
              <w:rPr>
                <w:rFonts w:ascii="Arial" w:hAnsi="Arial" w:cs="Arial"/>
                <w:color w:val="000000"/>
                <w:sz w:val="18"/>
                <w:szCs w:val="18"/>
              </w:rPr>
            </w:pPr>
            <w:r>
              <w:rPr>
                <w:rFonts w:ascii="Arial" w:hAnsi="Arial" w:cs="Arial"/>
                <w:color w:val="000000"/>
                <w:sz w:val="18"/>
                <w:szCs w:val="18"/>
              </w:rPr>
              <w:t>R$ 2.769,66</w:t>
            </w:r>
          </w:p>
        </w:tc>
      </w:tr>
      <w:tr w14:paraId="2B763E50">
        <w:tblPrEx>
          <w:tblCellMar>
            <w:top w:w="0" w:type="dxa"/>
            <w:left w:w="70" w:type="dxa"/>
            <w:bottom w:w="0" w:type="dxa"/>
            <w:right w:w="70" w:type="dxa"/>
          </w:tblCellMar>
        </w:tblPrEx>
        <w:trPr>
          <w:trHeight w:val="1067" w:hRule="atLeast"/>
        </w:trPr>
        <w:tc>
          <w:tcPr>
            <w:tcW w:w="709" w:type="dxa"/>
            <w:tcBorders>
              <w:top w:val="nil"/>
              <w:left w:val="single" w:color="auto" w:sz="4" w:space="0"/>
              <w:bottom w:val="single" w:color="auto" w:sz="4" w:space="0"/>
              <w:right w:val="single" w:color="auto" w:sz="4" w:space="0"/>
            </w:tcBorders>
            <w:noWrap/>
            <w:vAlign w:val="center"/>
          </w:tcPr>
          <w:p w14:paraId="759C1929">
            <w:pPr>
              <w:spacing w:line="240" w:lineRule="auto"/>
              <w:jc w:val="center"/>
              <w:rPr>
                <w:rFonts w:ascii="Arial" w:hAnsi="Arial" w:cs="Arial"/>
                <w:color w:val="000000"/>
                <w:sz w:val="18"/>
                <w:szCs w:val="18"/>
              </w:rPr>
            </w:pPr>
            <w:r>
              <w:rPr>
                <w:rFonts w:ascii="Arial" w:hAnsi="Arial" w:cs="Arial"/>
                <w:color w:val="000000"/>
                <w:sz w:val="18"/>
                <w:szCs w:val="18"/>
              </w:rPr>
              <w:t>16</w:t>
            </w:r>
          </w:p>
        </w:tc>
        <w:tc>
          <w:tcPr>
            <w:tcW w:w="871" w:type="dxa"/>
            <w:tcBorders>
              <w:top w:val="nil"/>
              <w:left w:val="nil"/>
              <w:bottom w:val="single" w:color="auto" w:sz="4" w:space="0"/>
              <w:right w:val="single" w:color="auto" w:sz="4" w:space="0"/>
            </w:tcBorders>
            <w:noWrap/>
            <w:vAlign w:val="center"/>
          </w:tcPr>
          <w:p w14:paraId="007E32AF">
            <w:pPr>
              <w:spacing w:line="240" w:lineRule="auto"/>
              <w:jc w:val="center"/>
              <w:rPr>
                <w:rFonts w:ascii="Arial" w:hAnsi="Arial" w:cs="Arial"/>
                <w:color w:val="000000"/>
                <w:sz w:val="18"/>
                <w:szCs w:val="18"/>
              </w:rPr>
            </w:pPr>
            <w:r>
              <w:rPr>
                <w:rFonts w:ascii="Arial" w:hAnsi="Arial" w:cs="Arial"/>
                <w:color w:val="000000"/>
                <w:sz w:val="18"/>
                <w:szCs w:val="18"/>
              </w:rPr>
              <w:t>390222</w:t>
            </w:r>
          </w:p>
        </w:tc>
        <w:tc>
          <w:tcPr>
            <w:tcW w:w="972" w:type="dxa"/>
            <w:tcBorders>
              <w:top w:val="nil"/>
              <w:left w:val="nil"/>
              <w:bottom w:val="single" w:color="auto" w:sz="4" w:space="0"/>
              <w:right w:val="single" w:color="auto" w:sz="4" w:space="0"/>
            </w:tcBorders>
            <w:noWrap/>
            <w:vAlign w:val="center"/>
          </w:tcPr>
          <w:p w14:paraId="046B0F90">
            <w:pPr>
              <w:spacing w:line="240" w:lineRule="auto"/>
              <w:jc w:val="center"/>
              <w:rPr>
                <w:rFonts w:ascii="Arial" w:hAnsi="Arial" w:cs="Arial"/>
                <w:color w:val="000000"/>
                <w:sz w:val="18"/>
                <w:szCs w:val="18"/>
              </w:rPr>
            </w:pPr>
            <w:r>
              <w:rPr>
                <w:rFonts w:ascii="Arial" w:hAnsi="Arial" w:cs="Arial"/>
                <w:color w:val="000000"/>
                <w:sz w:val="18"/>
                <w:szCs w:val="18"/>
              </w:rPr>
              <w:t>153190-5</w:t>
            </w:r>
          </w:p>
        </w:tc>
        <w:tc>
          <w:tcPr>
            <w:tcW w:w="2713" w:type="dxa"/>
            <w:tcBorders>
              <w:top w:val="nil"/>
              <w:left w:val="nil"/>
              <w:bottom w:val="single" w:color="auto" w:sz="4" w:space="0"/>
              <w:right w:val="single" w:color="auto" w:sz="4" w:space="0"/>
            </w:tcBorders>
            <w:vAlign w:val="bottom"/>
          </w:tcPr>
          <w:p w14:paraId="1A40AC55">
            <w:pPr>
              <w:spacing w:line="240" w:lineRule="auto"/>
              <w:rPr>
                <w:rFonts w:ascii="Arial" w:hAnsi="Arial" w:cs="Arial"/>
                <w:color w:val="000000"/>
                <w:sz w:val="18"/>
                <w:szCs w:val="18"/>
              </w:rPr>
            </w:pPr>
            <w:r>
              <w:rPr>
                <w:rFonts w:ascii="Arial" w:hAnsi="Arial" w:cs="Arial"/>
                <w:color w:val="000000"/>
                <w:sz w:val="18"/>
                <w:szCs w:val="18"/>
              </w:rPr>
              <w:t>UMIDIFICADOR ADULTO 250ML COM EXTENSAO E MASCARA P/ OXIGENIO PROTEC, UMIDIFICADOR COM FRASCO PLASTICO 250ML PARA OXIGENIO COM EXTENSOR E MASCARA ADULTO, NAO ESTERIL, DESENVOLVIDO PARA AS ATIVIDADES DE UMIDIFICACAO, GERADOS POR PASSAGEM DE OXIGENIO OU AR COMPRIMIDO MEDICINAL, E GERALMENTE UTILIZADO PARA PACIENTES QUE PRECISAM UMIDIFICAR VIAS AEREAS, EVITANDO RESSECAMENTO DA LARINGE. FUNCIONAMENTO PROPORCIONA O ARRASTE DA AGUA COLOCADA NO RECIPIENTE, QUANDO DA PASSAGEM DO FLUXO DE GAS PELO LIQUIDO, CARREGANDO AS PARTICULAS PARA AS VIAS AEREAS. CONTEM 01 TAMPA EM NYLON COM CONFORME ESPECIFICACAO, 01 TUBO COM BORBULHADOR PARA PERMITIR O ARRASTE DAS PARTICULAS E 01 COPO TRANSLUCIDO. ( EXCLUSIVO PARA  M.E  E  E.P.P)</w:t>
            </w:r>
          </w:p>
        </w:tc>
        <w:tc>
          <w:tcPr>
            <w:tcW w:w="1256" w:type="dxa"/>
            <w:tcBorders>
              <w:top w:val="nil"/>
              <w:left w:val="nil"/>
              <w:bottom w:val="single" w:color="auto" w:sz="4" w:space="0"/>
              <w:right w:val="single" w:color="auto" w:sz="4" w:space="0"/>
            </w:tcBorders>
            <w:vAlign w:val="center"/>
          </w:tcPr>
          <w:p w14:paraId="3E1FED83">
            <w:pPr>
              <w:spacing w:line="240" w:lineRule="auto"/>
              <w:jc w:val="center"/>
              <w:rPr>
                <w:rFonts w:ascii="Arial" w:hAnsi="Arial" w:cs="Arial"/>
                <w:color w:val="000000"/>
                <w:sz w:val="16"/>
                <w:szCs w:val="16"/>
              </w:rPr>
            </w:pPr>
            <w:r>
              <w:rPr>
                <w:rFonts w:ascii="Arial" w:hAnsi="Arial" w:cs="Arial"/>
                <w:color w:val="000000"/>
                <w:sz w:val="16"/>
                <w:szCs w:val="16"/>
              </w:rPr>
              <w:t>UNIDADE</w:t>
            </w:r>
          </w:p>
        </w:tc>
        <w:tc>
          <w:tcPr>
            <w:tcW w:w="992" w:type="dxa"/>
            <w:tcBorders>
              <w:top w:val="nil"/>
              <w:left w:val="nil"/>
              <w:bottom w:val="single" w:color="auto" w:sz="4" w:space="0"/>
              <w:right w:val="single" w:color="auto" w:sz="4" w:space="0"/>
            </w:tcBorders>
            <w:noWrap/>
            <w:vAlign w:val="center"/>
          </w:tcPr>
          <w:p w14:paraId="69E790BD">
            <w:pPr>
              <w:spacing w:line="240" w:lineRule="auto"/>
              <w:jc w:val="center"/>
              <w:rPr>
                <w:rFonts w:ascii="Arial" w:hAnsi="Arial" w:cs="Arial"/>
                <w:color w:val="000000"/>
                <w:sz w:val="18"/>
                <w:szCs w:val="18"/>
              </w:rPr>
            </w:pPr>
            <w:r>
              <w:rPr>
                <w:rFonts w:ascii="Arial" w:hAnsi="Arial" w:cs="Arial"/>
                <w:color w:val="000000"/>
                <w:sz w:val="18"/>
                <w:szCs w:val="18"/>
              </w:rPr>
              <w:t>25</w:t>
            </w:r>
          </w:p>
        </w:tc>
        <w:tc>
          <w:tcPr>
            <w:tcW w:w="1134" w:type="dxa"/>
            <w:tcBorders>
              <w:top w:val="nil"/>
              <w:left w:val="nil"/>
              <w:bottom w:val="single" w:color="auto" w:sz="4" w:space="0"/>
              <w:right w:val="single" w:color="auto" w:sz="4" w:space="0"/>
            </w:tcBorders>
            <w:noWrap/>
            <w:vAlign w:val="center"/>
          </w:tcPr>
          <w:p w14:paraId="73A88005">
            <w:pPr>
              <w:spacing w:line="240" w:lineRule="auto"/>
              <w:jc w:val="center"/>
              <w:rPr>
                <w:rFonts w:ascii="Arial" w:hAnsi="Arial" w:cs="Arial"/>
                <w:color w:val="000000"/>
                <w:sz w:val="18"/>
                <w:szCs w:val="18"/>
              </w:rPr>
            </w:pPr>
            <w:r>
              <w:rPr>
                <w:rFonts w:ascii="Arial" w:hAnsi="Arial" w:cs="Arial"/>
                <w:color w:val="000000"/>
                <w:sz w:val="18"/>
                <w:szCs w:val="18"/>
              </w:rPr>
              <w:t>R$ 41,18</w:t>
            </w:r>
          </w:p>
        </w:tc>
        <w:tc>
          <w:tcPr>
            <w:tcW w:w="1559" w:type="dxa"/>
            <w:tcBorders>
              <w:top w:val="nil"/>
              <w:left w:val="nil"/>
              <w:bottom w:val="single" w:color="auto" w:sz="4" w:space="0"/>
              <w:right w:val="single" w:color="auto" w:sz="4" w:space="0"/>
            </w:tcBorders>
            <w:noWrap/>
            <w:vAlign w:val="center"/>
          </w:tcPr>
          <w:p w14:paraId="22442618">
            <w:pPr>
              <w:spacing w:line="240" w:lineRule="auto"/>
              <w:jc w:val="center"/>
              <w:rPr>
                <w:rFonts w:ascii="Arial" w:hAnsi="Arial" w:cs="Arial"/>
                <w:color w:val="000000"/>
                <w:sz w:val="18"/>
                <w:szCs w:val="18"/>
              </w:rPr>
            </w:pPr>
            <w:r>
              <w:rPr>
                <w:rFonts w:ascii="Arial" w:hAnsi="Arial" w:cs="Arial"/>
                <w:color w:val="000000"/>
                <w:sz w:val="18"/>
                <w:szCs w:val="18"/>
              </w:rPr>
              <w:t>R$ 1.029,50</w:t>
            </w:r>
          </w:p>
        </w:tc>
      </w:tr>
      <w:tr w14:paraId="6CE88C64">
        <w:tblPrEx>
          <w:tblCellMar>
            <w:top w:w="0" w:type="dxa"/>
            <w:left w:w="70" w:type="dxa"/>
            <w:bottom w:w="0" w:type="dxa"/>
            <w:right w:w="70" w:type="dxa"/>
          </w:tblCellMar>
        </w:tblPrEx>
        <w:trPr>
          <w:trHeight w:val="596" w:hRule="atLeast"/>
        </w:trPr>
        <w:tc>
          <w:tcPr>
            <w:tcW w:w="709" w:type="dxa"/>
            <w:tcBorders>
              <w:top w:val="nil"/>
              <w:left w:val="single" w:color="auto" w:sz="4" w:space="0"/>
              <w:bottom w:val="single" w:color="auto" w:sz="4" w:space="0"/>
              <w:right w:val="single" w:color="auto" w:sz="4" w:space="0"/>
            </w:tcBorders>
            <w:noWrap/>
            <w:vAlign w:val="center"/>
          </w:tcPr>
          <w:p w14:paraId="72414380">
            <w:pPr>
              <w:spacing w:line="240" w:lineRule="auto"/>
              <w:jc w:val="center"/>
              <w:rPr>
                <w:rFonts w:ascii="Arial" w:hAnsi="Arial" w:cs="Arial"/>
                <w:color w:val="000000"/>
                <w:sz w:val="18"/>
                <w:szCs w:val="18"/>
              </w:rPr>
            </w:pPr>
            <w:r>
              <w:rPr>
                <w:rFonts w:ascii="Arial" w:hAnsi="Arial" w:cs="Arial"/>
                <w:color w:val="000000"/>
                <w:sz w:val="18"/>
                <w:szCs w:val="18"/>
              </w:rPr>
              <w:t>17</w:t>
            </w:r>
          </w:p>
        </w:tc>
        <w:tc>
          <w:tcPr>
            <w:tcW w:w="871" w:type="dxa"/>
            <w:tcBorders>
              <w:top w:val="nil"/>
              <w:left w:val="nil"/>
              <w:bottom w:val="single" w:color="auto" w:sz="4" w:space="0"/>
              <w:right w:val="single" w:color="auto" w:sz="4" w:space="0"/>
            </w:tcBorders>
            <w:noWrap/>
            <w:vAlign w:val="center"/>
          </w:tcPr>
          <w:p w14:paraId="4CC7676E">
            <w:pPr>
              <w:spacing w:line="240" w:lineRule="auto"/>
              <w:jc w:val="center"/>
              <w:rPr>
                <w:rFonts w:ascii="Arial" w:hAnsi="Arial" w:cs="Arial"/>
                <w:color w:val="000000"/>
                <w:sz w:val="18"/>
                <w:szCs w:val="18"/>
              </w:rPr>
            </w:pPr>
            <w:r>
              <w:rPr>
                <w:rFonts w:ascii="Arial" w:hAnsi="Arial" w:cs="Arial"/>
                <w:color w:val="000000"/>
                <w:sz w:val="18"/>
                <w:szCs w:val="18"/>
              </w:rPr>
              <w:t>403090</w:t>
            </w:r>
          </w:p>
        </w:tc>
        <w:tc>
          <w:tcPr>
            <w:tcW w:w="972" w:type="dxa"/>
            <w:tcBorders>
              <w:top w:val="nil"/>
              <w:left w:val="nil"/>
              <w:bottom w:val="single" w:color="auto" w:sz="4" w:space="0"/>
              <w:right w:val="single" w:color="auto" w:sz="4" w:space="0"/>
            </w:tcBorders>
            <w:noWrap/>
            <w:vAlign w:val="center"/>
          </w:tcPr>
          <w:p w14:paraId="18D7D063">
            <w:pPr>
              <w:spacing w:line="240" w:lineRule="auto"/>
              <w:jc w:val="center"/>
              <w:rPr>
                <w:rFonts w:ascii="Arial" w:hAnsi="Arial" w:cs="Arial"/>
                <w:color w:val="000000"/>
                <w:sz w:val="18"/>
                <w:szCs w:val="18"/>
              </w:rPr>
            </w:pPr>
            <w:r>
              <w:rPr>
                <w:rFonts w:ascii="Arial" w:hAnsi="Arial" w:cs="Arial"/>
                <w:color w:val="000000"/>
                <w:sz w:val="18"/>
                <w:szCs w:val="18"/>
              </w:rPr>
              <w:t>00057136</w:t>
            </w:r>
          </w:p>
        </w:tc>
        <w:tc>
          <w:tcPr>
            <w:tcW w:w="2713" w:type="dxa"/>
            <w:tcBorders>
              <w:top w:val="nil"/>
              <w:left w:val="nil"/>
              <w:bottom w:val="single" w:color="auto" w:sz="4" w:space="0"/>
              <w:right w:val="single" w:color="auto" w:sz="4" w:space="0"/>
            </w:tcBorders>
            <w:vAlign w:val="bottom"/>
          </w:tcPr>
          <w:p w14:paraId="2A622F3F">
            <w:pPr>
              <w:spacing w:line="240" w:lineRule="auto"/>
              <w:rPr>
                <w:rFonts w:ascii="Arial" w:hAnsi="Arial" w:cs="Arial"/>
                <w:color w:val="000000"/>
                <w:sz w:val="18"/>
                <w:szCs w:val="18"/>
              </w:rPr>
            </w:pPr>
            <w:r>
              <w:rPr>
                <w:rFonts w:ascii="Arial" w:hAnsi="Arial" w:cs="Arial"/>
                <w:color w:val="000000"/>
                <w:sz w:val="18"/>
                <w:szCs w:val="18"/>
              </w:rPr>
              <w:t>VALVULA - REGULADORA PARA CILINDRO DE OXIGENIO COM FLUXOMETRO VERDE COM NORMAS DA ABNT NBR 11906, A PORCA DE ENTRADA SEGUE, NORMA ABNT NBR 11725. COM GARANTIA DE UM ANO, FLUX. O-15 LPM, FEMEA PARA OXIGENIO. (EXCLUSIVO PARA M.E. E E.P.P.)</w:t>
            </w:r>
          </w:p>
        </w:tc>
        <w:tc>
          <w:tcPr>
            <w:tcW w:w="1256" w:type="dxa"/>
            <w:tcBorders>
              <w:top w:val="nil"/>
              <w:left w:val="nil"/>
              <w:bottom w:val="single" w:color="auto" w:sz="4" w:space="0"/>
              <w:right w:val="single" w:color="auto" w:sz="4" w:space="0"/>
            </w:tcBorders>
            <w:vAlign w:val="center"/>
          </w:tcPr>
          <w:p w14:paraId="13BB5018">
            <w:pPr>
              <w:spacing w:line="240" w:lineRule="auto"/>
              <w:jc w:val="center"/>
              <w:rPr>
                <w:rFonts w:ascii="Arial" w:hAnsi="Arial" w:cs="Arial"/>
                <w:color w:val="000000"/>
                <w:sz w:val="16"/>
                <w:szCs w:val="16"/>
              </w:rPr>
            </w:pPr>
            <w:r>
              <w:rPr>
                <w:rFonts w:ascii="Arial" w:hAnsi="Arial" w:cs="Arial"/>
                <w:color w:val="000000"/>
                <w:sz w:val="16"/>
                <w:szCs w:val="16"/>
              </w:rPr>
              <w:t>UNIDADE</w:t>
            </w:r>
          </w:p>
        </w:tc>
        <w:tc>
          <w:tcPr>
            <w:tcW w:w="992" w:type="dxa"/>
            <w:tcBorders>
              <w:top w:val="nil"/>
              <w:left w:val="nil"/>
              <w:bottom w:val="single" w:color="auto" w:sz="4" w:space="0"/>
              <w:right w:val="single" w:color="auto" w:sz="4" w:space="0"/>
            </w:tcBorders>
            <w:noWrap/>
            <w:vAlign w:val="center"/>
          </w:tcPr>
          <w:p w14:paraId="13FC51C8">
            <w:pPr>
              <w:spacing w:line="240" w:lineRule="auto"/>
              <w:jc w:val="center"/>
              <w:rPr>
                <w:rFonts w:ascii="Arial" w:hAnsi="Arial" w:cs="Arial"/>
                <w:color w:val="000000"/>
                <w:sz w:val="18"/>
                <w:szCs w:val="18"/>
              </w:rPr>
            </w:pPr>
            <w:r>
              <w:rPr>
                <w:rFonts w:ascii="Arial" w:hAnsi="Arial" w:cs="Arial"/>
                <w:color w:val="000000"/>
                <w:sz w:val="18"/>
                <w:szCs w:val="18"/>
              </w:rPr>
              <w:t>20</w:t>
            </w:r>
          </w:p>
        </w:tc>
        <w:tc>
          <w:tcPr>
            <w:tcW w:w="1134" w:type="dxa"/>
            <w:tcBorders>
              <w:top w:val="nil"/>
              <w:left w:val="nil"/>
              <w:bottom w:val="single" w:color="auto" w:sz="4" w:space="0"/>
              <w:right w:val="single" w:color="auto" w:sz="4" w:space="0"/>
            </w:tcBorders>
            <w:noWrap/>
            <w:vAlign w:val="center"/>
          </w:tcPr>
          <w:p w14:paraId="51DA2DD0">
            <w:pPr>
              <w:spacing w:line="240" w:lineRule="auto"/>
              <w:jc w:val="center"/>
              <w:rPr>
                <w:rFonts w:ascii="Arial" w:hAnsi="Arial" w:cs="Arial"/>
                <w:color w:val="000000"/>
                <w:sz w:val="18"/>
                <w:szCs w:val="18"/>
              </w:rPr>
            </w:pPr>
            <w:r>
              <w:rPr>
                <w:rFonts w:ascii="Arial" w:hAnsi="Arial" w:cs="Arial"/>
                <w:color w:val="000000"/>
                <w:sz w:val="18"/>
                <w:szCs w:val="18"/>
              </w:rPr>
              <w:t>R$ 617,97</w:t>
            </w:r>
          </w:p>
        </w:tc>
        <w:tc>
          <w:tcPr>
            <w:tcW w:w="1559" w:type="dxa"/>
            <w:tcBorders>
              <w:top w:val="nil"/>
              <w:left w:val="nil"/>
              <w:bottom w:val="single" w:color="auto" w:sz="4" w:space="0"/>
              <w:right w:val="single" w:color="auto" w:sz="4" w:space="0"/>
            </w:tcBorders>
            <w:noWrap/>
            <w:vAlign w:val="center"/>
          </w:tcPr>
          <w:p w14:paraId="3A1C5B55">
            <w:pPr>
              <w:spacing w:line="240" w:lineRule="auto"/>
              <w:jc w:val="center"/>
              <w:rPr>
                <w:rFonts w:ascii="Arial" w:hAnsi="Arial" w:cs="Arial"/>
                <w:color w:val="000000"/>
                <w:sz w:val="18"/>
                <w:szCs w:val="18"/>
              </w:rPr>
            </w:pPr>
            <w:r>
              <w:rPr>
                <w:rFonts w:ascii="Arial" w:hAnsi="Arial" w:cs="Arial"/>
                <w:color w:val="000000"/>
                <w:sz w:val="18"/>
                <w:szCs w:val="18"/>
              </w:rPr>
              <w:t>R$ 12.359,40</w:t>
            </w:r>
          </w:p>
        </w:tc>
      </w:tr>
      <w:tr w14:paraId="37944732">
        <w:tblPrEx>
          <w:tblCellMar>
            <w:top w:w="0" w:type="dxa"/>
            <w:left w:w="70" w:type="dxa"/>
            <w:bottom w:w="0" w:type="dxa"/>
            <w:right w:w="70" w:type="dxa"/>
          </w:tblCellMar>
        </w:tblPrEx>
        <w:trPr>
          <w:trHeight w:val="300" w:hRule="atLeast"/>
        </w:trPr>
        <w:tc>
          <w:tcPr>
            <w:tcW w:w="7513" w:type="dxa"/>
            <w:gridSpan w:val="6"/>
            <w:tcBorders>
              <w:top w:val="nil"/>
              <w:left w:val="single" w:color="auto" w:sz="4" w:space="0"/>
              <w:bottom w:val="single" w:color="auto" w:sz="4" w:space="0"/>
              <w:right w:val="single" w:color="auto" w:sz="4" w:space="0"/>
            </w:tcBorders>
            <w:noWrap/>
            <w:vAlign w:val="bottom"/>
          </w:tcPr>
          <w:p w14:paraId="305EC13B">
            <w:pPr>
              <w:spacing w:line="240" w:lineRule="auto"/>
              <w:rPr>
                <w:rFonts w:ascii="Arial" w:hAnsi="Arial" w:cs="Arial"/>
                <w:color w:val="000000"/>
                <w:sz w:val="16"/>
                <w:szCs w:val="16"/>
              </w:rPr>
            </w:pPr>
            <w:r>
              <w:rPr>
                <w:rFonts w:ascii="Arial" w:hAnsi="Arial" w:cs="Arial"/>
                <w:color w:val="000000"/>
                <w:sz w:val="16"/>
                <w:szCs w:val="16"/>
              </w:rPr>
              <w:t> </w:t>
            </w:r>
          </w:p>
          <w:p w14:paraId="3E27B34D">
            <w:pPr>
              <w:spacing w:line="240" w:lineRule="auto"/>
              <w:rPr>
                <w:rFonts w:ascii="Arial" w:hAnsi="Arial" w:cs="Arial"/>
                <w:color w:val="000000"/>
                <w:sz w:val="16"/>
                <w:szCs w:val="16"/>
              </w:rPr>
            </w:pPr>
          </w:p>
        </w:tc>
        <w:tc>
          <w:tcPr>
            <w:tcW w:w="2693" w:type="dxa"/>
            <w:gridSpan w:val="2"/>
            <w:tcBorders>
              <w:top w:val="single" w:color="auto" w:sz="4" w:space="0"/>
              <w:left w:val="nil"/>
              <w:bottom w:val="single" w:color="auto" w:sz="4" w:space="0"/>
              <w:right w:val="single" w:color="auto" w:sz="4" w:space="0"/>
            </w:tcBorders>
            <w:noWrap/>
            <w:vAlign w:val="center"/>
          </w:tcPr>
          <w:p w14:paraId="141653A9">
            <w:pPr>
              <w:spacing w:line="240" w:lineRule="auto"/>
              <w:jc w:val="center"/>
              <w:rPr>
                <w:rFonts w:ascii="Arial" w:hAnsi="Arial" w:cs="Arial"/>
                <w:b/>
                <w:bCs/>
                <w:color w:val="000000"/>
                <w:sz w:val="22"/>
                <w:szCs w:val="22"/>
              </w:rPr>
            </w:pPr>
            <w:r>
              <w:rPr>
                <w:rFonts w:ascii="Arial" w:hAnsi="Arial" w:cs="Arial"/>
                <w:b/>
                <w:bCs/>
                <w:color w:val="000000"/>
                <w:sz w:val="22"/>
                <w:szCs w:val="22"/>
              </w:rPr>
              <w:t>R$ 1.294.466,01</w:t>
            </w:r>
          </w:p>
        </w:tc>
      </w:tr>
      <w:tr w14:paraId="0C630303">
        <w:tblPrEx>
          <w:tblCellMar>
            <w:top w:w="0" w:type="dxa"/>
            <w:left w:w="70" w:type="dxa"/>
            <w:bottom w:w="0" w:type="dxa"/>
            <w:right w:w="70" w:type="dxa"/>
          </w:tblCellMar>
        </w:tblPrEx>
        <w:trPr>
          <w:trHeight w:val="300" w:hRule="atLeast"/>
        </w:trPr>
        <w:tc>
          <w:tcPr>
            <w:tcW w:w="10206" w:type="dxa"/>
            <w:gridSpan w:val="8"/>
            <w:tcBorders>
              <w:top w:val="single" w:color="auto" w:sz="4" w:space="0"/>
              <w:left w:val="single" w:color="auto" w:sz="4" w:space="0"/>
              <w:bottom w:val="single" w:color="auto" w:sz="4" w:space="0"/>
              <w:right w:val="single" w:color="auto" w:sz="4" w:space="0"/>
            </w:tcBorders>
            <w:noWrap/>
            <w:vAlign w:val="bottom"/>
          </w:tcPr>
          <w:p w14:paraId="4E7C29F9">
            <w:pPr>
              <w:spacing w:line="240" w:lineRule="auto"/>
              <w:jc w:val="center"/>
              <w:rPr>
                <w:rFonts w:ascii="Arial" w:hAnsi="Arial" w:cs="Arial"/>
                <w:b/>
                <w:bCs/>
                <w:color w:val="000000"/>
                <w:sz w:val="22"/>
                <w:szCs w:val="22"/>
              </w:rPr>
            </w:pPr>
            <w:r>
              <w:rPr>
                <w:rFonts w:ascii="Arial" w:hAnsi="Arial" w:cs="Arial"/>
                <w:b/>
                <w:sz w:val="22"/>
                <w:szCs w:val="22"/>
              </w:rPr>
              <w:t>(um milhão novecentos e sessenta e um mil novecentos e noventa e seis reais e um centavos)</w:t>
            </w:r>
          </w:p>
        </w:tc>
      </w:tr>
    </w:tbl>
    <w:p w14:paraId="57E8F51D">
      <w:pPr>
        <w:tabs>
          <w:tab w:val="left" w:pos="0"/>
        </w:tabs>
        <w:spacing w:line="360" w:lineRule="auto"/>
        <w:rPr>
          <w:rFonts w:ascii="Arial" w:hAnsi="Arial" w:cs="Arial"/>
          <w:sz w:val="22"/>
          <w:szCs w:val="22"/>
        </w:rPr>
      </w:pPr>
    </w:p>
    <w:p w14:paraId="7EF1F7A9">
      <w:pPr>
        <w:spacing w:line="360" w:lineRule="auto"/>
        <w:rPr>
          <w:rFonts w:ascii="Arial" w:hAnsi="Arial" w:cs="Arial"/>
          <w:b/>
          <w:sz w:val="22"/>
          <w:szCs w:val="22"/>
        </w:rPr>
      </w:pPr>
      <w:r>
        <w:rPr>
          <w:rFonts w:ascii="Arial" w:hAnsi="Arial" w:cs="Arial"/>
          <w:b/>
          <w:sz w:val="22"/>
          <w:szCs w:val="22"/>
        </w:rPr>
        <w:t>2.3. Estimativa</w:t>
      </w:r>
      <w:r>
        <w:rPr>
          <w:rFonts w:ascii="Arial" w:hAnsi="Arial" w:cs="Arial"/>
          <w:b/>
          <w:spacing w:val="-2"/>
          <w:sz w:val="22"/>
          <w:szCs w:val="22"/>
        </w:rPr>
        <w:t xml:space="preserve"> </w:t>
      </w:r>
      <w:r>
        <w:rPr>
          <w:rFonts w:ascii="Arial" w:hAnsi="Arial" w:cs="Arial"/>
          <w:b/>
          <w:sz w:val="22"/>
          <w:szCs w:val="22"/>
        </w:rPr>
        <w:t>de</w:t>
      </w:r>
      <w:r>
        <w:rPr>
          <w:rFonts w:ascii="Arial" w:hAnsi="Arial" w:cs="Arial"/>
          <w:b/>
          <w:spacing w:val="-2"/>
          <w:sz w:val="22"/>
          <w:szCs w:val="22"/>
        </w:rPr>
        <w:t xml:space="preserve"> </w:t>
      </w:r>
      <w:r>
        <w:rPr>
          <w:rFonts w:ascii="Arial" w:hAnsi="Arial" w:cs="Arial"/>
          <w:b/>
          <w:sz w:val="22"/>
          <w:szCs w:val="22"/>
        </w:rPr>
        <w:t>consumo</w:t>
      </w:r>
      <w:r>
        <w:rPr>
          <w:rFonts w:ascii="Arial" w:hAnsi="Arial" w:cs="Arial"/>
          <w:b/>
          <w:spacing w:val="-1"/>
          <w:sz w:val="22"/>
          <w:szCs w:val="22"/>
        </w:rPr>
        <w:t xml:space="preserve"> </w:t>
      </w:r>
      <w:r>
        <w:rPr>
          <w:rFonts w:ascii="Arial" w:hAnsi="Arial" w:cs="Arial"/>
          <w:b/>
          <w:sz w:val="22"/>
          <w:szCs w:val="22"/>
        </w:rPr>
        <w:t>individualizada</w:t>
      </w:r>
      <w:r>
        <w:rPr>
          <w:rFonts w:ascii="Arial" w:hAnsi="Arial" w:cs="Arial"/>
          <w:b/>
          <w:spacing w:val="-3"/>
          <w:sz w:val="22"/>
          <w:szCs w:val="22"/>
        </w:rPr>
        <w:t xml:space="preserve"> </w:t>
      </w:r>
      <w:r>
        <w:rPr>
          <w:rFonts w:ascii="Arial" w:hAnsi="Arial" w:cs="Arial"/>
          <w:b/>
          <w:sz w:val="22"/>
          <w:szCs w:val="22"/>
        </w:rPr>
        <w:t>de</w:t>
      </w:r>
      <w:r>
        <w:rPr>
          <w:rFonts w:ascii="Arial" w:hAnsi="Arial" w:cs="Arial"/>
          <w:b/>
          <w:spacing w:val="-2"/>
          <w:sz w:val="22"/>
          <w:szCs w:val="22"/>
        </w:rPr>
        <w:t xml:space="preserve"> </w:t>
      </w:r>
      <w:r>
        <w:rPr>
          <w:rFonts w:ascii="Arial" w:hAnsi="Arial" w:cs="Arial"/>
          <w:b/>
          <w:sz w:val="22"/>
          <w:szCs w:val="22"/>
        </w:rPr>
        <w:t>cada</w:t>
      </w:r>
      <w:r>
        <w:rPr>
          <w:rFonts w:ascii="Arial" w:hAnsi="Arial" w:cs="Arial"/>
          <w:b/>
          <w:spacing w:val="-1"/>
          <w:sz w:val="22"/>
          <w:szCs w:val="22"/>
        </w:rPr>
        <w:t xml:space="preserve"> </w:t>
      </w:r>
      <w:r>
        <w:rPr>
          <w:rFonts w:ascii="Arial" w:hAnsi="Arial" w:cs="Arial"/>
          <w:b/>
          <w:sz w:val="22"/>
          <w:szCs w:val="22"/>
        </w:rPr>
        <w:t>um</w:t>
      </w:r>
      <w:r>
        <w:rPr>
          <w:rFonts w:ascii="Arial" w:hAnsi="Arial" w:cs="Arial"/>
          <w:b/>
          <w:spacing w:val="-2"/>
          <w:sz w:val="22"/>
          <w:szCs w:val="22"/>
        </w:rPr>
        <w:t xml:space="preserve"> </w:t>
      </w:r>
      <w:r>
        <w:rPr>
          <w:rFonts w:ascii="Arial" w:hAnsi="Arial" w:cs="Arial"/>
          <w:b/>
          <w:sz w:val="22"/>
          <w:szCs w:val="22"/>
        </w:rPr>
        <w:t>dos</w:t>
      </w:r>
      <w:r>
        <w:rPr>
          <w:rFonts w:ascii="Arial" w:hAnsi="Arial" w:cs="Arial"/>
          <w:b/>
          <w:spacing w:val="-1"/>
          <w:sz w:val="22"/>
          <w:szCs w:val="22"/>
        </w:rPr>
        <w:t xml:space="preserve"> </w:t>
      </w:r>
      <w:r>
        <w:rPr>
          <w:rFonts w:ascii="Arial" w:hAnsi="Arial" w:cs="Arial"/>
          <w:b/>
          <w:sz w:val="22"/>
          <w:szCs w:val="22"/>
        </w:rPr>
        <w:t>órgãos participantes:</w:t>
      </w:r>
    </w:p>
    <w:p w14:paraId="37870474">
      <w:pPr>
        <w:pStyle w:val="28"/>
        <w:adjustRightInd/>
        <w:spacing w:line="360" w:lineRule="auto"/>
        <w:textAlignment w:val="auto"/>
        <w:rPr>
          <w:rFonts w:ascii="Arial" w:hAnsi="Arial" w:cs="Arial"/>
          <w:sz w:val="22"/>
          <w:szCs w:val="22"/>
          <w:lang w:val="pt-BR"/>
        </w:rPr>
      </w:pPr>
      <w:r>
        <w:rPr>
          <w:rFonts w:ascii="Arial" w:hAnsi="Arial" w:eastAsia="SimSun" w:cs="Arial"/>
          <w:b/>
          <w:bCs/>
          <w:sz w:val="22"/>
          <w:szCs w:val="22"/>
          <w:lang w:val="pt-BR"/>
        </w:rPr>
        <w:t xml:space="preserve">2.3.1. </w:t>
      </w:r>
      <w:r>
        <w:rPr>
          <w:rFonts w:ascii="Arial" w:hAnsi="Arial" w:cs="Arial"/>
          <w:sz w:val="22"/>
          <w:szCs w:val="22"/>
          <w:lang w:val="pt-BR"/>
        </w:rPr>
        <w:t>Os quantitativos foram estimados com base no levantamento das contratações e do consumo real ocorridos no ano de 2025. Para otimizar a gestão e obter maior eficiência administrativa, centralizou-se toda a demanda do município em uma única contratação, sendo que os volumes discriminados correspondem ao consumo previsto para o período de 01 (um) ano.</w:t>
      </w:r>
    </w:p>
    <w:p w14:paraId="521796BE">
      <w:pPr>
        <w:pStyle w:val="28"/>
        <w:spacing w:line="360" w:lineRule="auto"/>
        <w:rPr>
          <w:rFonts w:ascii="Arial" w:hAnsi="Arial" w:eastAsia="SimSun" w:cs="Arial"/>
          <w:sz w:val="22"/>
          <w:szCs w:val="22"/>
          <w:lang w:val="pt-BR"/>
        </w:rPr>
      </w:pPr>
      <w:r>
        <w:rPr>
          <w:rFonts w:ascii="Arial" w:hAnsi="Arial" w:eastAsia="SimSun" w:cs="Arial"/>
          <w:b/>
          <w:bCs/>
          <w:sz w:val="22"/>
          <w:szCs w:val="22"/>
          <w:lang w:val="pt-BR"/>
        </w:rPr>
        <w:t xml:space="preserve">2.3.1.1. </w:t>
      </w:r>
      <w:r>
        <w:rPr>
          <w:rFonts w:ascii="Arial" w:hAnsi="Arial" w:eastAsia="SimSun" w:cs="Arial"/>
          <w:sz w:val="22"/>
          <w:szCs w:val="22"/>
          <w:lang w:val="pt-BR"/>
        </w:rPr>
        <w:t>A definição desses quantitativos atende ao princípio do planejamento previsto na Lei Federal nº 14.133/2021 (Nova Lei de Licitações). Em conformidade com o art. 18, § 1º, inciso IV, da referida lei, a fase preparatória deste processo exige</w:t>
      </w:r>
      <w:r>
        <w:rPr>
          <w:rFonts w:ascii="Arial" w:hAnsi="Arial" w:cs="Arial"/>
          <w:sz w:val="22"/>
          <w:szCs w:val="22"/>
          <w:lang w:val="pt-BR"/>
        </w:rPr>
        <w:t xml:space="preserve">:  </w:t>
      </w:r>
    </w:p>
    <w:p w14:paraId="4A94D2BB">
      <w:pPr>
        <w:widowControl/>
        <w:tabs>
          <w:tab w:val="left" w:pos="0"/>
          <w:tab w:val="left" w:pos="1100"/>
        </w:tabs>
        <w:autoSpaceDE w:val="0"/>
        <w:autoSpaceDN w:val="0"/>
        <w:spacing w:line="240" w:lineRule="auto"/>
        <w:ind w:left="2400" w:leftChars="1200"/>
        <w:textAlignment w:val="auto"/>
        <w:rPr>
          <w:rFonts w:ascii="Arial" w:hAnsi="Arial" w:cs="Arial"/>
        </w:rPr>
      </w:pPr>
    </w:p>
    <w:p w14:paraId="6DFEDAE6">
      <w:pPr>
        <w:widowControl/>
        <w:tabs>
          <w:tab w:val="left" w:pos="0"/>
          <w:tab w:val="left" w:pos="1100"/>
        </w:tabs>
        <w:autoSpaceDE w:val="0"/>
        <w:autoSpaceDN w:val="0"/>
        <w:spacing w:line="240" w:lineRule="auto"/>
        <w:ind w:left="3402" w:leftChars="1701"/>
        <w:textAlignment w:val="auto"/>
        <w:rPr>
          <w:rFonts w:ascii="Arial" w:hAnsi="Arial" w:cs="Arial"/>
        </w:rPr>
      </w:pPr>
      <w:r>
        <w:rPr>
          <w:rFonts w:ascii="Arial" w:hAnsi="Arial" w:cs="Arial"/>
        </w:rPr>
        <w:t>Estimativa das quantidades a serem contratadas, acompanhada das memórias de cálculo e dos documentos que lhe dão suporte, considerando a interdependência com outras contratações, de modo a possibilitar economia de escala (inciso IV do § 1° do art. 18 da Lei 14.133/21).</w:t>
      </w:r>
    </w:p>
    <w:p w14:paraId="3CD87400">
      <w:pPr>
        <w:widowControl/>
        <w:tabs>
          <w:tab w:val="left" w:pos="0"/>
          <w:tab w:val="left" w:pos="1100"/>
        </w:tabs>
        <w:autoSpaceDE w:val="0"/>
        <w:autoSpaceDN w:val="0"/>
        <w:spacing w:line="240" w:lineRule="auto"/>
        <w:ind w:left="2400" w:leftChars="1200"/>
        <w:textAlignment w:val="auto"/>
        <w:rPr>
          <w:rFonts w:ascii="Arial" w:hAnsi="Arial" w:cs="Arial"/>
          <w:sz w:val="22"/>
          <w:szCs w:val="22"/>
        </w:rPr>
      </w:pPr>
    </w:p>
    <w:p w14:paraId="0B4170F8">
      <w:pPr>
        <w:widowControl/>
        <w:spacing w:line="360" w:lineRule="auto"/>
        <w:rPr>
          <w:rFonts w:ascii="Arial" w:hAnsi="Arial" w:eastAsia="SimSun" w:cs="Arial"/>
          <w:b/>
          <w:bCs/>
          <w:sz w:val="22"/>
          <w:szCs w:val="22"/>
        </w:rPr>
      </w:pPr>
      <w:r>
        <w:rPr>
          <w:rFonts w:ascii="Arial" w:hAnsi="Arial" w:eastAsia="SimSun" w:cs="Arial"/>
          <w:b/>
          <w:bCs/>
          <w:sz w:val="22"/>
          <w:szCs w:val="22"/>
        </w:rPr>
        <w:t xml:space="preserve">2.3.2. </w:t>
      </w:r>
      <w:r>
        <w:rPr>
          <w:rFonts w:ascii="Arial" w:hAnsi="Arial" w:eastAsia="SimSun" w:cs="Arial"/>
          <w:sz w:val="22"/>
          <w:szCs w:val="22"/>
        </w:rPr>
        <w:t>Como critério complementar para a consolidação desses valores, utilizou-se a diretriz do Decreto Municipal nº 359/2023, que autoriza a definição do consumo estimado com base no histórico de utilização anterior ou na provável demanda futura do órgão.</w:t>
      </w:r>
    </w:p>
    <w:p w14:paraId="31D820BE">
      <w:pPr>
        <w:widowControl/>
        <w:spacing w:line="360" w:lineRule="auto"/>
        <w:rPr>
          <w:rFonts w:ascii="Arial" w:hAnsi="Arial" w:eastAsia="SimSun" w:cs="Arial"/>
          <w:b/>
          <w:bCs/>
          <w:sz w:val="22"/>
          <w:szCs w:val="22"/>
        </w:rPr>
      </w:pPr>
      <w:r>
        <w:rPr>
          <w:rFonts w:ascii="Arial" w:hAnsi="Arial" w:eastAsia="SimSun" w:cs="Arial"/>
          <w:b/>
          <w:bCs/>
          <w:sz w:val="22"/>
          <w:szCs w:val="22"/>
        </w:rPr>
        <w:t xml:space="preserve">2.3.3. </w:t>
      </w:r>
      <w:r>
        <w:rPr>
          <w:rFonts w:ascii="Arial" w:hAnsi="Arial" w:eastAsia="SimSun" w:cs="Arial"/>
          <w:sz w:val="22"/>
          <w:szCs w:val="22"/>
        </w:rPr>
        <w:t>No caso específico deste Registro de Preços — voltado para a futura e eventual aquisição de oxigênio gasoso medicinal, acetileno e materiais correlatos —, o dimensionamento da necessidade pública ocorreu a partir das solicitações oficiais enviadas por cada pasta interessada. A intenção de participação no certame foi formalizada pelas Secretarias Municipais por meio de comunicações eletrônicas e documentos físicos protocolados junto à Secretaria de Administração e Modernização, acompanhados de seus respectivos relatórios de consumo médio do último ano</w:t>
      </w:r>
      <w:r>
        <w:rPr>
          <w:rFonts w:ascii="Arial" w:hAnsi="Arial" w:eastAsia="SimSun" w:cs="Arial"/>
          <w:sz w:val="22"/>
          <w:szCs w:val="22"/>
          <w:shd w:val="clear" w:color="auto" w:fill="FFFFFF"/>
        </w:rPr>
        <w:t>.</w:t>
      </w:r>
    </w:p>
    <w:p w14:paraId="4B6CF316">
      <w:pPr>
        <w:widowControl/>
        <w:spacing w:line="360" w:lineRule="auto"/>
        <w:rPr>
          <w:rFonts w:ascii="Arial" w:hAnsi="Arial" w:eastAsia="SimSun" w:cs="Arial"/>
          <w:sz w:val="22"/>
          <w:szCs w:val="22"/>
          <w:shd w:val="clear" w:color="auto" w:fill="FFFFFF"/>
        </w:rPr>
      </w:pPr>
    </w:p>
    <w:p w14:paraId="38527989">
      <w:pPr>
        <w:widowControl/>
        <w:spacing w:line="360" w:lineRule="auto"/>
        <w:rPr>
          <w:rFonts w:ascii="Arial" w:hAnsi="Arial" w:eastAsia="SimSun" w:cs="Arial"/>
          <w:b/>
          <w:bCs/>
          <w:sz w:val="22"/>
          <w:szCs w:val="22"/>
          <w:shd w:val="clear" w:color="auto" w:fill="FFFFFF"/>
        </w:rPr>
      </w:pPr>
      <w:r>
        <w:rPr>
          <w:rFonts w:ascii="Arial" w:hAnsi="Arial" w:cs="Arial"/>
          <w:b/>
          <w:bCs/>
          <w:sz w:val="22"/>
          <w:szCs w:val="22"/>
        </w:rPr>
        <w:t xml:space="preserve">2.3.4. </w:t>
      </w:r>
      <w:r>
        <w:rPr>
          <w:rFonts w:ascii="Arial" w:hAnsi="Arial" w:eastAsia="SimSun" w:cs="Arial"/>
          <w:b/>
          <w:bCs/>
          <w:sz w:val="22"/>
          <w:szCs w:val="22"/>
          <w:shd w:val="clear" w:color="auto" w:fill="FFFFFF"/>
        </w:rPr>
        <w:t>ESTIMATIVAS DAS SECRETARIAS</w:t>
      </w:r>
    </w:p>
    <w:p w14:paraId="4BE9058E">
      <w:pPr>
        <w:widowControl/>
        <w:spacing w:line="360" w:lineRule="auto"/>
        <w:rPr>
          <w:rFonts w:ascii="Arial" w:hAnsi="Arial" w:eastAsia="SimSun" w:cs="Arial"/>
          <w:sz w:val="22"/>
          <w:szCs w:val="22"/>
          <w:shd w:val="clear" w:color="auto" w:fill="FFFFFF"/>
        </w:rPr>
      </w:pPr>
    </w:p>
    <w:p w14:paraId="76E13993">
      <w:pPr>
        <w:widowControl/>
        <w:spacing w:line="240" w:lineRule="auto"/>
        <w:jc w:val="left"/>
        <w:rPr>
          <w:rFonts w:ascii="Arial" w:hAnsi="Arial" w:eastAsia="Tahoma" w:cs="Arial"/>
          <w:b/>
          <w:bCs/>
          <w:color w:val="000000"/>
          <w:sz w:val="22"/>
          <w:szCs w:val="22"/>
          <w:lang w:eastAsia="zh-CN" w:bidi="ar"/>
        </w:rPr>
      </w:pPr>
      <w:r>
        <w:rPr>
          <w:rFonts w:ascii="Arial" w:hAnsi="Arial" w:cs="Arial"/>
          <w:b/>
          <w:bCs/>
          <w:sz w:val="22"/>
          <w:szCs w:val="22"/>
        </w:rPr>
        <w:t xml:space="preserve">2.3.4.1. ESTIMATIVA DA SECRETARIA DE OBRAS </w:t>
      </w:r>
      <w:r>
        <w:rPr>
          <w:rFonts w:ascii="Arial" w:hAnsi="Arial" w:eastAsia="Tahoma" w:cs="Arial"/>
          <w:b/>
          <w:bCs/>
          <w:color w:val="000000"/>
          <w:sz w:val="22"/>
          <w:szCs w:val="22"/>
          <w:lang w:eastAsia="zh-CN" w:bidi="ar"/>
        </w:rPr>
        <w:t>E SERVIÇOS URBANO URBANOS</w:t>
      </w:r>
    </w:p>
    <w:tbl>
      <w:tblPr>
        <w:tblStyle w:val="5"/>
        <w:tblpPr w:leftFromText="180" w:rightFromText="180" w:vertAnchor="text" w:horzAnchor="page" w:tblpX="1076" w:tblpY="258"/>
        <w:tblOverlap w:val="never"/>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276"/>
        <w:gridCol w:w="5103"/>
        <w:gridCol w:w="1559"/>
        <w:gridCol w:w="709"/>
        <w:gridCol w:w="709"/>
      </w:tblGrid>
      <w:tr w14:paraId="50868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675" w:type="dxa"/>
            <w:tcBorders>
              <w:top w:val="single" w:color="auto" w:sz="4" w:space="0"/>
              <w:left w:val="single" w:color="auto" w:sz="4" w:space="0"/>
              <w:bottom w:val="single" w:color="auto" w:sz="4" w:space="0"/>
            </w:tcBorders>
            <w:vAlign w:val="center"/>
          </w:tcPr>
          <w:p w14:paraId="78C44C8F">
            <w:pPr>
              <w:spacing w:line="240" w:lineRule="auto"/>
              <w:textAlignment w:val="center"/>
              <w:rPr>
                <w:rFonts w:ascii="Arial" w:hAnsi="Arial" w:eastAsia="SimSun" w:cs="Arial"/>
                <w:b/>
                <w:bCs/>
                <w:color w:val="000000"/>
                <w:lang w:bidi="ar"/>
              </w:rPr>
            </w:pPr>
            <w:r>
              <w:rPr>
                <w:rFonts w:ascii="Arial" w:hAnsi="Arial" w:eastAsia="SimSun" w:cs="Arial"/>
                <w:b/>
                <w:bCs/>
                <w:color w:val="000000"/>
                <w:lang w:bidi="ar"/>
              </w:rPr>
              <w:t>Item</w:t>
            </w:r>
          </w:p>
        </w:tc>
        <w:tc>
          <w:tcPr>
            <w:tcW w:w="1276" w:type="dxa"/>
            <w:tcBorders>
              <w:top w:val="single" w:color="auto" w:sz="4" w:space="0"/>
              <w:bottom w:val="single" w:color="auto" w:sz="4" w:space="0"/>
            </w:tcBorders>
            <w:vAlign w:val="center"/>
          </w:tcPr>
          <w:p w14:paraId="1DBA1219">
            <w:pPr>
              <w:spacing w:line="240" w:lineRule="auto"/>
              <w:textAlignment w:val="center"/>
              <w:rPr>
                <w:rFonts w:ascii="Arial" w:hAnsi="Arial" w:eastAsia="SimSun" w:cs="Arial"/>
                <w:b/>
                <w:bCs/>
                <w:color w:val="000000"/>
                <w:lang w:bidi="ar"/>
              </w:rPr>
            </w:pPr>
            <w:r>
              <w:rPr>
                <w:rFonts w:ascii="Arial" w:hAnsi="Arial" w:eastAsia="SimSun" w:cs="Arial"/>
                <w:b/>
                <w:bCs/>
                <w:color w:val="000000"/>
                <w:lang w:val="en-US" w:bidi="ar"/>
              </w:rPr>
              <w:t>Cód</w:t>
            </w:r>
            <w:r>
              <w:rPr>
                <w:rFonts w:ascii="Arial" w:hAnsi="Arial" w:eastAsia="SimSun" w:cs="Arial"/>
                <w:b/>
                <w:bCs/>
                <w:color w:val="000000"/>
                <w:lang w:bidi="ar"/>
              </w:rPr>
              <w:t>.  TCE</w:t>
            </w:r>
          </w:p>
        </w:tc>
        <w:tc>
          <w:tcPr>
            <w:tcW w:w="5103" w:type="dxa"/>
            <w:tcBorders>
              <w:top w:val="single" w:color="auto" w:sz="4" w:space="0"/>
              <w:bottom w:val="single" w:color="auto" w:sz="4" w:space="0"/>
            </w:tcBorders>
            <w:vAlign w:val="center"/>
          </w:tcPr>
          <w:p w14:paraId="0654FE36">
            <w:pPr>
              <w:spacing w:line="240" w:lineRule="auto"/>
              <w:textAlignment w:val="center"/>
              <w:rPr>
                <w:rFonts w:ascii="Arial" w:hAnsi="Arial" w:eastAsia="SimSun" w:cs="Arial"/>
                <w:b/>
                <w:bCs/>
                <w:color w:val="000000"/>
                <w:lang w:bidi="ar"/>
              </w:rPr>
            </w:pPr>
            <w:r>
              <w:rPr>
                <w:rFonts w:ascii="Arial" w:hAnsi="Arial" w:eastAsia="SimSun" w:cs="Arial"/>
                <w:b/>
                <w:bCs/>
                <w:color w:val="000000"/>
                <w:lang w:val="en-US" w:bidi="ar"/>
              </w:rPr>
              <w:t>Descrição e especificação</w:t>
            </w:r>
          </w:p>
        </w:tc>
        <w:tc>
          <w:tcPr>
            <w:tcW w:w="1559" w:type="dxa"/>
            <w:tcBorders>
              <w:top w:val="single" w:color="auto" w:sz="4" w:space="0"/>
              <w:bottom w:val="single" w:color="auto" w:sz="4" w:space="0"/>
            </w:tcBorders>
            <w:vAlign w:val="center"/>
          </w:tcPr>
          <w:p w14:paraId="05A908C8">
            <w:pPr>
              <w:spacing w:line="240" w:lineRule="auto"/>
              <w:textAlignment w:val="center"/>
              <w:rPr>
                <w:rFonts w:ascii="Arial" w:hAnsi="Arial" w:eastAsia="SimSun" w:cs="Arial"/>
                <w:b/>
                <w:bCs/>
                <w:color w:val="000000"/>
                <w:sz w:val="18"/>
                <w:szCs w:val="18"/>
                <w:lang w:val="en-US" w:bidi="ar"/>
              </w:rPr>
            </w:pPr>
            <w:r>
              <w:rPr>
                <w:rFonts w:ascii="Arial" w:hAnsi="Arial" w:eastAsia="SimSun" w:cs="Arial"/>
                <w:b/>
                <w:bCs/>
                <w:color w:val="000000"/>
                <w:sz w:val="18"/>
                <w:szCs w:val="18"/>
                <w:lang w:val="en-US" w:bidi="ar"/>
              </w:rPr>
              <w:t>Un</w:t>
            </w:r>
            <w:r>
              <w:rPr>
                <w:rFonts w:ascii="Arial" w:hAnsi="Arial" w:eastAsia="SimSun" w:cs="Arial"/>
                <w:b/>
                <w:bCs/>
                <w:color w:val="000000"/>
                <w:sz w:val="18"/>
                <w:szCs w:val="18"/>
                <w:lang w:bidi="ar"/>
              </w:rPr>
              <w:t>d</w:t>
            </w:r>
          </w:p>
        </w:tc>
        <w:tc>
          <w:tcPr>
            <w:tcW w:w="709" w:type="dxa"/>
            <w:tcBorders>
              <w:top w:val="single" w:color="auto" w:sz="4" w:space="0"/>
              <w:bottom w:val="single" w:color="auto" w:sz="4" w:space="0"/>
            </w:tcBorders>
            <w:vAlign w:val="center"/>
          </w:tcPr>
          <w:p w14:paraId="40C285BF">
            <w:pPr>
              <w:spacing w:line="240" w:lineRule="auto"/>
              <w:textAlignment w:val="center"/>
              <w:rPr>
                <w:rFonts w:ascii="Arial" w:hAnsi="Arial" w:eastAsia="SimSun" w:cs="Arial"/>
                <w:b/>
                <w:bCs/>
                <w:color w:val="000000"/>
                <w:lang w:bidi="ar"/>
              </w:rPr>
            </w:pPr>
            <w:r>
              <w:rPr>
                <w:rFonts w:ascii="Arial" w:hAnsi="Arial" w:eastAsia="SimSun" w:cs="Arial"/>
                <w:b/>
                <w:bCs/>
                <w:color w:val="000000"/>
                <w:lang w:bidi="ar"/>
              </w:rPr>
              <w:t>Mín.</w:t>
            </w:r>
          </w:p>
        </w:tc>
        <w:tc>
          <w:tcPr>
            <w:tcW w:w="709" w:type="dxa"/>
            <w:tcBorders>
              <w:top w:val="single" w:color="auto" w:sz="4" w:space="0"/>
              <w:bottom w:val="single" w:color="auto" w:sz="4" w:space="0"/>
              <w:right w:val="single" w:color="auto" w:sz="4" w:space="0"/>
            </w:tcBorders>
            <w:vAlign w:val="center"/>
          </w:tcPr>
          <w:p w14:paraId="0191C6DC">
            <w:pPr>
              <w:spacing w:line="240" w:lineRule="auto"/>
              <w:textAlignment w:val="center"/>
              <w:rPr>
                <w:rFonts w:ascii="Arial" w:hAnsi="Arial" w:eastAsia="SimSun" w:cs="Arial"/>
                <w:b/>
                <w:bCs/>
                <w:color w:val="000000"/>
                <w:lang w:bidi="ar"/>
              </w:rPr>
            </w:pPr>
            <w:r>
              <w:rPr>
                <w:rFonts w:ascii="Arial" w:hAnsi="Arial" w:eastAsia="SimSun" w:cs="Arial"/>
                <w:b/>
                <w:bCs/>
                <w:color w:val="000000"/>
                <w:lang w:bidi="ar"/>
              </w:rPr>
              <w:t>QTD</w:t>
            </w:r>
          </w:p>
        </w:tc>
      </w:tr>
      <w:tr w14:paraId="3E4F7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Borders>
              <w:top w:val="single" w:color="auto" w:sz="4" w:space="0"/>
              <w:left w:val="single" w:color="auto" w:sz="4" w:space="0"/>
              <w:bottom w:val="single" w:color="auto" w:sz="4" w:space="0"/>
            </w:tcBorders>
            <w:vAlign w:val="center"/>
          </w:tcPr>
          <w:p w14:paraId="547E8955">
            <w:pPr>
              <w:spacing w:line="240" w:lineRule="auto"/>
              <w:textAlignment w:val="center"/>
              <w:rPr>
                <w:rFonts w:ascii="Arial" w:hAnsi="Arial" w:cs="Arial"/>
              </w:rPr>
            </w:pPr>
            <w:r>
              <w:rPr>
                <w:rFonts w:ascii="Arial" w:hAnsi="Arial" w:cs="Arial"/>
                <w:lang w:val="en-US"/>
              </w:rPr>
              <w:t>1</w:t>
            </w:r>
          </w:p>
        </w:tc>
        <w:tc>
          <w:tcPr>
            <w:tcW w:w="1276" w:type="dxa"/>
            <w:tcBorders>
              <w:top w:val="single" w:color="auto" w:sz="4" w:space="0"/>
              <w:bottom w:val="single" w:color="auto" w:sz="4" w:space="0"/>
            </w:tcBorders>
            <w:vAlign w:val="center"/>
          </w:tcPr>
          <w:p w14:paraId="15677113">
            <w:pPr>
              <w:spacing w:line="240" w:lineRule="auto"/>
              <w:textAlignment w:val="center"/>
              <w:rPr>
                <w:rFonts w:ascii="Arial" w:hAnsi="Arial" w:cs="Arial"/>
                <w:lang w:val="en-US"/>
              </w:rPr>
            </w:pPr>
            <w:r>
              <w:rPr>
                <w:rFonts w:ascii="Arial" w:hAnsi="Arial" w:cs="Arial"/>
                <w:lang w:val="en-US"/>
              </w:rPr>
              <w:t>175087-9</w:t>
            </w:r>
          </w:p>
        </w:tc>
        <w:tc>
          <w:tcPr>
            <w:tcW w:w="5103" w:type="dxa"/>
            <w:tcBorders>
              <w:top w:val="single" w:color="auto" w:sz="4" w:space="0"/>
              <w:bottom w:val="single" w:color="auto" w:sz="4" w:space="0"/>
            </w:tcBorders>
            <w:vAlign w:val="center"/>
          </w:tcPr>
          <w:p w14:paraId="3C69AEA9">
            <w:pPr>
              <w:spacing w:line="240" w:lineRule="auto"/>
              <w:textAlignment w:val="center"/>
              <w:rPr>
                <w:rFonts w:ascii="Arial" w:hAnsi="Arial" w:cs="Arial"/>
                <w:sz w:val="18"/>
                <w:szCs w:val="18"/>
                <w:lang w:val="en-US"/>
              </w:rPr>
            </w:pPr>
            <w:r>
              <w:rPr>
                <w:rFonts w:ascii="Arial" w:hAnsi="Arial" w:cs="Arial"/>
                <w:sz w:val="18"/>
                <w:szCs w:val="18"/>
                <w:lang w:val="en-US"/>
              </w:rPr>
              <w:t>ACETILENO - PRODUTO</w:t>
            </w:r>
            <w:r>
              <w:rPr>
                <w:rFonts w:ascii="Arial" w:hAnsi="Arial" w:cs="Arial"/>
                <w:sz w:val="18"/>
                <w:szCs w:val="18"/>
              </w:rPr>
              <w:t xml:space="preserve"> </w:t>
            </w:r>
            <w:r>
              <w:rPr>
                <w:rFonts w:ascii="Arial" w:hAnsi="Arial" w:cs="Arial"/>
                <w:sz w:val="18"/>
                <w:szCs w:val="18"/>
                <w:lang w:val="en-US"/>
              </w:rPr>
              <w:t>FORNECIDO NO ESTADO</w:t>
            </w:r>
            <w:r>
              <w:rPr>
                <w:rFonts w:ascii="Arial" w:hAnsi="Arial" w:cs="Arial"/>
                <w:sz w:val="18"/>
                <w:szCs w:val="18"/>
              </w:rPr>
              <w:t xml:space="preserve"> </w:t>
            </w:r>
            <w:r>
              <w:rPr>
                <w:rFonts w:ascii="Arial" w:hAnsi="Arial" w:cs="Arial"/>
                <w:sz w:val="18"/>
                <w:szCs w:val="18"/>
                <w:lang w:val="en-US"/>
              </w:rPr>
              <w:t>GASOSO, ACONDICIONADO EM</w:t>
            </w:r>
            <w:r>
              <w:rPr>
                <w:rFonts w:ascii="Arial" w:hAnsi="Arial" w:cs="Arial"/>
                <w:sz w:val="18"/>
                <w:szCs w:val="18"/>
              </w:rPr>
              <w:t xml:space="preserve"> </w:t>
            </w:r>
            <w:r>
              <w:rPr>
                <w:rFonts w:ascii="Arial" w:hAnsi="Arial" w:cs="Arial"/>
                <w:sz w:val="18"/>
                <w:szCs w:val="18"/>
                <w:lang w:val="en-US"/>
              </w:rPr>
              <w:t>CILINDRO DE BAIXA PRESSAO.</w:t>
            </w:r>
            <w:r>
              <w:rPr>
                <w:rFonts w:ascii="Arial" w:hAnsi="Arial" w:cs="Arial"/>
                <w:sz w:val="18"/>
                <w:szCs w:val="18"/>
              </w:rPr>
              <w:t xml:space="preserve"> </w:t>
            </w:r>
            <w:r>
              <w:rPr>
                <w:rFonts w:ascii="Arial" w:hAnsi="Arial" w:cs="Arial"/>
                <w:sz w:val="18"/>
                <w:szCs w:val="18"/>
                <w:lang w:val="en-US"/>
              </w:rPr>
              <w:t>FORNECIDO EM CILINDRO DE</w:t>
            </w:r>
            <w:r>
              <w:rPr>
                <w:rFonts w:ascii="Arial" w:hAnsi="Arial" w:cs="Arial"/>
                <w:sz w:val="18"/>
                <w:szCs w:val="18"/>
              </w:rPr>
              <w:t xml:space="preserve"> </w:t>
            </w:r>
            <w:r>
              <w:rPr>
                <w:rFonts w:ascii="Arial" w:hAnsi="Arial" w:cs="Arial"/>
                <w:sz w:val="18"/>
                <w:szCs w:val="18"/>
                <w:lang w:val="en-US"/>
              </w:rPr>
              <w:t>CARGA DE 9 KG.</w:t>
            </w:r>
          </w:p>
        </w:tc>
        <w:tc>
          <w:tcPr>
            <w:tcW w:w="1559" w:type="dxa"/>
            <w:tcBorders>
              <w:top w:val="single" w:color="auto" w:sz="4" w:space="0"/>
              <w:bottom w:val="single" w:color="auto" w:sz="4" w:space="0"/>
            </w:tcBorders>
            <w:vAlign w:val="center"/>
          </w:tcPr>
          <w:p w14:paraId="3D5E4B2F">
            <w:pPr>
              <w:spacing w:line="240" w:lineRule="auto"/>
              <w:textAlignment w:val="center"/>
              <w:rPr>
                <w:rFonts w:ascii="Arial" w:hAnsi="Arial" w:cs="Arial"/>
                <w:sz w:val="18"/>
                <w:szCs w:val="18"/>
                <w:lang w:val="en-US"/>
              </w:rPr>
            </w:pPr>
            <w:r>
              <w:rPr>
                <w:rFonts w:ascii="Arial" w:hAnsi="Arial" w:cs="Arial"/>
                <w:sz w:val="18"/>
                <w:szCs w:val="18"/>
                <w:lang w:val="en-US"/>
              </w:rPr>
              <w:t>QUILOGRAMA</w:t>
            </w:r>
          </w:p>
        </w:tc>
        <w:tc>
          <w:tcPr>
            <w:tcW w:w="709" w:type="dxa"/>
            <w:tcBorders>
              <w:top w:val="single" w:color="auto" w:sz="4" w:space="0"/>
              <w:bottom w:val="single" w:color="auto" w:sz="4" w:space="0"/>
            </w:tcBorders>
            <w:vAlign w:val="center"/>
          </w:tcPr>
          <w:p w14:paraId="65770FFB">
            <w:pPr>
              <w:spacing w:line="240" w:lineRule="auto"/>
              <w:textAlignment w:val="center"/>
              <w:rPr>
                <w:rFonts w:ascii="Arial" w:hAnsi="Arial" w:cs="Arial"/>
                <w:lang w:val="en-US"/>
              </w:rPr>
            </w:pPr>
            <w:r>
              <w:rPr>
                <w:rFonts w:ascii="Arial" w:hAnsi="Arial" w:cs="Arial"/>
                <w:lang w:val="en-US"/>
              </w:rPr>
              <w:t>9</w:t>
            </w:r>
          </w:p>
        </w:tc>
        <w:tc>
          <w:tcPr>
            <w:tcW w:w="709" w:type="dxa"/>
            <w:tcBorders>
              <w:top w:val="single" w:color="auto" w:sz="4" w:space="0"/>
              <w:bottom w:val="single" w:color="auto" w:sz="4" w:space="0"/>
              <w:right w:val="single" w:color="auto" w:sz="4" w:space="0"/>
            </w:tcBorders>
            <w:vAlign w:val="center"/>
          </w:tcPr>
          <w:p w14:paraId="23ACFC15">
            <w:pPr>
              <w:spacing w:line="240" w:lineRule="auto"/>
              <w:textAlignment w:val="center"/>
              <w:rPr>
                <w:rFonts w:ascii="Arial" w:hAnsi="Arial" w:cs="Arial"/>
                <w:lang w:val="en-US"/>
              </w:rPr>
            </w:pPr>
            <w:r>
              <w:rPr>
                <w:rFonts w:ascii="Arial" w:hAnsi="Arial" w:cs="Arial"/>
                <w:lang w:val="en-US"/>
              </w:rPr>
              <w:t>90</w:t>
            </w:r>
          </w:p>
        </w:tc>
      </w:tr>
      <w:tr w14:paraId="48C95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Borders>
              <w:top w:val="single" w:color="auto" w:sz="4" w:space="0"/>
              <w:left w:val="single" w:color="auto" w:sz="4" w:space="0"/>
              <w:bottom w:val="single" w:color="auto" w:sz="4" w:space="0"/>
            </w:tcBorders>
            <w:vAlign w:val="center"/>
          </w:tcPr>
          <w:p w14:paraId="0A22693D">
            <w:pPr>
              <w:spacing w:line="240" w:lineRule="auto"/>
              <w:textAlignment w:val="center"/>
              <w:rPr>
                <w:rFonts w:ascii="Arial" w:hAnsi="Arial" w:cs="Arial"/>
              </w:rPr>
            </w:pPr>
            <w:r>
              <w:rPr>
                <w:rFonts w:ascii="Arial" w:hAnsi="Arial" w:cs="Arial"/>
                <w:lang w:val="en-US"/>
              </w:rPr>
              <w:t>5</w:t>
            </w:r>
          </w:p>
        </w:tc>
        <w:tc>
          <w:tcPr>
            <w:tcW w:w="1276" w:type="dxa"/>
            <w:tcBorders>
              <w:top w:val="single" w:color="auto" w:sz="4" w:space="0"/>
              <w:bottom w:val="single" w:color="auto" w:sz="4" w:space="0"/>
            </w:tcBorders>
            <w:vAlign w:val="center"/>
          </w:tcPr>
          <w:p w14:paraId="652BFE95">
            <w:pPr>
              <w:spacing w:line="240" w:lineRule="auto"/>
              <w:textAlignment w:val="center"/>
              <w:rPr>
                <w:rFonts w:ascii="Arial" w:hAnsi="Arial" w:cs="Arial"/>
                <w:lang w:val="en-US"/>
              </w:rPr>
            </w:pPr>
            <w:r>
              <w:rPr>
                <w:rFonts w:ascii="Arial" w:hAnsi="Arial" w:cs="Arial"/>
                <w:lang w:val="en-US"/>
              </w:rPr>
              <w:t>407996-5</w:t>
            </w:r>
          </w:p>
        </w:tc>
        <w:tc>
          <w:tcPr>
            <w:tcW w:w="5103" w:type="dxa"/>
            <w:tcBorders>
              <w:top w:val="single" w:color="auto" w:sz="4" w:space="0"/>
              <w:bottom w:val="single" w:color="auto" w:sz="4" w:space="0"/>
            </w:tcBorders>
            <w:vAlign w:val="center"/>
          </w:tcPr>
          <w:p w14:paraId="63D28786">
            <w:pPr>
              <w:spacing w:line="240" w:lineRule="auto"/>
              <w:textAlignment w:val="center"/>
              <w:rPr>
                <w:rFonts w:ascii="Arial" w:hAnsi="Arial" w:cs="Arial"/>
                <w:sz w:val="18"/>
                <w:szCs w:val="18"/>
                <w:lang w:val="en-US"/>
              </w:rPr>
            </w:pPr>
            <w:r>
              <w:rPr>
                <w:rFonts w:ascii="Arial" w:hAnsi="Arial" w:cs="Arial"/>
                <w:sz w:val="18"/>
                <w:szCs w:val="18"/>
                <w:lang w:val="en-US"/>
              </w:rPr>
              <w:t>MISTURA DE GAS ARGONIO E DIOXIDO DE CARBONO ACONDICIONADO EM CILINDRO DE 10M³ FORNECIDO EM CONCENTRACAO DE 5% A 25% DE DIOXIDO DE CARBONO (CO2) COM ARGONIO EM BALANCO</w:t>
            </w:r>
          </w:p>
        </w:tc>
        <w:tc>
          <w:tcPr>
            <w:tcW w:w="1559" w:type="dxa"/>
            <w:tcBorders>
              <w:top w:val="single" w:color="auto" w:sz="4" w:space="0"/>
              <w:bottom w:val="single" w:color="auto" w:sz="4" w:space="0"/>
            </w:tcBorders>
            <w:vAlign w:val="center"/>
          </w:tcPr>
          <w:p w14:paraId="1EA60104">
            <w:pPr>
              <w:spacing w:line="240" w:lineRule="auto"/>
              <w:textAlignment w:val="center"/>
              <w:rPr>
                <w:rFonts w:ascii="Arial" w:hAnsi="Arial" w:cs="Arial"/>
                <w:sz w:val="18"/>
                <w:szCs w:val="18"/>
                <w:lang w:val="en-US"/>
              </w:rPr>
            </w:pPr>
            <w:r>
              <w:rPr>
                <w:rFonts w:ascii="Arial" w:hAnsi="Arial" w:cs="Arial"/>
                <w:sz w:val="18"/>
                <w:szCs w:val="18"/>
                <w:lang w:val="en-US"/>
              </w:rPr>
              <w:t>CILINDRO 10,000 METRO CUBICO</w:t>
            </w:r>
          </w:p>
        </w:tc>
        <w:tc>
          <w:tcPr>
            <w:tcW w:w="709" w:type="dxa"/>
            <w:tcBorders>
              <w:top w:val="single" w:color="auto" w:sz="4" w:space="0"/>
              <w:bottom w:val="single" w:color="auto" w:sz="4" w:space="0"/>
            </w:tcBorders>
            <w:vAlign w:val="center"/>
          </w:tcPr>
          <w:p w14:paraId="6181A80E">
            <w:pPr>
              <w:spacing w:line="240" w:lineRule="auto"/>
              <w:textAlignment w:val="center"/>
              <w:rPr>
                <w:rFonts w:ascii="Arial" w:hAnsi="Arial" w:cs="Arial"/>
                <w:lang w:val="en-US"/>
              </w:rPr>
            </w:pPr>
            <w:r>
              <w:rPr>
                <w:rFonts w:ascii="Arial" w:hAnsi="Arial" w:cs="Arial"/>
                <w:lang w:val="en-US"/>
              </w:rPr>
              <w:t>6</w:t>
            </w:r>
          </w:p>
        </w:tc>
        <w:tc>
          <w:tcPr>
            <w:tcW w:w="709" w:type="dxa"/>
            <w:tcBorders>
              <w:top w:val="single" w:color="auto" w:sz="4" w:space="0"/>
              <w:bottom w:val="single" w:color="auto" w:sz="4" w:space="0"/>
              <w:right w:val="single" w:color="auto" w:sz="4" w:space="0"/>
            </w:tcBorders>
            <w:vAlign w:val="center"/>
          </w:tcPr>
          <w:p w14:paraId="4619045E">
            <w:pPr>
              <w:spacing w:line="240" w:lineRule="auto"/>
              <w:textAlignment w:val="center"/>
              <w:rPr>
                <w:rFonts w:ascii="Arial" w:hAnsi="Arial" w:cs="Arial"/>
                <w:lang w:val="en-US"/>
              </w:rPr>
            </w:pPr>
            <w:r>
              <w:rPr>
                <w:rFonts w:ascii="Arial" w:hAnsi="Arial" w:cs="Arial"/>
                <w:lang w:val="en-US"/>
              </w:rPr>
              <w:t>60</w:t>
            </w:r>
          </w:p>
        </w:tc>
      </w:tr>
      <w:tr w14:paraId="11DB3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Borders>
              <w:top w:val="single" w:color="auto" w:sz="4" w:space="0"/>
              <w:left w:val="single" w:color="auto" w:sz="4" w:space="0"/>
              <w:bottom w:val="single" w:color="auto" w:sz="4" w:space="0"/>
            </w:tcBorders>
            <w:vAlign w:val="center"/>
          </w:tcPr>
          <w:p w14:paraId="6F2DA82D">
            <w:pPr>
              <w:spacing w:line="240" w:lineRule="auto"/>
              <w:textAlignment w:val="center"/>
              <w:rPr>
                <w:rFonts w:ascii="Arial" w:hAnsi="Arial" w:cs="Arial"/>
                <w:lang w:val="en-US"/>
              </w:rPr>
            </w:pPr>
            <w:r>
              <w:rPr>
                <w:rFonts w:ascii="Arial" w:hAnsi="Arial" w:cs="Arial"/>
                <w:lang w:val="en-US"/>
              </w:rPr>
              <w:t>7</w:t>
            </w:r>
          </w:p>
        </w:tc>
        <w:tc>
          <w:tcPr>
            <w:tcW w:w="1276" w:type="dxa"/>
            <w:tcBorders>
              <w:top w:val="single" w:color="auto" w:sz="4" w:space="0"/>
              <w:bottom w:val="single" w:color="auto" w:sz="4" w:space="0"/>
            </w:tcBorders>
            <w:vAlign w:val="center"/>
          </w:tcPr>
          <w:p w14:paraId="4599C3C7">
            <w:pPr>
              <w:spacing w:line="240" w:lineRule="auto"/>
              <w:textAlignment w:val="center"/>
              <w:rPr>
                <w:rFonts w:ascii="Arial" w:hAnsi="Arial" w:cs="Arial"/>
                <w:lang w:val="en-US"/>
              </w:rPr>
            </w:pPr>
            <w:r>
              <w:rPr>
                <w:rFonts w:ascii="Arial" w:hAnsi="Arial" w:cs="Arial"/>
                <w:lang w:val="en-US"/>
              </w:rPr>
              <w:t>230590-9</w:t>
            </w:r>
          </w:p>
        </w:tc>
        <w:tc>
          <w:tcPr>
            <w:tcW w:w="5103" w:type="dxa"/>
            <w:tcBorders>
              <w:top w:val="single" w:color="auto" w:sz="4" w:space="0"/>
              <w:bottom w:val="single" w:color="auto" w:sz="4" w:space="0"/>
            </w:tcBorders>
            <w:vAlign w:val="center"/>
          </w:tcPr>
          <w:p w14:paraId="36F885D5">
            <w:pPr>
              <w:spacing w:line="240" w:lineRule="auto"/>
              <w:textAlignment w:val="center"/>
              <w:rPr>
                <w:rFonts w:ascii="Arial" w:hAnsi="Arial" w:cs="Arial"/>
                <w:sz w:val="18"/>
                <w:szCs w:val="18"/>
                <w:lang w:val="en-US"/>
              </w:rPr>
            </w:pPr>
            <w:r>
              <w:rPr>
                <w:rFonts w:ascii="Arial" w:hAnsi="Arial" w:cs="Arial"/>
                <w:sz w:val="18"/>
                <w:szCs w:val="18"/>
                <w:lang w:val="en-US"/>
              </w:rPr>
              <w:t>OXIGENIO GASOSO - COM ELEMENTO OXIGENIO INDUSTRIAL SOLDA NAO LIQUEFEITO, EM ESTADO GASOSO E ACONDICIONADO EM CILINDROS DE ALTA PRESSAO, GRAU DE PUREZA MINIMO DE 99,5, FORNECIDO EM CILINDRO DE CARGA DE 10M3.</w:t>
            </w:r>
          </w:p>
        </w:tc>
        <w:tc>
          <w:tcPr>
            <w:tcW w:w="1559" w:type="dxa"/>
            <w:tcBorders>
              <w:top w:val="single" w:color="auto" w:sz="4" w:space="0"/>
              <w:bottom w:val="single" w:color="auto" w:sz="4" w:space="0"/>
            </w:tcBorders>
            <w:vAlign w:val="center"/>
          </w:tcPr>
          <w:p w14:paraId="7732FC5D">
            <w:pPr>
              <w:spacing w:line="240" w:lineRule="auto"/>
              <w:textAlignment w:val="center"/>
              <w:rPr>
                <w:rFonts w:ascii="Arial" w:hAnsi="Arial" w:cs="Arial"/>
                <w:sz w:val="18"/>
                <w:szCs w:val="18"/>
                <w:lang w:val="en-US"/>
              </w:rPr>
            </w:pPr>
            <w:r>
              <w:rPr>
                <w:rFonts w:ascii="Arial" w:hAnsi="Arial" w:cs="Arial"/>
                <w:sz w:val="18"/>
                <w:szCs w:val="18"/>
                <w:lang w:val="en-US"/>
              </w:rPr>
              <w:t>METRO CUBICO</w:t>
            </w:r>
          </w:p>
        </w:tc>
        <w:tc>
          <w:tcPr>
            <w:tcW w:w="709" w:type="dxa"/>
            <w:tcBorders>
              <w:top w:val="single" w:color="auto" w:sz="4" w:space="0"/>
              <w:bottom w:val="single" w:color="auto" w:sz="4" w:space="0"/>
            </w:tcBorders>
            <w:vAlign w:val="center"/>
          </w:tcPr>
          <w:p w14:paraId="7A0880A1">
            <w:pPr>
              <w:spacing w:line="240" w:lineRule="auto"/>
              <w:textAlignment w:val="center"/>
              <w:rPr>
                <w:rFonts w:ascii="Arial" w:hAnsi="Arial" w:cs="Arial"/>
                <w:lang w:val="en-US"/>
              </w:rPr>
            </w:pPr>
            <w:r>
              <w:rPr>
                <w:rFonts w:ascii="Arial" w:hAnsi="Arial" w:cs="Arial"/>
                <w:lang w:val="en-US"/>
              </w:rPr>
              <w:t>20</w:t>
            </w:r>
          </w:p>
        </w:tc>
        <w:tc>
          <w:tcPr>
            <w:tcW w:w="709" w:type="dxa"/>
            <w:tcBorders>
              <w:top w:val="single" w:color="auto" w:sz="4" w:space="0"/>
              <w:bottom w:val="single" w:color="auto" w:sz="4" w:space="0"/>
              <w:right w:val="single" w:color="auto" w:sz="4" w:space="0"/>
            </w:tcBorders>
            <w:vAlign w:val="center"/>
          </w:tcPr>
          <w:p w14:paraId="333BA2A4">
            <w:pPr>
              <w:spacing w:line="240" w:lineRule="auto"/>
              <w:textAlignment w:val="center"/>
              <w:rPr>
                <w:rFonts w:ascii="Arial" w:hAnsi="Arial" w:cs="Arial"/>
                <w:lang w:val="en-US"/>
              </w:rPr>
            </w:pPr>
            <w:r>
              <w:rPr>
                <w:rFonts w:ascii="Arial" w:hAnsi="Arial" w:cs="Arial"/>
                <w:lang w:val="en-US"/>
              </w:rPr>
              <w:t>200</w:t>
            </w:r>
          </w:p>
        </w:tc>
      </w:tr>
      <w:tr w14:paraId="0DC0C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Borders>
              <w:top w:val="single" w:color="auto" w:sz="4" w:space="0"/>
              <w:left w:val="single" w:color="auto" w:sz="4" w:space="0"/>
              <w:bottom w:val="single" w:color="auto" w:sz="4" w:space="0"/>
            </w:tcBorders>
            <w:vAlign w:val="center"/>
          </w:tcPr>
          <w:p w14:paraId="218105E0">
            <w:pPr>
              <w:spacing w:line="240" w:lineRule="auto"/>
              <w:textAlignment w:val="center"/>
              <w:rPr>
                <w:rFonts w:ascii="Arial" w:hAnsi="Arial" w:cs="Arial"/>
              </w:rPr>
            </w:pPr>
            <w:r>
              <w:rPr>
                <w:rFonts w:ascii="Arial" w:hAnsi="Arial" w:cs="Arial"/>
                <w:lang w:val="en-US"/>
              </w:rPr>
              <w:t>11</w:t>
            </w:r>
          </w:p>
        </w:tc>
        <w:tc>
          <w:tcPr>
            <w:tcW w:w="1276" w:type="dxa"/>
            <w:tcBorders>
              <w:top w:val="single" w:color="auto" w:sz="4" w:space="0"/>
              <w:bottom w:val="single" w:color="auto" w:sz="4" w:space="0"/>
            </w:tcBorders>
            <w:vAlign w:val="center"/>
          </w:tcPr>
          <w:p w14:paraId="6DCB3638">
            <w:pPr>
              <w:spacing w:line="240" w:lineRule="auto"/>
              <w:textAlignment w:val="center"/>
              <w:rPr>
                <w:rFonts w:ascii="Arial" w:hAnsi="Arial" w:cs="Arial"/>
                <w:lang w:val="en-US"/>
              </w:rPr>
            </w:pPr>
            <w:r>
              <w:rPr>
                <w:rFonts w:ascii="Arial" w:hAnsi="Arial" w:cs="Arial"/>
                <w:lang w:val="en-US"/>
              </w:rPr>
              <w:t>226063-8</w:t>
            </w:r>
          </w:p>
        </w:tc>
        <w:tc>
          <w:tcPr>
            <w:tcW w:w="5103" w:type="dxa"/>
            <w:tcBorders>
              <w:top w:val="single" w:color="auto" w:sz="4" w:space="0"/>
              <w:bottom w:val="single" w:color="auto" w:sz="4" w:space="0"/>
            </w:tcBorders>
            <w:vAlign w:val="center"/>
          </w:tcPr>
          <w:p w14:paraId="27EBE600">
            <w:pPr>
              <w:spacing w:line="240" w:lineRule="auto"/>
              <w:textAlignment w:val="center"/>
              <w:rPr>
                <w:rFonts w:ascii="Arial" w:hAnsi="Arial" w:cs="Arial"/>
                <w:sz w:val="18"/>
                <w:szCs w:val="18"/>
                <w:lang w:val="en-US"/>
              </w:rPr>
            </w:pPr>
            <w:r>
              <w:rPr>
                <w:rFonts w:ascii="Arial" w:hAnsi="Arial" w:cs="Arial"/>
                <w:sz w:val="18"/>
                <w:szCs w:val="18"/>
                <w:lang w:val="en-US"/>
              </w:rPr>
              <w:t>REGULADOR DE PRESSAO PARA CILINDRO DE ACETILENO COM DOIS MANOMETROS. 1 MANOMETRO; 0 ATE 5 KG/CM³; 0 ATE 70 PSI. 2 MANOMETRO; 0-40 KG/CM³; 0-600 PSI. ALTA DURABILIDADE; ESCALA DE FACIL LEITURA; FACIL MANUTENCAO; CORPO EM LATAO FORJADO; PRECISAO NA LEITURA.</w:t>
            </w:r>
          </w:p>
        </w:tc>
        <w:tc>
          <w:tcPr>
            <w:tcW w:w="1559" w:type="dxa"/>
            <w:tcBorders>
              <w:top w:val="single" w:color="auto" w:sz="4" w:space="0"/>
              <w:bottom w:val="single" w:color="auto" w:sz="4" w:space="0"/>
            </w:tcBorders>
            <w:vAlign w:val="center"/>
          </w:tcPr>
          <w:p w14:paraId="1FE357F5">
            <w:pPr>
              <w:spacing w:line="240" w:lineRule="auto"/>
              <w:textAlignment w:val="center"/>
              <w:rPr>
                <w:rFonts w:ascii="Arial" w:hAnsi="Arial" w:cs="Arial"/>
                <w:sz w:val="18"/>
                <w:szCs w:val="18"/>
                <w:lang w:val="en-US"/>
              </w:rPr>
            </w:pPr>
            <w:r>
              <w:rPr>
                <w:rFonts w:ascii="Arial" w:hAnsi="Arial" w:cs="Arial"/>
                <w:sz w:val="18"/>
                <w:szCs w:val="18"/>
                <w:lang w:val="en-US"/>
              </w:rPr>
              <w:t>UNIDADE</w:t>
            </w:r>
          </w:p>
        </w:tc>
        <w:tc>
          <w:tcPr>
            <w:tcW w:w="709" w:type="dxa"/>
            <w:tcBorders>
              <w:top w:val="single" w:color="auto" w:sz="4" w:space="0"/>
              <w:bottom w:val="single" w:color="auto" w:sz="4" w:space="0"/>
            </w:tcBorders>
            <w:vAlign w:val="center"/>
          </w:tcPr>
          <w:p w14:paraId="6FB21031">
            <w:pPr>
              <w:spacing w:line="240" w:lineRule="auto"/>
              <w:textAlignment w:val="center"/>
              <w:rPr>
                <w:rFonts w:ascii="Arial" w:hAnsi="Arial" w:cs="Arial"/>
                <w:lang w:val="en-US"/>
              </w:rPr>
            </w:pPr>
            <w:r>
              <w:rPr>
                <w:rFonts w:ascii="Arial" w:hAnsi="Arial" w:cs="Arial"/>
                <w:lang w:val="en-US"/>
              </w:rPr>
              <w:t>1</w:t>
            </w:r>
          </w:p>
        </w:tc>
        <w:tc>
          <w:tcPr>
            <w:tcW w:w="709" w:type="dxa"/>
            <w:tcBorders>
              <w:top w:val="single" w:color="auto" w:sz="4" w:space="0"/>
              <w:bottom w:val="single" w:color="auto" w:sz="4" w:space="0"/>
              <w:right w:val="single" w:color="auto" w:sz="4" w:space="0"/>
            </w:tcBorders>
            <w:vAlign w:val="center"/>
          </w:tcPr>
          <w:p w14:paraId="1D241EDD">
            <w:pPr>
              <w:spacing w:line="240" w:lineRule="auto"/>
              <w:textAlignment w:val="center"/>
              <w:rPr>
                <w:rFonts w:ascii="Arial" w:hAnsi="Arial" w:cs="Arial"/>
                <w:lang w:val="en-US"/>
              </w:rPr>
            </w:pPr>
            <w:r>
              <w:rPr>
                <w:rFonts w:ascii="Arial" w:hAnsi="Arial" w:cs="Arial"/>
                <w:lang w:val="en-US"/>
              </w:rPr>
              <w:t>1</w:t>
            </w:r>
          </w:p>
        </w:tc>
      </w:tr>
      <w:tr w14:paraId="79ABE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Borders>
              <w:top w:val="single" w:color="auto" w:sz="4" w:space="0"/>
              <w:left w:val="single" w:color="auto" w:sz="4" w:space="0"/>
              <w:bottom w:val="single" w:color="auto" w:sz="4" w:space="0"/>
            </w:tcBorders>
            <w:vAlign w:val="center"/>
          </w:tcPr>
          <w:p w14:paraId="38F41BDF">
            <w:pPr>
              <w:spacing w:line="240" w:lineRule="auto"/>
              <w:textAlignment w:val="center"/>
              <w:rPr>
                <w:rFonts w:ascii="Arial" w:hAnsi="Arial" w:cs="Arial"/>
                <w:lang w:val="en-US"/>
              </w:rPr>
            </w:pPr>
            <w:r>
              <w:rPr>
                <w:rFonts w:ascii="Arial" w:hAnsi="Arial" w:cs="Arial"/>
                <w:lang w:val="en-US"/>
              </w:rPr>
              <w:t>12</w:t>
            </w:r>
          </w:p>
        </w:tc>
        <w:tc>
          <w:tcPr>
            <w:tcW w:w="1276" w:type="dxa"/>
            <w:tcBorders>
              <w:top w:val="single" w:color="auto" w:sz="4" w:space="0"/>
              <w:bottom w:val="single" w:color="auto" w:sz="4" w:space="0"/>
            </w:tcBorders>
            <w:vAlign w:val="center"/>
          </w:tcPr>
          <w:p w14:paraId="07DDFCC7">
            <w:pPr>
              <w:spacing w:line="240" w:lineRule="auto"/>
              <w:textAlignment w:val="center"/>
              <w:rPr>
                <w:rFonts w:ascii="Arial" w:hAnsi="Arial" w:cs="Arial"/>
                <w:lang w:val="en-US"/>
              </w:rPr>
            </w:pPr>
            <w:r>
              <w:rPr>
                <w:rFonts w:ascii="Arial" w:hAnsi="Arial" w:cs="Arial"/>
                <w:lang w:val="en-US"/>
              </w:rPr>
              <w:t>150913-6</w:t>
            </w:r>
          </w:p>
        </w:tc>
        <w:tc>
          <w:tcPr>
            <w:tcW w:w="5103" w:type="dxa"/>
            <w:tcBorders>
              <w:top w:val="single" w:color="auto" w:sz="4" w:space="0"/>
              <w:bottom w:val="single" w:color="auto" w:sz="4" w:space="0"/>
            </w:tcBorders>
            <w:vAlign w:val="center"/>
          </w:tcPr>
          <w:p w14:paraId="6A370BB3">
            <w:pPr>
              <w:spacing w:line="240" w:lineRule="auto"/>
              <w:textAlignment w:val="center"/>
              <w:rPr>
                <w:rFonts w:ascii="Arial" w:hAnsi="Arial" w:cs="Arial"/>
                <w:sz w:val="18"/>
                <w:szCs w:val="18"/>
                <w:lang w:val="en-US"/>
              </w:rPr>
            </w:pPr>
            <w:r>
              <w:rPr>
                <w:rFonts w:ascii="Arial" w:hAnsi="Arial" w:cs="Arial"/>
                <w:sz w:val="18"/>
                <w:szCs w:val="18"/>
                <w:lang w:val="en-US"/>
              </w:rPr>
              <w:t>REGULADOR DE PRESSAO PARA CILINDRO DE OXIGENIO; CORPO TOTALMENTE FORJADO EM LATAO. VALVULA DE SEGURANCA EXTERNA, DESTINADO AO USO EM SISTEMAS DE ALTA PRESSAO. CONEXAO DE ENTRADA: PORCA ROSCA DIREITA INTERNA W21.8 X 1/14 (ABNT 218-1). CONEXAO DE SAIDA: NIPLE COM CONEXAO TIPO UNIAO PARA PORCA ROSCA DIREITA 9/16 UNF-18. PRESSAO MAXIMA DE ENTRADA: 220 KGF / CM². MANOMETRO DE ENTRADA: DIAMETRO NOMINAL 62MMM, CAIXA EM LATAO FORJADO PINTURA DOURADO, COMPONENTES INTERNOS EM LATAO, ESCALA 4500 PSI X 315 KGF/CM². MANOMETRO DE SAIDA: DIAMETRO NOMINAL 62MMM, CAIXA EM LATAO FORJADO PINTURA DOURADO, COMPONENTES INTERNOS EM LATAO. ESCALAS: 700 PSI X 50KGF / CM², ALTA DURABILIDADE; ESCALA DE FACIL LEITURA PRECISAO NA LEITURA; FACIL MANUTENCAO.</w:t>
            </w:r>
          </w:p>
        </w:tc>
        <w:tc>
          <w:tcPr>
            <w:tcW w:w="1559" w:type="dxa"/>
            <w:tcBorders>
              <w:top w:val="single" w:color="auto" w:sz="4" w:space="0"/>
              <w:bottom w:val="single" w:color="auto" w:sz="4" w:space="0"/>
            </w:tcBorders>
            <w:vAlign w:val="center"/>
          </w:tcPr>
          <w:p w14:paraId="5CC8AEB6">
            <w:pPr>
              <w:spacing w:line="240" w:lineRule="auto"/>
              <w:textAlignment w:val="center"/>
              <w:rPr>
                <w:rFonts w:ascii="Arial" w:hAnsi="Arial" w:cs="Arial"/>
                <w:sz w:val="18"/>
                <w:szCs w:val="18"/>
                <w:lang w:val="en-US"/>
              </w:rPr>
            </w:pPr>
            <w:r>
              <w:rPr>
                <w:rFonts w:ascii="Arial" w:hAnsi="Arial" w:cs="Arial"/>
                <w:sz w:val="18"/>
                <w:szCs w:val="18"/>
                <w:lang w:val="en-US"/>
              </w:rPr>
              <w:t>UNIDADE</w:t>
            </w:r>
          </w:p>
        </w:tc>
        <w:tc>
          <w:tcPr>
            <w:tcW w:w="709" w:type="dxa"/>
            <w:tcBorders>
              <w:top w:val="single" w:color="auto" w:sz="4" w:space="0"/>
              <w:bottom w:val="single" w:color="auto" w:sz="4" w:space="0"/>
            </w:tcBorders>
            <w:vAlign w:val="center"/>
          </w:tcPr>
          <w:p w14:paraId="19E37069">
            <w:pPr>
              <w:spacing w:line="240" w:lineRule="auto"/>
              <w:textAlignment w:val="center"/>
              <w:rPr>
                <w:rFonts w:ascii="Arial" w:hAnsi="Arial" w:cs="Arial"/>
                <w:lang w:val="en-US"/>
              </w:rPr>
            </w:pPr>
            <w:r>
              <w:rPr>
                <w:rFonts w:ascii="Arial" w:hAnsi="Arial" w:cs="Arial"/>
                <w:lang w:val="en-US"/>
              </w:rPr>
              <w:t>1</w:t>
            </w:r>
          </w:p>
        </w:tc>
        <w:tc>
          <w:tcPr>
            <w:tcW w:w="709" w:type="dxa"/>
            <w:tcBorders>
              <w:top w:val="single" w:color="auto" w:sz="4" w:space="0"/>
              <w:bottom w:val="single" w:color="auto" w:sz="4" w:space="0"/>
              <w:right w:val="single" w:color="auto" w:sz="4" w:space="0"/>
            </w:tcBorders>
            <w:vAlign w:val="center"/>
          </w:tcPr>
          <w:p w14:paraId="455C1C06">
            <w:pPr>
              <w:spacing w:line="240" w:lineRule="auto"/>
              <w:textAlignment w:val="center"/>
              <w:rPr>
                <w:rFonts w:ascii="Arial" w:hAnsi="Arial" w:cs="Arial"/>
                <w:lang w:val="en-US"/>
              </w:rPr>
            </w:pPr>
            <w:r>
              <w:rPr>
                <w:rFonts w:ascii="Arial" w:hAnsi="Arial" w:cs="Arial"/>
                <w:lang w:val="en-US"/>
              </w:rPr>
              <w:t>1</w:t>
            </w:r>
          </w:p>
        </w:tc>
      </w:tr>
    </w:tbl>
    <w:p w14:paraId="14B023D4">
      <w:pPr>
        <w:tabs>
          <w:tab w:val="left" w:pos="142"/>
          <w:tab w:val="left" w:pos="426"/>
        </w:tabs>
        <w:spacing w:line="240" w:lineRule="auto"/>
        <w:rPr>
          <w:rFonts w:ascii="Arial" w:hAnsi="Arial" w:cs="Arial"/>
          <w:b/>
          <w:bCs/>
          <w:sz w:val="18"/>
          <w:szCs w:val="18"/>
        </w:rPr>
      </w:pPr>
    </w:p>
    <w:p w14:paraId="1303767B">
      <w:pPr>
        <w:tabs>
          <w:tab w:val="left" w:pos="142"/>
          <w:tab w:val="left" w:pos="426"/>
        </w:tabs>
        <w:spacing w:line="240" w:lineRule="auto"/>
        <w:rPr>
          <w:rFonts w:ascii="Arial" w:hAnsi="Arial" w:cs="Arial"/>
          <w:b/>
          <w:bCs/>
          <w:sz w:val="22"/>
          <w:szCs w:val="22"/>
        </w:rPr>
      </w:pPr>
    </w:p>
    <w:p w14:paraId="445B40CD">
      <w:pPr>
        <w:tabs>
          <w:tab w:val="left" w:pos="142"/>
          <w:tab w:val="left" w:pos="426"/>
        </w:tabs>
        <w:spacing w:line="240" w:lineRule="auto"/>
        <w:rPr>
          <w:rFonts w:ascii="Arial" w:hAnsi="Arial" w:cs="Arial"/>
          <w:b/>
          <w:bCs/>
          <w:sz w:val="22"/>
          <w:szCs w:val="22"/>
        </w:rPr>
      </w:pPr>
      <w:r>
        <w:rPr>
          <w:rFonts w:ascii="Arial" w:hAnsi="Arial" w:cs="Arial"/>
          <w:b/>
          <w:bCs/>
          <w:sz w:val="22"/>
          <w:szCs w:val="22"/>
        </w:rPr>
        <w:t>2.3.4.2. ESTIMATIVA DA SECRETARIA DE SAÚDE</w:t>
      </w:r>
    </w:p>
    <w:tbl>
      <w:tblPr>
        <w:tblStyle w:val="5"/>
        <w:tblW w:w="13796" w:type="dxa"/>
        <w:tblInd w:w="-356" w:type="dxa"/>
        <w:tblLayout w:type="fixed"/>
        <w:tblCellMar>
          <w:top w:w="0" w:type="dxa"/>
          <w:left w:w="70" w:type="dxa"/>
          <w:bottom w:w="0" w:type="dxa"/>
          <w:right w:w="70" w:type="dxa"/>
        </w:tblCellMar>
      </w:tblPr>
      <w:tblGrid>
        <w:gridCol w:w="710"/>
        <w:gridCol w:w="992"/>
        <w:gridCol w:w="851"/>
        <w:gridCol w:w="3827"/>
        <w:gridCol w:w="992"/>
        <w:gridCol w:w="1418"/>
        <w:gridCol w:w="1417"/>
        <w:gridCol w:w="3589"/>
      </w:tblGrid>
      <w:tr w14:paraId="2C0F7630">
        <w:tblPrEx>
          <w:tblCellMar>
            <w:top w:w="0" w:type="dxa"/>
            <w:left w:w="70" w:type="dxa"/>
            <w:bottom w:w="0" w:type="dxa"/>
            <w:right w:w="70" w:type="dxa"/>
          </w:tblCellMar>
        </w:tblPrEx>
        <w:trPr>
          <w:gridAfter w:val="1"/>
          <w:wAfter w:w="3589" w:type="dxa"/>
          <w:trHeight w:val="426" w:hRule="atLeast"/>
        </w:trPr>
        <w:tc>
          <w:tcPr>
            <w:tcW w:w="710" w:type="dxa"/>
            <w:vMerge w:val="restart"/>
            <w:tcBorders>
              <w:top w:val="single" w:color="auto" w:sz="4" w:space="0"/>
              <w:left w:val="single" w:color="auto" w:sz="4" w:space="0"/>
              <w:bottom w:val="single" w:color="auto" w:sz="4" w:space="0"/>
              <w:right w:val="single" w:color="auto" w:sz="4" w:space="0"/>
            </w:tcBorders>
            <w:shd w:val="clear" w:color="000000" w:fill="D9D9D9"/>
            <w:vAlign w:val="center"/>
          </w:tcPr>
          <w:p w14:paraId="62B31035">
            <w:pPr>
              <w:spacing w:line="240" w:lineRule="auto"/>
              <w:jc w:val="center"/>
              <w:rPr>
                <w:rFonts w:ascii="Arial" w:hAnsi="Arial" w:cs="Arial"/>
                <w:b/>
                <w:bCs/>
                <w:sz w:val="17"/>
                <w:szCs w:val="17"/>
              </w:rPr>
            </w:pPr>
            <w:r>
              <w:rPr>
                <w:rFonts w:ascii="Arial" w:hAnsi="Arial" w:cs="Arial"/>
                <w:b/>
                <w:bCs/>
                <w:sz w:val="17"/>
                <w:szCs w:val="17"/>
              </w:rPr>
              <w:t>ITEM</w:t>
            </w:r>
          </w:p>
        </w:tc>
        <w:tc>
          <w:tcPr>
            <w:tcW w:w="992" w:type="dxa"/>
            <w:vMerge w:val="restart"/>
            <w:tcBorders>
              <w:top w:val="single" w:color="auto" w:sz="4" w:space="0"/>
              <w:left w:val="single" w:color="auto" w:sz="4" w:space="0"/>
              <w:bottom w:val="single" w:color="auto" w:sz="4" w:space="0"/>
              <w:right w:val="single" w:color="auto" w:sz="4" w:space="0"/>
            </w:tcBorders>
            <w:shd w:val="clear" w:color="000000" w:fill="D9D9D9"/>
            <w:noWrap/>
            <w:vAlign w:val="center"/>
          </w:tcPr>
          <w:p w14:paraId="0A81BE50">
            <w:pPr>
              <w:spacing w:line="240" w:lineRule="auto"/>
              <w:jc w:val="center"/>
              <w:rPr>
                <w:rFonts w:ascii="Arial" w:hAnsi="Arial" w:cs="Arial"/>
                <w:b/>
                <w:bCs/>
                <w:sz w:val="17"/>
                <w:szCs w:val="17"/>
              </w:rPr>
            </w:pPr>
            <w:r>
              <w:rPr>
                <w:rFonts w:ascii="Arial" w:hAnsi="Arial" w:cs="Arial"/>
                <w:b/>
                <w:bCs/>
                <w:sz w:val="17"/>
                <w:szCs w:val="17"/>
              </w:rPr>
              <w:t>CÓD. TCE</w:t>
            </w:r>
          </w:p>
        </w:tc>
        <w:tc>
          <w:tcPr>
            <w:tcW w:w="851" w:type="dxa"/>
            <w:vMerge w:val="restart"/>
            <w:tcBorders>
              <w:top w:val="single" w:color="auto" w:sz="4" w:space="0"/>
              <w:left w:val="single" w:color="auto" w:sz="4" w:space="0"/>
              <w:bottom w:val="single" w:color="auto" w:sz="4" w:space="0"/>
              <w:right w:val="single" w:color="auto" w:sz="4" w:space="0"/>
            </w:tcBorders>
            <w:shd w:val="clear" w:color="000000" w:fill="D9D9D9"/>
            <w:vAlign w:val="center"/>
          </w:tcPr>
          <w:p w14:paraId="2E6EBC9C">
            <w:pPr>
              <w:spacing w:line="240" w:lineRule="auto"/>
              <w:jc w:val="center"/>
              <w:rPr>
                <w:rFonts w:ascii="Arial" w:hAnsi="Arial" w:cs="Arial"/>
                <w:b/>
                <w:bCs/>
                <w:sz w:val="17"/>
                <w:szCs w:val="17"/>
              </w:rPr>
            </w:pPr>
            <w:r>
              <w:rPr>
                <w:rFonts w:ascii="Arial" w:hAnsi="Arial" w:cs="Arial"/>
                <w:b/>
                <w:bCs/>
                <w:sz w:val="17"/>
                <w:szCs w:val="17"/>
              </w:rPr>
              <w:t>CÓD. PMS</w:t>
            </w:r>
          </w:p>
        </w:tc>
        <w:tc>
          <w:tcPr>
            <w:tcW w:w="3827" w:type="dxa"/>
            <w:vMerge w:val="restart"/>
            <w:tcBorders>
              <w:top w:val="single" w:color="auto" w:sz="4" w:space="0"/>
              <w:left w:val="single" w:color="auto" w:sz="4" w:space="0"/>
              <w:bottom w:val="single" w:color="auto" w:sz="4" w:space="0"/>
              <w:right w:val="single" w:color="auto" w:sz="4" w:space="0"/>
            </w:tcBorders>
            <w:shd w:val="clear" w:color="000000" w:fill="D9D9D9"/>
            <w:noWrap/>
            <w:vAlign w:val="center"/>
          </w:tcPr>
          <w:p w14:paraId="69467354">
            <w:pPr>
              <w:spacing w:line="240" w:lineRule="auto"/>
              <w:jc w:val="center"/>
              <w:rPr>
                <w:rFonts w:ascii="Arial" w:hAnsi="Arial" w:cs="Arial"/>
                <w:b/>
                <w:bCs/>
                <w:sz w:val="17"/>
                <w:szCs w:val="17"/>
              </w:rPr>
            </w:pPr>
            <w:r>
              <w:rPr>
                <w:rFonts w:ascii="Arial" w:hAnsi="Arial" w:cs="Arial"/>
                <w:b/>
                <w:bCs/>
                <w:sz w:val="17"/>
                <w:szCs w:val="17"/>
              </w:rPr>
              <w:t>DESCRIÇÃO E ESPECIFICAÇÃO</w:t>
            </w:r>
          </w:p>
        </w:tc>
        <w:tc>
          <w:tcPr>
            <w:tcW w:w="992" w:type="dxa"/>
            <w:vMerge w:val="restart"/>
            <w:tcBorders>
              <w:top w:val="single" w:color="auto" w:sz="4" w:space="0"/>
              <w:left w:val="single" w:color="auto" w:sz="4" w:space="0"/>
              <w:bottom w:val="single" w:color="auto" w:sz="4" w:space="0"/>
              <w:right w:val="single" w:color="auto" w:sz="4" w:space="0"/>
            </w:tcBorders>
            <w:shd w:val="clear" w:color="000000" w:fill="D9D9D9"/>
            <w:vAlign w:val="center"/>
          </w:tcPr>
          <w:p w14:paraId="4EC3425E">
            <w:pPr>
              <w:spacing w:line="240" w:lineRule="auto"/>
              <w:jc w:val="center"/>
              <w:rPr>
                <w:rFonts w:ascii="Arial" w:hAnsi="Arial" w:cs="Arial"/>
                <w:b/>
                <w:bCs/>
                <w:sz w:val="17"/>
                <w:szCs w:val="17"/>
              </w:rPr>
            </w:pPr>
            <w:r>
              <w:rPr>
                <w:rFonts w:ascii="Arial" w:hAnsi="Arial" w:cs="Arial"/>
                <w:b/>
                <w:bCs/>
                <w:sz w:val="17"/>
                <w:szCs w:val="17"/>
              </w:rPr>
              <w:t>UNID. DE MEDIDA</w:t>
            </w:r>
          </w:p>
        </w:tc>
        <w:tc>
          <w:tcPr>
            <w:tcW w:w="1418" w:type="dxa"/>
            <w:vMerge w:val="restart"/>
            <w:tcBorders>
              <w:top w:val="single" w:color="auto" w:sz="4" w:space="0"/>
              <w:left w:val="single" w:color="auto" w:sz="4" w:space="0"/>
              <w:bottom w:val="single" w:color="auto" w:sz="4" w:space="0"/>
              <w:right w:val="single" w:color="auto" w:sz="4" w:space="0"/>
            </w:tcBorders>
            <w:shd w:val="clear" w:color="000000" w:fill="D9D9D9"/>
            <w:vAlign w:val="center"/>
          </w:tcPr>
          <w:p w14:paraId="33D5FCB8">
            <w:pPr>
              <w:spacing w:line="240" w:lineRule="auto"/>
              <w:jc w:val="center"/>
              <w:rPr>
                <w:rFonts w:ascii="Arial" w:hAnsi="Arial" w:cs="Arial"/>
                <w:b/>
                <w:bCs/>
                <w:sz w:val="17"/>
                <w:szCs w:val="17"/>
              </w:rPr>
            </w:pPr>
            <w:r>
              <w:rPr>
                <w:rFonts w:ascii="Arial" w:hAnsi="Arial" w:cs="Arial"/>
                <w:b/>
                <w:bCs/>
                <w:sz w:val="17"/>
                <w:szCs w:val="17"/>
              </w:rPr>
              <w:t>POR SOLICITAÇÃO MÍNIMA</w:t>
            </w:r>
          </w:p>
        </w:tc>
        <w:tc>
          <w:tcPr>
            <w:tcW w:w="1417" w:type="dxa"/>
            <w:vMerge w:val="restart"/>
            <w:tcBorders>
              <w:top w:val="single" w:color="auto" w:sz="4" w:space="0"/>
              <w:left w:val="single" w:color="auto" w:sz="4" w:space="0"/>
              <w:bottom w:val="single" w:color="auto" w:sz="4" w:space="0"/>
              <w:right w:val="single" w:color="auto" w:sz="4" w:space="0"/>
            </w:tcBorders>
            <w:shd w:val="clear" w:color="000000" w:fill="D9D9D9"/>
            <w:vAlign w:val="center"/>
          </w:tcPr>
          <w:p w14:paraId="334D0040">
            <w:pPr>
              <w:spacing w:line="240" w:lineRule="auto"/>
              <w:jc w:val="center"/>
              <w:rPr>
                <w:rFonts w:ascii="Arial" w:hAnsi="Arial" w:cs="Arial"/>
                <w:b/>
                <w:bCs/>
                <w:sz w:val="17"/>
                <w:szCs w:val="17"/>
              </w:rPr>
            </w:pPr>
            <w:r>
              <w:rPr>
                <w:rFonts w:ascii="Arial" w:hAnsi="Arial" w:cs="Arial"/>
                <w:b/>
                <w:bCs/>
                <w:sz w:val="17"/>
                <w:szCs w:val="17"/>
              </w:rPr>
              <w:t>QUANTIDADE TOTAL 01 (UM) ANO</w:t>
            </w:r>
          </w:p>
        </w:tc>
      </w:tr>
      <w:tr w14:paraId="129B3063">
        <w:tblPrEx>
          <w:tblCellMar>
            <w:top w:w="0" w:type="dxa"/>
            <w:left w:w="70" w:type="dxa"/>
            <w:bottom w:w="0" w:type="dxa"/>
            <w:right w:w="70" w:type="dxa"/>
          </w:tblCellMar>
        </w:tblPrEx>
        <w:trPr>
          <w:trHeight w:val="60" w:hRule="atLeast"/>
        </w:trPr>
        <w:tc>
          <w:tcPr>
            <w:tcW w:w="710" w:type="dxa"/>
            <w:vMerge w:val="continue"/>
            <w:tcBorders>
              <w:top w:val="single" w:color="auto" w:sz="4" w:space="0"/>
              <w:left w:val="single" w:color="auto" w:sz="4" w:space="0"/>
              <w:bottom w:val="single" w:color="auto" w:sz="4" w:space="0"/>
              <w:right w:val="single" w:color="auto" w:sz="4" w:space="0"/>
            </w:tcBorders>
            <w:vAlign w:val="center"/>
          </w:tcPr>
          <w:p w14:paraId="6835C83B">
            <w:pPr>
              <w:spacing w:line="240" w:lineRule="auto"/>
              <w:rPr>
                <w:rFonts w:ascii="Arial" w:hAnsi="Arial" w:cs="Arial"/>
                <w:b/>
                <w:bCs/>
                <w:sz w:val="17"/>
                <w:szCs w:val="17"/>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724F737F">
            <w:pPr>
              <w:spacing w:line="240" w:lineRule="auto"/>
              <w:rPr>
                <w:rFonts w:ascii="Arial" w:hAnsi="Arial" w:cs="Arial"/>
                <w:b/>
                <w:bCs/>
                <w:sz w:val="17"/>
                <w:szCs w:val="17"/>
              </w:rPr>
            </w:pPr>
          </w:p>
        </w:tc>
        <w:tc>
          <w:tcPr>
            <w:tcW w:w="851" w:type="dxa"/>
            <w:vMerge w:val="continue"/>
            <w:tcBorders>
              <w:top w:val="single" w:color="auto" w:sz="4" w:space="0"/>
              <w:left w:val="single" w:color="auto" w:sz="4" w:space="0"/>
              <w:bottom w:val="single" w:color="auto" w:sz="4" w:space="0"/>
              <w:right w:val="single" w:color="auto" w:sz="4" w:space="0"/>
            </w:tcBorders>
            <w:vAlign w:val="center"/>
          </w:tcPr>
          <w:p w14:paraId="6D0EB6D6">
            <w:pPr>
              <w:spacing w:line="240" w:lineRule="auto"/>
              <w:rPr>
                <w:rFonts w:ascii="Arial" w:hAnsi="Arial" w:cs="Arial"/>
                <w:b/>
                <w:bCs/>
                <w:sz w:val="17"/>
                <w:szCs w:val="17"/>
              </w:rPr>
            </w:pPr>
          </w:p>
        </w:tc>
        <w:tc>
          <w:tcPr>
            <w:tcW w:w="3827" w:type="dxa"/>
            <w:vMerge w:val="continue"/>
            <w:tcBorders>
              <w:top w:val="single" w:color="auto" w:sz="4" w:space="0"/>
              <w:left w:val="single" w:color="auto" w:sz="4" w:space="0"/>
              <w:bottom w:val="single" w:color="auto" w:sz="4" w:space="0"/>
              <w:right w:val="single" w:color="auto" w:sz="4" w:space="0"/>
            </w:tcBorders>
            <w:vAlign w:val="center"/>
          </w:tcPr>
          <w:p w14:paraId="68891891">
            <w:pPr>
              <w:spacing w:line="240" w:lineRule="auto"/>
              <w:rPr>
                <w:rFonts w:ascii="Arial" w:hAnsi="Arial" w:cs="Arial"/>
                <w:b/>
                <w:bCs/>
                <w:sz w:val="17"/>
                <w:szCs w:val="17"/>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6E805102">
            <w:pPr>
              <w:spacing w:line="240" w:lineRule="auto"/>
              <w:rPr>
                <w:rFonts w:ascii="Arial" w:hAnsi="Arial" w:cs="Arial"/>
                <w:b/>
                <w:bCs/>
                <w:sz w:val="17"/>
                <w:szCs w:val="17"/>
              </w:rPr>
            </w:pPr>
          </w:p>
        </w:tc>
        <w:tc>
          <w:tcPr>
            <w:tcW w:w="1418" w:type="dxa"/>
            <w:vMerge w:val="continue"/>
            <w:tcBorders>
              <w:top w:val="single" w:color="auto" w:sz="4" w:space="0"/>
              <w:left w:val="single" w:color="auto" w:sz="4" w:space="0"/>
              <w:bottom w:val="single" w:color="auto" w:sz="4" w:space="0"/>
              <w:right w:val="single" w:color="auto" w:sz="4" w:space="0"/>
            </w:tcBorders>
            <w:vAlign w:val="center"/>
          </w:tcPr>
          <w:p w14:paraId="4BB0ADDD">
            <w:pPr>
              <w:spacing w:line="240" w:lineRule="auto"/>
              <w:rPr>
                <w:rFonts w:ascii="Arial" w:hAnsi="Arial" w:cs="Arial"/>
                <w:b/>
                <w:bCs/>
                <w:sz w:val="17"/>
                <w:szCs w:val="17"/>
              </w:rPr>
            </w:pPr>
          </w:p>
        </w:tc>
        <w:tc>
          <w:tcPr>
            <w:tcW w:w="1417" w:type="dxa"/>
            <w:vMerge w:val="continue"/>
            <w:tcBorders>
              <w:top w:val="single" w:color="auto" w:sz="4" w:space="0"/>
              <w:left w:val="single" w:color="auto" w:sz="4" w:space="0"/>
              <w:bottom w:val="single" w:color="auto" w:sz="4" w:space="0"/>
              <w:right w:val="single" w:color="auto" w:sz="4" w:space="0"/>
            </w:tcBorders>
            <w:vAlign w:val="center"/>
          </w:tcPr>
          <w:p w14:paraId="540AE61A">
            <w:pPr>
              <w:spacing w:line="240" w:lineRule="auto"/>
              <w:rPr>
                <w:rFonts w:ascii="Arial" w:hAnsi="Arial" w:cs="Arial"/>
                <w:b/>
                <w:bCs/>
                <w:sz w:val="17"/>
                <w:szCs w:val="17"/>
              </w:rPr>
            </w:pPr>
          </w:p>
        </w:tc>
        <w:tc>
          <w:tcPr>
            <w:tcW w:w="3589" w:type="dxa"/>
            <w:tcBorders>
              <w:top w:val="nil"/>
              <w:left w:val="nil"/>
              <w:bottom w:val="nil"/>
              <w:right w:val="nil"/>
            </w:tcBorders>
            <w:noWrap/>
            <w:vAlign w:val="center"/>
          </w:tcPr>
          <w:p w14:paraId="412A6616">
            <w:pPr>
              <w:spacing w:line="240" w:lineRule="auto"/>
              <w:jc w:val="center"/>
              <w:rPr>
                <w:rFonts w:ascii="Arial" w:hAnsi="Arial" w:cs="Arial"/>
                <w:b/>
                <w:bCs/>
                <w:sz w:val="17"/>
                <w:szCs w:val="17"/>
              </w:rPr>
            </w:pPr>
          </w:p>
        </w:tc>
      </w:tr>
      <w:tr w14:paraId="00155DD1">
        <w:tblPrEx>
          <w:tblCellMar>
            <w:top w:w="0" w:type="dxa"/>
            <w:left w:w="70" w:type="dxa"/>
            <w:bottom w:w="0" w:type="dxa"/>
            <w:right w:w="70" w:type="dxa"/>
          </w:tblCellMar>
        </w:tblPrEx>
        <w:trPr>
          <w:trHeight w:val="60" w:hRule="atLeast"/>
        </w:trPr>
        <w:tc>
          <w:tcPr>
            <w:tcW w:w="710" w:type="dxa"/>
            <w:tcBorders>
              <w:top w:val="single" w:color="auto" w:sz="4" w:space="0"/>
              <w:left w:val="single" w:color="auto" w:sz="4" w:space="0"/>
              <w:bottom w:val="single" w:color="auto" w:sz="4" w:space="0"/>
              <w:right w:val="nil"/>
            </w:tcBorders>
            <w:shd w:val="clear" w:color="000000" w:fill="auto"/>
            <w:vAlign w:val="center"/>
          </w:tcPr>
          <w:p w14:paraId="669C09FF">
            <w:pPr>
              <w:spacing w:line="240" w:lineRule="auto"/>
              <w:jc w:val="center"/>
              <w:rPr>
                <w:rFonts w:ascii="Arial" w:hAnsi="Arial" w:cs="Arial"/>
                <w:b/>
                <w:bCs/>
                <w:color w:val="000000"/>
                <w:sz w:val="17"/>
                <w:szCs w:val="17"/>
              </w:rPr>
            </w:pPr>
            <w:r>
              <w:rPr>
                <w:rFonts w:ascii="Arial" w:hAnsi="Arial" w:cs="Arial"/>
                <w:b/>
                <w:bCs/>
                <w:color w:val="000000"/>
                <w:sz w:val="17"/>
                <w:szCs w:val="17"/>
              </w:rPr>
              <w:t>2</w:t>
            </w:r>
          </w:p>
        </w:tc>
        <w:tc>
          <w:tcPr>
            <w:tcW w:w="992" w:type="dxa"/>
            <w:tcBorders>
              <w:top w:val="single" w:color="auto" w:sz="4" w:space="0"/>
              <w:left w:val="single" w:color="auto" w:sz="4" w:space="0"/>
              <w:bottom w:val="single" w:color="auto" w:sz="4" w:space="0"/>
              <w:right w:val="single" w:color="auto" w:sz="4" w:space="0"/>
            </w:tcBorders>
            <w:shd w:val="clear" w:color="000000" w:fill="FFFFFF"/>
            <w:vAlign w:val="center"/>
          </w:tcPr>
          <w:p w14:paraId="0B387925">
            <w:pPr>
              <w:spacing w:line="240" w:lineRule="auto"/>
              <w:jc w:val="center"/>
              <w:rPr>
                <w:rFonts w:ascii="Arial" w:hAnsi="Arial" w:cs="Arial"/>
                <w:color w:val="000000"/>
                <w:sz w:val="17"/>
                <w:szCs w:val="17"/>
              </w:rPr>
            </w:pPr>
            <w:r>
              <w:rPr>
                <w:rFonts w:ascii="Arial" w:hAnsi="Arial" w:cs="Arial"/>
                <w:color w:val="000000"/>
                <w:sz w:val="17"/>
                <w:szCs w:val="17"/>
              </w:rPr>
              <w:t>145558-3</w:t>
            </w:r>
          </w:p>
        </w:tc>
        <w:tc>
          <w:tcPr>
            <w:tcW w:w="851" w:type="dxa"/>
            <w:tcBorders>
              <w:top w:val="single" w:color="auto" w:sz="4" w:space="0"/>
              <w:left w:val="nil"/>
              <w:bottom w:val="single" w:color="auto" w:sz="4" w:space="0"/>
              <w:right w:val="single" w:color="auto" w:sz="4" w:space="0"/>
            </w:tcBorders>
            <w:shd w:val="clear" w:color="000000" w:fill="FFFFFF"/>
            <w:vAlign w:val="center"/>
          </w:tcPr>
          <w:p w14:paraId="108C3D70">
            <w:pPr>
              <w:spacing w:line="240" w:lineRule="auto"/>
              <w:jc w:val="center"/>
              <w:rPr>
                <w:rFonts w:ascii="Arial" w:hAnsi="Arial" w:cs="Arial"/>
                <w:color w:val="000000"/>
                <w:sz w:val="17"/>
                <w:szCs w:val="17"/>
              </w:rPr>
            </w:pPr>
            <w:r>
              <w:rPr>
                <w:rFonts w:ascii="Arial" w:hAnsi="Arial" w:cs="Arial"/>
                <w:color w:val="000000"/>
                <w:sz w:val="17"/>
                <w:szCs w:val="17"/>
              </w:rPr>
              <w:t>394500</w:t>
            </w:r>
          </w:p>
        </w:tc>
        <w:tc>
          <w:tcPr>
            <w:tcW w:w="3827" w:type="dxa"/>
            <w:tcBorders>
              <w:top w:val="single" w:color="auto" w:sz="4" w:space="0"/>
              <w:left w:val="nil"/>
              <w:bottom w:val="single" w:color="auto" w:sz="4" w:space="0"/>
              <w:right w:val="single" w:color="auto" w:sz="4" w:space="0"/>
            </w:tcBorders>
            <w:shd w:val="clear" w:color="000000" w:fill="FFFFFF"/>
            <w:vAlign w:val="center"/>
          </w:tcPr>
          <w:p w14:paraId="6F1D9F9E">
            <w:pPr>
              <w:spacing w:line="240" w:lineRule="auto"/>
              <w:rPr>
                <w:rFonts w:ascii="Arial" w:hAnsi="Arial" w:cs="Arial"/>
                <w:color w:val="000000"/>
                <w:sz w:val="17"/>
                <w:szCs w:val="17"/>
              </w:rPr>
            </w:pPr>
            <w:r>
              <w:rPr>
                <w:rFonts w:ascii="Arial" w:hAnsi="Arial" w:cs="Arial"/>
                <w:color w:val="000000"/>
                <w:sz w:val="17"/>
                <w:szCs w:val="17"/>
              </w:rPr>
              <w:t>CHAVE AJUSTÁVEL DE 0 A 12 POLEGADAS, ABERTURA MÁXIMA DE 30MM, COM ORIFÍCIO PARA ARMAZENAMENTO EM PAINÉIS CABEÇA COM ESCALA MÉTRICA MARCADA.</w:t>
            </w:r>
          </w:p>
        </w:tc>
        <w:tc>
          <w:tcPr>
            <w:tcW w:w="992" w:type="dxa"/>
            <w:tcBorders>
              <w:top w:val="single" w:color="auto" w:sz="4" w:space="0"/>
              <w:left w:val="nil"/>
              <w:bottom w:val="single" w:color="auto" w:sz="4" w:space="0"/>
              <w:right w:val="single" w:color="auto" w:sz="4" w:space="0"/>
            </w:tcBorders>
            <w:shd w:val="clear" w:color="000000" w:fill="FFFFFF"/>
            <w:vAlign w:val="center"/>
          </w:tcPr>
          <w:p w14:paraId="5E815780">
            <w:pPr>
              <w:spacing w:line="240" w:lineRule="auto"/>
              <w:jc w:val="center"/>
              <w:rPr>
                <w:rFonts w:ascii="Arial" w:hAnsi="Arial" w:cs="Arial"/>
                <w:color w:val="000000"/>
                <w:sz w:val="17"/>
                <w:szCs w:val="17"/>
              </w:rPr>
            </w:pPr>
            <w:r>
              <w:rPr>
                <w:rFonts w:ascii="Arial" w:hAnsi="Arial" w:cs="Arial"/>
                <w:color w:val="000000"/>
                <w:sz w:val="17"/>
                <w:szCs w:val="17"/>
              </w:rPr>
              <w:t>UNIDADE</w:t>
            </w:r>
          </w:p>
        </w:tc>
        <w:tc>
          <w:tcPr>
            <w:tcW w:w="1418" w:type="dxa"/>
            <w:tcBorders>
              <w:top w:val="nil"/>
              <w:left w:val="nil"/>
              <w:bottom w:val="single" w:color="auto" w:sz="4" w:space="0"/>
              <w:right w:val="single" w:color="auto" w:sz="4" w:space="0"/>
            </w:tcBorders>
            <w:shd w:val="clear" w:color="000000" w:fill="FFFFFF"/>
            <w:vAlign w:val="center"/>
          </w:tcPr>
          <w:p w14:paraId="2306A0F2">
            <w:pPr>
              <w:spacing w:line="240" w:lineRule="auto"/>
              <w:jc w:val="center"/>
              <w:rPr>
                <w:rFonts w:ascii="Arial" w:hAnsi="Arial" w:cs="Arial"/>
                <w:sz w:val="17"/>
                <w:szCs w:val="17"/>
              </w:rPr>
            </w:pPr>
            <w:r>
              <w:rPr>
                <w:rFonts w:ascii="Arial" w:hAnsi="Arial" w:cs="Arial"/>
                <w:sz w:val="17"/>
                <w:szCs w:val="17"/>
              </w:rPr>
              <w:t>12</w:t>
            </w:r>
          </w:p>
        </w:tc>
        <w:tc>
          <w:tcPr>
            <w:tcW w:w="1417" w:type="dxa"/>
            <w:tcBorders>
              <w:top w:val="nil"/>
              <w:left w:val="nil"/>
              <w:bottom w:val="single" w:color="auto" w:sz="4" w:space="0"/>
              <w:right w:val="single" w:color="auto" w:sz="4" w:space="0"/>
            </w:tcBorders>
            <w:shd w:val="clear" w:color="000000" w:fill="FFFFFF"/>
            <w:vAlign w:val="center"/>
          </w:tcPr>
          <w:p w14:paraId="5059166A">
            <w:pPr>
              <w:spacing w:line="240" w:lineRule="auto"/>
              <w:jc w:val="center"/>
              <w:rPr>
                <w:rFonts w:ascii="Arial" w:hAnsi="Arial" w:cs="Arial"/>
                <w:sz w:val="17"/>
                <w:szCs w:val="17"/>
              </w:rPr>
            </w:pPr>
            <w:r>
              <w:rPr>
                <w:rFonts w:ascii="Arial" w:hAnsi="Arial" w:cs="Arial"/>
                <w:sz w:val="17"/>
                <w:szCs w:val="17"/>
              </w:rPr>
              <w:t>20</w:t>
            </w:r>
          </w:p>
        </w:tc>
        <w:tc>
          <w:tcPr>
            <w:tcW w:w="3589" w:type="dxa"/>
            <w:vAlign w:val="center"/>
          </w:tcPr>
          <w:p w14:paraId="04BDCAAF">
            <w:pPr>
              <w:spacing w:line="240" w:lineRule="auto"/>
              <w:rPr>
                <w:rFonts w:ascii="Arial" w:hAnsi="Arial" w:cs="Arial"/>
                <w:sz w:val="17"/>
                <w:szCs w:val="17"/>
              </w:rPr>
            </w:pPr>
          </w:p>
        </w:tc>
      </w:tr>
      <w:tr w14:paraId="74BEE50F">
        <w:tblPrEx>
          <w:tblCellMar>
            <w:top w:w="0" w:type="dxa"/>
            <w:left w:w="70" w:type="dxa"/>
            <w:bottom w:w="0" w:type="dxa"/>
            <w:right w:w="70" w:type="dxa"/>
          </w:tblCellMar>
        </w:tblPrEx>
        <w:trPr>
          <w:trHeight w:val="216" w:hRule="atLeast"/>
        </w:trPr>
        <w:tc>
          <w:tcPr>
            <w:tcW w:w="710" w:type="dxa"/>
            <w:tcBorders>
              <w:top w:val="nil"/>
              <w:left w:val="single" w:color="auto" w:sz="4" w:space="0"/>
              <w:bottom w:val="single" w:color="auto" w:sz="4" w:space="0"/>
              <w:right w:val="nil"/>
            </w:tcBorders>
            <w:shd w:val="clear" w:color="000000" w:fill="auto"/>
            <w:vAlign w:val="center"/>
          </w:tcPr>
          <w:p w14:paraId="4EBCBDEB">
            <w:pPr>
              <w:spacing w:line="240" w:lineRule="auto"/>
              <w:jc w:val="center"/>
              <w:rPr>
                <w:rFonts w:ascii="Arial" w:hAnsi="Arial" w:cs="Arial"/>
                <w:b/>
                <w:bCs/>
                <w:color w:val="000000"/>
                <w:sz w:val="17"/>
                <w:szCs w:val="17"/>
              </w:rPr>
            </w:pPr>
            <w:r>
              <w:rPr>
                <w:rFonts w:ascii="Arial" w:hAnsi="Arial" w:cs="Arial"/>
                <w:b/>
                <w:bCs/>
                <w:color w:val="000000"/>
                <w:sz w:val="17"/>
                <w:szCs w:val="17"/>
              </w:rPr>
              <w:t>3</w:t>
            </w:r>
          </w:p>
        </w:tc>
        <w:tc>
          <w:tcPr>
            <w:tcW w:w="992" w:type="dxa"/>
            <w:tcBorders>
              <w:top w:val="nil"/>
              <w:left w:val="single" w:color="auto" w:sz="4" w:space="0"/>
              <w:bottom w:val="single" w:color="auto" w:sz="4" w:space="0"/>
              <w:right w:val="single" w:color="auto" w:sz="4" w:space="0"/>
            </w:tcBorders>
            <w:shd w:val="clear" w:color="000000" w:fill="FFFFFF"/>
            <w:vAlign w:val="center"/>
          </w:tcPr>
          <w:p w14:paraId="39CEB38B">
            <w:pPr>
              <w:spacing w:line="240" w:lineRule="auto"/>
              <w:jc w:val="center"/>
              <w:rPr>
                <w:rFonts w:ascii="Arial" w:hAnsi="Arial" w:cs="Arial"/>
                <w:color w:val="000000"/>
                <w:sz w:val="17"/>
                <w:szCs w:val="17"/>
              </w:rPr>
            </w:pPr>
            <w:r>
              <w:rPr>
                <w:rFonts w:ascii="Arial" w:hAnsi="Arial" w:cs="Arial"/>
                <w:color w:val="000000"/>
                <w:sz w:val="17"/>
                <w:szCs w:val="17"/>
              </w:rPr>
              <w:t>0001838</w:t>
            </w:r>
          </w:p>
        </w:tc>
        <w:tc>
          <w:tcPr>
            <w:tcW w:w="851" w:type="dxa"/>
            <w:tcBorders>
              <w:top w:val="nil"/>
              <w:left w:val="nil"/>
              <w:bottom w:val="single" w:color="auto" w:sz="4" w:space="0"/>
              <w:right w:val="single" w:color="auto" w:sz="4" w:space="0"/>
            </w:tcBorders>
            <w:shd w:val="clear" w:color="000000" w:fill="FFFFFF"/>
            <w:vAlign w:val="center"/>
          </w:tcPr>
          <w:p w14:paraId="49CAB470">
            <w:pPr>
              <w:spacing w:line="240" w:lineRule="auto"/>
              <w:jc w:val="center"/>
              <w:rPr>
                <w:rFonts w:ascii="Arial" w:hAnsi="Arial" w:cs="Arial"/>
                <w:color w:val="000000"/>
                <w:sz w:val="17"/>
                <w:szCs w:val="17"/>
              </w:rPr>
            </w:pPr>
            <w:r>
              <w:rPr>
                <w:rFonts w:ascii="Arial" w:hAnsi="Arial" w:cs="Arial"/>
                <w:color w:val="000000"/>
                <w:sz w:val="17"/>
                <w:szCs w:val="17"/>
              </w:rPr>
              <w:t>402620</w:t>
            </w:r>
          </w:p>
        </w:tc>
        <w:tc>
          <w:tcPr>
            <w:tcW w:w="3827" w:type="dxa"/>
            <w:tcBorders>
              <w:top w:val="nil"/>
              <w:left w:val="nil"/>
              <w:bottom w:val="single" w:color="auto" w:sz="4" w:space="0"/>
              <w:right w:val="single" w:color="auto" w:sz="4" w:space="0"/>
            </w:tcBorders>
            <w:shd w:val="clear" w:color="000000" w:fill="FFFFFF"/>
            <w:vAlign w:val="center"/>
          </w:tcPr>
          <w:p w14:paraId="0078F778">
            <w:pPr>
              <w:spacing w:line="240" w:lineRule="auto"/>
              <w:rPr>
                <w:rFonts w:ascii="Arial" w:hAnsi="Arial" w:cs="Arial"/>
                <w:color w:val="000000"/>
                <w:sz w:val="17"/>
                <w:szCs w:val="17"/>
              </w:rPr>
            </w:pPr>
            <w:r>
              <w:rPr>
                <w:rFonts w:ascii="Arial" w:hAnsi="Arial" w:cs="Arial"/>
                <w:color w:val="000000"/>
                <w:sz w:val="17"/>
                <w:szCs w:val="17"/>
              </w:rPr>
              <w:t>CONJUNTO PARA OXIGENACAO PORTATIL CONTENDO: CONJUNTO DE EQUIPAMENTOS PARA REALIZAR OXIGENACAO DE EMERGENCIA EM HOSPITAIS, CONSULTORIOS, ACADEMIAS, RESIDENCIAS ENTRE OUTROS. COMPOSTO POR UMA VALVULA REGULADORA PARA CILINDRO COM FLUXOMETRO - PARA OXIGENIO (VF010) E UM CONJUNTO DE UMIDIFICACAO COM FRASCO DE PVC DE 250ML (UD111), CILINDRO DE OXIGENIO COM CAPACIDADE PARA 3LTS / 0,45M3 (CO210) E MALETA EM COURVIN PARA ACONDICIONAMENTO (PU101). REGISTRO ANVISA.</w:t>
            </w:r>
          </w:p>
        </w:tc>
        <w:tc>
          <w:tcPr>
            <w:tcW w:w="992" w:type="dxa"/>
            <w:tcBorders>
              <w:top w:val="nil"/>
              <w:left w:val="nil"/>
              <w:bottom w:val="single" w:color="auto" w:sz="4" w:space="0"/>
              <w:right w:val="single" w:color="auto" w:sz="4" w:space="0"/>
            </w:tcBorders>
            <w:shd w:val="clear" w:color="000000" w:fill="FFFFFF"/>
            <w:vAlign w:val="center"/>
          </w:tcPr>
          <w:p w14:paraId="3BBA74B6">
            <w:pPr>
              <w:spacing w:line="240" w:lineRule="auto"/>
              <w:jc w:val="center"/>
              <w:rPr>
                <w:rFonts w:ascii="Arial" w:hAnsi="Arial" w:cs="Arial"/>
                <w:color w:val="000000"/>
                <w:sz w:val="17"/>
                <w:szCs w:val="17"/>
              </w:rPr>
            </w:pPr>
            <w:r>
              <w:rPr>
                <w:rFonts w:ascii="Arial" w:hAnsi="Arial" w:cs="Arial"/>
                <w:color w:val="000000"/>
                <w:sz w:val="17"/>
                <w:szCs w:val="17"/>
              </w:rPr>
              <w:t>UNIDADE</w:t>
            </w:r>
          </w:p>
        </w:tc>
        <w:tc>
          <w:tcPr>
            <w:tcW w:w="1418" w:type="dxa"/>
            <w:tcBorders>
              <w:top w:val="nil"/>
              <w:left w:val="nil"/>
              <w:bottom w:val="single" w:color="auto" w:sz="4" w:space="0"/>
              <w:right w:val="single" w:color="auto" w:sz="4" w:space="0"/>
            </w:tcBorders>
            <w:shd w:val="clear" w:color="000000" w:fill="FFFFFF"/>
            <w:vAlign w:val="center"/>
          </w:tcPr>
          <w:p w14:paraId="7B1C33D8">
            <w:pPr>
              <w:spacing w:line="240" w:lineRule="auto"/>
              <w:jc w:val="center"/>
              <w:rPr>
                <w:rFonts w:ascii="Arial" w:hAnsi="Arial" w:cs="Arial"/>
                <w:sz w:val="17"/>
                <w:szCs w:val="17"/>
              </w:rPr>
            </w:pPr>
            <w:r>
              <w:rPr>
                <w:rFonts w:ascii="Arial" w:hAnsi="Arial" w:cs="Arial"/>
                <w:sz w:val="17"/>
                <w:szCs w:val="17"/>
              </w:rPr>
              <w:t>2</w:t>
            </w:r>
          </w:p>
        </w:tc>
        <w:tc>
          <w:tcPr>
            <w:tcW w:w="1417" w:type="dxa"/>
            <w:tcBorders>
              <w:top w:val="nil"/>
              <w:left w:val="nil"/>
              <w:bottom w:val="single" w:color="auto" w:sz="4" w:space="0"/>
              <w:right w:val="single" w:color="auto" w:sz="4" w:space="0"/>
            </w:tcBorders>
            <w:shd w:val="clear" w:color="000000" w:fill="FFFFFF"/>
            <w:vAlign w:val="center"/>
          </w:tcPr>
          <w:p w14:paraId="03FDE6F3">
            <w:pPr>
              <w:spacing w:line="240" w:lineRule="auto"/>
              <w:jc w:val="center"/>
              <w:rPr>
                <w:rFonts w:ascii="Arial" w:hAnsi="Arial" w:cs="Arial"/>
                <w:sz w:val="17"/>
                <w:szCs w:val="17"/>
              </w:rPr>
            </w:pPr>
            <w:r>
              <w:rPr>
                <w:rFonts w:ascii="Arial" w:hAnsi="Arial" w:cs="Arial"/>
                <w:sz w:val="17"/>
                <w:szCs w:val="17"/>
              </w:rPr>
              <w:t>3</w:t>
            </w:r>
          </w:p>
        </w:tc>
        <w:tc>
          <w:tcPr>
            <w:tcW w:w="3589" w:type="dxa"/>
            <w:vAlign w:val="center"/>
          </w:tcPr>
          <w:p w14:paraId="3E91A6F5">
            <w:pPr>
              <w:spacing w:line="240" w:lineRule="auto"/>
              <w:rPr>
                <w:rFonts w:ascii="Arial" w:hAnsi="Arial" w:cs="Arial"/>
                <w:sz w:val="17"/>
                <w:szCs w:val="17"/>
              </w:rPr>
            </w:pPr>
          </w:p>
        </w:tc>
      </w:tr>
      <w:tr w14:paraId="3C3C5C9A">
        <w:tblPrEx>
          <w:tblCellMar>
            <w:top w:w="0" w:type="dxa"/>
            <w:left w:w="70" w:type="dxa"/>
            <w:bottom w:w="0" w:type="dxa"/>
            <w:right w:w="70" w:type="dxa"/>
          </w:tblCellMar>
        </w:tblPrEx>
        <w:trPr>
          <w:trHeight w:val="60" w:hRule="atLeast"/>
        </w:trPr>
        <w:tc>
          <w:tcPr>
            <w:tcW w:w="710" w:type="dxa"/>
            <w:tcBorders>
              <w:top w:val="nil"/>
              <w:left w:val="single" w:color="auto" w:sz="4" w:space="0"/>
              <w:bottom w:val="single" w:color="auto" w:sz="4" w:space="0"/>
              <w:right w:val="nil"/>
            </w:tcBorders>
            <w:shd w:val="clear" w:color="000000" w:fill="auto"/>
            <w:vAlign w:val="center"/>
          </w:tcPr>
          <w:p w14:paraId="5A666B68">
            <w:pPr>
              <w:spacing w:line="240" w:lineRule="auto"/>
              <w:jc w:val="center"/>
              <w:rPr>
                <w:rFonts w:ascii="Arial" w:hAnsi="Arial" w:cs="Arial"/>
                <w:b/>
                <w:bCs/>
                <w:color w:val="000000"/>
                <w:sz w:val="17"/>
                <w:szCs w:val="17"/>
              </w:rPr>
            </w:pPr>
            <w:r>
              <w:rPr>
                <w:rFonts w:ascii="Arial" w:hAnsi="Arial" w:cs="Arial"/>
                <w:b/>
                <w:bCs/>
                <w:color w:val="000000"/>
                <w:sz w:val="17"/>
                <w:szCs w:val="17"/>
              </w:rPr>
              <w:t>4</w:t>
            </w:r>
          </w:p>
        </w:tc>
        <w:tc>
          <w:tcPr>
            <w:tcW w:w="992" w:type="dxa"/>
            <w:tcBorders>
              <w:top w:val="nil"/>
              <w:left w:val="single" w:color="auto" w:sz="4" w:space="0"/>
              <w:bottom w:val="single" w:color="auto" w:sz="4" w:space="0"/>
              <w:right w:val="single" w:color="auto" w:sz="4" w:space="0"/>
            </w:tcBorders>
            <w:shd w:val="clear" w:color="000000" w:fill="FFFFFF"/>
            <w:vAlign w:val="center"/>
          </w:tcPr>
          <w:p w14:paraId="26335178">
            <w:pPr>
              <w:spacing w:line="240" w:lineRule="auto"/>
              <w:jc w:val="center"/>
              <w:rPr>
                <w:rFonts w:ascii="Arial" w:hAnsi="Arial" w:cs="Arial"/>
                <w:color w:val="000000"/>
                <w:sz w:val="17"/>
                <w:szCs w:val="17"/>
              </w:rPr>
            </w:pPr>
            <w:r>
              <w:rPr>
                <w:rFonts w:ascii="Arial" w:hAnsi="Arial" w:cs="Arial"/>
                <w:color w:val="000000"/>
                <w:sz w:val="17"/>
                <w:szCs w:val="17"/>
              </w:rPr>
              <w:t>116505-4</w:t>
            </w:r>
          </w:p>
        </w:tc>
        <w:tc>
          <w:tcPr>
            <w:tcW w:w="851" w:type="dxa"/>
            <w:tcBorders>
              <w:top w:val="nil"/>
              <w:left w:val="nil"/>
              <w:bottom w:val="single" w:color="auto" w:sz="4" w:space="0"/>
              <w:right w:val="single" w:color="auto" w:sz="4" w:space="0"/>
            </w:tcBorders>
            <w:shd w:val="clear" w:color="000000" w:fill="FFFFFF"/>
            <w:vAlign w:val="center"/>
          </w:tcPr>
          <w:p w14:paraId="19C93686">
            <w:pPr>
              <w:spacing w:line="240" w:lineRule="auto"/>
              <w:jc w:val="center"/>
              <w:rPr>
                <w:rFonts w:ascii="Arial" w:hAnsi="Arial" w:cs="Arial"/>
                <w:color w:val="000000"/>
                <w:sz w:val="17"/>
                <w:szCs w:val="17"/>
              </w:rPr>
            </w:pPr>
            <w:r>
              <w:rPr>
                <w:rFonts w:ascii="Arial" w:hAnsi="Arial" w:cs="Arial"/>
                <w:color w:val="000000"/>
                <w:sz w:val="17"/>
                <w:szCs w:val="17"/>
              </w:rPr>
              <w:t>395356</w:t>
            </w:r>
          </w:p>
        </w:tc>
        <w:tc>
          <w:tcPr>
            <w:tcW w:w="3827" w:type="dxa"/>
            <w:tcBorders>
              <w:top w:val="nil"/>
              <w:left w:val="nil"/>
              <w:bottom w:val="single" w:color="auto" w:sz="4" w:space="0"/>
              <w:right w:val="single" w:color="auto" w:sz="4" w:space="0"/>
            </w:tcBorders>
            <w:shd w:val="clear" w:color="000000" w:fill="FFFFFF"/>
            <w:vAlign w:val="center"/>
          </w:tcPr>
          <w:p w14:paraId="573D628F">
            <w:pPr>
              <w:spacing w:line="240" w:lineRule="auto"/>
              <w:rPr>
                <w:rFonts w:ascii="Arial" w:hAnsi="Arial" w:cs="Arial"/>
                <w:color w:val="000000"/>
                <w:sz w:val="17"/>
                <w:szCs w:val="17"/>
              </w:rPr>
            </w:pPr>
            <w:r>
              <w:rPr>
                <w:rFonts w:ascii="Arial" w:hAnsi="Arial" w:cs="Arial"/>
                <w:color w:val="000000"/>
                <w:sz w:val="17"/>
                <w:szCs w:val="17"/>
              </w:rPr>
              <w:t>FLUXOMETRO COM A FUNCAO DE CONTROLAR A VAZAO DO OXIGENIO, DE ACORDO COM A LITRAGEM RECOMENDADA PELO MEDICO. PRODUTO DE CORPO DE METAL CROMADO, CAPSULA E BILHA EM POLICARBONATO (PC), ESCALA DE 0 A 15 LITROS POR MINUTO, ESFERA DE INOX, BOTAO DE CONTROLE DE FLUXO FIXADO QUE PERMITE FACIL MANUTENCAO, SISTEMA DE VEDACAO TIPO AGULHA EVITANDO VAZAMENTOS E E CONEXOES PADRAO ABNT, COM REGISTRO NA ANVISA.</w:t>
            </w:r>
          </w:p>
        </w:tc>
        <w:tc>
          <w:tcPr>
            <w:tcW w:w="992" w:type="dxa"/>
            <w:tcBorders>
              <w:top w:val="nil"/>
              <w:left w:val="nil"/>
              <w:bottom w:val="single" w:color="auto" w:sz="4" w:space="0"/>
              <w:right w:val="single" w:color="auto" w:sz="4" w:space="0"/>
            </w:tcBorders>
            <w:shd w:val="clear" w:color="000000" w:fill="FFFFFF"/>
            <w:vAlign w:val="center"/>
          </w:tcPr>
          <w:p w14:paraId="68FAE469">
            <w:pPr>
              <w:spacing w:line="240" w:lineRule="auto"/>
              <w:jc w:val="center"/>
              <w:rPr>
                <w:rFonts w:ascii="Arial" w:hAnsi="Arial" w:cs="Arial"/>
                <w:color w:val="000000"/>
                <w:sz w:val="17"/>
                <w:szCs w:val="17"/>
              </w:rPr>
            </w:pPr>
            <w:r>
              <w:rPr>
                <w:rFonts w:ascii="Arial" w:hAnsi="Arial" w:cs="Arial"/>
                <w:color w:val="000000"/>
                <w:sz w:val="17"/>
                <w:szCs w:val="17"/>
              </w:rPr>
              <w:t>UNIDADE</w:t>
            </w:r>
          </w:p>
        </w:tc>
        <w:tc>
          <w:tcPr>
            <w:tcW w:w="1418" w:type="dxa"/>
            <w:tcBorders>
              <w:top w:val="nil"/>
              <w:left w:val="nil"/>
              <w:bottom w:val="single" w:color="auto" w:sz="4" w:space="0"/>
              <w:right w:val="single" w:color="auto" w:sz="4" w:space="0"/>
            </w:tcBorders>
            <w:shd w:val="clear" w:color="000000" w:fill="FFFFFF"/>
            <w:vAlign w:val="center"/>
          </w:tcPr>
          <w:p w14:paraId="7C196F86">
            <w:pPr>
              <w:spacing w:line="240" w:lineRule="auto"/>
              <w:jc w:val="center"/>
              <w:rPr>
                <w:rFonts w:ascii="Arial" w:hAnsi="Arial" w:cs="Arial"/>
                <w:sz w:val="17"/>
                <w:szCs w:val="17"/>
              </w:rPr>
            </w:pPr>
            <w:r>
              <w:rPr>
                <w:rFonts w:ascii="Arial" w:hAnsi="Arial" w:cs="Arial"/>
                <w:sz w:val="17"/>
                <w:szCs w:val="17"/>
              </w:rPr>
              <w:t>12</w:t>
            </w:r>
          </w:p>
        </w:tc>
        <w:tc>
          <w:tcPr>
            <w:tcW w:w="1417" w:type="dxa"/>
            <w:tcBorders>
              <w:top w:val="nil"/>
              <w:left w:val="nil"/>
              <w:bottom w:val="single" w:color="auto" w:sz="4" w:space="0"/>
              <w:right w:val="single" w:color="auto" w:sz="4" w:space="0"/>
            </w:tcBorders>
            <w:shd w:val="clear" w:color="000000" w:fill="FFFFFF"/>
            <w:vAlign w:val="center"/>
          </w:tcPr>
          <w:p w14:paraId="76D870A5">
            <w:pPr>
              <w:spacing w:line="240" w:lineRule="auto"/>
              <w:jc w:val="center"/>
              <w:rPr>
                <w:rFonts w:ascii="Arial" w:hAnsi="Arial" w:cs="Arial"/>
                <w:sz w:val="17"/>
                <w:szCs w:val="17"/>
              </w:rPr>
            </w:pPr>
            <w:r>
              <w:rPr>
                <w:rFonts w:ascii="Arial" w:hAnsi="Arial" w:cs="Arial"/>
                <w:sz w:val="17"/>
                <w:szCs w:val="17"/>
              </w:rPr>
              <w:t>20</w:t>
            </w:r>
          </w:p>
        </w:tc>
        <w:tc>
          <w:tcPr>
            <w:tcW w:w="3589" w:type="dxa"/>
            <w:vAlign w:val="center"/>
          </w:tcPr>
          <w:p w14:paraId="68666BA4">
            <w:pPr>
              <w:spacing w:line="240" w:lineRule="auto"/>
              <w:rPr>
                <w:rFonts w:ascii="Arial" w:hAnsi="Arial" w:cs="Arial"/>
                <w:sz w:val="17"/>
                <w:szCs w:val="17"/>
              </w:rPr>
            </w:pPr>
          </w:p>
        </w:tc>
      </w:tr>
      <w:tr w14:paraId="109DC3F9">
        <w:tblPrEx>
          <w:tblCellMar>
            <w:top w:w="0" w:type="dxa"/>
            <w:left w:w="70" w:type="dxa"/>
            <w:bottom w:w="0" w:type="dxa"/>
            <w:right w:w="70" w:type="dxa"/>
          </w:tblCellMar>
        </w:tblPrEx>
        <w:trPr>
          <w:trHeight w:val="480" w:hRule="atLeast"/>
        </w:trPr>
        <w:tc>
          <w:tcPr>
            <w:tcW w:w="710" w:type="dxa"/>
            <w:tcBorders>
              <w:top w:val="nil"/>
              <w:left w:val="single" w:color="auto" w:sz="4" w:space="0"/>
              <w:bottom w:val="single" w:color="auto" w:sz="4" w:space="0"/>
              <w:right w:val="nil"/>
            </w:tcBorders>
            <w:shd w:val="clear" w:color="000000" w:fill="auto"/>
            <w:vAlign w:val="center"/>
          </w:tcPr>
          <w:p w14:paraId="72B95A9B">
            <w:pPr>
              <w:spacing w:line="240" w:lineRule="auto"/>
              <w:jc w:val="center"/>
              <w:rPr>
                <w:rFonts w:ascii="Arial" w:hAnsi="Arial" w:cs="Arial"/>
                <w:b/>
                <w:bCs/>
                <w:color w:val="000000"/>
                <w:sz w:val="17"/>
                <w:szCs w:val="17"/>
              </w:rPr>
            </w:pPr>
            <w:r>
              <w:rPr>
                <w:rFonts w:ascii="Arial" w:hAnsi="Arial" w:cs="Arial"/>
                <w:b/>
                <w:bCs/>
                <w:color w:val="000000"/>
                <w:sz w:val="17"/>
                <w:szCs w:val="17"/>
              </w:rPr>
              <w:t>6</w:t>
            </w:r>
          </w:p>
        </w:tc>
        <w:tc>
          <w:tcPr>
            <w:tcW w:w="992" w:type="dxa"/>
            <w:tcBorders>
              <w:top w:val="nil"/>
              <w:left w:val="single" w:color="auto" w:sz="4" w:space="0"/>
              <w:bottom w:val="single" w:color="auto" w:sz="4" w:space="0"/>
              <w:right w:val="single" w:color="auto" w:sz="4" w:space="0"/>
            </w:tcBorders>
            <w:shd w:val="clear" w:color="000000" w:fill="FFFFFF"/>
            <w:vAlign w:val="center"/>
          </w:tcPr>
          <w:p w14:paraId="4BD5E445">
            <w:pPr>
              <w:spacing w:line="240" w:lineRule="auto"/>
              <w:jc w:val="center"/>
              <w:rPr>
                <w:rFonts w:ascii="Arial" w:hAnsi="Arial" w:cs="Arial"/>
                <w:color w:val="000000"/>
                <w:sz w:val="17"/>
                <w:szCs w:val="17"/>
              </w:rPr>
            </w:pPr>
            <w:r>
              <w:rPr>
                <w:rFonts w:ascii="Arial" w:hAnsi="Arial" w:cs="Arial"/>
                <w:color w:val="000000"/>
                <w:sz w:val="17"/>
                <w:szCs w:val="17"/>
              </w:rPr>
              <w:t>115960-7</w:t>
            </w:r>
          </w:p>
        </w:tc>
        <w:tc>
          <w:tcPr>
            <w:tcW w:w="851" w:type="dxa"/>
            <w:tcBorders>
              <w:top w:val="nil"/>
              <w:left w:val="nil"/>
              <w:bottom w:val="single" w:color="auto" w:sz="4" w:space="0"/>
              <w:right w:val="single" w:color="auto" w:sz="4" w:space="0"/>
            </w:tcBorders>
            <w:shd w:val="clear" w:color="000000" w:fill="FFFFFF"/>
            <w:vAlign w:val="center"/>
          </w:tcPr>
          <w:p w14:paraId="67A2FD8F">
            <w:pPr>
              <w:spacing w:line="240" w:lineRule="auto"/>
              <w:jc w:val="center"/>
              <w:rPr>
                <w:rFonts w:ascii="Arial" w:hAnsi="Arial" w:cs="Arial"/>
                <w:color w:val="000000"/>
                <w:sz w:val="17"/>
                <w:szCs w:val="17"/>
              </w:rPr>
            </w:pPr>
            <w:r>
              <w:rPr>
                <w:rFonts w:ascii="Arial" w:hAnsi="Arial" w:cs="Arial"/>
                <w:color w:val="000000"/>
                <w:sz w:val="17"/>
                <w:szCs w:val="17"/>
              </w:rPr>
              <w:t>407133</w:t>
            </w:r>
          </w:p>
        </w:tc>
        <w:tc>
          <w:tcPr>
            <w:tcW w:w="3827" w:type="dxa"/>
            <w:tcBorders>
              <w:top w:val="nil"/>
              <w:left w:val="nil"/>
              <w:bottom w:val="single" w:color="auto" w:sz="4" w:space="0"/>
              <w:right w:val="single" w:color="auto" w:sz="4" w:space="0"/>
            </w:tcBorders>
            <w:shd w:val="clear" w:color="000000" w:fill="FFFFFF"/>
            <w:vAlign w:val="center"/>
          </w:tcPr>
          <w:p w14:paraId="72E656A0">
            <w:pPr>
              <w:spacing w:line="240" w:lineRule="auto"/>
              <w:rPr>
                <w:rFonts w:ascii="Arial" w:hAnsi="Arial" w:cs="Arial"/>
                <w:color w:val="000000"/>
                <w:sz w:val="17"/>
                <w:szCs w:val="17"/>
              </w:rPr>
            </w:pPr>
            <w:r>
              <w:rPr>
                <w:rFonts w:ascii="Arial" w:hAnsi="Arial" w:cs="Arial"/>
                <w:color w:val="000000"/>
                <w:sz w:val="17"/>
                <w:szCs w:val="17"/>
              </w:rPr>
              <w:t>NITROGENIO LIQUIDO.</w:t>
            </w:r>
          </w:p>
        </w:tc>
        <w:tc>
          <w:tcPr>
            <w:tcW w:w="992" w:type="dxa"/>
            <w:tcBorders>
              <w:top w:val="nil"/>
              <w:left w:val="nil"/>
              <w:bottom w:val="single" w:color="auto" w:sz="4" w:space="0"/>
              <w:right w:val="single" w:color="auto" w:sz="4" w:space="0"/>
            </w:tcBorders>
            <w:shd w:val="clear" w:color="000000" w:fill="FFFFFF"/>
            <w:vAlign w:val="center"/>
          </w:tcPr>
          <w:p w14:paraId="099625C0">
            <w:pPr>
              <w:spacing w:line="240" w:lineRule="auto"/>
              <w:jc w:val="center"/>
              <w:rPr>
                <w:rFonts w:ascii="Arial" w:hAnsi="Arial" w:cs="Arial"/>
                <w:color w:val="000000"/>
                <w:sz w:val="17"/>
                <w:szCs w:val="17"/>
              </w:rPr>
            </w:pPr>
            <w:r>
              <w:rPr>
                <w:rFonts w:ascii="Arial" w:hAnsi="Arial" w:cs="Arial"/>
                <w:color w:val="000000"/>
                <w:sz w:val="17"/>
                <w:szCs w:val="17"/>
              </w:rPr>
              <w:t>LITRO</w:t>
            </w:r>
          </w:p>
        </w:tc>
        <w:tc>
          <w:tcPr>
            <w:tcW w:w="1418" w:type="dxa"/>
            <w:tcBorders>
              <w:top w:val="nil"/>
              <w:left w:val="nil"/>
              <w:bottom w:val="single" w:color="auto" w:sz="4" w:space="0"/>
              <w:right w:val="single" w:color="auto" w:sz="4" w:space="0"/>
            </w:tcBorders>
            <w:shd w:val="clear" w:color="000000" w:fill="FFFFFF"/>
            <w:vAlign w:val="center"/>
          </w:tcPr>
          <w:p w14:paraId="6032E055">
            <w:pPr>
              <w:spacing w:line="240" w:lineRule="auto"/>
              <w:jc w:val="center"/>
              <w:rPr>
                <w:rFonts w:ascii="Arial" w:hAnsi="Arial" w:cs="Arial"/>
                <w:sz w:val="17"/>
                <w:szCs w:val="17"/>
              </w:rPr>
            </w:pPr>
            <w:r>
              <w:rPr>
                <w:rFonts w:ascii="Arial" w:hAnsi="Arial" w:cs="Arial"/>
                <w:sz w:val="17"/>
                <w:szCs w:val="17"/>
              </w:rPr>
              <w:t>240</w:t>
            </w:r>
          </w:p>
        </w:tc>
        <w:tc>
          <w:tcPr>
            <w:tcW w:w="1417" w:type="dxa"/>
            <w:tcBorders>
              <w:top w:val="nil"/>
              <w:left w:val="nil"/>
              <w:bottom w:val="single" w:color="auto" w:sz="4" w:space="0"/>
              <w:right w:val="single" w:color="auto" w:sz="4" w:space="0"/>
            </w:tcBorders>
            <w:shd w:val="clear" w:color="000000" w:fill="FFFFFF"/>
            <w:vAlign w:val="center"/>
          </w:tcPr>
          <w:p w14:paraId="1AD515D1">
            <w:pPr>
              <w:spacing w:line="240" w:lineRule="auto"/>
              <w:jc w:val="center"/>
              <w:rPr>
                <w:rFonts w:ascii="Arial" w:hAnsi="Arial" w:cs="Arial"/>
                <w:sz w:val="17"/>
                <w:szCs w:val="17"/>
              </w:rPr>
            </w:pPr>
            <w:r>
              <w:rPr>
                <w:rFonts w:ascii="Arial" w:hAnsi="Arial" w:cs="Arial"/>
                <w:sz w:val="17"/>
                <w:szCs w:val="17"/>
              </w:rPr>
              <w:t>400</w:t>
            </w:r>
          </w:p>
        </w:tc>
        <w:tc>
          <w:tcPr>
            <w:tcW w:w="3589" w:type="dxa"/>
            <w:vAlign w:val="center"/>
          </w:tcPr>
          <w:p w14:paraId="7BB2ACD8">
            <w:pPr>
              <w:spacing w:line="240" w:lineRule="auto"/>
              <w:rPr>
                <w:rFonts w:ascii="Arial" w:hAnsi="Arial" w:cs="Arial"/>
                <w:sz w:val="17"/>
                <w:szCs w:val="17"/>
              </w:rPr>
            </w:pPr>
          </w:p>
        </w:tc>
      </w:tr>
      <w:tr w14:paraId="4645369C">
        <w:tblPrEx>
          <w:tblCellMar>
            <w:top w:w="0" w:type="dxa"/>
            <w:left w:w="70" w:type="dxa"/>
            <w:bottom w:w="0" w:type="dxa"/>
            <w:right w:w="70" w:type="dxa"/>
          </w:tblCellMar>
        </w:tblPrEx>
        <w:trPr>
          <w:trHeight w:val="465" w:hRule="atLeast"/>
        </w:trPr>
        <w:tc>
          <w:tcPr>
            <w:tcW w:w="710" w:type="dxa"/>
            <w:tcBorders>
              <w:top w:val="single" w:color="auto" w:sz="4" w:space="0"/>
              <w:left w:val="single" w:color="auto" w:sz="4" w:space="0"/>
              <w:bottom w:val="single" w:color="auto" w:sz="4" w:space="0"/>
              <w:right w:val="nil"/>
            </w:tcBorders>
            <w:shd w:val="clear" w:color="000000" w:fill="auto"/>
            <w:vAlign w:val="center"/>
          </w:tcPr>
          <w:p w14:paraId="0F73D158">
            <w:pPr>
              <w:spacing w:line="240" w:lineRule="auto"/>
              <w:jc w:val="center"/>
              <w:rPr>
                <w:rFonts w:ascii="Arial" w:hAnsi="Arial" w:cs="Arial"/>
                <w:b/>
                <w:bCs/>
                <w:color w:val="000000"/>
                <w:sz w:val="17"/>
                <w:szCs w:val="17"/>
              </w:rPr>
            </w:pPr>
            <w:r>
              <w:rPr>
                <w:rFonts w:ascii="Arial" w:hAnsi="Arial" w:cs="Arial"/>
                <w:b/>
                <w:bCs/>
                <w:color w:val="000000"/>
                <w:sz w:val="17"/>
                <w:szCs w:val="17"/>
              </w:rPr>
              <w:t>8</w:t>
            </w:r>
          </w:p>
        </w:tc>
        <w:tc>
          <w:tcPr>
            <w:tcW w:w="992" w:type="dxa"/>
            <w:tcBorders>
              <w:top w:val="single" w:color="auto" w:sz="4" w:space="0"/>
              <w:left w:val="single" w:color="auto" w:sz="4" w:space="0"/>
              <w:bottom w:val="single" w:color="auto" w:sz="4" w:space="0"/>
              <w:right w:val="single" w:color="auto" w:sz="4" w:space="0"/>
            </w:tcBorders>
            <w:shd w:val="clear" w:color="000000" w:fill="FFFFFF"/>
            <w:vAlign w:val="center"/>
          </w:tcPr>
          <w:p w14:paraId="6932E50C">
            <w:pPr>
              <w:spacing w:line="240" w:lineRule="auto"/>
              <w:jc w:val="center"/>
              <w:rPr>
                <w:rFonts w:ascii="Arial" w:hAnsi="Arial" w:cs="Arial"/>
                <w:color w:val="000000"/>
                <w:sz w:val="17"/>
                <w:szCs w:val="17"/>
              </w:rPr>
            </w:pPr>
            <w:r>
              <w:rPr>
                <w:rFonts w:ascii="Arial" w:hAnsi="Arial" w:cs="Arial"/>
                <w:color w:val="000000"/>
                <w:sz w:val="17"/>
                <w:szCs w:val="17"/>
              </w:rPr>
              <w:t>157731-0</w:t>
            </w:r>
          </w:p>
        </w:tc>
        <w:tc>
          <w:tcPr>
            <w:tcW w:w="851" w:type="dxa"/>
            <w:tcBorders>
              <w:top w:val="single" w:color="auto" w:sz="4" w:space="0"/>
              <w:left w:val="nil"/>
              <w:bottom w:val="single" w:color="auto" w:sz="4" w:space="0"/>
              <w:right w:val="single" w:color="auto" w:sz="4" w:space="0"/>
            </w:tcBorders>
            <w:shd w:val="clear" w:color="000000" w:fill="FFFFFF"/>
            <w:vAlign w:val="center"/>
          </w:tcPr>
          <w:p w14:paraId="6089F385">
            <w:pPr>
              <w:spacing w:line="240" w:lineRule="auto"/>
              <w:jc w:val="center"/>
              <w:rPr>
                <w:rFonts w:ascii="Arial" w:hAnsi="Arial" w:cs="Arial"/>
                <w:color w:val="000000"/>
                <w:sz w:val="17"/>
                <w:szCs w:val="17"/>
              </w:rPr>
            </w:pPr>
            <w:r>
              <w:rPr>
                <w:rFonts w:ascii="Arial" w:hAnsi="Arial" w:cs="Arial"/>
                <w:color w:val="000000"/>
                <w:sz w:val="17"/>
                <w:szCs w:val="17"/>
              </w:rPr>
              <w:t>382394</w:t>
            </w:r>
          </w:p>
        </w:tc>
        <w:tc>
          <w:tcPr>
            <w:tcW w:w="3827" w:type="dxa"/>
            <w:tcBorders>
              <w:top w:val="single" w:color="auto" w:sz="4" w:space="0"/>
              <w:left w:val="nil"/>
              <w:bottom w:val="single" w:color="auto" w:sz="4" w:space="0"/>
              <w:right w:val="single" w:color="auto" w:sz="4" w:space="0"/>
            </w:tcBorders>
            <w:shd w:val="clear" w:color="000000" w:fill="FFFFFF"/>
            <w:vAlign w:val="center"/>
          </w:tcPr>
          <w:p w14:paraId="27502051">
            <w:pPr>
              <w:spacing w:line="240" w:lineRule="auto"/>
              <w:rPr>
                <w:rFonts w:ascii="Arial" w:hAnsi="Arial" w:cs="Arial"/>
                <w:color w:val="000000"/>
                <w:sz w:val="17"/>
                <w:szCs w:val="17"/>
              </w:rPr>
            </w:pPr>
            <w:r>
              <w:rPr>
                <w:rFonts w:ascii="Arial" w:hAnsi="Arial" w:cs="Arial"/>
                <w:color w:val="000000"/>
                <w:sz w:val="17"/>
                <w:szCs w:val="17"/>
              </w:rPr>
              <w:t>OXIGENIO MEDICINAL 10 M³</w:t>
            </w:r>
          </w:p>
        </w:tc>
        <w:tc>
          <w:tcPr>
            <w:tcW w:w="992" w:type="dxa"/>
            <w:tcBorders>
              <w:top w:val="single" w:color="auto" w:sz="4" w:space="0"/>
              <w:left w:val="nil"/>
              <w:bottom w:val="single" w:color="auto" w:sz="4" w:space="0"/>
              <w:right w:val="single" w:color="auto" w:sz="4" w:space="0"/>
            </w:tcBorders>
            <w:shd w:val="clear" w:color="000000" w:fill="FFFFFF"/>
            <w:vAlign w:val="center"/>
          </w:tcPr>
          <w:p w14:paraId="47F48596">
            <w:pPr>
              <w:spacing w:line="240" w:lineRule="auto"/>
              <w:jc w:val="center"/>
              <w:rPr>
                <w:rFonts w:ascii="Arial" w:hAnsi="Arial" w:cs="Arial"/>
                <w:color w:val="000000"/>
                <w:sz w:val="17"/>
                <w:szCs w:val="17"/>
              </w:rPr>
            </w:pPr>
            <w:r>
              <w:rPr>
                <w:rFonts w:ascii="Arial" w:hAnsi="Arial" w:cs="Arial"/>
                <w:color w:val="000000"/>
                <w:sz w:val="17"/>
                <w:szCs w:val="17"/>
              </w:rPr>
              <w:t>METRO CUBICO</w:t>
            </w:r>
          </w:p>
        </w:tc>
        <w:tc>
          <w:tcPr>
            <w:tcW w:w="1418" w:type="dxa"/>
            <w:tcBorders>
              <w:top w:val="single" w:color="auto" w:sz="4" w:space="0"/>
              <w:left w:val="nil"/>
              <w:bottom w:val="single" w:color="auto" w:sz="4" w:space="0"/>
              <w:right w:val="single" w:color="auto" w:sz="4" w:space="0"/>
            </w:tcBorders>
            <w:shd w:val="clear" w:color="000000" w:fill="FFFFFF"/>
            <w:vAlign w:val="center"/>
          </w:tcPr>
          <w:p w14:paraId="0AB5B43F">
            <w:pPr>
              <w:spacing w:line="240" w:lineRule="auto"/>
              <w:jc w:val="center"/>
              <w:rPr>
                <w:rFonts w:ascii="Arial" w:hAnsi="Arial" w:cs="Arial"/>
                <w:sz w:val="17"/>
                <w:szCs w:val="17"/>
              </w:rPr>
            </w:pPr>
            <w:r>
              <w:rPr>
                <w:rFonts w:ascii="Arial" w:hAnsi="Arial" w:cs="Arial"/>
                <w:sz w:val="17"/>
                <w:szCs w:val="17"/>
              </w:rPr>
              <w:t>25.200</w:t>
            </w:r>
          </w:p>
        </w:tc>
        <w:tc>
          <w:tcPr>
            <w:tcW w:w="1417" w:type="dxa"/>
            <w:tcBorders>
              <w:top w:val="single" w:color="auto" w:sz="4" w:space="0"/>
              <w:left w:val="nil"/>
              <w:bottom w:val="single" w:color="auto" w:sz="4" w:space="0"/>
              <w:right w:val="single" w:color="auto" w:sz="4" w:space="0"/>
            </w:tcBorders>
            <w:shd w:val="clear" w:color="000000" w:fill="FFFFFF"/>
            <w:vAlign w:val="center"/>
          </w:tcPr>
          <w:p w14:paraId="77D085D0">
            <w:pPr>
              <w:spacing w:line="240" w:lineRule="auto"/>
              <w:jc w:val="center"/>
              <w:rPr>
                <w:rFonts w:ascii="Arial" w:hAnsi="Arial" w:cs="Arial"/>
                <w:sz w:val="17"/>
                <w:szCs w:val="17"/>
              </w:rPr>
            </w:pPr>
            <w:r>
              <w:rPr>
                <w:rFonts w:ascii="Arial" w:hAnsi="Arial" w:cs="Arial"/>
                <w:sz w:val="17"/>
                <w:szCs w:val="17"/>
              </w:rPr>
              <w:t>42.000</w:t>
            </w:r>
          </w:p>
        </w:tc>
        <w:tc>
          <w:tcPr>
            <w:tcW w:w="3589" w:type="dxa"/>
            <w:vAlign w:val="center"/>
          </w:tcPr>
          <w:p w14:paraId="15AA6DDB">
            <w:pPr>
              <w:spacing w:line="240" w:lineRule="auto"/>
              <w:rPr>
                <w:rFonts w:ascii="Arial" w:hAnsi="Arial" w:cs="Arial"/>
                <w:sz w:val="17"/>
                <w:szCs w:val="17"/>
              </w:rPr>
            </w:pPr>
          </w:p>
        </w:tc>
      </w:tr>
      <w:tr w14:paraId="4B745301">
        <w:tblPrEx>
          <w:tblCellMar>
            <w:top w:w="0" w:type="dxa"/>
            <w:left w:w="70" w:type="dxa"/>
            <w:bottom w:w="0" w:type="dxa"/>
            <w:right w:w="70" w:type="dxa"/>
          </w:tblCellMar>
        </w:tblPrEx>
        <w:trPr>
          <w:trHeight w:val="300" w:hRule="atLeast"/>
        </w:trPr>
        <w:tc>
          <w:tcPr>
            <w:tcW w:w="710" w:type="dxa"/>
            <w:tcBorders>
              <w:top w:val="nil"/>
              <w:left w:val="single" w:color="auto" w:sz="4" w:space="0"/>
              <w:bottom w:val="single" w:color="auto" w:sz="4" w:space="0"/>
              <w:right w:val="nil"/>
            </w:tcBorders>
            <w:shd w:val="clear" w:color="000000" w:fill="auto"/>
            <w:vAlign w:val="center"/>
          </w:tcPr>
          <w:p w14:paraId="684CE685">
            <w:pPr>
              <w:spacing w:line="240" w:lineRule="auto"/>
              <w:jc w:val="center"/>
              <w:rPr>
                <w:rFonts w:ascii="Arial" w:hAnsi="Arial" w:cs="Arial"/>
                <w:b/>
                <w:bCs/>
                <w:color w:val="000000"/>
                <w:sz w:val="17"/>
                <w:szCs w:val="17"/>
              </w:rPr>
            </w:pPr>
            <w:r>
              <w:rPr>
                <w:rFonts w:ascii="Arial" w:hAnsi="Arial" w:cs="Arial"/>
                <w:b/>
                <w:bCs/>
                <w:color w:val="000000"/>
                <w:sz w:val="17"/>
                <w:szCs w:val="17"/>
              </w:rPr>
              <w:t>9</w:t>
            </w:r>
          </w:p>
        </w:tc>
        <w:tc>
          <w:tcPr>
            <w:tcW w:w="992" w:type="dxa"/>
            <w:tcBorders>
              <w:top w:val="nil"/>
              <w:left w:val="single" w:color="auto" w:sz="4" w:space="0"/>
              <w:bottom w:val="single" w:color="auto" w:sz="4" w:space="0"/>
              <w:right w:val="single" w:color="auto" w:sz="4" w:space="0"/>
            </w:tcBorders>
            <w:shd w:val="clear" w:color="000000" w:fill="FFFFFF"/>
            <w:vAlign w:val="center"/>
          </w:tcPr>
          <w:p w14:paraId="69347313">
            <w:pPr>
              <w:spacing w:line="240" w:lineRule="auto"/>
              <w:jc w:val="center"/>
              <w:rPr>
                <w:rFonts w:ascii="Arial" w:hAnsi="Arial" w:cs="Arial"/>
                <w:color w:val="000000"/>
                <w:sz w:val="17"/>
                <w:szCs w:val="17"/>
              </w:rPr>
            </w:pPr>
            <w:r>
              <w:rPr>
                <w:rFonts w:ascii="Arial" w:hAnsi="Arial" w:cs="Arial"/>
                <w:color w:val="000000"/>
                <w:sz w:val="17"/>
                <w:szCs w:val="17"/>
              </w:rPr>
              <w:t>227469-8</w:t>
            </w:r>
          </w:p>
        </w:tc>
        <w:tc>
          <w:tcPr>
            <w:tcW w:w="851" w:type="dxa"/>
            <w:tcBorders>
              <w:top w:val="nil"/>
              <w:left w:val="nil"/>
              <w:bottom w:val="single" w:color="auto" w:sz="4" w:space="0"/>
              <w:right w:val="single" w:color="auto" w:sz="4" w:space="0"/>
            </w:tcBorders>
            <w:shd w:val="clear" w:color="000000" w:fill="FFFFFF"/>
            <w:vAlign w:val="center"/>
          </w:tcPr>
          <w:p w14:paraId="1C2F9C49">
            <w:pPr>
              <w:spacing w:line="240" w:lineRule="auto"/>
              <w:jc w:val="center"/>
              <w:rPr>
                <w:rFonts w:ascii="Arial" w:hAnsi="Arial" w:cs="Arial"/>
                <w:color w:val="000000"/>
                <w:sz w:val="17"/>
                <w:szCs w:val="17"/>
              </w:rPr>
            </w:pPr>
            <w:r>
              <w:rPr>
                <w:rFonts w:ascii="Arial" w:hAnsi="Arial" w:cs="Arial"/>
                <w:color w:val="000000"/>
                <w:sz w:val="17"/>
                <w:szCs w:val="17"/>
              </w:rPr>
              <w:t>394507</w:t>
            </w:r>
          </w:p>
        </w:tc>
        <w:tc>
          <w:tcPr>
            <w:tcW w:w="3827" w:type="dxa"/>
            <w:tcBorders>
              <w:top w:val="nil"/>
              <w:left w:val="nil"/>
              <w:bottom w:val="single" w:color="auto" w:sz="4" w:space="0"/>
              <w:right w:val="single" w:color="auto" w:sz="4" w:space="0"/>
            </w:tcBorders>
            <w:shd w:val="clear" w:color="000000" w:fill="FFFFFF"/>
            <w:vAlign w:val="center"/>
          </w:tcPr>
          <w:p w14:paraId="698B6413">
            <w:pPr>
              <w:spacing w:line="240" w:lineRule="auto"/>
              <w:rPr>
                <w:rFonts w:ascii="Arial" w:hAnsi="Arial" w:cs="Arial"/>
                <w:color w:val="000000"/>
                <w:sz w:val="17"/>
                <w:szCs w:val="17"/>
              </w:rPr>
            </w:pPr>
            <w:r>
              <w:rPr>
                <w:rFonts w:ascii="Arial" w:hAnsi="Arial" w:cs="Arial"/>
                <w:color w:val="000000"/>
                <w:sz w:val="17"/>
                <w:szCs w:val="17"/>
              </w:rPr>
              <w:t>OXIGENIO MEDICINAL 2 M3.</w:t>
            </w:r>
          </w:p>
        </w:tc>
        <w:tc>
          <w:tcPr>
            <w:tcW w:w="992" w:type="dxa"/>
            <w:tcBorders>
              <w:top w:val="nil"/>
              <w:left w:val="nil"/>
              <w:bottom w:val="single" w:color="auto" w:sz="4" w:space="0"/>
              <w:right w:val="single" w:color="auto" w:sz="4" w:space="0"/>
            </w:tcBorders>
            <w:shd w:val="clear" w:color="000000" w:fill="FFFFFF"/>
            <w:vAlign w:val="center"/>
          </w:tcPr>
          <w:p w14:paraId="238B18A7">
            <w:pPr>
              <w:spacing w:line="240" w:lineRule="auto"/>
              <w:jc w:val="center"/>
              <w:rPr>
                <w:rFonts w:ascii="Arial" w:hAnsi="Arial" w:cs="Arial"/>
                <w:color w:val="000000"/>
                <w:sz w:val="17"/>
                <w:szCs w:val="17"/>
              </w:rPr>
            </w:pPr>
            <w:r>
              <w:rPr>
                <w:rFonts w:ascii="Arial" w:hAnsi="Arial" w:cs="Arial"/>
                <w:color w:val="000000"/>
                <w:sz w:val="17"/>
                <w:szCs w:val="17"/>
              </w:rPr>
              <w:t>METRO CUBICO</w:t>
            </w:r>
          </w:p>
        </w:tc>
        <w:tc>
          <w:tcPr>
            <w:tcW w:w="1418" w:type="dxa"/>
            <w:tcBorders>
              <w:top w:val="nil"/>
              <w:left w:val="nil"/>
              <w:bottom w:val="single" w:color="auto" w:sz="4" w:space="0"/>
              <w:right w:val="single" w:color="auto" w:sz="4" w:space="0"/>
            </w:tcBorders>
            <w:shd w:val="clear" w:color="000000" w:fill="FFFFFF"/>
            <w:vAlign w:val="center"/>
          </w:tcPr>
          <w:p w14:paraId="2A3D79CA">
            <w:pPr>
              <w:spacing w:line="240" w:lineRule="auto"/>
              <w:jc w:val="center"/>
              <w:rPr>
                <w:rFonts w:ascii="Arial" w:hAnsi="Arial" w:cs="Arial"/>
                <w:sz w:val="17"/>
                <w:szCs w:val="17"/>
              </w:rPr>
            </w:pPr>
            <w:r>
              <w:rPr>
                <w:rFonts w:ascii="Arial" w:hAnsi="Arial" w:cs="Arial"/>
                <w:sz w:val="17"/>
                <w:szCs w:val="17"/>
              </w:rPr>
              <w:t>1.800</w:t>
            </w:r>
          </w:p>
        </w:tc>
        <w:tc>
          <w:tcPr>
            <w:tcW w:w="1417" w:type="dxa"/>
            <w:tcBorders>
              <w:top w:val="nil"/>
              <w:left w:val="nil"/>
              <w:bottom w:val="single" w:color="auto" w:sz="4" w:space="0"/>
              <w:right w:val="single" w:color="auto" w:sz="4" w:space="0"/>
            </w:tcBorders>
            <w:shd w:val="clear" w:color="000000" w:fill="FFFFFF"/>
            <w:vAlign w:val="center"/>
          </w:tcPr>
          <w:p w14:paraId="1375F9ED">
            <w:pPr>
              <w:spacing w:line="240" w:lineRule="auto"/>
              <w:jc w:val="center"/>
              <w:rPr>
                <w:rFonts w:ascii="Arial" w:hAnsi="Arial" w:cs="Arial"/>
                <w:sz w:val="17"/>
                <w:szCs w:val="17"/>
              </w:rPr>
            </w:pPr>
            <w:r>
              <w:rPr>
                <w:rFonts w:ascii="Arial" w:hAnsi="Arial" w:cs="Arial"/>
                <w:sz w:val="17"/>
                <w:szCs w:val="17"/>
              </w:rPr>
              <w:t>3.000</w:t>
            </w:r>
          </w:p>
        </w:tc>
        <w:tc>
          <w:tcPr>
            <w:tcW w:w="3589" w:type="dxa"/>
            <w:vAlign w:val="center"/>
          </w:tcPr>
          <w:p w14:paraId="3001ADC6">
            <w:pPr>
              <w:spacing w:line="240" w:lineRule="auto"/>
              <w:rPr>
                <w:rFonts w:ascii="Arial" w:hAnsi="Arial" w:cs="Arial"/>
                <w:sz w:val="17"/>
                <w:szCs w:val="17"/>
              </w:rPr>
            </w:pPr>
          </w:p>
        </w:tc>
      </w:tr>
      <w:tr w14:paraId="6C066F22">
        <w:tblPrEx>
          <w:tblCellMar>
            <w:top w:w="0" w:type="dxa"/>
            <w:left w:w="70" w:type="dxa"/>
            <w:bottom w:w="0" w:type="dxa"/>
            <w:right w:w="70" w:type="dxa"/>
          </w:tblCellMar>
        </w:tblPrEx>
        <w:trPr>
          <w:trHeight w:val="300" w:hRule="atLeast"/>
        </w:trPr>
        <w:tc>
          <w:tcPr>
            <w:tcW w:w="710" w:type="dxa"/>
            <w:tcBorders>
              <w:top w:val="nil"/>
              <w:left w:val="single" w:color="auto" w:sz="4" w:space="0"/>
              <w:bottom w:val="single" w:color="auto" w:sz="4" w:space="0"/>
              <w:right w:val="nil"/>
            </w:tcBorders>
            <w:shd w:val="clear" w:color="000000" w:fill="auto"/>
            <w:vAlign w:val="center"/>
          </w:tcPr>
          <w:p w14:paraId="48A1318B">
            <w:pPr>
              <w:spacing w:line="240" w:lineRule="auto"/>
              <w:jc w:val="center"/>
              <w:rPr>
                <w:rFonts w:ascii="Arial" w:hAnsi="Arial" w:cs="Arial"/>
                <w:b/>
                <w:bCs/>
                <w:color w:val="000000"/>
                <w:sz w:val="17"/>
                <w:szCs w:val="17"/>
              </w:rPr>
            </w:pPr>
            <w:r>
              <w:rPr>
                <w:rFonts w:ascii="Arial" w:hAnsi="Arial" w:cs="Arial"/>
                <w:b/>
                <w:bCs/>
                <w:color w:val="000000"/>
                <w:sz w:val="17"/>
                <w:szCs w:val="17"/>
              </w:rPr>
              <w:t>10</w:t>
            </w:r>
          </w:p>
        </w:tc>
        <w:tc>
          <w:tcPr>
            <w:tcW w:w="992" w:type="dxa"/>
            <w:tcBorders>
              <w:top w:val="nil"/>
              <w:left w:val="single" w:color="auto" w:sz="4" w:space="0"/>
              <w:bottom w:val="single" w:color="auto" w:sz="4" w:space="0"/>
              <w:right w:val="single" w:color="auto" w:sz="4" w:space="0"/>
            </w:tcBorders>
            <w:shd w:val="clear" w:color="000000" w:fill="FFFFFF"/>
            <w:vAlign w:val="center"/>
          </w:tcPr>
          <w:p w14:paraId="6AF675B7">
            <w:pPr>
              <w:spacing w:line="240" w:lineRule="auto"/>
              <w:jc w:val="center"/>
              <w:rPr>
                <w:rFonts w:ascii="Arial" w:hAnsi="Arial" w:cs="Arial"/>
                <w:color w:val="000000"/>
                <w:sz w:val="17"/>
                <w:szCs w:val="17"/>
              </w:rPr>
            </w:pPr>
            <w:r>
              <w:rPr>
                <w:rFonts w:ascii="Arial" w:hAnsi="Arial" w:cs="Arial"/>
                <w:color w:val="000000"/>
                <w:sz w:val="17"/>
                <w:szCs w:val="17"/>
              </w:rPr>
              <w:t>252553-4</w:t>
            </w:r>
          </w:p>
        </w:tc>
        <w:tc>
          <w:tcPr>
            <w:tcW w:w="851" w:type="dxa"/>
            <w:tcBorders>
              <w:top w:val="nil"/>
              <w:left w:val="nil"/>
              <w:bottom w:val="single" w:color="auto" w:sz="4" w:space="0"/>
              <w:right w:val="single" w:color="auto" w:sz="4" w:space="0"/>
            </w:tcBorders>
            <w:shd w:val="clear" w:color="000000" w:fill="FFFFFF"/>
            <w:vAlign w:val="center"/>
          </w:tcPr>
          <w:p w14:paraId="0C0ECD9E">
            <w:pPr>
              <w:spacing w:line="240" w:lineRule="auto"/>
              <w:jc w:val="center"/>
              <w:rPr>
                <w:rFonts w:ascii="Arial" w:hAnsi="Arial" w:cs="Arial"/>
                <w:color w:val="000000"/>
                <w:sz w:val="17"/>
                <w:szCs w:val="17"/>
              </w:rPr>
            </w:pPr>
            <w:r>
              <w:rPr>
                <w:rFonts w:ascii="Arial" w:hAnsi="Arial" w:cs="Arial"/>
                <w:color w:val="000000"/>
                <w:sz w:val="17"/>
                <w:szCs w:val="17"/>
              </w:rPr>
              <w:t>394509</w:t>
            </w:r>
          </w:p>
        </w:tc>
        <w:tc>
          <w:tcPr>
            <w:tcW w:w="3827" w:type="dxa"/>
            <w:tcBorders>
              <w:top w:val="nil"/>
              <w:left w:val="nil"/>
              <w:bottom w:val="single" w:color="auto" w:sz="4" w:space="0"/>
              <w:right w:val="single" w:color="auto" w:sz="4" w:space="0"/>
            </w:tcBorders>
            <w:shd w:val="clear" w:color="000000" w:fill="FFFFFF"/>
            <w:vAlign w:val="center"/>
          </w:tcPr>
          <w:p w14:paraId="2EF2DBAC">
            <w:pPr>
              <w:spacing w:line="240" w:lineRule="auto"/>
              <w:rPr>
                <w:rFonts w:ascii="Arial" w:hAnsi="Arial" w:cs="Arial"/>
                <w:color w:val="000000"/>
                <w:sz w:val="17"/>
                <w:szCs w:val="17"/>
              </w:rPr>
            </w:pPr>
            <w:r>
              <w:rPr>
                <w:rFonts w:ascii="Arial" w:hAnsi="Arial" w:cs="Arial"/>
                <w:color w:val="000000"/>
                <w:sz w:val="17"/>
                <w:szCs w:val="17"/>
              </w:rPr>
              <w:t>OXIGENIO MEDICINAL 3 M3.</w:t>
            </w:r>
          </w:p>
        </w:tc>
        <w:tc>
          <w:tcPr>
            <w:tcW w:w="992" w:type="dxa"/>
            <w:tcBorders>
              <w:top w:val="nil"/>
              <w:left w:val="nil"/>
              <w:bottom w:val="single" w:color="auto" w:sz="4" w:space="0"/>
              <w:right w:val="single" w:color="auto" w:sz="4" w:space="0"/>
            </w:tcBorders>
            <w:shd w:val="clear" w:color="000000" w:fill="FFFFFF"/>
            <w:vAlign w:val="center"/>
          </w:tcPr>
          <w:p w14:paraId="35E234F2">
            <w:pPr>
              <w:spacing w:line="240" w:lineRule="auto"/>
              <w:jc w:val="center"/>
              <w:rPr>
                <w:rFonts w:ascii="Arial" w:hAnsi="Arial" w:cs="Arial"/>
                <w:color w:val="000000"/>
                <w:sz w:val="17"/>
                <w:szCs w:val="17"/>
              </w:rPr>
            </w:pPr>
            <w:r>
              <w:rPr>
                <w:rFonts w:ascii="Arial" w:hAnsi="Arial" w:cs="Arial"/>
                <w:color w:val="000000"/>
                <w:sz w:val="17"/>
                <w:szCs w:val="17"/>
              </w:rPr>
              <w:t>METRO CUBICO</w:t>
            </w:r>
          </w:p>
        </w:tc>
        <w:tc>
          <w:tcPr>
            <w:tcW w:w="1418" w:type="dxa"/>
            <w:tcBorders>
              <w:top w:val="nil"/>
              <w:left w:val="nil"/>
              <w:bottom w:val="single" w:color="auto" w:sz="4" w:space="0"/>
              <w:right w:val="single" w:color="auto" w:sz="4" w:space="0"/>
            </w:tcBorders>
            <w:shd w:val="clear" w:color="000000" w:fill="FFFFFF"/>
            <w:vAlign w:val="center"/>
          </w:tcPr>
          <w:p w14:paraId="4215EB20">
            <w:pPr>
              <w:spacing w:line="240" w:lineRule="auto"/>
              <w:jc w:val="center"/>
              <w:rPr>
                <w:rFonts w:ascii="Arial" w:hAnsi="Arial" w:cs="Arial"/>
                <w:sz w:val="17"/>
                <w:szCs w:val="17"/>
              </w:rPr>
            </w:pPr>
            <w:r>
              <w:rPr>
                <w:rFonts w:ascii="Arial" w:hAnsi="Arial" w:cs="Arial"/>
                <w:sz w:val="17"/>
                <w:szCs w:val="17"/>
              </w:rPr>
              <w:t>1.800</w:t>
            </w:r>
          </w:p>
        </w:tc>
        <w:tc>
          <w:tcPr>
            <w:tcW w:w="1417" w:type="dxa"/>
            <w:tcBorders>
              <w:top w:val="nil"/>
              <w:left w:val="nil"/>
              <w:bottom w:val="single" w:color="auto" w:sz="4" w:space="0"/>
              <w:right w:val="single" w:color="auto" w:sz="4" w:space="0"/>
            </w:tcBorders>
            <w:shd w:val="clear" w:color="000000" w:fill="FFFFFF"/>
            <w:vAlign w:val="center"/>
          </w:tcPr>
          <w:p w14:paraId="5DEA01D7">
            <w:pPr>
              <w:spacing w:line="240" w:lineRule="auto"/>
              <w:jc w:val="center"/>
              <w:rPr>
                <w:rFonts w:ascii="Arial" w:hAnsi="Arial" w:cs="Arial"/>
                <w:sz w:val="17"/>
                <w:szCs w:val="17"/>
              </w:rPr>
            </w:pPr>
            <w:r>
              <w:rPr>
                <w:rFonts w:ascii="Arial" w:hAnsi="Arial" w:cs="Arial"/>
                <w:sz w:val="17"/>
                <w:szCs w:val="17"/>
              </w:rPr>
              <w:t>3.000</w:t>
            </w:r>
          </w:p>
        </w:tc>
        <w:tc>
          <w:tcPr>
            <w:tcW w:w="3589" w:type="dxa"/>
            <w:vAlign w:val="center"/>
          </w:tcPr>
          <w:p w14:paraId="75557F6D">
            <w:pPr>
              <w:spacing w:line="240" w:lineRule="auto"/>
              <w:rPr>
                <w:rFonts w:ascii="Arial" w:hAnsi="Arial" w:cs="Arial"/>
                <w:sz w:val="17"/>
                <w:szCs w:val="17"/>
              </w:rPr>
            </w:pPr>
          </w:p>
        </w:tc>
      </w:tr>
      <w:tr w14:paraId="2F63FDC7">
        <w:tblPrEx>
          <w:tblCellMar>
            <w:top w:w="0" w:type="dxa"/>
            <w:left w:w="70" w:type="dxa"/>
            <w:bottom w:w="0" w:type="dxa"/>
            <w:right w:w="70" w:type="dxa"/>
          </w:tblCellMar>
        </w:tblPrEx>
        <w:trPr>
          <w:trHeight w:val="217" w:hRule="atLeast"/>
        </w:trPr>
        <w:tc>
          <w:tcPr>
            <w:tcW w:w="710" w:type="dxa"/>
            <w:tcBorders>
              <w:top w:val="nil"/>
              <w:left w:val="single" w:color="auto" w:sz="4" w:space="0"/>
              <w:bottom w:val="single" w:color="auto" w:sz="4" w:space="0"/>
              <w:right w:val="nil"/>
            </w:tcBorders>
            <w:shd w:val="clear" w:color="000000" w:fill="auto"/>
            <w:vAlign w:val="center"/>
          </w:tcPr>
          <w:p w14:paraId="4DE252FA">
            <w:pPr>
              <w:spacing w:line="240" w:lineRule="auto"/>
              <w:jc w:val="center"/>
              <w:rPr>
                <w:rFonts w:ascii="Arial" w:hAnsi="Arial" w:cs="Arial"/>
                <w:b/>
                <w:bCs/>
                <w:color w:val="000000"/>
                <w:sz w:val="17"/>
                <w:szCs w:val="17"/>
              </w:rPr>
            </w:pPr>
            <w:r>
              <w:rPr>
                <w:rFonts w:ascii="Arial" w:hAnsi="Arial" w:cs="Arial"/>
                <w:b/>
                <w:bCs/>
                <w:color w:val="000000"/>
                <w:sz w:val="17"/>
                <w:szCs w:val="17"/>
              </w:rPr>
              <w:t>11</w:t>
            </w:r>
          </w:p>
        </w:tc>
        <w:tc>
          <w:tcPr>
            <w:tcW w:w="992" w:type="dxa"/>
            <w:tcBorders>
              <w:top w:val="nil"/>
              <w:left w:val="single" w:color="auto" w:sz="4" w:space="0"/>
              <w:bottom w:val="single" w:color="auto" w:sz="4" w:space="0"/>
              <w:right w:val="single" w:color="auto" w:sz="4" w:space="0"/>
            </w:tcBorders>
            <w:shd w:val="clear" w:color="000000" w:fill="FFFFFF"/>
            <w:vAlign w:val="center"/>
          </w:tcPr>
          <w:p w14:paraId="7E9622C0">
            <w:pPr>
              <w:spacing w:line="240" w:lineRule="auto"/>
              <w:jc w:val="center"/>
              <w:rPr>
                <w:rFonts w:ascii="Arial" w:hAnsi="Arial" w:cs="Arial"/>
                <w:color w:val="000000"/>
                <w:sz w:val="17"/>
                <w:szCs w:val="17"/>
              </w:rPr>
            </w:pPr>
            <w:r>
              <w:rPr>
                <w:rFonts w:ascii="Arial" w:hAnsi="Arial" w:cs="Arial"/>
                <w:color w:val="000000"/>
                <w:sz w:val="17"/>
                <w:szCs w:val="17"/>
              </w:rPr>
              <w:t>226063-8</w:t>
            </w:r>
          </w:p>
        </w:tc>
        <w:tc>
          <w:tcPr>
            <w:tcW w:w="851" w:type="dxa"/>
            <w:tcBorders>
              <w:top w:val="nil"/>
              <w:left w:val="nil"/>
              <w:bottom w:val="single" w:color="auto" w:sz="4" w:space="0"/>
              <w:right w:val="single" w:color="auto" w:sz="4" w:space="0"/>
            </w:tcBorders>
            <w:shd w:val="clear" w:color="000000" w:fill="FFFFFF"/>
            <w:vAlign w:val="center"/>
          </w:tcPr>
          <w:p w14:paraId="60C00919">
            <w:pPr>
              <w:spacing w:line="240" w:lineRule="auto"/>
              <w:jc w:val="center"/>
              <w:rPr>
                <w:rFonts w:ascii="Arial" w:hAnsi="Arial" w:cs="Arial"/>
                <w:color w:val="000000"/>
                <w:sz w:val="17"/>
                <w:szCs w:val="17"/>
              </w:rPr>
            </w:pPr>
            <w:r>
              <w:rPr>
                <w:rFonts w:ascii="Arial" w:hAnsi="Arial" w:cs="Arial"/>
                <w:color w:val="000000"/>
                <w:sz w:val="17"/>
                <w:szCs w:val="17"/>
              </w:rPr>
              <w:t>399234</w:t>
            </w:r>
          </w:p>
        </w:tc>
        <w:tc>
          <w:tcPr>
            <w:tcW w:w="3827" w:type="dxa"/>
            <w:tcBorders>
              <w:top w:val="nil"/>
              <w:left w:val="nil"/>
              <w:bottom w:val="single" w:color="auto" w:sz="4" w:space="0"/>
              <w:right w:val="single" w:color="auto" w:sz="4" w:space="0"/>
            </w:tcBorders>
            <w:shd w:val="clear" w:color="000000" w:fill="FFFFFF"/>
            <w:vAlign w:val="center"/>
          </w:tcPr>
          <w:p w14:paraId="4229ECE8">
            <w:pPr>
              <w:spacing w:line="240" w:lineRule="auto"/>
              <w:rPr>
                <w:rFonts w:ascii="Arial" w:hAnsi="Arial" w:cs="Arial"/>
                <w:color w:val="000000"/>
                <w:sz w:val="17"/>
                <w:szCs w:val="17"/>
              </w:rPr>
            </w:pPr>
            <w:r>
              <w:rPr>
                <w:rFonts w:ascii="Arial" w:hAnsi="Arial" w:cs="Arial"/>
                <w:color w:val="000000"/>
                <w:sz w:val="17"/>
                <w:szCs w:val="17"/>
              </w:rPr>
              <w:t>REGULADOR DE PRESSAO PARA CILINDRO DE ACETILENO COM DOIS MANOMETROS. 1 MANOMETRO; 0 ATE 5 KG/CM³; 0 ATE 70 PSI. 2 MANOMETRO; 0-40 KG/CM³; 0-600 PSI. ALTA DURABILIDADE; ESCALA DE FACIL LEITURA; FACIL MANUTENCAO; CORPO EM LATAO FORJADO; PRECISAO NA LEITURA.</w:t>
            </w:r>
          </w:p>
        </w:tc>
        <w:tc>
          <w:tcPr>
            <w:tcW w:w="992" w:type="dxa"/>
            <w:tcBorders>
              <w:top w:val="nil"/>
              <w:left w:val="nil"/>
              <w:bottom w:val="single" w:color="auto" w:sz="4" w:space="0"/>
              <w:right w:val="single" w:color="auto" w:sz="4" w:space="0"/>
            </w:tcBorders>
            <w:shd w:val="clear" w:color="000000" w:fill="FFFFFF"/>
            <w:vAlign w:val="center"/>
          </w:tcPr>
          <w:p w14:paraId="5D725E8A">
            <w:pPr>
              <w:spacing w:line="240" w:lineRule="auto"/>
              <w:jc w:val="center"/>
              <w:rPr>
                <w:rFonts w:ascii="Arial" w:hAnsi="Arial" w:cs="Arial"/>
                <w:color w:val="000000"/>
                <w:sz w:val="17"/>
                <w:szCs w:val="17"/>
              </w:rPr>
            </w:pPr>
            <w:r>
              <w:rPr>
                <w:rFonts w:ascii="Arial" w:hAnsi="Arial" w:cs="Arial"/>
                <w:color w:val="000000"/>
                <w:sz w:val="17"/>
                <w:szCs w:val="17"/>
              </w:rPr>
              <w:t>UNIDADE</w:t>
            </w:r>
          </w:p>
        </w:tc>
        <w:tc>
          <w:tcPr>
            <w:tcW w:w="1418" w:type="dxa"/>
            <w:tcBorders>
              <w:top w:val="nil"/>
              <w:left w:val="nil"/>
              <w:bottom w:val="single" w:color="auto" w:sz="4" w:space="0"/>
              <w:right w:val="single" w:color="auto" w:sz="4" w:space="0"/>
            </w:tcBorders>
            <w:shd w:val="clear" w:color="000000" w:fill="FFFFFF"/>
            <w:vAlign w:val="center"/>
          </w:tcPr>
          <w:p w14:paraId="07A1C14F">
            <w:pPr>
              <w:spacing w:line="240" w:lineRule="auto"/>
              <w:jc w:val="center"/>
              <w:rPr>
                <w:rFonts w:ascii="Arial" w:hAnsi="Arial" w:cs="Arial"/>
                <w:sz w:val="17"/>
                <w:szCs w:val="17"/>
              </w:rPr>
            </w:pPr>
            <w:r>
              <w:rPr>
                <w:rFonts w:ascii="Arial" w:hAnsi="Arial" w:cs="Arial"/>
                <w:sz w:val="17"/>
                <w:szCs w:val="17"/>
              </w:rPr>
              <w:t>3</w:t>
            </w:r>
          </w:p>
        </w:tc>
        <w:tc>
          <w:tcPr>
            <w:tcW w:w="1417" w:type="dxa"/>
            <w:tcBorders>
              <w:top w:val="nil"/>
              <w:left w:val="nil"/>
              <w:bottom w:val="single" w:color="auto" w:sz="4" w:space="0"/>
              <w:right w:val="single" w:color="auto" w:sz="4" w:space="0"/>
            </w:tcBorders>
            <w:shd w:val="clear" w:color="000000" w:fill="FFFFFF"/>
            <w:vAlign w:val="center"/>
          </w:tcPr>
          <w:p w14:paraId="638199C3">
            <w:pPr>
              <w:spacing w:line="240" w:lineRule="auto"/>
              <w:jc w:val="center"/>
              <w:rPr>
                <w:rFonts w:ascii="Arial" w:hAnsi="Arial" w:cs="Arial"/>
                <w:sz w:val="17"/>
                <w:szCs w:val="17"/>
              </w:rPr>
            </w:pPr>
            <w:r>
              <w:rPr>
                <w:rFonts w:ascii="Arial" w:hAnsi="Arial" w:cs="Arial"/>
                <w:sz w:val="17"/>
                <w:szCs w:val="17"/>
              </w:rPr>
              <w:t>5</w:t>
            </w:r>
          </w:p>
        </w:tc>
        <w:tc>
          <w:tcPr>
            <w:tcW w:w="3589" w:type="dxa"/>
            <w:vAlign w:val="center"/>
          </w:tcPr>
          <w:p w14:paraId="7DF4B22A">
            <w:pPr>
              <w:spacing w:line="240" w:lineRule="auto"/>
              <w:rPr>
                <w:rFonts w:ascii="Arial" w:hAnsi="Arial" w:cs="Arial"/>
                <w:sz w:val="17"/>
                <w:szCs w:val="17"/>
              </w:rPr>
            </w:pPr>
          </w:p>
        </w:tc>
      </w:tr>
      <w:tr w14:paraId="5344BF1F">
        <w:tblPrEx>
          <w:tblCellMar>
            <w:top w:w="0" w:type="dxa"/>
            <w:left w:w="70" w:type="dxa"/>
            <w:bottom w:w="0" w:type="dxa"/>
            <w:right w:w="70" w:type="dxa"/>
          </w:tblCellMar>
        </w:tblPrEx>
        <w:trPr>
          <w:trHeight w:val="60" w:hRule="atLeast"/>
        </w:trPr>
        <w:tc>
          <w:tcPr>
            <w:tcW w:w="710" w:type="dxa"/>
            <w:tcBorders>
              <w:top w:val="nil"/>
              <w:left w:val="single" w:color="auto" w:sz="4" w:space="0"/>
              <w:bottom w:val="single" w:color="auto" w:sz="4" w:space="0"/>
              <w:right w:val="nil"/>
            </w:tcBorders>
            <w:shd w:val="clear" w:color="000000" w:fill="auto"/>
            <w:vAlign w:val="center"/>
          </w:tcPr>
          <w:p w14:paraId="2A0B9356">
            <w:pPr>
              <w:spacing w:line="240" w:lineRule="auto"/>
              <w:jc w:val="center"/>
              <w:rPr>
                <w:rFonts w:ascii="Arial" w:hAnsi="Arial" w:cs="Arial"/>
                <w:b/>
                <w:bCs/>
                <w:color w:val="000000"/>
                <w:sz w:val="17"/>
                <w:szCs w:val="17"/>
              </w:rPr>
            </w:pPr>
            <w:r>
              <w:rPr>
                <w:rFonts w:ascii="Arial" w:hAnsi="Arial" w:cs="Arial"/>
                <w:b/>
                <w:bCs/>
                <w:color w:val="000000"/>
                <w:sz w:val="17"/>
                <w:szCs w:val="17"/>
              </w:rPr>
              <w:t>12</w:t>
            </w:r>
          </w:p>
        </w:tc>
        <w:tc>
          <w:tcPr>
            <w:tcW w:w="992" w:type="dxa"/>
            <w:tcBorders>
              <w:top w:val="nil"/>
              <w:left w:val="single" w:color="auto" w:sz="4" w:space="0"/>
              <w:bottom w:val="single" w:color="auto" w:sz="4" w:space="0"/>
              <w:right w:val="single" w:color="auto" w:sz="4" w:space="0"/>
            </w:tcBorders>
            <w:shd w:val="clear" w:color="000000" w:fill="FFFFFF"/>
            <w:vAlign w:val="center"/>
          </w:tcPr>
          <w:p w14:paraId="19200E21">
            <w:pPr>
              <w:spacing w:line="240" w:lineRule="auto"/>
              <w:jc w:val="center"/>
              <w:rPr>
                <w:rFonts w:ascii="Arial" w:hAnsi="Arial" w:cs="Arial"/>
                <w:color w:val="000000"/>
                <w:sz w:val="17"/>
                <w:szCs w:val="17"/>
              </w:rPr>
            </w:pPr>
            <w:r>
              <w:rPr>
                <w:rFonts w:ascii="Arial" w:hAnsi="Arial" w:cs="Arial"/>
                <w:color w:val="000000"/>
                <w:sz w:val="17"/>
                <w:szCs w:val="17"/>
              </w:rPr>
              <w:t>150913-6</w:t>
            </w:r>
          </w:p>
        </w:tc>
        <w:tc>
          <w:tcPr>
            <w:tcW w:w="851" w:type="dxa"/>
            <w:tcBorders>
              <w:top w:val="nil"/>
              <w:left w:val="nil"/>
              <w:bottom w:val="single" w:color="auto" w:sz="4" w:space="0"/>
              <w:right w:val="single" w:color="auto" w:sz="4" w:space="0"/>
            </w:tcBorders>
            <w:shd w:val="clear" w:color="000000" w:fill="FFFFFF"/>
            <w:vAlign w:val="center"/>
          </w:tcPr>
          <w:p w14:paraId="7DCAD131">
            <w:pPr>
              <w:spacing w:line="240" w:lineRule="auto"/>
              <w:jc w:val="center"/>
              <w:rPr>
                <w:rFonts w:ascii="Arial" w:hAnsi="Arial" w:cs="Arial"/>
                <w:color w:val="000000"/>
                <w:sz w:val="17"/>
                <w:szCs w:val="17"/>
              </w:rPr>
            </w:pPr>
            <w:r>
              <w:rPr>
                <w:rFonts w:ascii="Arial" w:hAnsi="Arial" w:cs="Arial"/>
                <w:color w:val="000000"/>
                <w:sz w:val="17"/>
                <w:szCs w:val="17"/>
              </w:rPr>
              <w:t>399235</w:t>
            </w:r>
          </w:p>
        </w:tc>
        <w:tc>
          <w:tcPr>
            <w:tcW w:w="3827" w:type="dxa"/>
            <w:tcBorders>
              <w:top w:val="nil"/>
              <w:left w:val="nil"/>
              <w:bottom w:val="single" w:color="auto" w:sz="4" w:space="0"/>
              <w:right w:val="single" w:color="auto" w:sz="4" w:space="0"/>
            </w:tcBorders>
            <w:shd w:val="clear" w:color="000000" w:fill="FFFFFF"/>
            <w:vAlign w:val="center"/>
          </w:tcPr>
          <w:p w14:paraId="68C83065">
            <w:pPr>
              <w:spacing w:line="240" w:lineRule="auto"/>
              <w:rPr>
                <w:rFonts w:ascii="Arial" w:hAnsi="Arial" w:cs="Arial"/>
                <w:color w:val="000000"/>
                <w:sz w:val="17"/>
                <w:szCs w:val="17"/>
              </w:rPr>
            </w:pPr>
            <w:r>
              <w:rPr>
                <w:rFonts w:ascii="Arial" w:hAnsi="Arial" w:cs="Arial"/>
                <w:color w:val="000000"/>
                <w:sz w:val="17"/>
                <w:szCs w:val="17"/>
              </w:rPr>
              <w:t>REGULADOR DE PRESSAO PARA CILINDRO DE OXIGENIO; CORPO TOTALMENTE FORJADO EM LATAO. VALVULA DE SEGURANCA EXTERNA, DESTINADO AO USO EM SISTEMAS DE ALTA PRESSAO. CONEXAO DE ENTRADA: PORCA ROSCA DIREITA INTERNA W21.8 X 1/14 (ABNT 218-1). CONEXAO DE SAIDA: NIPLE COM CONEXAO TIPO UNIAO PARA PORCA ROSCA DIREITA 9/16 UNF-18. PRESSAO MAXIMA DE ENTRADA: 220 KGF / CM². MANOMETRO DE ENTRADA: DIAMETRO NOMINAL 62MMM, CAIXA EM LATAO FORJADO PINTURA DOURADO, COMPONENTES INTERNOS EM LATAO, ESCALA 4500 PSI X 315 KGF/CM². MANOMETRO DE SAIDA: DIAMETRO NOMINAL 62MMM, CAIXA EM LATAO FORJADO PINTURA DOURADO, COMPONENTES INTERNOS EM LATAO. ESCALAS: 700 PSI X 50KGF / CM², ALTA DURABILIDADE; ESCALA DE FACIL LEITURA PRECISAO NA LEITURA; FACIL MANUTENCAO.</w:t>
            </w:r>
          </w:p>
        </w:tc>
        <w:tc>
          <w:tcPr>
            <w:tcW w:w="992" w:type="dxa"/>
            <w:tcBorders>
              <w:top w:val="nil"/>
              <w:left w:val="nil"/>
              <w:bottom w:val="single" w:color="auto" w:sz="4" w:space="0"/>
              <w:right w:val="single" w:color="auto" w:sz="4" w:space="0"/>
            </w:tcBorders>
            <w:shd w:val="clear" w:color="000000" w:fill="FFFFFF"/>
            <w:vAlign w:val="center"/>
          </w:tcPr>
          <w:p w14:paraId="62F58C99">
            <w:pPr>
              <w:spacing w:line="240" w:lineRule="auto"/>
              <w:jc w:val="center"/>
              <w:rPr>
                <w:rFonts w:ascii="Arial" w:hAnsi="Arial" w:cs="Arial"/>
                <w:color w:val="000000"/>
                <w:sz w:val="17"/>
                <w:szCs w:val="17"/>
              </w:rPr>
            </w:pPr>
            <w:r>
              <w:rPr>
                <w:rFonts w:ascii="Arial" w:hAnsi="Arial" w:cs="Arial"/>
                <w:color w:val="000000"/>
                <w:sz w:val="17"/>
                <w:szCs w:val="17"/>
              </w:rPr>
              <w:t>UNIDADE</w:t>
            </w:r>
          </w:p>
        </w:tc>
        <w:tc>
          <w:tcPr>
            <w:tcW w:w="1418" w:type="dxa"/>
            <w:tcBorders>
              <w:top w:val="nil"/>
              <w:left w:val="nil"/>
              <w:bottom w:val="single" w:color="auto" w:sz="4" w:space="0"/>
              <w:right w:val="single" w:color="auto" w:sz="4" w:space="0"/>
            </w:tcBorders>
            <w:shd w:val="clear" w:color="000000" w:fill="FFFFFF"/>
            <w:vAlign w:val="center"/>
          </w:tcPr>
          <w:p w14:paraId="011FB7BB">
            <w:pPr>
              <w:spacing w:line="240" w:lineRule="auto"/>
              <w:jc w:val="center"/>
              <w:rPr>
                <w:rFonts w:ascii="Arial" w:hAnsi="Arial" w:cs="Arial"/>
                <w:sz w:val="17"/>
                <w:szCs w:val="17"/>
              </w:rPr>
            </w:pPr>
            <w:r>
              <w:rPr>
                <w:rFonts w:ascii="Arial" w:hAnsi="Arial" w:cs="Arial"/>
                <w:sz w:val="17"/>
                <w:szCs w:val="17"/>
              </w:rPr>
              <w:t>3</w:t>
            </w:r>
          </w:p>
        </w:tc>
        <w:tc>
          <w:tcPr>
            <w:tcW w:w="1417" w:type="dxa"/>
            <w:tcBorders>
              <w:top w:val="nil"/>
              <w:left w:val="nil"/>
              <w:bottom w:val="single" w:color="auto" w:sz="4" w:space="0"/>
              <w:right w:val="single" w:color="auto" w:sz="4" w:space="0"/>
            </w:tcBorders>
            <w:shd w:val="clear" w:color="000000" w:fill="FFFFFF"/>
            <w:vAlign w:val="center"/>
          </w:tcPr>
          <w:p w14:paraId="38D834DC">
            <w:pPr>
              <w:spacing w:line="240" w:lineRule="auto"/>
              <w:jc w:val="center"/>
              <w:rPr>
                <w:rFonts w:ascii="Arial" w:hAnsi="Arial" w:cs="Arial"/>
                <w:sz w:val="17"/>
                <w:szCs w:val="17"/>
              </w:rPr>
            </w:pPr>
            <w:r>
              <w:rPr>
                <w:rFonts w:ascii="Arial" w:hAnsi="Arial" w:cs="Arial"/>
                <w:sz w:val="17"/>
                <w:szCs w:val="17"/>
              </w:rPr>
              <w:t>5</w:t>
            </w:r>
          </w:p>
        </w:tc>
        <w:tc>
          <w:tcPr>
            <w:tcW w:w="3589" w:type="dxa"/>
            <w:vAlign w:val="center"/>
          </w:tcPr>
          <w:p w14:paraId="5970B10A">
            <w:pPr>
              <w:spacing w:line="240" w:lineRule="auto"/>
              <w:rPr>
                <w:rFonts w:ascii="Arial" w:hAnsi="Arial" w:cs="Arial"/>
                <w:sz w:val="17"/>
                <w:szCs w:val="17"/>
              </w:rPr>
            </w:pPr>
          </w:p>
        </w:tc>
      </w:tr>
      <w:tr w14:paraId="21E83E2C">
        <w:tblPrEx>
          <w:tblCellMar>
            <w:top w:w="0" w:type="dxa"/>
            <w:left w:w="70" w:type="dxa"/>
            <w:bottom w:w="0" w:type="dxa"/>
            <w:right w:w="70" w:type="dxa"/>
          </w:tblCellMar>
        </w:tblPrEx>
        <w:trPr>
          <w:trHeight w:val="60" w:hRule="atLeast"/>
        </w:trPr>
        <w:tc>
          <w:tcPr>
            <w:tcW w:w="710" w:type="dxa"/>
            <w:tcBorders>
              <w:top w:val="single" w:color="auto" w:sz="4" w:space="0"/>
              <w:left w:val="single" w:color="auto" w:sz="4" w:space="0"/>
              <w:bottom w:val="single" w:color="auto" w:sz="4" w:space="0"/>
              <w:right w:val="nil"/>
            </w:tcBorders>
            <w:shd w:val="clear" w:color="000000" w:fill="auto"/>
            <w:vAlign w:val="center"/>
          </w:tcPr>
          <w:p w14:paraId="0F64F715">
            <w:pPr>
              <w:spacing w:line="240" w:lineRule="auto"/>
              <w:jc w:val="center"/>
              <w:rPr>
                <w:rFonts w:ascii="Arial" w:hAnsi="Arial" w:cs="Arial"/>
                <w:b/>
                <w:bCs/>
                <w:color w:val="000000"/>
                <w:sz w:val="17"/>
                <w:szCs w:val="17"/>
              </w:rPr>
            </w:pPr>
            <w:r>
              <w:rPr>
                <w:rFonts w:ascii="Arial" w:hAnsi="Arial" w:cs="Arial"/>
                <w:b/>
                <w:bCs/>
                <w:color w:val="000000"/>
                <w:sz w:val="17"/>
                <w:szCs w:val="17"/>
              </w:rPr>
              <w:t>13</w:t>
            </w:r>
          </w:p>
        </w:tc>
        <w:tc>
          <w:tcPr>
            <w:tcW w:w="992" w:type="dxa"/>
            <w:tcBorders>
              <w:top w:val="single" w:color="auto" w:sz="4" w:space="0"/>
              <w:left w:val="single" w:color="auto" w:sz="4" w:space="0"/>
              <w:bottom w:val="single" w:color="auto" w:sz="4" w:space="0"/>
              <w:right w:val="single" w:color="auto" w:sz="4" w:space="0"/>
            </w:tcBorders>
            <w:shd w:val="clear" w:color="000000" w:fill="FFFFFF"/>
            <w:vAlign w:val="center"/>
          </w:tcPr>
          <w:p w14:paraId="2F67ACE8">
            <w:pPr>
              <w:spacing w:line="240" w:lineRule="auto"/>
              <w:jc w:val="center"/>
              <w:rPr>
                <w:rFonts w:ascii="Arial" w:hAnsi="Arial" w:cs="Arial"/>
                <w:color w:val="000000"/>
                <w:sz w:val="17"/>
                <w:szCs w:val="17"/>
              </w:rPr>
            </w:pPr>
            <w:r>
              <w:rPr>
                <w:rFonts w:ascii="Arial" w:hAnsi="Arial" w:cs="Arial"/>
                <w:color w:val="000000"/>
                <w:sz w:val="17"/>
                <w:szCs w:val="17"/>
              </w:rPr>
              <w:t>153190-5</w:t>
            </w:r>
          </w:p>
        </w:tc>
        <w:tc>
          <w:tcPr>
            <w:tcW w:w="851" w:type="dxa"/>
            <w:tcBorders>
              <w:top w:val="single" w:color="auto" w:sz="4" w:space="0"/>
              <w:left w:val="nil"/>
              <w:bottom w:val="single" w:color="auto" w:sz="4" w:space="0"/>
              <w:right w:val="single" w:color="auto" w:sz="4" w:space="0"/>
            </w:tcBorders>
            <w:shd w:val="clear" w:color="000000" w:fill="FFFFFF"/>
            <w:vAlign w:val="center"/>
          </w:tcPr>
          <w:p w14:paraId="376116AD">
            <w:pPr>
              <w:spacing w:line="240" w:lineRule="auto"/>
              <w:jc w:val="center"/>
              <w:rPr>
                <w:rFonts w:ascii="Arial" w:hAnsi="Arial" w:cs="Arial"/>
                <w:color w:val="000000"/>
                <w:sz w:val="17"/>
                <w:szCs w:val="17"/>
              </w:rPr>
            </w:pPr>
            <w:r>
              <w:rPr>
                <w:rFonts w:ascii="Arial" w:hAnsi="Arial" w:cs="Arial"/>
                <w:color w:val="000000"/>
                <w:sz w:val="17"/>
                <w:szCs w:val="17"/>
              </w:rPr>
              <w:t>390222</w:t>
            </w:r>
          </w:p>
        </w:tc>
        <w:tc>
          <w:tcPr>
            <w:tcW w:w="3827" w:type="dxa"/>
            <w:tcBorders>
              <w:top w:val="single" w:color="auto" w:sz="4" w:space="0"/>
              <w:left w:val="nil"/>
              <w:bottom w:val="single" w:color="auto" w:sz="4" w:space="0"/>
              <w:right w:val="single" w:color="auto" w:sz="4" w:space="0"/>
            </w:tcBorders>
            <w:shd w:val="clear" w:color="000000" w:fill="FFFFFF"/>
            <w:vAlign w:val="center"/>
          </w:tcPr>
          <w:p w14:paraId="22AFAEE2">
            <w:pPr>
              <w:spacing w:line="240" w:lineRule="auto"/>
              <w:rPr>
                <w:rFonts w:ascii="Arial" w:hAnsi="Arial" w:cs="Arial"/>
                <w:color w:val="000000"/>
                <w:sz w:val="17"/>
                <w:szCs w:val="17"/>
              </w:rPr>
            </w:pPr>
            <w:r>
              <w:rPr>
                <w:rFonts w:ascii="Arial" w:hAnsi="Arial" w:cs="Arial"/>
                <w:color w:val="000000"/>
                <w:sz w:val="17"/>
                <w:szCs w:val="17"/>
              </w:rPr>
              <w:t>UMIDIFICADOR ADULTO 250ML COM EXTENSAO E MASCARA P/ OXIGENIO PROTEC, UMIDIFICADOR COM FRASCO PLASTICO 250ML PARA OXIGENIO COM EXTENSOR E MASCARA ADULTO, NAO ESTERIL, DESENVOLVIDO PARA AS ATIVIDADES DE UMIDIFICACAO, GERADOS POR PASSAGEM DE OXIGENIO OU AR COMPRIMIDO MEDICINAL, E GERALMENTE UTILIZADO PARA PACIENTES QUE PRECISAM UMIDIFICAR VIAS AEREAS, EVITANDO RESSECAMENTO DA LARINGE. FUNCIONAMENTO PROPORCIONA O ARRASTE DA AGUA COLOCADA NO RECIPIENTE, QUANDO DA PASSAGEM DO FLUXO DE GAS PELO LIQUIDO, CARREGANDO AS PARTICULAS PARA AS VIAS AEREAS. CONTEM 01 TAMPA EM NYLON COM CONFORME ESPECIFICACAO, 01 TUBO COM BORBULHADOR PARA PERMITIR O ARRASTE DAS PARTICULAS E 01 COPO TRANSLUCIDO.</w:t>
            </w:r>
          </w:p>
        </w:tc>
        <w:tc>
          <w:tcPr>
            <w:tcW w:w="992" w:type="dxa"/>
            <w:tcBorders>
              <w:top w:val="single" w:color="auto" w:sz="4" w:space="0"/>
              <w:left w:val="nil"/>
              <w:bottom w:val="single" w:color="auto" w:sz="4" w:space="0"/>
              <w:right w:val="single" w:color="auto" w:sz="4" w:space="0"/>
            </w:tcBorders>
            <w:shd w:val="clear" w:color="000000" w:fill="FFFFFF"/>
            <w:vAlign w:val="center"/>
          </w:tcPr>
          <w:p w14:paraId="48D4EB3E">
            <w:pPr>
              <w:spacing w:line="240" w:lineRule="auto"/>
              <w:jc w:val="center"/>
              <w:rPr>
                <w:rFonts w:ascii="Arial" w:hAnsi="Arial" w:cs="Arial"/>
                <w:color w:val="000000"/>
                <w:sz w:val="17"/>
                <w:szCs w:val="17"/>
              </w:rPr>
            </w:pPr>
            <w:r>
              <w:rPr>
                <w:rFonts w:ascii="Arial" w:hAnsi="Arial" w:cs="Arial"/>
                <w:color w:val="000000"/>
                <w:sz w:val="17"/>
                <w:szCs w:val="17"/>
              </w:rPr>
              <w:t>UNIDADE</w:t>
            </w:r>
          </w:p>
        </w:tc>
        <w:tc>
          <w:tcPr>
            <w:tcW w:w="1418" w:type="dxa"/>
            <w:tcBorders>
              <w:top w:val="single" w:color="auto" w:sz="4" w:space="0"/>
              <w:left w:val="nil"/>
              <w:bottom w:val="single" w:color="auto" w:sz="4" w:space="0"/>
              <w:right w:val="single" w:color="auto" w:sz="4" w:space="0"/>
            </w:tcBorders>
            <w:shd w:val="clear" w:color="000000" w:fill="FFFFFF"/>
            <w:vAlign w:val="center"/>
          </w:tcPr>
          <w:p w14:paraId="2B518CE1">
            <w:pPr>
              <w:spacing w:line="240" w:lineRule="auto"/>
              <w:jc w:val="center"/>
              <w:rPr>
                <w:rFonts w:ascii="Arial" w:hAnsi="Arial" w:cs="Arial"/>
                <w:sz w:val="17"/>
                <w:szCs w:val="17"/>
              </w:rPr>
            </w:pPr>
            <w:r>
              <w:rPr>
                <w:rFonts w:ascii="Arial" w:hAnsi="Arial" w:cs="Arial"/>
                <w:sz w:val="17"/>
                <w:szCs w:val="17"/>
              </w:rPr>
              <w:t>15</w:t>
            </w:r>
          </w:p>
        </w:tc>
        <w:tc>
          <w:tcPr>
            <w:tcW w:w="1417" w:type="dxa"/>
            <w:tcBorders>
              <w:top w:val="single" w:color="auto" w:sz="4" w:space="0"/>
              <w:left w:val="nil"/>
              <w:bottom w:val="single" w:color="auto" w:sz="4" w:space="0"/>
              <w:right w:val="single" w:color="auto" w:sz="4" w:space="0"/>
            </w:tcBorders>
            <w:shd w:val="clear" w:color="000000" w:fill="FFFFFF"/>
            <w:vAlign w:val="center"/>
          </w:tcPr>
          <w:p w14:paraId="72966808">
            <w:pPr>
              <w:spacing w:line="240" w:lineRule="auto"/>
              <w:jc w:val="center"/>
              <w:rPr>
                <w:rFonts w:ascii="Arial" w:hAnsi="Arial" w:cs="Arial"/>
                <w:sz w:val="17"/>
                <w:szCs w:val="17"/>
              </w:rPr>
            </w:pPr>
            <w:r>
              <w:rPr>
                <w:rFonts w:ascii="Arial" w:hAnsi="Arial" w:cs="Arial"/>
                <w:sz w:val="17"/>
                <w:szCs w:val="17"/>
              </w:rPr>
              <w:t>25</w:t>
            </w:r>
          </w:p>
        </w:tc>
        <w:tc>
          <w:tcPr>
            <w:tcW w:w="3589" w:type="dxa"/>
            <w:vAlign w:val="center"/>
          </w:tcPr>
          <w:p w14:paraId="0F21E203">
            <w:pPr>
              <w:spacing w:line="240" w:lineRule="auto"/>
              <w:rPr>
                <w:rFonts w:ascii="Arial" w:hAnsi="Arial" w:cs="Arial"/>
                <w:sz w:val="17"/>
                <w:szCs w:val="17"/>
              </w:rPr>
            </w:pPr>
          </w:p>
        </w:tc>
      </w:tr>
      <w:tr w14:paraId="11A3CE28">
        <w:tblPrEx>
          <w:tblCellMar>
            <w:top w:w="0" w:type="dxa"/>
            <w:left w:w="70" w:type="dxa"/>
            <w:bottom w:w="0" w:type="dxa"/>
            <w:right w:w="70" w:type="dxa"/>
          </w:tblCellMar>
        </w:tblPrEx>
        <w:trPr>
          <w:trHeight w:val="685" w:hRule="atLeast"/>
        </w:trPr>
        <w:tc>
          <w:tcPr>
            <w:tcW w:w="710" w:type="dxa"/>
            <w:tcBorders>
              <w:top w:val="nil"/>
              <w:left w:val="single" w:color="auto" w:sz="4" w:space="0"/>
              <w:bottom w:val="single" w:color="auto" w:sz="4" w:space="0"/>
              <w:right w:val="nil"/>
            </w:tcBorders>
            <w:shd w:val="clear" w:color="000000" w:fill="auto"/>
            <w:vAlign w:val="center"/>
          </w:tcPr>
          <w:p w14:paraId="65A5D07C">
            <w:pPr>
              <w:spacing w:line="240" w:lineRule="auto"/>
              <w:jc w:val="center"/>
              <w:rPr>
                <w:rFonts w:ascii="Arial" w:hAnsi="Arial" w:cs="Arial"/>
                <w:b/>
                <w:bCs/>
                <w:color w:val="000000"/>
                <w:sz w:val="17"/>
                <w:szCs w:val="17"/>
              </w:rPr>
            </w:pPr>
            <w:r>
              <w:rPr>
                <w:rFonts w:ascii="Arial" w:hAnsi="Arial" w:cs="Arial"/>
                <w:b/>
                <w:bCs/>
                <w:color w:val="000000"/>
                <w:sz w:val="17"/>
                <w:szCs w:val="17"/>
              </w:rPr>
              <w:t>14</w:t>
            </w:r>
          </w:p>
        </w:tc>
        <w:tc>
          <w:tcPr>
            <w:tcW w:w="992" w:type="dxa"/>
            <w:tcBorders>
              <w:top w:val="nil"/>
              <w:left w:val="single" w:color="auto" w:sz="4" w:space="0"/>
              <w:bottom w:val="single" w:color="auto" w:sz="4" w:space="0"/>
              <w:right w:val="single" w:color="auto" w:sz="4" w:space="0"/>
            </w:tcBorders>
            <w:shd w:val="clear" w:color="000000" w:fill="FFFFFF"/>
            <w:vAlign w:val="center"/>
          </w:tcPr>
          <w:p w14:paraId="253C0F39">
            <w:pPr>
              <w:spacing w:line="240" w:lineRule="auto"/>
              <w:jc w:val="center"/>
              <w:rPr>
                <w:rFonts w:ascii="Arial" w:hAnsi="Arial" w:cs="Arial"/>
                <w:color w:val="000000"/>
                <w:sz w:val="17"/>
                <w:szCs w:val="17"/>
              </w:rPr>
            </w:pPr>
            <w:r>
              <w:rPr>
                <w:rFonts w:ascii="Arial" w:hAnsi="Arial" w:cs="Arial"/>
                <w:color w:val="000000"/>
                <w:sz w:val="17"/>
                <w:szCs w:val="17"/>
              </w:rPr>
              <w:t>00057136</w:t>
            </w:r>
          </w:p>
        </w:tc>
        <w:tc>
          <w:tcPr>
            <w:tcW w:w="851" w:type="dxa"/>
            <w:tcBorders>
              <w:top w:val="nil"/>
              <w:left w:val="nil"/>
              <w:bottom w:val="single" w:color="auto" w:sz="4" w:space="0"/>
              <w:right w:val="single" w:color="auto" w:sz="4" w:space="0"/>
            </w:tcBorders>
            <w:shd w:val="clear" w:color="000000" w:fill="FFFFFF"/>
            <w:vAlign w:val="center"/>
          </w:tcPr>
          <w:p w14:paraId="0C20BFF2">
            <w:pPr>
              <w:spacing w:line="240" w:lineRule="auto"/>
              <w:jc w:val="center"/>
              <w:rPr>
                <w:rFonts w:ascii="Arial" w:hAnsi="Arial" w:cs="Arial"/>
                <w:color w:val="000000"/>
                <w:sz w:val="17"/>
                <w:szCs w:val="17"/>
              </w:rPr>
            </w:pPr>
            <w:r>
              <w:rPr>
                <w:rFonts w:ascii="Arial" w:hAnsi="Arial" w:cs="Arial"/>
                <w:color w:val="000000"/>
                <w:sz w:val="17"/>
                <w:szCs w:val="17"/>
              </w:rPr>
              <w:t>403090</w:t>
            </w:r>
          </w:p>
        </w:tc>
        <w:tc>
          <w:tcPr>
            <w:tcW w:w="3827" w:type="dxa"/>
            <w:tcBorders>
              <w:top w:val="nil"/>
              <w:left w:val="nil"/>
              <w:bottom w:val="single" w:color="auto" w:sz="4" w:space="0"/>
              <w:right w:val="single" w:color="auto" w:sz="4" w:space="0"/>
            </w:tcBorders>
            <w:shd w:val="clear" w:color="000000" w:fill="FFFFFF"/>
            <w:vAlign w:val="center"/>
          </w:tcPr>
          <w:p w14:paraId="5F707044">
            <w:pPr>
              <w:spacing w:line="240" w:lineRule="auto"/>
              <w:rPr>
                <w:rFonts w:ascii="Arial" w:hAnsi="Arial" w:cs="Arial"/>
                <w:color w:val="000000"/>
                <w:sz w:val="17"/>
                <w:szCs w:val="17"/>
              </w:rPr>
            </w:pPr>
            <w:r>
              <w:rPr>
                <w:rFonts w:ascii="Arial" w:hAnsi="Arial" w:cs="Arial"/>
                <w:color w:val="000000"/>
                <w:sz w:val="17"/>
                <w:szCs w:val="17"/>
              </w:rPr>
              <w:t>VALVULA - REGULADORA PARA CILINDRO DE OXIGENIO COM FLUXOMETRO VERDE COM NORMAS DA ABNT NBR 11906, A PORCA DE ENTRADA SEGUE, NORMA ABNT NBR 11725. COM GARANTIA DE UM ANO, FLUX. O-15 LPM, FEMEA PARA OXIGENIO.</w:t>
            </w:r>
          </w:p>
        </w:tc>
        <w:tc>
          <w:tcPr>
            <w:tcW w:w="992" w:type="dxa"/>
            <w:tcBorders>
              <w:top w:val="nil"/>
              <w:left w:val="nil"/>
              <w:bottom w:val="single" w:color="auto" w:sz="4" w:space="0"/>
              <w:right w:val="single" w:color="auto" w:sz="4" w:space="0"/>
            </w:tcBorders>
            <w:shd w:val="clear" w:color="000000" w:fill="FFFFFF"/>
            <w:vAlign w:val="center"/>
          </w:tcPr>
          <w:p w14:paraId="778FDA3C">
            <w:pPr>
              <w:spacing w:line="240" w:lineRule="auto"/>
              <w:jc w:val="center"/>
              <w:rPr>
                <w:rFonts w:ascii="Arial" w:hAnsi="Arial" w:cs="Arial"/>
                <w:color w:val="000000"/>
                <w:sz w:val="17"/>
                <w:szCs w:val="17"/>
              </w:rPr>
            </w:pPr>
            <w:r>
              <w:rPr>
                <w:rFonts w:ascii="Arial" w:hAnsi="Arial" w:cs="Arial"/>
                <w:color w:val="000000"/>
                <w:sz w:val="17"/>
                <w:szCs w:val="17"/>
              </w:rPr>
              <w:t>UNIDADE</w:t>
            </w:r>
          </w:p>
        </w:tc>
        <w:tc>
          <w:tcPr>
            <w:tcW w:w="1418" w:type="dxa"/>
            <w:tcBorders>
              <w:top w:val="nil"/>
              <w:left w:val="nil"/>
              <w:bottom w:val="single" w:color="auto" w:sz="4" w:space="0"/>
              <w:right w:val="single" w:color="auto" w:sz="4" w:space="0"/>
            </w:tcBorders>
            <w:shd w:val="clear" w:color="000000" w:fill="FFFFFF"/>
            <w:vAlign w:val="center"/>
          </w:tcPr>
          <w:p w14:paraId="64B42176">
            <w:pPr>
              <w:spacing w:line="240" w:lineRule="auto"/>
              <w:jc w:val="center"/>
              <w:rPr>
                <w:rFonts w:ascii="Arial" w:hAnsi="Arial" w:cs="Arial"/>
                <w:sz w:val="17"/>
                <w:szCs w:val="17"/>
              </w:rPr>
            </w:pPr>
            <w:r>
              <w:rPr>
                <w:rFonts w:ascii="Arial" w:hAnsi="Arial" w:cs="Arial"/>
                <w:sz w:val="17"/>
                <w:szCs w:val="17"/>
              </w:rPr>
              <w:t>12</w:t>
            </w:r>
          </w:p>
        </w:tc>
        <w:tc>
          <w:tcPr>
            <w:tcW w:w="1417" w:type="dxa"/>
            <w:tcBorders>
              <w:top w:val="nil"/>
              <w:left w:val="nil"/>
              <w:bottom w:val="single" w:color="auto" w:sz="4" w:space="0"/>
              <w:right w:val="single" w:color="auto" w:sz="4" w:space="0"/>
            </w:tcBorders>
            <w:shd w:val="clear" w:color="000000" w:fill="FFFFFF"/>
            <w:vAlign w:val="center"/>
          </w:tcPr>
          <w:p w14:paraId="6D749AD5">
            <w:pPr>
              <w:spacing w:line="240" w:lineRule="auto"/>
              <w:jc w:val="center"/>
              <w:rPr>
                <w:rFonts w:ascii="Arial" w:hAnsi="Arial" w:cs="Arial"/>
                <w:sz w:val="17"/>
                <w:szCs w:val="17"/>
              </w:rPr>
            </w:pPr>
            <w:r>
              <w:rPr>
                <w:rFonts w:ascii="Arial" w:hAnsi="Arial" w:cs="Arial"/>
                <w:sz w:val="17"/>
                <w:szCs w:val="17"/>
              </w:rPr>
              <w:t>20</w:t>
            </w:r>
          </w:p>
        </w:tc>
        <w:tc>
          <w:tcPr>
            <w:tcW w:w="3589" w:type="dxa"/>
            <w:vAlign w:val="center"/>
          </w:tcPr>
          <w:p w14:paraId="2D64DDF5">
            <w:pPr>
              <w:spacing w:line="240" w:lineRule="auto"/>
              <w:rPr>
                <w:rFonts w:ascii="Arial" w:hAnsi="Arial" w:cs="Arial"/>
                <w:sz w:val="17"/>
                <w:szCs w:val="17"/>
              </w:rPr>
            </w:pPr>
          </w:p>
        </w:tc>
      </w:tr>
    </w:tbl>
    <w:p w14:paraId="132CF163">
      <w:pPr>
        <w:widowControl/>
        <w:tabs>
          <w:tab w:val="left" w:pos="0"/>
          <w:tab w:val="left" w:pos="1100"/>
        </w:tabs>
        <w:autoSpaceDE w:val="0"/>
        <w:autoSpaceDN w:val="0"/>
        <w:spacing w:line="360" w:lineRule="auto"/>
        <w:textAlignment w:val="auto"/>
        <w:rPr>
          <w:rFonts w:ascii="Arial" w:hAnsi="Arial" w:cs="Arial"/>
          <w:b/>
          <w:color w:val="000000" w:themeColor="text1"/>
          <w:sz w:val="22"/>
          <w:szCs w:val="22"/>
          <w14:textFill>
            <w14:solidFill>
              <w14:schemeClr w14:val="tx1"/>
            </w14:solidFill>
          </w14:textFill>
        </w:rPr>
      </w:pPr>
    </w:p>
    <w:p w14:paraId="3E35128B">
      <w:pPr>
        <w:widowControl/>
        <w:tabs>
          <w:tab w:val="left" w:pos="0"/>
          <w:tab w:val="left" w:pos="1100"/>
        </w:tabs>
        <w:autoSpaceDE w:val="0"/>
        <w:autoSpaceDN w:val="0"/>
        <w:spacing w:line="360" w:lineRule="auto"/>
        <w:textAlignment w:val="auto"/>
        <w:rPr>
          <w:rFonts w:ascii="Arial" w:hAnsi="Arial" w:eastAsia="SimSun" w:cs="Arial"/>
          <w:b/>
          <w:bCs/>
          <w:color w:val="000000" w:themeColor="text1"/>
          <w:sz w:val="22"/>
          <w:szCs w:val="22"/>
          <w14:textFill>
            <w14:solidFill>
              <w14:schemeClr w14:val="tx1"/>
            </w14:solidFill>
          </w14:textFill>
        </w:rPr>
      </w:pPr>
      <w:r>
        <w:rPr>
          <w:rFonts w:ascii="Arial" w:hAnsi="Arial" w:cs="Arial"/>
          <w:b/>
          <w:color w:val="000000" w:themeColor="text1"/>
          <w:sz w:val="22"/>
          <w:szCs w:val="22"/>
          <w14:textFill>
            <w14:solidFill>
              <w14:schemeClr w14:val="tx1"/>
            </w14:solidFill>
          </w14:textFill>
        </w:rPr>
        <w:t xml:space="preserve">2.4. </w:t>
      </w:r>
      <w:r>
        <w:rPr>
          <w:rFonts w:ascii="Arial" w:hAnsi="Arial" w:eastAsia="SimSun" w:cs="Arial"/>
          <w:b/>
          <w:bCs/>
          <w:color w:val="000000" w:themeColor="text1"/>
          <w:sz w:val="22"/>
          <w:szCs w:val="22"/>
          <w14:textFill>
            <w14:solidFill>
              <w14:schemeClr w14:val="tx1"/>
            </w14:solidFill>
          </w14:textFill>
        </w:rPr>
        <w:t>Da Previsão no Plano Anual de Contratações:</w:t>
      </w:r>
    </w:p>
    <w:p w14:paraId="6C161648">
      <w:pPr>
        <w:widowControl/>
        <w:tabs>
          <w:tab w:val="left" w:pos="0"/>
          <w:tab w:val="left" w:pos="1100"/>
        </w:tabs>
        <w:autoSpaceDE w:val="0"/>
        <w:autoSpaceDN w:val="0"/>
        <w:spacing w:line="360" w:lineRule="auto"/>
        <w:textAlignment w:val="auto"/>
        <w:rPr>
          <w:rFonts w:ascii="Arial" w:hAnsi="Arial" w:eastAsia="SimSun" w:cs="Arial"/>
          <w:color w:val="000000" w:themeColor="text1"/>
          <w:sz w:val="22"/>
          <w:szCs w:val="22"/>
          <w:shd w:val="clear" w:color="auto" w:fill="FFFFFF"/>
          <w14:textFill>
            <w14:solidFill>
              <w14:schemeClr w14:val="tx1"/>
            </w14:solidFill>
          </w14:textFill>
        </w:rPr>
      </w:pPr>
      <w:r>
        <w:rPr>
          <w:rFonts w:ascii="Arial" w:hAnsi="Arial" w:eastAsia="SimSun" w:cs="Arial"/>
          <w:b/>
          <w:bCs/>
          <w:color w:val="000000" w:themeColor="text1"/>
          <w:sz w:val="22"/>
          <w:szCs w:val="22"/>
          <w:shd w:val="clear" w:color="auto" w:fill="FFFFFF"/>
          <w14:textFill>
            <w14:solidFill>
              <w14:schemeClr w14:val="tx1"/>
            </w14:solidFill>
          </w14:textFill>
        </w:rPr>
        <w:t xml:space="preserve">2.4.1. </w:t>
      </w:r>
      <w:r>
        <w:rPr>
          <w:rFonts w:ascii="Arial" w:hAnsi="Arial" w:eastAsia="SimSun" w:cs="Arial"/>
          <w:color w:val="000000" w:themeColor="text1"/>
          <w:sz w:val="22"/>
          <w:szCs w:val="22"/>
          <w:shd w:val="clear" w:color="auto" w:fill="FFFFFF"/>
          <w14:textFill>
            <w14:solidFill>
              <w14:schemeClr w14:val="tx1"/>
            </w14:solidFill>
          </w14:textFill>
        </w:rPr>
        <w:t>As secretarias também levam em consideração o publicado no Plano de Contratações Anual — PCA, bem como previsão de iminente acréscimo nos serviços prestados à comunidade, mantendo os serviços prestados pela administração pública em níveis aceitáveis no próximo ano, considerando fatores de impacto tais como a significativa expansão da cidade e crescimento populacional, isto é, o aumentando das demandas dos serviços de forma geral.</w:t>
      </w:r>
    </w:p>
    <w:p w14:paraId="2661A944">
      <w:pPr>
        <w:autoSpaceDE w:val="0"/>
        <w:autoSpaceDN w:val="0"/>
        <w:adjustRightInd/>
        <w:spacing w:line="360" w:lineRule="auto"/>
        <w:textAlignment w:val="auto"/>
        <w:rPr>
          <w:rFonts w:ascii="Arial" w:hAnsi="Arial" w:cs="Arial"/>
          <w:b/>
          <w:bCs/>
          <w:sz w:val="22"/>
          <w:szCs w:val="22"/>
        </w:rPr>
      </w:pPr>
      <w:r>
        <w:rPr>
          <w:rFonts w:ascii="Arial" w:hAnsi="Arial" w:eastAsia="SimSun" w:cs="Arial"/>
          <w:b/>
          <w:bCs/>
          <w:color w:val="000000" w:themeColor="text1"/>
          <w:sz w:val="22"/>
          <w:szCs w:val="22"/>
          <w:shd w:val="clear" w:color="auto" w:fill="FFFFFF"/>
          <w14:textFill>
            <w14:solidFill>
              <w14:schemeClr w14:val="tx1"/>
            </w14:solidFill>
          </w14:textFill>
        </w:rPr>
        <w:t xml:space="preserve">2.4.2. </w:t>
      </w:r>
      <w:r>
        <w:rPr>
          <w:rFonts w:ascii="Arial" w:hAnsi="Arial" w:cs="Arial"/>
          <w:color w:val="000000" w:themeColor="text1"/>
          <w:sz w:val="22"/>
          <w:szCs w:val="22"/>
          <w14:textFill>
            <w14:solidFill>
              <w14:schemeClr w14:val="tx1"/>
            </w14:solidFill>
          </w14:textFill>
        </w:rPr>
        <w:t>Além disso, a previsão no PCA (Plano de Contratações Anual) tem conferência por parte da Secretaria de Administração e Modernização no início de cada processo, a fim de verificar discrepâncias nos valores por parte das secretarias, configurando uma amarração de dados de consumo e de previsão de gastos futuros.</w:t>
      </w:r>
    </w:p>
    <w:p w14:paraId="0BA758C4">
      <w:pPr>
        <w:pStyle w:val="35"/>
        <w:numPr>
          <w:ilvl w:val="0"/>
          <w:numId w:val="0"/>
        </w:numPr>
        <w:tabs>
          <w:tab w:val="left" w:pos="480"/>
        </w:tabs>
        <w:spacing w:before="0" w:after="0" w:line="360" w:lineRule="auto"/>
        <w:rPr>
          <w:i w:val="0"/>
          <w:iCs w:val="0"/>
          <w:color w:val="auto"/>
          <w:sz w:val="22"/>
          <w:szCs w:val="22"/>
        </w:rPr>
      </w:pPr>
      <w:r>
        <w:rPr>
          <w:rFonts w:eastAsia="SimSun"/>
          <w:b/>
          <w:bCs/>
          <w:i w:val="0"/>
          <w:iCs w:val="0"/>
          <w:color w:val="000000" w:themeColor="text1"/>
          <w:sz w:val="22"/>
          <w:szCs w:val="22"/>
          <w:shd w:val="clear" w:color="auto" w:fill="FFFFFF"/>
          <w14:textFill>
            <w14:solidFill>
              <w14:schemeClr w14:val="tx1"/>
            </w14:solidFill>
          </w14:textFill>
        </w:rPr>
        <w:t>2.4.3.</w:t>
      </w:r>
      <w:r>
        <w:rPr>
          <w:rFonts w:eastAsia="SimSun"/>
          <w:b/>
          <w:bCs/>
          <w:color w:val="000000" w:themeColor="text1"/>
          <w:sz w:val="22"/>
          <w:szCs w:val="22"/>
          <w:shd w:val="clear" w:color="auto" w:fill="FFFFFF"/>
          <w14:textFill>
            <w14:solidFill>
              <w14:schemeClr w14:val="tx1"/>
            </w14:solidFill>
          </w14:textFill>
        </w:rPr>
        <w:t xml:space="preserve"> </w:t>
      </w:r>
      <w:r>
        <w:rPr>
          <w:i w:val="0"/>
          <w:iCs w:val="0"/>
          <w:color w:val="auto"/>
          <w:sz w:val="22"/>
          <w:szCs w:val="22"/>
        </w:rPr>
        <w:t>O prazo de vigência da Ata de Registro de Preços será</w:t>
      </w:r>
      <w:r>
        <w:rPr>
          <w:bCs/>
          <w:i w:val="0"/>
          <w:iCs w:val="0"/>
          <w:color w:val="auto"/>
          <w:sz w:val="22"/>
          <w:szCs w:val="22"/>
        </w:rPr>
        <w:t xml:space="preserve"> de 1 (um) ano</w:t>
      </w:r>
      <w:r>
        <w:rPr>
          <w:i w:val="0"/>
          <w:iCs w:val="0"/>
          <w:color w:val="auto"/>
          <w:sz w:val="22"/>
          <w:szCs w:val="22"/>
        </w:rPr>
        <w:t>, contado a partir da data de assinatura, e poderá ser prorrogado, por igual período, desde que comprovado o preço vantajoso, nos termos do art. 84 da Lei Federal nº 14.133/2021.</w:t>
      </w:r>
    </w:p>
    <w:p w14:paraId="2E05207C">
      <w:pPr>
        <w:pStyle w:val="11"/>
        <w:widowControl/>
        <w:tabs>
          <w:tab w:val="left" w:pos="240"/>
          <w:tab w:val="left" w:pos="480"/>
        </w:tabs>
        <w:spacing w:beforeAutospacing="0" w:afterAutospacing="0" w:line="360" w:lineRule="auto"/>
        <w:jc w:val="both"/>
        <w:rPr>
          <w:rFonts w:ascii="Arial" w:hAnsi="Arial" w:cs="Arial"/>
          <w:sz w:val="22"/>
          <w:szCs w:val="22"/>
          <w:lang w:val="pt-BR"/>
        </w:rPr>
      </w:pPr>
      <w:r>
        <w:rPr>
          <w:rFonts w:ascii="Arial" w:hAnsi="Arial" w:cs="Arial"/>
          <w:b/>
          <w:bCs/>
          <w:color w:val="000000" w:themeColor="text1"/>
          <w:sz w:val="22"/>
          <w:szCs w:val="22"/>
          <w:shd w:val="clear" w:color="auto" w:fill="FFFFFF"/>
          <w:lang w:val="pt-BR"/>
          <w14:textFill>
            <w14:solidFill>
              <w14:schemeClr w14:val="tx1"/>
            </w14:solidFill>
          </w14:textFill>
        </w:rPr>
        <w:t xml:space="preserve">2.4.4. </w:t>
      </w:r>
      <w:r>
        <w:rPr>
          <w:rFonts w:ascii="Arial" w:hAnsi="Arial" w:cs="Arial"/>
          <w:sz w:val="22"/>
          <w:szCs w:val="22"/>
          <w:lang w:val="pt-BR"/>
        </w:rPr>
        <w:t>Se houver, o contrato decorrente da Ata de Registro de Preços terá sua vigência estabelecida em conformidade com as disposições nela contidas.</w:t>
      </w:r>
    </w:p>
    <w:p w14:paraId="4BF2792A">
      <w:pPr>
        <w:pStyle w:val="11"/>
        <w:widowControl/>
        <w:tabs>
          <w:tab w:val="left" w:pos="240"/>
          <w:tab w:val="left" w:pos="480"/>
        </w:tabs>
        <w:spacing w:beforeAutospacing="0" w:afterAutospacing="0" w:line="360" w:lineRule="auto"/>
        <w:jc w:val="both"/>
        <w:rPr>
          <w:rFonts w:ascii="Arial" w:hAnsi="Arial" w:cs="Arial"/>
          <w:sz w:val="22"/>
          <w:szCs w:val="22"/>
          <w:lang w:val="pt-BR"/>
        </w:rPr>
      </w:pPr>
    </w:p>
    <w:p w14:paraId="6888C3AC">
      <w:pPr>
        <w:pBdr>
          <w:top w:val="double" w:color="auto" w:sz="4" w:space="1"/>
          <w:left w:val="double" w:color="auto" w:sz="4" w:space="4"/>
          <w:bottom w:val="double" w:color="auto" w:sz="4" w:space="1"/>
          <w:right w:val="double" w:color="auto" w:sz="4" w:space="4"/>
          <w:between w:val="double" w:color="auto" w:sz="4" w:space="1"/>
        </w:pBdr>
        <w:shd w:val="clear" w:color="auto" w:fill="D7D7D7" w:themeFill="background1" w:themeFillShade="D8"/>
        <w:tabs>
          <w:tab w:val="left" w:pos="284"/>
          <w:tab w:val="left" w:pos="1260"/>
        </w:tabs>
        <w:spacing w:line="360" w:lineRule="auto"/>
        <w:jc w:val="center"/>
        <w:rPr>
          <w:rFonts w:ascii="Arial" w:hAnsi="Arial" w:cs="Arial"/>
          <w:b/>
          <w:bCs/>
          <w:color w:val="000000" w:themeColor="text1"/>
          <w:sz w:val="22"/>
          <w:szCs w:val="22"/>
          <w14:textFill>
            <w14:solidFill>
              <w14:schemeClr w14:val="tx1"/>
            </w14:solidFill>
          </w14:textFill>
        </w:rPr>
      </w:pPr>
      <w:r>
        <w:rPr>
          <w:rFonts w:ascii="Arial" w:hAnsi="Arial" w:cs="Arial"/>
          <w:b/>
          <w:sz w:val="22"/>
          <w:szCs w:val="22"/>
        </w:rPr>
        <w:t>3.</w:t>
      </w:r>
      <w:r>
        <w:rPr>
          <w:rFonts w:ascii="Arial" w:hAnsi="Arial" w:cs="Arial"/>
        </w:rPr>
        <w:t xml:space="preserve"> </w:t>
      </w:r>
      <w:r>
        <w:rPr>
          <w:rFonts w:ascii="Arial" w:hAnsi="Arial" w:cs="Arial"/>
          <w:b/>
          <w:sz w:val="22"/>
          <w:szCs w:val="22"/>
        </w:rPr>
        <w:t>JUSTIFICATIVA/NECESSIDADE DA CONTRATAÇÃO:</w:t>
      </w:r>
    </w:p>
    <w:p w14:paraId="61C78C00">
      <w:pPr>
        <w:pStyle w:val="9"/>
      </w:pPr>
    </w:p>
    <w:p w14:paraId="20270A48">
      <w:pPr>
        <w:pStyle w:val="9"/>
      </w:pPr>
      <w:r>
        <w:rPr>
          <w:b/>
          <w:bCs/>
        </w:rPr>
        <w:t xml:space="preserve">3.1. </w:t>
      </w:r>
      <w:r>
        <w:t>A presente contratação tem como objetivo garantir o abastecimento contínuo de oxigênio gasoso medicinal, acetileno e argônio industrial. Esses insumos são vitais para o funcionamento de serviços públicos essenciais no município, dividindo-se em duas frentes fundamentais: a assistência à saúde da população e a manutenção da infraestrutura urbana e da frota municipal.</w:t>
      </w:r>
    </w:p>
    <w:p w14:paraId="14C23C2F">
      <w:pPr>
        <w:pStyle w:val="9"/>
      </w:pPr>
      <w:r>
        <w:rPr>
          <w:b/>
          <w:bCs/>
        </w:rPr>
        <w:t>3.2.</w:t>
      </w:r>
      <w:r>
        <w:t xml:space="preserve"> Da Necessidade e Aplicação do Oxigênio Gasoso Medicinal</w:t>
      </w:r>
    </w:p>
    <w:p w14:paraId="7A8B8A3F">
      <w:pPr>
        <w:pStyle w:val="9"/>
        <w:rPr>
          <w:b/>
          <w:bCs/>
        </w:rPr>
      </w:pPr>
      <w:r>
        <w:rPr>
          <w:b/>
          <w:bCs/>
        </w:rPr>
        <w:t xml:space="preserve">3.2.1. </w:t>
      </w:r>
      <w:r>
        <w:t>O oxigênio gasoso medicinal é classificado como um medicamento de extrema relevância pela Agência Nacional de Vigilância Sanitária (ANVISA), exigindo padrões rigorosos de pureza e qualidade em sua cadeia de fornecimento. Sua disponibilidade ininterrupta é indispensável para a Secretaria Municipal de Saúde, atuando como recurso de sobrevivência em</w:t>
      </w:r>
      <w:r>
        <w:rPr>
          <w:b/>
          <w:bCs/>
        </w:rPr>
        <w:t>:</w:t>
      </w:r>
    </w:p>
    <w:p w14:paraId="56439569">
      <w:pPr>
        <w:pStyle w:val="9"/>
        <w:rPr>
          <w:b/>
          <w:bCs/>
        </w:rPr>
      </w:pPr>
      <w:r>
        <w:rPr>
          <w:b/>
          <w:bCs/>
        </w:rPr>
        <w:t>Tratamentos de Urgência e Emergência</w:t>
      </w:r>
      <w:r>
        <w:t>: Utilizado de forma imediata em reanimações cardiorrespiratórias, suporte a pacientes com traumas graves, Acidente Vascular Cerebral (AVC) e crises respiratórias agudas</w:t>
      </w:r>
      <w:r>
        <w:rPr>
          <w:b/>
          <w:bCs/>
        </w:rPr>
        <w:t>.</w:t>
      </w:r>
    </w:p>
    <w:p w14:paraId="79C7C72A">
      <w:pPr>
        <w:pStyle w:val="9"/>
      </w:pPr>
      <w:r>
        <w:rPr>
          <w:b/>
          <w:bCs/>
        </w:rPr>
        <w:t>Terapia Respiratória e Suporte de Vida</w:t>
      </w:r>
      <w:r>
        <w:t>: Essencial para combater a hipoxemia (baixa concentração de oxigênio no sangue) em pacientes internados nas unidades de saúde ou assistidos pelo programa de atendimento domiciliar (Home Care).</w:t>
      </w:r>
    </w:p>
    <w:p w14:paraId="0030974A">
      <w:pPr>
        <w:pStyle w:val="9"/>
      </w:pPr>
      <w:r>
        <w:rPr>
          <w:b/>
          <w:bCs/>
        </w:rPr>
        <w:t>Procedimentos de Rotina</w:t>
      </w:r>
      <w:r>
        <w:t>: Utilizado de forma contínua em processos anestésicos, cirurgias e como veículo condutor para a administração de medicamentos por meio de inalações e nebulizações.</w:t>
      </w:r>
    </w:p>
    <w:p w14:paraId="52139B2E">
      <w:pPr>
        <w:pStyle w:val="9"/>
      </w:pPr>
      <w:r>
        <w:rPr>
          <w:b/>
          <w:bCs/>
        </w:rPr>
        <w:t xml:space="preserve">3.2.2. </w:t>
      </w:r>
      <w:r>
        <w:t xml:space="preserve">A exigência de comprovação de registro na ANVISA para os itens de </w:t>
      </w:r>
      <w:r>
        <w:rPr>
          <w:b/>
          <w:bCs/>
        </w:rPr>
        <w:t>Conjunto para Oxigenação Portátil</w:t>
      </w:r>
      <w:r>
        <w:t xml:space="preserve"> e </w:t>
      </w:r>
      <w:r>
        <w:rPr>
          <w:b/>
          <w:bCs/>
        </w:rPr>
        <w:t>Fluxômetro</w:t>
      </w:r>
      <w:r>
        <w:t xml:space="preserve"> fundamenta-se no Art. 67, inciso IV da Lei nº 14.133/2021, que autoriza a Administração a exigir o atendimento de requisitos previstos em leis especiais. Por se tratarem de produtos correlatos médico-hospitalares de uso direto na assistência à saúde humana (terapia de oxigenação), o registro sanitário é obrigatório por força da Lei Federal nº 6.360/1976.</w:t>
      </w:r>
    </w:p>
    <w:p w14:paraId="55352779">
      <w:pPr>
        <w:pStyle w:val="9"/>
      </w:pPr>
      <w:r>
        <w:rPr>
          <w:b/>
          <w:bCs/>
        </w:rPr>
        <w:t xml:space="preserve">3.2.2.1. </w:t>
      </w:r>
      <w:r>
        <w:t>Tal exigência não configura restrição indevida à competitividade, mas dever de cautela do interesse público para assegurar a qualidade, a eficácia, o desempenho e a segurança biológica dos equipamentos. A ausência de registro sanitário colocaria em risco iminente a integridade física dos pacientes e dos profissionais de saúde da rede pública. Registre-se que tal condição não é exigida para os demais itens de natureza estritamente industrial ou de ferramentaria constantes deste certame, preservando-se a ampla competitividade do lote de forma proporcional e razoável</w:t>
      </w:r>
    </w:p>
    <w:p w14:paraId="63289D44">
      <w:pPr>
        <w:pStyle w:val="9"/>
      </w:pPr>
      <w:r>
        <w:rPr>
          <w:b/>
          <w:bCs/>
        </w:rPr>
        <w:t xml:space="preserve">3.2.3. </w:t>
      </w:r>
      <w:r>
        <w:t>A interrupção ou a falha no fornecimento deste gás medicinal representa um risco direto à vida dos usuários do Sistema Único de Saúde (SUS) local. Portanto, a contratação visa assegurar um fluxo logístico ágil, seguro e em estrita conformidade com as normas sanitárias vigentes.</w:t>
      </w:r>
    </w:p>
    <w:p w14:paraId="28261A10">
      <w:pPr>
        <w:pStyle w:val="9"/>
      </w:pPr>
      <w:r>
        <w:rPr>
          <w:b/>
          <w:bCs/>
        </w:rPr>
        <w:t>3.3.</w:t>
      </w:r>
      <w:r>
        <w:t xml:space="preserve"> Da Necessidade e Aplicação dos Gases Industriais (Acetileno e Argônio)</w:t>
      </w:r>
    </w:p>
    <w:p w14:paraId="58C2B04D">
      <w:pPr>
        <w:pStyle w:val="9"/>
      </w:pPr>
      <w:r>
        <w:t>Os gases de aplicação industrial são insumos indispensáveis para as atividades operacionais da Secretaria Municipal de Obras e Serviços Urbanos, com foco direto na manutenção preventiva e corretiva da frota de veículos leves, caminhões e maquinários pesados do município:</w:t>
      </w:r>
    </w:p>
    <w:p w14:paraId="3FF267AB">
      <w:pPr>
        <w:pStyle w:val="9"/>
        <w:numPr>
          <w:ilvl w:val="0"/>
          <w:numId w:val="3"/>
        </w:numPr>
      </w:pPr>
      <w:r>
        <w:t>Acetileno: Gás combustível de alto rendimento, essencial para os processos de oxicorte (corte de metais) e soldagem de alta temperatura nas oficinas públicas.</w:t>
      </w:r>
    </w:p>
    <w:p w14:paraId="517FE1F6">
      <w:pPr>
        <w:pStyle w:val="9"/>
        <w:numPr>
          <w:ilvl w:val="0"/>
          <w:numId w:val="3"/>
        </w:numPr>
      </w:pPr>
      <w:r>
        <w:t>Argônio: Gás inerte indispensável para o funcionamento da máquina de solda MIG/MAG adquirida recentemente pelo município. O argônio atua como atmosfera protetora na poça de fusão da solda, impedindo a contaminação do metal pelo ar atmosférico e garantindo reparos estruturais de alta resistência e durabilidade nos equipamentos públicos.</w:t>
      </w:r>
    </w:p>
    <w:p w14:paraId="3F52D921">
      <w:pPr>
        <w:pStyle w:val="9"/>
      </w:pPr>
      <w:r>
        <w:t>A aquisição conjunta e centralizada desses insumos por meio do Sistema de Registro de Preços demonstra alinhamento com os princípios da eficiência, economicidade e planejamento administrativo, garantindo o menor custo possível por meio da economia de escala e evitando a paralisação de serviços públicos essenciais.</w:t>
      </w:r>
    </w:p>
    <w:p w14:paraId="0935FD6D">
      <w:pPr>
        <w:pStyle w:val="9"/>
      </w:pPr>
    </w:p>
    <w:p w14:paraId="2A05FAE8">
      <w:pPr>
        <w:pStyle w:val="9"/>
      </w:pPr>
      <w:r>
        <w:rPr>
          <w:b/>
          <w:bCs/>
        </w:rPr>
        <w:t>3.3.1.</w:t>
      </w:r>
      <w:r>
        <w:t xml:space="preserve"> </w:t>
      </w:r>
      <w:r>
        <w:rPr>
          <w:b/>
          <w:bCs/>
        </w:rPr>
        <w:t>JUSTIFICATIVAS DAS SECRETARIAS</w:t>
      </w:r>
    </w:p>
    <w:p w14:paraId="531CAD0E">
      <w:pPr>
        <w:spacing w:line="240" w:lineRule="auto"/>
        <w:ind w:left="3402" w:leftChars="1701"/>
        <w:rPr>
          <w:rFonts w:ascii="Arial" w:hAnsi="Arial" w:cs="Arial"/>
          <w:b/>
          <w:iCs/>
        </w:rPr>
      </w:pPr>
      <w:bookmarkStart w:id="0" w:name="_Hlk165622412"/>
      <w:r>
        <w:rPr>
          <w:rFonts w:ascii="Arial" w:hAnsi="Arial" w:cs="Arial"/>
          <w:b/>
          <w:iCs/>
        </w:rPr>
        <w:t>SECRETARIA DE SAÚDE</w:t>
      </w:r>
    </w:p>
    <w:p w14:paraId="3A7E4792">
      <w:pPr>
        <w:spacing w:line="240" w:lineRule="auto"/>
        <w:ind w:left="3402"/>
        <w:rPr>
          <w:rFonts w:ascii="Arial" w:hAnsi="Arial" w:cs="Arial"/>
        </w:rPr>
      </w:pPr>
      <w:r>
        <w:rPr>
          <w:rFonts w:ascii="Arial" w:hAnsi="Arial" w:cs="Arial"/>
        </w:rPr>
        <w:t>A Secretaria Municipal de Saúde de Sinop/MT necessita manter o fornecimento contínuo de oxigênio gasoso medicinal, gás oxigênio, acetileno e materiais correlatos, por se tratarem de insumos essenciais à execução dos serviços de saúde prestados à população. O oxigênio medicinal é indispensável em atendimentos clínicos, ambulatoriais, hospitalares, de urgência e emergência, sendo fundamental para suporte respiratório e manutenção da vida de pacientes acometidos por insuficiência respiratória e demais condições clínicas que demandem oxigenoterapia.</w:t>
      </w:r>
    </w:p>
    <w:p w14:paraId="198C849B">
      <w:pPr>
        <w:spacing w:line="240" w:lineRule="auto"/>
        <w:ind w:left="3402"/>
        <w:rPr>
          <w:rFonts w:ascii="Arial" w:hAnsi="Arial" w:cs="Arial"/>
        </w:rPr>
      </w:pPr>
      <w:r>
        <w:rPr>
          <w:rFonts w:ascii="Arial" w:hAnsi="Arial" w:cs="Arial"/>
        </w:rPr>
        <w:t>A oxigenoterapia consiste na administração suplementar de oxigênio ao paciente, visando manter níveis adequados de oxigenação e estabilidade clínica. No âmbito da atenção domiciliar, o tratamento é necessário sempre que identificada a necessidade de suplementação contínua de oxigênio, contribuindo para preservação da funcionalidade, qualidade de vida e redução de complicações clínicas dos pacientes atendidos em domicílio.</w:t>
      </w:r>
    </w:p>
    <w:p w14:paraId="3EC7FC9C">
      <w:pPr>
        <w:spacing w:line="240" w:lineRule="auto"/>
        <w:ind w:left="3402"/>
        <w:rPr>
          <w:rFonts w:ascii="Arial" w:hAnsi="Arial" w:cs="Arial"/>
        </w:rPr>
      </w:pPr>
      <w:r>
        <w:rPr>
          <w:rFonts w:ascii="Arial" w:hAnsi="Arial" w:cs="Arial"/>
        </w:rPr>
        <w:t>Destaca-se que, no exercício de 2024, foi instituído o Decreto Municipal nº 077/2024, que regulamenta o Protocolo de Oxigenoterapia Domiciliar Prolongada – PODP, estabelecendo critérios clínicos para indicação, acompanhamento e fornecimento da terapia aos pacientes que atendam aos requisitos definidos pela rede municipal de saúde.</w:t>
      </w:r>
    </w:p>
    <w:p w14:paraId="1932BF65">
      <w:pPr>
        <w:spacing w:line="240" w:lineRule="auto"/>
        <w:ind w:left="3402"/>
        <w:rPr>
          <w:rFonts w:ascii="Arial" w:hAnsi="Arial" w:cs="Arial"/>
        </w:rPr>
      </w:pPr>
      <w:r>
        <w:rPr>
          <w:rFonts w:ascii="Arial" w:hAnsi="Arial" w:cs="Arial"/>
        </w:rPr>
        <w:t>A contratação pretendida visa atender tanto as demandas das Unidades de Saúde da Secretaria Municipal de Saúde quanto os pacientes inseridos no Programa de Oxigenoterapia Domiciliar Prolongada, garantindo atendimento contínuo, seguro e adequado, sem interrupções no fornecimento dos insumos necessários.</w:t>
      </w:r>
    </w:p>
    <w:p w14:paraId="4AE54D8C">
      <w:pPr>
        <w:spacing w:line="240" w:lineRule="auto"/>
        <w:ind w:left="3402"/>
        <w:rPr>
          <w:rFonts w:ascii="Arial" w:hAnsi="Arial" w:cs="Arial"/>
        </w:rPr>
      </w:pPr>
      <w:r>
        <w:rPr>
          <w:rFonts w:ascii="Arial" w:hAnsi="Arial" w:cs="Arial"/>
        </w:rPr>
        <w:t>Para definição dos quantitativos estimados, considerou-se a demanda rotativa de pacientes atendidos pela rede municipal, tendo em vista o constante ingresso de novos usuários, bem como as variações decorrentes de alta médica, suspensão de tratamento ou óbitos. Tal dinâmica impacta diretamente o consumo dos insumos, exigindo planejamento adequado para assegurar o abastecimento contínuo e evitar desassistência aos pacientes.</w:t>
      </w:r>
    </w:p>
    <w:p w14:paraId="062D97D4">
      <w:pPr>
        <w:spacing w:line="240" w:lineRule="auto"/>
        <w:ind w:left="3402" w:leftChars="1701"/>
        <w:rPr>
          <w:rFonts w:ascii="Arial" w:hAnsi="Arial" w:cs="Arial"/>
        </w:rPr>
      </w:pPr>
      <w:r>
        <w:rPr>
          <w:rFonts w:ascii="Arial" w:hAnsi="Arial" w:cs="Arial"/>
        </w:rPr>
        <w:t>Justifica-se que o oxigênio medicinal é considerado insumo crítico e indispensável à assistência em saúde, sendo amplamente utilizado em procedimentos médicos, internações, atendimentos de urgência e tratamentos contínuos. Sua indisponibilidade pode comprometer diretamente a continuidade dos serviços e colocar em risco a vida e a segurança dos pacientes atendidos pela rede pública municipal de saúde</w:t>
      </w:r>
      <w:bookmarkEnd w:id="0"/>
      <w:r>
        <w:rPr>
          <w:rFonts w:ascii="Arial" w:hAnsi="Arial" w:cs="Arial"/>
        </w:rPr>
        <w:t>.</w:t>
      </w:r>
    </w:p>
    <w:p w14:paraId="214A3567">
      <w:pPr>
        <w:spacing w:line="240" w:lineRule="auto"/>
        <w:ind w:left="3402" w:leftChars="1701"/>
        <w:rPr>
          <w:rFonts w:ascii="Arial" w:hAnsi="Arial" w:cs="Arial"/>
          <w:b/>
          <w:bCs/>
          <w:color w:val="000000" w:themeColor="text1"/>
          <w14:textFill>
            <w14:solidFill>
              <w14:schemeClr w14:val="tx1"/>
            </w14:solidFill>
          </w14:textFill>
        </w:rPr>
      </w:pPr>
    </w:p>
    <w:p w14:paraId="3696DE48">
      <w:pPr>
        <w:spacing w:line="240" w:lineRule="auto"/>
        <w:ind w:left="3402" w:leftChars="1701"/>
        <w:rPr>
          <w:rFonts w:ascii="Arial" w:hAnsi="Arial" w:cs="Arial"/>
          <w:b/>
          <w:bCs/>
          <w:color w:val="000000" w:themeColor="text1"/>
          <w14:textFill>
            <w14:solidFill>
              <w14:schemeClr w14:val="tx1"/>
            </w14:solidFill>
          </w14:textFill>
        </w:rPr>
      </w:pPr>
      <w:r>
        <w:rPr>
          <w:rFonts w:ascii="Arial" w:hAnsi="Arial" w:cs="Arial"/>
          <w:b/>
          <w:bCs/>
          <w:color w:val="000000" w:themeColor="text1"/>
          <w14:textFill>
            <w14:solidFill>
              <w14:schemeClr w14:val="tx1"/>
            </w14:solidFill>
          </w14:textFill>
        </w:rPr>
        <w:t>SECRETARIA DE OBRAS</w:t>
      </w:r>
    </w:p>
    <w:p w14:paraId="57445429">
      <w:pPr>
        <w:pStyle w:val="13"/>
        <w:widowControl/>
        <w:ind w:left="3402"/>
        <w:rPr>
          <w:rFonts w:ascii="Arial" w:hAnsi="Arial" w:eastAsia="Calibri" w:cs="Arial"/>
        </w:rPr>
      </w:pPr>
      <w:r>
        <w:rPr>
          <w:rFonts w:ascii="Arial" w:hAnsi="Arial" w:eastAsia="Calibri" w:cs="Arial"/>
        </w:rPr>
        <w:t>A presente contratação tem por objeto a aquisição de oxigênio gasoso, bem como a reposição e atualização de materiais de armazenamento e segurança (cilindros, reguladores de pressão e acessórios correlatos), visando atender às demandas de manutenção corretiva e preventiva da frota de veículos, máquinas pesadas e equipamentos desta Secretaria.</w:t>
      </w:r>
    </w:p>
    <w:p w14:paraId="735D8B46">
      <w:pPr>
        <w:shd w:val="clear" w:color="auto" w:fill="FFFFFF"/>
        <w:spacing w:line="240" w:lineRule="auto"/>
        <w:ind w:left="3402"/>
        <w:rPr>
          <w:rFonts w:ascii="Arial" w:hAnsi="Arial" w:cs="Arial"/>
        </w:rPr>
      </w:pPr>
      <w:r>
        <w:rPr>
          <w:rFonts w:ascii="Arial" w:hAnsi="Arial" w:cs="Arial"/>
        </w:rPr>
        <w:t>A Secretaria Municipal de Obras e Serviços Urbanos de Sinop/MT é diretamente responsável pela manutenção da infraestrutura urbana, vias públicas, saneamento e execução de obras estruturais no município. Para o cumprimento integral dessas atribuições, a Secretaria dispõe de uma frota de veículos pesados, caminhões, retroescavadeiras, motoniveladoras e demais maquinários que operam em regime severo de trabalho.</w:t>
      </w:r>
    </w:p>
    <w:p w14:paraId="66B4E939">
      <w:pPr>
        <w:shd w:val="clear" w:color="auto" w:fill="FFFFFF"/>
        <w:spacing w:line="240" w:lineRule="auto"/>
        <w:ind w:left="3402"/>
        <w:rPr>
          <w:rFonts w:ascii="Arial" w:hAnsi="Arial" w:cs="Arial"/>
        </w:rPr>
      </w:pPr>
      <w:r>
        <w:rPr>
          <w:rFonts w:ascii="Arial" w:hAnsi="Arial" w:cs="Arial"/>
        </w:rPr>
        <w:t>A soldagem com oxigênio e acetileno é uma das principais técnicas utilizadas pela equipe de mecânica e serralheria da Secretaria para reparos estruturais e mecânicos de alta complexidade. Sem o insumo, manutenções corretivas sofrerão paralisações, comprometendo a disponibilidade da frota e, consequentemente, gerando atrasos em obras e serviços essenciais à população. A aquisição e reposição dos cilindros, reguladores de pressão e demais acessórios de armazenamento justificam-se pela necessidade de substituição de equipamentos desgastados pelo uso contínuo. O manuseio de gases sob alta pressão exige equipamentos de absoluta confiabilidade, em estrita observância às normas técnicas vigentes (como as Normas Regulamentadoras - NRs do Ministério do Trabalho e Emprego), mitigando riscos de acidentes graves na oficina mecânica municipal.</w:t>
      </w:r>
    </w:p>
    <w:p w14:paraId="45642605">
      <w:pPr>
        <w:shd w:val="clear" w:color="auto" w:fill="FFFFFF"/>
        <w:spacing w:line="240" w:lineRule="auto"/>
        <w:ind w:left="3402"/>
        <w:rPr>
          <w:rFonts w:ascii="Arial" w:hAnsi="Arial" w:cs="Arial"/>
        </w:rPr>
      </w:pPr>
      <w:r>
        <w:rPr>
          <w:rFonts w:ascii="Arial" w:hAnsi="Arial" w:cs="Arial"/>
        </w:rPr>
        <w:t>Manter a capacidade interna de realizar cortes, aquecimentos e soldas especiais reduz a dependência de contratação de serviços terceirizados, gerando economia aos cofres públicos e garantindo maior agilidade no restabelecimento operacional dos maquinários.</w:t>
      </w:r>
    </w:p>
    <w:p w14:paraId="616585BF">
      <w:pPr>
        <w:spacing w:line="240" w:lineRule="auto"/>
        <w:ind w:left="3402"/>
        <w:rPr>
          <w:rFonts w:ascii="Arial" w:hAnsi="Arial" w:cs="Arial"/>
        </w:rPr>
      </w:pPr>
      <w:r>
        <w:rPr>
          <w:rFonts w:ascii="Arial" w:hAnsi="Arial" w:cs="Arial"/>
        </w:rPr>
        <w:t>Diante do exposto, resta evidente que a aquisição pretendida não se trata de mera conveniência administrativa, mas sim de uma necessidade operacional e de segurança, indispensável para que esta Secretaria de Obras e Serviços Urbanos continue desempenhando seu papel fundamental no desenvolvimento e zeladoria do município.</w:t>
      </w:r>
    </w:p>
    <w:p w14:paraId="0EC8CF66">
      <w:pPr>
        <w:spacing w:line="240" w:lineRule="auto"/>
        <w:ind w:left="2400" w:leftChars="1200"/>
        <w:rPr>
          <w:rFonts w:ascii="Arial" w:hAnsi="Arial" w:cs="Arial"/>
        </w:rPr>
      </w:pPr>
    </w:p>
    <w:p w14:paraId="48C93BD2">
      <w:pPr>
        <w:spacing w:line="360" w:lineRule="auto"/>
        <w:jc w:val="left"/>
        <w:rPr>
          <w:rFonts w:ascii="Arial" w:hAnsi="Arial" w:cs="Arial"/>
          <w:b/>
          <w:sz w:val="22"/>
          <w:szCs w:val="22"/>
        </w:rPr>
      </w:pPr>
      <w:r>
        <w:rPr>
          <w:rFonts w:ascii="Arial" w:hAnsi="Arial" w:cs="Arial"/>
          <w:b/>
          <w:sz w:val="22"/>
          <w:szCs w:val="22"/>
        </w:rPr>
        <w:t>3.4.</w:t>
      </w:r>
      <w:r>
        <w:rPr>
          <w:rFonts w:ascii="Arial" w:hAnsi="Arial" w:cs="Arial"/>
          <w:b/>
          <w:spacing w:val="-7"/>
          <w:sz w:val="22"/>
          <w:szCs w:val="22"/>
        </w:rPr>
        <w:t xml:space="preserve"> </w:t>
      </w:r>
      <w:r>
        <w:rPr>
          <w:rFonts w:ascii="Arial" w:hAnsi="Arial" w:cs="Arial"/>
          <w:b/>
          <w:sz w:val="22"/>
          <w:szCs w:val="22"/>
        </w:rPr>
        <w:t>Da</w:t>
      </w:r>
      <w:r>
        <w:rPr>
          <w:rFonts w:ascii="Arial" w:hAnsi="Arial" w:cs="Arial"/>
          <w:b/>
          <w:spacing w:val="39"/>
          <w:sz w:val="22"/>
          <w:szCs w:val="22"/>
        </w:rPr>
        <w:t xml:space="preserve"> </w:t>
      </w:r>
      <w:r>
        <w:rPr>
          <w:rFonts w:ascii="Arial" w:hAnsi="Arial" w:cs="Arial"/>
          <w:b/>
          <w:sz w:val="22"/>
          <w:szCs w:val="22"/>
        </w:rPr>
        <w:t>confecção</w:t>
      </w:r>
      <w:r>
        <w:rPr>
          <w:rFonts w:ascii="Arial" w:hAnsi="Arial" w:cs="Arial"/>
          <w:b/>
          <w:spacing w:val="42"/>
          <w:sz w:val="22"/>
          <w:szCs w:val="22"/>
        </w:rPr>
        <w:t xml:space="preserve"> </w:t>
      </w:r>
      <w:r>
        <w:rPr>
          <w:rFonts w:ascii="Arial" w:hAnsi="Arial" w:cs="Arial"/>
          <w:b/>
          <w:sz w:val="22"/>
          <w:szCs w:val="22"/>
        </w:rPr>
        <w:t>de</w:t>
      </w:r>
      <w:r>
        <w:rPr>
          <w:rFonts w:ascii="Arial" w:hAnsi="Arial" w:cs="Arial"/>
          <w:b/>
          <w:spacing w:val="44"/>
          <w:sz w:val="22"/>
          <w:szCs w:val="22"/>
        </w:rPr>
        <w:t xml:space="preserve"> </w:t>
      </w:r>
      <w:r>
        <w:rPr>
          <w:rFonts w:ascii="Arial" w:hAnsi="Arial" w:cs="Arial"/>
          <w:b/>
          <w:sz w:val="22"/>
          <w:szCs w:val="22"/>
        </w:rPr>
        <w:t>gerenciamento</w:t>
      </w:r>
      <w:r>
        <w:rPr>
          <w:rFonts w:ascii="Arial" w:hAnsi="Arial" w:cs="Arial"/>
          <w:b/>
          <w:spacing w:val="43"/>
          <w:sz w:val="22"/>
          <w:szCs w:val="22"/>
        </w:rPr>
        <w:t xml:space="preserve"> </w:t>
      </w:r>
      <w:r>
        <w:rPr>
          <w:rFonts w:ascii="Arial" w:hAnsi="Arial" w:cs="Arial"/>
          <w:b/>
          <w:sz w:val="22"/>
          <w:szCs w:val="22"/>
        </w:rPr>
        <w:t>de</w:t>
      </w:r>
      <w:r>
        <w:rPr>
          <w:rFonts w:ascii="Arial" w:hAnsi="Arial" w:cs="Arial"/>
          <w:b/>
          <w:spacing w:val="-58"/>
          <w:sz w:val="22"/>
          <w:szCs w:val="22"/>
        </w:rPr>
        <w:t xml:space="preserve">  </w:t>
      </w:r>
      <w:r>
        <w:rPr>
          <w:rFonts w:ascii="Arial" w:hAnsi="Arial" w:cs="Arial"/>
          <w:b/>
          <w:sz w:val="22"/>
          <w:szCs w:val="22"/>
        </w:rPr>
        <w:t>risco:</w:t>
      </w:r>
    </w:p>
    <w:p w14:paraId="6B08B0DE">
      <w:pPr>
        <w:spacing w:line="360" w:lineRule="auto"/>
        <w:jc w:val="left"/>
        <w:rPr>
          <w:rFonts w:ascii="Arial" w:hAnsi="Arial" w:cs="Arial"/>
          <w:sz w:val="22"/>
          <w:szCs w:val="22"/>
        </w:rPr>
      </w:pPr>
      <w:r>
        <w:rPr>
          <w:rFonts w:ascii="Arial" w:hAnsi="Arial" w:cs="Arial"/>
          <w:sz w:val="22"/>
          <w:szCs w:val="22"/>
        </w:rPr>
        <w:t>Documento</w:t>
      </w:r>
      <w:r>
        <w:rPr>
          <w:rFonts w:ascii="Arial" w:hAnsi="Arial" w:cs="Arial"/>
          <w:spacing w:val="8"/>
          <w:sz w:val="22"/>
          <w:szCs w:val="22"/>
        </w:rPr>
        <w:t xml:space="preserve"> </w:t>
      </w:r>
      <w:r>
        <w:rPr>
          <w:rFonts w:ascii="Arial" w:hAnsi="Arial" w:cs="Arial"/>
          <w:sz w:val="22"/>
          <w:szCs w:val="22"/>
        </w:rPr>
        <w:t>encontra-se</w:t>
      </w:r>
      <w:r>
        <w:rPr>
          <w:rFonts w:ascii="Arial" w:hAnsi="Arial" w:cs="Arial"/>
          <w:spacing w:val="3"/>
          <w:sz w:val="22"/>
          <w:szCs w:val="22"/>
        </w:rPr>
        <w:t xml:space="preserve"> </w:t>
      </w:r>
      <w:r>
        <w:rPr>
          <w:rFonts w:ascii="Arial" w:hAnsi="Arial" w:cs="Arial"/>
          <w:sz w:val="22"/>
          <w:szCs w:val="22"/>
        </w:rPr>
        <w:t>em</w:t>
      </w:r>
      <w:r>
        <w:rPr>
          <w:rFonts w:ascii="Arial" w:hAnsi="Arial" w:cs="Arial"/>
          <w:spacing w:val="9"/>
          <w:sz w:val="22"/>
          <w:szCs w:val="22"/>
        </w:rPr>
        <w:t xml:space="preserve"> </w:t>
      </w:r>
      <w:r>
        <w:rPr>
          <w:rFonts w:ascii="Arial" w:hAnsi="Arial" w:cs="Arial"/>
          <w:sz w:val="22"/>
          <w:szCs w:val="22"/>
        </w:rPr>
        <w:t>anexo ao</w:t>
      </w:r>
      <w:r>
        <w:rPr>
          <w:rFonts w:ascii="Arial" w:hAnsi="Arial" w:cs="Arial"/>
          <w:spacing w:val="-2"/>
          <w:sz w:val="22"/>
          <w:szCs w:val="22"/>
        </w:rPr>
        <w:t xml:space="preserve"> </w:t>
      </w:r>
      <w:r>
        <w:rPr>
          <w:rFonts w:ascii="Arial" w:hAnsi="Arial" w:cs="Arial"/>
          <w:sz w:val="22"/>
          <w:szCs w:val="22"/>
        </w:rPr>
        <w:t>processo.</w:t>
      </w:r>
    </w:p>
    <w:p w14:paraId="47761CB9">
      <w:pPr>
        <w:spacing w:line="360" w:lineRule="auto"/>
        <w:rPr>
          <w:rFonts w:ascii="Arial" w:hAnsi="Arial" w:cs="Arial"/>
          <w:sz w:val="22"/>
          <w:szCs w:val="22"/>
        </w:rPr>
      </w:pPr>
      <w:r>
        <w:rPr>
          <w:rFonts w:ascii="Arial" w:hAnsi="Arial" w:cs="Arial"/>
          <w:b/>
          <w:sz w:val="22"/>
          <w:szCs w:val="22"/>
        </w:rPr>
        <w:t>3.4.1</w:t>
      </w:r>
      <w:r>
        <w:rPr>
          <w:rFonts w:ascii="Arial" w:hAnsi="Arial" w:cs="Arial"/>
          <w:b/>
          <w:spacing w:val="-7"/>
          <w:sz w:val="22"/>
          <w:szCs w:val="22"/>
        </w:rPr>
        <w:t xml:space="preserve"> </w:t>
      </w:r>
      <w:r>
        <w:rPr>
          <w:rFonts w:ascii="Arial" w:hAnsi="Arial" w:cs="Arial"/>
          <w:b/>
          <w:sz w:val="22"/>
          <w:szCs w:val="22"/>
        </w:rPr>
        <w:t>Justificativa da não confecção da Matriz</w:t>
      </w:r>
      <w:r>
        <w:rPr>
          <w:rFonts w:ascii="Arial" w:hAnsi="Arial" w:cs="Arial"/>
          <w:b/>
          <w:spacing w:val="36"/>
          <w:sz w:val="22"/>
          <w:szCs w:val="22"/>
        </w:rPr>
        <w:t xml:space="preserve"> </w:t>
      </w:r>
      <w:r>
        <w:rPr>
          <w:rFonts w:ascii="Arial" w:hAnsi="Arial" w:cs="Arial"/>
          <w:b/>
          <w:sz w:val="22"/>
          <w:szCs w:val="22"/>
        </w:rPr>
        <w:t>de</w:t>
      </w:r>
      <w:r>
        <w:rPr>
          <w:rFonts w:ascii="Arial" w:hAnsi="Arial" w:cs="Arial"/>
          <w:b/>
          <w:spacing w:val="38"/>
          <w:sz w:val="22"/>
          <w:szCs w:val="22"/>
        </w:rPr>
        <w:t xml:space="preserve"> </w:t>
      </w:r>
      <w:r>
        <w:rPr>
          <w:rFonts w:ascii="Arial" w:hAnsi="Arial" w:cs="Arial"/>
          <w:b/>
          <w:sz w:val="22"/>
          <w:szCs w:val="22"/>
        </w:rPr>
        <w:t>Riscos</w:t>
      </w:r>
      <w:r>
        <w:rPr>
          <w:rFonts w:ascii="Arial" w:hAnsi="Arial" w:cs="Arial"/>
          <w:b/>
          <w:spacing w:val="44"/>
          <w:sz w:val="22"/>
          <w:szCs w:val="22"/>
        </w:rPr>
        <w:t xml:space="preserve"> - </w:t>
      </w:r>
      <w:r>
        <w:rPr>
          <w:rFonts w:ascii="Arial" w:hAnsi="Arial" w:cs="Arial"/>
          <w:bCs/>
          <w:spacing w:val="6"/>
          <w:sz w:val="22"/>
          <w:szCs w:val="22"/>
        </w:rPr>
        <w:t xml:space="preserve">Justificativa </w:t>
      </w:r>
      <w:r>
        <w:rPr>
          <w:rFonts w:ascii="Arial" w:hAnsi="Arial" w:cs="Arial"/>
          <w:sz w:val="22"/>
          <w:szCs w:val="22"/>
        </w:rPr>
        <w:t xml:space="preserve">de </w:t>
      </w:r>
      <w:r>
        <w:rPr>
          <w:rFonts w:ascii="Arial" w:hAnsi="Arial" w:cs="Arial"/>
          <w:b/>
          <w:bCs/>
          <w:sz w:val="22"/>
          <w:szCs w:val="22"/>
        </w:rPr>
        <w:t>não adoção de matriz de risco:</w:t>
      </w:r>
      <w:r>
        <w:rPr>
          <w:rFonts w:ascii="Arial" w:hAnsi="Arial" w:cs="Arial"/>
          <w:sz w:val="22"/>
          <w:szCs w:val="22"/>
        </w:rPr>
        <w:t xml:space="preserve"> A matriz de risco definida no inciso XXVII do art. 6° da Lei 14.133/2021 e necessária nos contratos administrativos, quando for o caso, de acordo com o art. 92, inciso IX da mesma lei, não será adotada neste processo, levando em consideração que em determinadas contratações, notadamente comuns e simples, tais como o processo em questão não é empregada. A matriz de risco é obrigatória, sobretudo em obras e serviços e fornecimentos de grande vulto, cujo valor estimado seja superior a R$ 200.000.000,00 (duzentos milhões) de reais, vejamos:</w:t>
      </w:r>
    </w:p>
    <w:p w14:paraId="25103B58">
      <w:pPr>
        <w:pStyle w:val="9"/>
        <w:rPr>
          <w:b/>
          <w:bCs/>
        </w:rPr>
      </w:pPr>
    </w:p>
    <w:p w14:paraId="1938CA96">
      <w:pPr>
        <w:pStyle w:val="9"/>
      </w:pPr>
      <w:r>
        <w:rPr>
          <w:b/>
          <w:bCs/>
        </w:rPr>
        <w:t xml:space="preserve">Art. 22, § 3°  </w:t>
      </w:r>
      <w:r>
        <w:t>Quando a contratação se referir a obras e serviços de grande vulto ou forem adotados os regimes de contratação integrada e semi-integrada, o edital obrigatoriamente contemplará matriz de alocação de riscos entre o contratante e o contratado.</w:t>
      </w:r>
    </w:p>
    <w:p w14:paraId="32C0AD1E">
      <w:pPr>
        <w:pStyle w:val="9"/>
        <w:rPr>
          <w:rFonts w:eastAsia="SimSun"/>
        </w:rPr>
      </w:pPr>
      <w:r>
        <w:rPr>
          <w:rFonts w:eastAsia="SimSun"/>
          <w:b/>
          <w:bCs/>
        </w:rPr>
        <w:t>Art. 6°, Inciso XXII</w:t>
      </w:r>
      <w:r>
        <w:rPr>
          <w:rFonts w:eastAsia="SimSun"/>
        </w:rPr>
        <w:t xml:space="preserve"> - obras, serviços e fornecimentos de grande vulto: aqueles cujo valor estimado supera R$ 200.000.000,00 (duzentos milhões de reais).</w:t>
      </w:r>
    </w:p>
    <w:p w14:paraId="2BB038FC">
      <w:pPr>
        <w:pStyle w:val="9"/>
        <w:spacing w:line="240" w:lineRule="auto"/>
        <w:rPr>
          <w:rFonts w:eastAsia="SimSun"/>
        </w:rPr>
      </w:pPr>
    </w:p>
    <w:p w14:paraId="24BE1C76">
      <w:pPr>
        <w:spacing w:line="360" w:lineRule="auto"/>
        <w:rPr>
          <w:rFonts w:ascii="Arial" w:hAnsi="Arial" w:cs="Arial"/>
          <w:sz w:val="22"/>
          <w:szCs w:val="22"/>
        </w:rPr>
      </w:pPr>
      <w:r>
        <w:rPr>
          <w:rFonts w:ascii="Arial" w:hAnsi="Arial" w:cs="Arial"/>
          <w:sz w:val="22"/>
          <w:szCs w:val="22"/>
        </w:rPr>
        <w:t>Sendo assim, vê-se que não é o caso da contratação em trâmite, de forma que o referido documento não constará neste processo.</w:t>
      </w:r>
    </w:p>
    <w:p w14:paraId="135ED89E">
      <w:pPr>
        <w:pStyle w:val="9"/>
        <w:spacing w:line="240" w:lineRule="auto"/>
        <w:rPr>
          <w:rFonts w:eastAsia="SimSun"/>
        </w:rPr>
      </w:pPr>
    </w:p>
    <w:p w14:paraId="2C569610">
      <w:pPr>
        <w:spacing w:line="360" w:lineRule="auto"/>
        <w:rPr>
          <w:rFonts w:ascii="Arial" w:hAnsi="Arial" w:cs="Arial"/>
          <w:sz w:val="22"/>
          <w:szCs w:val="22"/>
        </w:rPr>
      </w:pPr>
      <w:r>
        <w:rPr>
          <w:rFonts w:ascii="Arial" w:hAnsi="Arial" w:cs="Arial"/>
          <w:b/>
          <w:sz w:val="22"/>
          <w:szCs w:val="22"/>
        </w:rPr>
        <w:t xml:space="preserve">3.4.2. Justificativa da não confecção de mapa de risco: </w:t>
      </w:r>
      <w:r>
        <w:rPr>
          <w:rFonts w:ascii="Arial" w:hAnsi="Arial" w:cs="Arial"/>
          <w:sz w:val="22"/>
          <w:szCs w:val="22"/>
        </w:rPr>
        <w:t xml:space="preserve">A ausência do mapa de riscos, conforme previsto no Decreto Municipal, justifica-se pelo fato de ser um processo de baixa complexidade e tratar-se de contratação de empresa fornecedora de objeto que é normalmente utilizado pela Administração </w:t>
      </w:r>
      <w:r>
        <w:rPr>
          <w:rFonts w:ascii="Arial" w:hAnsi="Arial" w:cs="Arial"/>
          <w:spacing w:val="-2"/>
          <w:sz w:val="22"/>
          <w:szCs w:val="22"/>
        </w:rPr>
        <w:t xml:space="preserve">Pública. </w:t>
      </w:r>
      <w:r>
        <w:rPr>
          <w:rFonts w:ascii="Arial" w:hAnsi="Arial" w:cs="Arial"/>
          <w:sz w:val="22"/>
          <w:szCs w:val="22"/>
        </w:rPr>
        <w:t>As hipóteses de dispensa do gerenciamento de risco, conforme disposto no Decreto Municipal 359/2023 dispõe no art. 521, § 2º:</w:t>
      </w:r>
    </w:p>
    <w:p w14:paraId="10C7AA53">
      <w:pPr>
        <w:autoSpaceDE w:val="0"/>
        <w:autoSpaceDN w:val="0"/>
        <w:adjustRightInd/>
        <w:spacing w:line="240" w:lineRule="auto"/>
        <w:ind w:left="3402" w:leftChars="1701"/>
        <w:textAlignment w:val="auto"/>
        <w:rPr>
          <w:rFonts w:ascii="Arial" w:hAnsi="Arial" w:cs="Arial"/>
        </w:rPr>
      </w:pPr>
      <w:r>
        <w:rPr>
          <w:rFonts w:ascii="Arial" w:hAnsi="Arial" w:cs="Arial"/>
        </w:rPr>
        <w:t>O gerenciamento dos riscos poderá ser dispensado nos casos envolvendo contratação de objetos de baixo valor, baixa complexidade e contratações de fornecimento e serviços normalmente utilizados pela Administração Pública com potencial de</w:t>
      </w:r>
      <w:r>
        <w:rPr>
          <w:rFonts w:ascii="Arial" w:hAnsi="Arial" w:cs="Arial"/>
          <w:spacing w:val="-3"/>
        </w:rPr>
        <w:t xml:space="preserve"> </w:t>
      </w:r>
      <w:r>
        <w:rPr>
          <w:rFonts w:ascii="Arial" w:hAnsi="Arial" w:cs="Arial"/>
        </w:rPr>
        <w:t>risco</w:t>
      </w:r>
      <w:r>
        <w:rPr>
          <w:rFonts w:ascii="Arial" w:hAnsi="Arial" w:cs="Arial"/>
          <w:spacing w:val="-4"/>
        </w:rPr>
        <w:t xml:space="preserve"> </w:t>
      </w:r>
      <w:r>
        <w:rPr>
          <w:rFonts w:ascii="Arial" w:hAnsi="Arial" w:cs="Arial"/>
        </w:rPr>
        <w:t>raro</w:t>
      </w:r>
      <w:r>
        <w:rPr>
          <w:rFonts w:ascii="Arial" w:hAnsi="Arial" w:cs="Arial"/>
          <w:spacing w:val="-3"/>
        </w:rPr>
        <w:t xml:space="preserve"> </w:t>
      </w:r>
      <w:r>
        <w:rPr>
          <w:rFonts w:ascii="Arial" w:hAnsi="Arial" w:cs="Arial"/>
        </w:rPr>
        <w:t>ou</w:t>
      </w:r>
      <w:r>
        <w:rPr>
          <w:rFonts w:ascii="Arial" w:hAnsi="Arial" w:cs="Arial"/>
          <w:spacing w:val="-4"/>
        </w:rPr>
        <w:t xml:space="preserve"> </w:t>
      </w:r>
      <w:r>
        <w:rPr>
          <w:rFonts w:ascii="Arial" w:hAnsi="Arial" w:cs="Arial"/>
        </w:rPr>
        <w:t>pouco</w:t>
      </w:r>
      <w:r>
        <w:rPr>
          <w:rFonts w:ascii="Arial" w:hAnsi="Arial" w:cs="Arial"/>
          <w:spacing w:val="-4"/>
        </w:rPr>
        <w:t xml:space="preserve"> </w:t>
      </w:r>
      <w:r>
        <w:rPr>
          <w:rFonts w:ascii="Arial" w:hAnsi="Arial" w:cs="Arial"/>
        </w:rPr>
        <w:t>provável</w:t>
      </w:r>
      <w:r>
        <w:rPr>
          <w:rFonts w:ascii="Arial" w:hAnsi="Arial" w:cs="Arial"/>
          <w:spacing w:val="-1"/>
        </w:rPr>
        <w:t xml:space="preserve"> </w:t>
      </w:r>
      <w:r>
        <w:rPr>
          <w:rFonts w:ascii="Arial" w:hAnsi="Arial" w:cs="Arial"/>
        </w:rPr>
        <w:t>ou</w:t>
      </w:r>
      <w:r>
        <w:rPr>
          <w:rFonts w:ascii="Arial" w:hAnsi="Arial" w:cs="Arial"/>
          <w:spacing w:val="-3"/>
        </w:rPr>
        <w:t xml:space="preserve"> </w:t>
      </w:r>
      <w:r>
        <w:rPr>
          <w:rFonts w:ascii="Arial" w:hAnsi="Arial" w:cs="Arial"/>
        </w:rPr>
        <w:t>de</w:t>
      </w:r>
      <w:r>
        <w:rPr>
          <w:rFonts w:ascii="Arial" w:hAnsi="Arial" w:cs="Arial"/>
          <w:spacing w:val="-4"/>
        </w:rPr>
        <w:t xml:space="preserve"> </w:t>
      </w:r>
      <w:r>
        <w:rPr>
          <w:rFonts w:ascii="Arial" w:hAnsi="Arial" w:cs="Arial"/>
        </w:rPr>
        <w:t>escala</w:t>
      </w:r>
      <w:r>
        <w:rPr>
          <w:rFonts w:ascii="Arial" w:hAnsi="Arial" w:cs="Arial"/>
          <w:spacing w:val="-3"/>
        </w:rPr>
        <w:t xml:space="preserve"> </w:t>
      </w:r>
      <w:r>
        <w:rPr>
          <w:rFonts w:ascii="Arial" w:hAnsi="Arial" w:cs="Arial"/>
        </w:rPr>
        <w:t>muito</w:t>
      </w:r>
      <w:r>
        <w:rPr>
          <w:rFonts w:ascii="Arial" w:hAnsi="Arial" w:cs="Arial"/>
          <w:spacing w:val="-3"/>
        </w:rPr>
        <w:t xml:space="preserve"> </w:t>
      </w:r>
      <w:r>
        <w:rPr>
          <w:rFonts w:ascii="Arial" w:hAnsi="Arial" w:cs="Arial"/>
        </w:rPr>
        <w:t>baixa</w:t>
      </w:r>
      <w:r>
        <w:rPr>
          <w:rFonts w:ascii="Arial" w:hAnsi="Arial" w:cs="Arial"/>
          <w:spacing w:val="-3"/>
        </w:rPr>
        <w:t xml:space="preserve"> </w:t>
      </w:r>
      <w:r>
        <w:rPr>
          <w:rFonts w:ascii="Arial" w:hAnsi="Arial" w:cs="Arial"/>
        </w:rPr>
        <w:t>ou</w:t>
      </w:r>
      <w:r>
        <w:rPr>
          <w:rFonts w:ascii="Arial" w:hAnsi="Arial" w:cs="Arial"/>
          <w:spacing w:val="-3"/>
        </w:rPr>
        <w:t xml:space="preserve"> </w:t>
      </w:r>
      <w:r>
        <w:rPr>
          <w:rFonts w:ascii="Arial" w:hAnsi="Arial" w:cs="Arial"/>
        </w:rPr>
        <w:t>baixa.</w:t>
      </w:r>
    </w:p>
    <w:p w14:paraId="3EBD5DF1">
      <w:pPr>
        <w:autoSpaceDE w:val="0"/>
        <w:autoSpaceDN w:val="0"/>
        <w:adjustRightInd/>
        <w:spacing w:line="240" w:lineRule="auto"/>
        <w:ind w:left="3402" w:leftChars="1701"/>
        <w:textAlignment w:val="auto"/>
        <w:rPr>
          <w:rFonts w:ascii="Arial" w:hAnsi="Arial" w:cs="Arial"/>
        </w:rPr>
      </w:pPr>
    </w:p>
    <w:p w14:paraId="56DDE2B4">
      <w:pPr>
        <w:spacing w:line="360" w:lineRule="auto"/>
        <w:rPr>
          <w:rFonts w:ascii="Arial" w:hAnsi="Arial" w:eastAsia="SimSun" w:cs="Arial"/>
          <w:color w:val="000000"/>
          <w:sz w:val="22"/>
          <w:szCs w:val="22"/>
        </w:rPr>
      </w:pPr>
      <w:r>
        <w:rPr>
          <w:rFonts w:ascii="Arial" w:hAnsi="Arial" w:cs="Arial"/>
          <w:sz w:val="22"/>
          <w:szCs w:val="22"/>
        </w:rPr>
        <w:t>Portanto,</w:t>
      </w:r>
      <w:r>
        <w:rPr>
          <w:rFonts w:ascii="Arial" w:hAnsi="Arial" w:cs="Arial"/>
          <w:spacing w:val="-2"/>
          <w:sz w:val="22"/>
          <w:szCs w:val="22"/>
        </w:rPr>
        <w:t xml:space="preserve"> </w:t>
      </w:r>
      <w:r>
        <w:rPr>
          <w:rFonts w:ascii="Arial" w:hAnsi="Arial" w:cs="Arial"/>
          <w:sz w:val="22"/>
          <w:szCs w:val="22"/>
        </w:rPr>
        <w:t>o</w:t>
      </w:r>
      <w:r>
        <w:rPr>
          <w:rFonts w:ascii="Arial" w:hAnsi="Arial" w:cs="Arial"/>
          <w:spacing w:val="-1"/>
          <w:sz w:val="22"/>
          <w:szCs w:val="22"/>
        </w:rPr>
        <w:t xml:space="preserve"> </w:t>
      </w:r>
      <w:r>
        <w:rPr>
          <w:rFonts w:ascii="Arial" w:hAnsi="Arial" w:cs="Arial"/>
          <w:sz w:val="22"/>
          <w:szCs w:val="22"/>
        </w:rPr>
        <w:t>mapa</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riscos</w:t>
      </w:r>
      <w:r>
        <w:rPr>
          <w:rFonts w:ascii="Arial" w:hAnsi="Arial" w:cs="Arial"/>
          <w:spacing w:val="-3"/>
          <w:sz w:val="22"/>
          <w:szCs w:val="22"/>
        </w:rPr>
        <w:t xml:space="preserve"> </w:t>
      </w:r>
      <w:r>
        <w:rPr>
          <w:rFonts w:ascii="Arial" w:hAnsi="Arial" w:cs="Arial"/>
          <w:sz w:val="22"/>
          <w:szCs w:val="22"/>
        </w:rPr>
        <w:t>acima</w:t>
      </w:r>
      <w:r>
        <w:rPr>
          <w:rFonts w:ascii="Arial" w:hAnsi="Arial" w:cs="Arial"/>
          <w:spacing w:val="-3"/>
          <w:sz w:val="22"/>
          <w:szCs w:val="22"/>
        </w:rPr>
        <w:t xml:space="preserve"> </w:t>
      </w:r>
      <w:r>
        <w:rPr>
          <w:rFonts w:ascii="Arial" w:hAnsi="Arial" w:cs="Arial"/>
          <w:sz w:val="22"/>
          <w:szCs w:val="22"/>
        </w:rPr>
        <w:t>citado</w:t>
      </w:r>
      <w:r>
        <w:rPr>
          <w:rFonts w:ascii="Arial" w:hAnsi="Arial" w:cs="Arial"/>
          <w:spacing w:val="-1"/>
          <w:sz w:val="22"/>
          <w:szCs w:val="22"/>
        </w:rPr>
        <w:t xml:space="preserve"> </w:t>
      </w:r>
      <w:r>
        <w:rPr>
          <w:rFonts w:ascii="Arial" w:hAnsi="Arial" w:cs="Arial"/>
          <w:sz w:val="22"/>
          <w:szCs w:val="22"/>
        </w:rPr>
        <w:t>não</w:t>
      </w:r>
      <w:r>
        <w:rPr>
          <w:rFonts w:ascii="Arial" w:hAnsi="Arial" w:cs="Arial"/>
          <w:spacing w:val="-1"/>
          <w:sz w:val="22"/>
          <w:szCs w:val="22"/>
        </w:rPr>
        <w:t xml:space="preserve"> </w:t>
      </w:r>
      <w:r>
        <w:rPr>
          <w:rFonts w:ascii="Arial" w:hAnsi="Arial" w:cs="Arial"/>
          <w:sz w:val="22"/>
          <w:szCs w:val="22"/>
        </w:rPr>
        <w:t>constará</w:t>
      </w:r>
      <w:r>
        <w:rPr>
          <w:rFonts w:ascii="Arial" w:hAnsi="Arial" w:cs="Arial"/>
          <w:spacing w:val="-1"/>
          <w:sz w:val="22"/>
          <w:szCs w:val="22"/>
        </w:rPr>
        <w:t xml:space="preserve"> </w:t>
      </w:r>
      <w:r>
        <w:rPr>
          <w:rFonts w:ascii="Arial" w:hAnsi="Arial" w:cs="Arial"/>
          <w:sz w:val="22"/>
          <w:szCs w:val="22"/>
        </w:rPr>
        <w:t>neste</w:t>
      </w:r>
      <w:r>
        <w:rPr>
          <w:rFonts w:ascii="Arial" w:hAnsi="Arial" w:cs="Arial"/>
          <w:spacing w:val="-3"/>
          <w:sz w:val="22"/>
          <w:szCs w:val="22"/>
        </w:rPr>
        <w:t xml:space="preserve"> </w:t>
      </w:r>
      <w:r>
        <w:rPr>
          <w:rFonts w:ascii="Arial" w:hAnsi="Arial" w:cs="Arial"/>
          <w:sz w:val="22"/>
          <w:szCs w:val="22"/>
        </w:rPr>
        <w:t>processo, devido não</w:t>
      </w:r>
      <w:r>
        <w:rPr>
          <w:rFonts w:ascii="Arial" w:hAnsi="Arial" w:cs="Arial"/>
          <w:spacing w:val="-1"/>
          <w:sz w:val="22"/>
          <w:szCs w:val="22"/>
        </w:rPr>
        <w:t xml:space="preserve"> </w:t>
      </w:r>
      <w:r>
        <w:rPr>
          <w:rFonts w:ascii="Arial" w:hAnsi="Arial" w:cs="Arial"/>
          <w:sz w:val="22"/>
          <w:szCs w:val="22"/>
        </w:rPr>
        <w:t>ser</w:t>
      </w:r>
      <w:r>
        <w:rPr>
          <w:rFonts w:ascii="Arial" w:hAnsi="Arial" w:cs="Arial"/>
          <w:spacing w:val="-2"/>
          <w:sz w:val="22"/>
          <w:szCs w:val="22"/>
        </w:rPr>
        <w:t xml:space="preserve"> </w:t>
      </w:r>
      <w:r>
        <w:rPr>
          <w:rFonts w:ascii="Arial" w:hAnsi="Arial" w:cs="Arial"/>
          <w:sz w:val="22"/>
          <w:szCs w:val="22"/>
        </w:rPr>
        <w:t xml:space="preserve">o </w:t>
      </w:r>
      <w:r>
        <w:rPr>
          <w:rFonts w:ascii="Arial" w:hAnsi="Arial" w:cs="Arial"/>
          <w:spacing w:val="-2"/>
          <w:sz w:val="22"/>
          <w:szCs w:val="22"/>
        </w:rPr>
        <w:t xml:space="preserve">caso, </w:t>
      </w:r>
      <w:r>
        <w:rPr>
          <w:rFonts w:ascii="Arial" w:hAnsi="Arial" w:eastAsia="SimSun" w:cs="Arial"/>
          <w:color w:val="000000"/>
          <w:sz w:val="22"/>
          <w:szCs w:val="22"/>
        </w:rPr>
        <w:t>conforme documento em anexo.</w:t>
      </w:r>
    </w:p>
    <w:p w14:paraId="38A8E84F">
      <w:pPr>
        <w:pStyle w:val="9"/>
        <w:spacing w:line="240" w:lineRule="auto"/>
        <w:rPr>
          <w:rFonts w:eastAsia="SimSun"/>
        </w:rPr>
      </w:pPr>
    </w:p>
    <w:p w14:paraId="2389C075">
      <w:pPr>
        <w:spacing w:line="360" w:lineRule="auto"/>
        <w:rPr>
          <w:rFonts w:ascii="Arial" w:hAnsi="Arial" w:cs="Arial"/>
          <w:b/>
          <w:color w:val="000000" w:themeColor="text1"/>
          <w:sz w:val="22"/>
          <w:szCs w:val="22"/>
          <w14:textFill>
            <w14:solidFill>
              <w14:schemeClr w14:val="tx1"/>
            </w14:solidFill>
          </w14:textFill>
        </w:rPr>
      </w:pPr>
      <w:r>
        <w:rPr>
          <w:rFonts w:ascii="Arial" w:hAnsi="Arial" w:cs="Arial"/>
          <w:b/>
          <w:color w:val="000000" w:themeColor="text1"/>
          <w:sz w:val="22"/>
          <w:szCs w:val="22"/>
          <w14:textFill>
            <w14:solidFill>
              <w14:schemeClr w14:val="tx1"/>
            </w14:solidFill>
          </w14:textFill>
        </w:rPr>
        <w:t xml:space="preserve">3.5. Justificativa da adoção do Registro de Preços: </w:t>
      </w:r>
    </w:p>
    <w:p w14:paraId="194F0835">
      <w:pPr>
        <w:spacing w:line="360" w:lineRule="auto"/>
        <w:rPr>
          <w:rFonts w:ascii="Arial" w:hAnsi="Arial" w:cs="Arial"/>
          <w:bCs/>
          <w:color w:val="000000" w:themeColor="text1"/>
          <w:sz w:val="22"/>
          <w:szCs w:val="22"/>
          <w14:textFill>
            <w14:solidFill>
              <w14:schemeClr w14:val="tx1"/>
            </w14:solidFill>
          </w14:textFill>
        </w:rPr>
      </w:pPr>
      <w:r>
        <w:rPr>
          <w:rFonts w:ascii="Arial" w:hAnsi="Arial" w:cs="Arial"/>
          <w:b/>
          <w:color w:val="000000" w:themeColor="text1"/>
          <w:sz w:val="22"/>
          <w:szCs w:val="22"/>
          <w14:textFill>
            <w14:solidFill>
              <w14:schemeClr w14:val="tx1"/>
            </w14:solidFill>
          </w14:textFill>
        </w:rPr>
        <w:t>3.5.1.</w:t>
      </w:r>
      <w:r>
        <w:rPr>
          <w:rFonts w:ascii="Arial" w:hAnsi="Arial" w:cs="Arial"/>
          <w:bCs/>
          <w:color w:val="000000" w:themeColor="text1"/>
          <w:sz w:val="22"/>
          <w:szCs w:val="22"/>
          <w14:textFill>
            <w14:solidFill>
              <w14:schemeClr w14:val="tx1"/>
            </w14:solidFill>
          </w14:textFill>
        </w:rPr>
        <w:t xml:space="preserve"> Para as futuras contratações será adotado o Sistema de Registro de Preços, previsto na Lei 14.133/2021 como Procedimento Auxiliar no artigo 78, sendo pertinente a adoção do mesmo, sobretudo pelo fato de que pelas características da contratação em comento, haver a necessidade de contratações frequentes, conforme necessidade, para atender a mais de um órgão e também pela impossibilidade de prever com exatidão a quantidade a ser demandada. </w:t>
      </w:r>
    </w:p>
    <w:p w14:paraId="07FA938D">
      <w:pPr>
        <w:spacing w:line="360" w:lineRule="auto"/>
        <w:rPr>
          <w:rFonts w:ascii="Arial" w:hAnsi="Arial" w:cs="Arial"/>
          <w:sz w:val="22"/>
          <w:szCs w:val="22"/>
        </w:rPr>
      </w:pPr>
      <w:r>
        <w:rPr>
          <w:rFonts w:ascii="Arial" w:hAnsi="Arial" w:cs="Arial"/>
          <w:b/>
          <w:color w:val="000000" w:themeColor="text1"/>
          <w:sz w:val="22"/>
          <w:szCs w:val="22"/>
          <w14:textFill>
            <w14:solidFill>
              <w14:schemeClr w14:val="tx1"/>
            </w14:solidFill>
          </w14:textFill>
        </w:rPr>
        <w:t>3.5.2.</w:t>
      </w:r>
      <w:r>
        <w:rPr>
          <w:rFonts w:ascii="Arial" w:hAnsi="Arial" w:cs="Arial"/>
          <w:bCs/>
          <w:color w:val="000000" w:themeColor="text1"/>
          <w:sz w:val="22"/>
          <w:szCs w:val="22"/>
          <w14:textFill>
            <w14:solidFill>
              <w14:schemeClr w14:val="tx1"/>
            </w14:solidFill>
          </w14:textFill>
        </w:rPr>
        <w:t xml:space="preserve"> </w:t>
      </w:r>
      <w:r>
        <w:rPr>
          <w:rFonts w:ascii="Arial" w:hAnsi="Arial" w:cs="Arial"/>
          <w:sz w:val="22"/>
          <w:szCs w:val="22"/>
        </w:rPr>
        <w:t xml:space="preserve">A contratação em tela se refere à necessidade de </w:t>
      </w:r>
      <w:r>
        <w:rPr>
          <w:rFonts w:ascii="Arial" w:hAnsi="Arial" w:eastAsia="SimSun" w:cs="Arial"/>
          <w:sz w:val="22"/>
          <w:szCs w:val="22"/>
        </w:rPr>
        <w:t>aquisição de oxigênio gasoso medicinal, gás oxigênio, acetileno e materiais</w:t>
      </w:r>
      <w:r>
        <w:rPr>
          <w:rFonts w:ascii="Arial" w:hAnsi="Arial" w:cs="Arial"/>
          <w:sz w:val="22"/>
          <w:szCs w:val="22"/>
        </w:rPr>
        <w:t>, e ao adotar o Sistema de Registro de Preços, confirma-se ainda, que é conveniente a aquisição com previsão de ser de forma parcelada, conforme a necessidade, visando minimizar os riscos de desabastecimento e reduzir os custos necessários. Conforme o Decreto Municipal 359/2023, no Art. 460, § 1º, o Sistema de Registro de Preços poderá ser usado e será pertinente nas seguintes situações:</w:t>
      </w:r>
    </w:p>
    <w:p w14:paraId="42E50068">
      <w:pPr>
        <w:pStyle w:val="9"/>
        <w:spacing w:line="240" w:lineRule="auto"/>
        <w:rPr>
          <w:rFonts w:eastAsia="SimSun"/>
        </w:rPr>
      </w:pPr>
    </w:p>
    <w:p w14:paraId="32FB47D7">
      <w:pPr>
        <w:widowControl/>
        <w:adjustRightInd/>
        <w:spacing w:line="240" w:lineRule="auto"/>
        <w:ind w:left="3402" w:leftChars="1701"/>
        <w:textAlignment w:val="auto"/>
        <w:rPr>
          <w:rFonts w:ascii="Arial" w:hAnsi="Arial" w:cs="Arial"/>
        </w:rPr>
      </w:pPr>
      <w:r>
        <w:rPr>
          <w:rFonts w:ascii="Arial" w:hAnsi="Arial" w:eastAsia="SimSun" w:cs="Arial"/>
          <w:b/>
          <w:bCs/>
          <w:color w:val="000000"/>
          <w:lang w:eastAsia="zh-CN" w:bidi="ar"/>
        </w:rPr>
        <w:t>I –</w:t>
      </w:r>
      <w:r>
        <w:rPr>
          <w:rFonts w:ascii="Arial" w:hAnsi="Arial" w:eastAsia="SimSun" w:cs="Arial"/>
          <w:color w:val="000000"/>
          <w:lang w:eastAsia="zh-CN" w:bidi="ar"/>
        </w:rPr>
        <w:t xml:space="preserve"> Quando, pelas características do bem ou serviço, houver necessidade de contratações frequentes, caso em que poderá ser adotado o sistema de registro de preços permanente como forma de aproveitamento da fase de planejamento da contratação;</w:t>
      </w:r>
      <w:r>
        <w:rPr>
          <w:rFonts w:ascii="Arial" w:hAnsi="Arial" w:eastAsia="SimSun" w:cs="Arial"/>
          <w:b/>
          <w:bCs/>
          <w:color w:val="000000"/>
          <w:lang w:eastAsia="zh-CN" w:bidi="ar"/>
        </w:rPr>
        <w:t xml:space="preserve"> </w:t>
      </w:r>
    </w:p>
    <w:p w14:paraId="6CFFBEBF">
      <w:pPr>
        <w:widowControl/>
        <w:adjustRightInd/>
        <w:spacing w:line="240" w:lineRule="auto"/>
        <w:ind w:left="3402" w:leftChars="1701"/>
        <w:textAlignment w:val="auto"/>
        <w:rPr>
          <w:rFonts w:ascii="Arial" w:hAnsi="Arial" w:eastAsia="SimSun" w:cs="Arial"/>
          <w:color w:val="000000"/>
          <w:lang w:eastAsia="zh-CN" w:bidi="ar"/>
        </w:rPr>
      </w:pPr>
      <w:r>
        <w:rPr>
          <w:rFonts w:ascii="Arial" w:hAnsi="Arial" w:eastAsia="SimSun" w:cs="Arial"/>
          <w:b/>
          <w:bCs/>
          <w:color w:val="000000"/>
          <w:lang w:eastAsia="zh-CN" w:bidi="ar"/>
        </w:rPr>
        <w:t>II –</w:t>
      </w:r>
      <w:r>
        <w:rPr>
          <w:rFonts w:ascii="Arial" w:hAnsi="Arial" w:eastAsia="SimSun" w:cs="Arial"/>
          <w:color w:val="000000"/>
          <w:lang w:eastAsia="zh-CN" w:bidi="ar"/>
        </w:rPr>
        <w:t xml:space="preserve"> Quando for mais conveniente a aquisição de bens com entrega parcelada ou contratação eventual de serviços remunerados por unidade de medida; </w:t>
      </w:r>
    </w:p>
    <w:p w14:paraId="2A4595B5">
      <w:pPr>
        <w:widowControl/>
        <w:adjustRightInd/>
        <w:spacing w:line="240" w:lineRule="auto"/>
        <w:ind w:left="3402" w:leftChars="1701"/>
        <w:textAlignment w:val="auto"/>
        <w:rPr>
          <w:rFonts w:ascii="Arial" w:hAnsi="Arial" w:cs="Arial"/>
        </w:rPr>
      </w:pPr>
      <w:r>
        <w:rPr>
          <w:rFonts w:ascii="Arial" w:hAnsi="Arial" w:eastAsia="SimSun" w:cs="Arial"/>
          <w:b/>
          <w:bCs/>
          <w:color w:val="000000"/>
          <w:lang w:eastAsia="zh-CN" w:bidi="ar"/>
        </w:rPr>
        <w:t xml:space="preserve">III – </w:t>
      </w:r>
      <w:r>
        <w:rPr>
          <w:rFonts w:ascii="Arial" w:hAnsi="Arial" w:eastAsia="SimSun" w:cs="Arial"/>
          <w:color w:val="000000"/>
          <w:lang w:eastAsia="zh-CN" w:bidi="ar"/>
        </w:rPr>
        <w:t xml:space="preserve">Quando for conveniente a aquisição ou a locação de bens ou a contratação de serviços para atendimento a mais de um órgão ou entidade, por meio de contratação compartilhada; </w:t>
      </w:r>
    </w:p>
    <w:p w14:paraId="4A8CFF05">
      <w:pPr>
        <w:widowControl/>
        <w:adjustRightInd/>
        <w:spacing w:line="240" w:lineRule="auto"/>
        <w:ind w:left="3402" w:leftChars="1701"/>
        <w:textAlignment w:val="auto"/>
        <w:rPr>
          <w:rFonts w:ascii="Arial" w:hAnsi="Arial" w:cs="Arial"/>
        </w:rPr>
      </w:pPr>
      <w:r>
        <w:rPr>
          <w:rFonts w:ascii="Arial" w:hAnsi="Arial" w:eastAsia="SimSun" w:cs="Arial"/>
          <w:b/>
          <w:bCs/>
          <w:color w:val="000000"/>
          <w:lang w:eastAsia="zh-CN" w:bidi="ar"/>
        </w:rPr>
        <w:t>IV –</w:t>
      </w:r>
      <w:r>
        <w:rPr>
          <w:rFonts w:ascii="Arial" w:hAnsi="Arial" w:eastAsia="SimSun" w:cs="Arial"/>
          <w:color w:val="000000"/>
          <w:lang w:eastAsia="zh-CN" w:bidi="ar"/>
        </w:rPr>
        <w:t xml:space="preserve"> Quando, pela natureza do objeto, não for possível definir </w:t>
      </w:r>
    </w:p>
    <w:p w14:paraId="1E203A7C">
      <w:pPr>
        <w:widowControl/>
        <w:adjustRightInd/>
        <w:spacing w:line="240" w:lineRule="auto"/>
        <w:ind w:left="3402" w:leftChars="1701"/>
        <w:textAlignment w:val="auto"/>
        <w:rPr>
          <w:rFonts w:ascii="Arial" w:hAnsi="Arial" w:eastAsia="SimSun" w:cs="Arial"/>
          <w:color w:val="000000"/>
          <w:lang w:eastAsia="zh-CN" w:bidi="ar"/>
        </w:rPr>
      </w:pPr>
      <w:r>
        <w:rPr>
          <w:rFonts w:ascii="Arial" w:hAnsi="Arial" w:eastAsia="SimSun" w:cs="Arial"/>
          <w:color w:val="000000"/>
          <w:lang w:eastAsia="zh-CN" w:bidi="ar"/>
        </w:rPr>
        <w:t>previamente o quantitativo a ser demandado pela Administração.</w:t>
      </w:r>
    </w:p>
    <w:p w14:paraId="2728582E">
      <w:pPr>
        <w:widowControl/>
        <w:adjustRightInd/>
        <w:spacing w:line="240" w:lineRule="auto"/>
        <w:ind w:left="2400" w:leftChars="1200"/>
        <w:textAlignment w:val="auto"/>
        <w:rPr>
          <w:rFonts w:ascii="Arial" w:hAnsi="Arial" w:eastAsia="SimSun" w:cs="Arial"/>
          <w:color w:val="000000"/>
          <w:sz w:val="22"/>
          <w:szCs w:val="22"/>
          <w:lang w:eastAsia="zh-CN" w:bidi="ar"/>
        </w:rPr>
      </w:pPr>
    </w:p>
    <w:p w14:paraId="797B257E">
      <w:pPr>
        <w:widowControl/>
        <w:adjustRightInd/>
        <w:spacing w:line="360" w:lineRule="auto"/>
        <w:textAlignment w:val="auto"/>
        <w:rPr>
          <w:rFonts w:ascii="Arial" w:hAnsi="Arial" w:cs="Arial"/>
          <w:sz w:val="22"/>
          <w:szCs w:val="22"/>
        </w:rPr>
      </w:pPr>
      <w:r>
        <w:rPr>
          <w:rFonts w:ascii="Arial" w:hAnsi="Arial" w:cs="Arial"/>
          <w:b/>
          <w:color w:val="000000" w:themeColor="text1"/>
          <w:sz w:val="22"/>
          <w:szCs w:val="22"/>
          <w14:textFill>
            <w14:solidFill>
              <w14:schemeClr w14:val="tx1"/>
            </w14:solidFill>
          </w14:textFill>
        </w:rPr>
        <w:t>3.5.3.</w:t>
      </w:r>
      <w:r>
        <w:rPr>
          <w:rFonts w:ascii="Arial" w:hAnsi="Arial" w:cs="Arial"/>
          <w:bCs/>
          <w:color w:val="000000" w:themeColor="text1"/>
          <w:sz w:val="22"/>
          <w:szCs w:val="22"/>
          <w14:textFill>
            <w14:solidFill>
              <w14:schemeClr w14:val="tx1"/>
            </w14:solidFill>
          </w14:textFill>
        </w:rPr>
        <w:t xml:space="preserve"> </w:t>
      </w:r>
      <w:r>
        <w:rPr>
          <w:rFonts w:ascii="Arial" w:hAnsi="Arial" w:cs="Arial"/>
          <w:sz w:val="22"/>
          <w:szCs w:val="22"/>
        </w:rPr>
        <w:t>Nesse sentido, corrobora-se que, além de viável e pertinente a opção por Registro de Preços por meio de Pregão Eletrônico, a referida licitação, que tem por objeto “</w:t>
      </w:r>
      <w:r>
        <w:rPr>
          <w:rFonts w:ascii="Arial" w:hAnsi="Arial" w:cs="Arial"/>
          <w:color w:val="000000" w:themeColor="text1"/>
          <w:sz w:val="22"/>
          <w:szCs w:val="22"/>
          <w14:textFill>
            <w14:solidFill>
              <w14:schemeClr w14:val="tx1"/>
            </w14:solidFill>
          </w14:textFill>
        </w:rPr>
        <w:t xml:space="preserve">futuras e eventuais </w:t>
      </w:r>
      <w:r>
        <w:rPr>
          <w:rFonts w:ascii="Arial" w:hAnsi="Arial" w:eastAsia="SimSun" w:cs="Arial"/>
          <w:sz w:val="22"/>
          <w:szCs w:val="22"/>
          <w:lang w:eastAsia="zh-CN" w:bidi="ar"/>
        </w:rPr>
        <w:t xml:space="preserve">aquisições de oxigênio gasoso medicinal, gás oxigênio, acetileno e materiais </w:t>
      </w:r>
      <w:r>
        <w:rPr>
          <w:rFonts w:ascii="Arial" w:hAnsi="Arial" w:cs="Arial"/>
          <w:color w:val="000000" w:themeColor="text1"/>
          <w:sz w:val="22"/>
          <w:szCs w:val="22"/>
          <w14:textFill>
            <w14:solidFill>
              <w14:schemeClr w14:val="tx1"/>
            </w14:solidFill>
          </w14:textFill>
        </w:rPr>
        <w:t>para atender às necessidades das Secretarias Municipais da Prefeitura de Sinop/MT”</w:t>
      </w:r>
      <w:r>
        <w:rPr>
          <w:rFonts w:ascii="Arial" w:hAnsi="Arial" w:cs="Arial"/>
          <w:b/>
          <w:bCs/>
          <w:color w:val="000000" w:themeColor="text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se</w:t>
      </w:r>
      <w:r>
        <w:rPr>
          <w:rFonts w:ascii="Arial" w:hAnsi="Arial" w:cs="Arial"/>
          <w:sz w:val="22"/>
          <w:szCs w:val="22"/>
        </w:rPr>
        <w:t xml:space="preserve"> enquadra como tal, conforme o §1º do Art. 460 do Decreto Municipal 359/2023.</w:t>
      </w:r>
    </w:p>
    <w:p w14:paraId="554A35F3">
      <w:pPr>
        <w:widowControl/>
        <w:adjustRightInd/>
        <w:spacing w:line="360" w:lineRule="auto"/>
        <w:textAlignment w:val="auto"/>
        <w:rPr>
          <w:rFonts w:ascii="Arial" w:hAnsi="Arial" w:cs="Arial"/>
          <w:color w:val="000000"/>
          <w:sz w:val="22"/>
          <w:szCs w:val="22"/>
        </w:rPr>
      </w:pPr>
      <w:r>
        <w:rPr>
          <w:rFonts w:ascii="Arial" w:hAnsi="Arial" w:cs="Arial"/>
          <w:sz w:val="22"/>
          <w:szCs w:val="22"/>
        </w:rPr>
        <w:t xml:space="preserve"> </w:t>
      </w:r>
      <w:r>
        <w:rPr>
          <w:rFonts w:ascii="Arial" w:hAnsi="Arial" w:cs="Arial"/>
          <w:b/>
          <w:color w:val="000000" w:themeColor="text1"/>
          <w:sz w:val="22"/>
          <w:szCs w:val="22"/>
          <w14:textFill>
            <w14:solidFill>
              <w14:schemeClr w14:val="tx1"/>
            </w14:solidFill>
          </w14:textFill>
        </w:rPr>
        <w:t>3.5.4.</w:t>
      </w:r>
      <w:r>
        <w:rPr>
          <w:rFonts w:ascii="Arial" w:hAnsi="Arial" w:cs="Arial"/>
          <w:bCs/>
          <w:color w:val="000000" w:themeColor="text1"/>
          <w:sz w:val="22"/>
          <w:szCs w:val="22"/>
          <w14:textFill>
            <w14:solidFill>
              <w14:schemeClr w14:val="tx1"/>
            </w14:solidFill>
          </w14:textFill>
        </w:rPr>
        <w:t xml:space="preserve"> </w:t>
      </w:r>
      <w:r>
        <w:rPr>
          <w:rFonts w:ascii="Arial" w:hAnsi="Arial" w:cs="Arial"/>
          <w:color w:val="000000"/>
          <w:sz w:val="22"/>
          <w:szCs w:val="22"/>
        </w:rPr>
        <w:t>Com efeito, diante da natureza devidamente caracterizada pelos itens constantes do objeto ora pretendido neste processo, pois são itens os quais traduzem materiais de uso comum e comercialização padronizada, corrobora-se que o tipo Pregão conduzido e licitado por menor preço por grupo será cabível e pertinente.</w:t>
      </w:r>
    </w:p>
    <w:p w14:paraId="1795B980">
      <w:pPr>
        <w:widowControl/>
        <w:adjustRightInd/>
        <w:spacing w:line="360" w:lineRule="auto"/>
        <w:textAlignment w:val="auto"/>
        <w:rPr>
          <w:rFonts w:ascii="Arial" w:hAnsi="Arial" w:cs="Arial"/>
          <w:color w:val="000000"/>
          <w:sz w:val="22"/>
          <w:szCs w:val="22"/>
        </w:rPr>
      </w:pPr>
    </w:p>
    <w:p w14:paraId="1B049501">
      <w:pPr>
        <w:widowControl/>
        <w:tabs>
          <w:tab w:val="left" w:pos="0"/>
          <w:tab w:val="left" w:pos="1100"/>
        </w:tabs>
        <w:spacing w:line="360" w:lineRule="auto"/>
        <w:textAlignment w:val="auto"/>
        <w:rPr>
          <w:rFonts w:ascii="Arial" w:hAnsi="Arial" w:cs="Arial"/>
          <w:b/>
          <w:bCs/>
          <w:sz w:val="22"/>
          <w:szCs w:val="22"/>
        </w:rPr>
      </w:pPr>
      <w:r>
        <w:rPr>
          <w:rFonts w:ascii="Arial" w:hAnsi="Arial" w:cs="Arial"/>
          <w:b/>
          <w:bCs/>
          <w:sz w:val="22"/>
          <w:szCs w:val="22"/>
        </w:rPr>
        <w:t>3.6. Justificativa da assinatura no Termo de Referência por uma só pessoa:</w:t>
      </w:r>
    </w:p>
    <w:p w14:paraId="19D50628">
      <w:pPr>
        <w:widowControl/>
        <w:autoSpaceDE w:val="0"/>
        <w:autoSpaceDN w:val="0"/>
        <w:spacing w:line="360" w:lineRule="auto"/>
        <w:textAlignment w:val="auto"/>
        <w:rPr>
          <w:rFonts w:ascii="Arial" w:hAnsi="Arial" w:cs="Arial"/>
          <w:sz w:val="22"/>
          <w:szCs w:val="22"/>
        </w:rPr>
      </w:pPr>
      <w:r>
        <w:rPr>
          <w:rFonts w:ascii="Arial" w:hAnsi="Arial" w:cs="Arial"/>
          <w:b/>
          <w:sz w:val="22"/>
          <w:szCs w:val="22"/>
        </w:rPr>
        <w:t xml:space="preserve">3.6.1. </w:t>
      </w:r>
      <w:r>
        <w:rPr>
          <w:rFonts w:ascii="Arial" w:hAnsi="Arial" w:cs="Arial"/>
          <w:bCs/>
          <w:sz w:val="22"/>
          <w:szCs w:val="22"/>
        </w:rPr>
        <w:t>O Termo de Referência foi assinado por uma única pessoa e não por uma equipe, conforme requisitado pelo art. 142 do Decreto Municipal 359/2024.</w:t>
      </w:r>
    </w:p>
    <w:p w14:paraId="1C59E840">
      <w:pPr>
        <w:widowControl/>
        <w:autoSpaceDE w:val="0"/>
        <w:autoSpaceDN w:val="0"/>
        <w:spacing w:line="360" w:lineRule="auto"/>
        <w:textAlignment w:val="auto"/>
        <w:rPr>
          <w:rFonts w:ascii="Arial" w:hAnsi="Arial" w:cs="Arial"/>
          <w:sz w:val="22"/>
          <w:szCs w:val="22"/>
        </w:rPr>
      </w:pPr>
      <w:r>
        <w:rPr>
          <w:rFonts w:ascii="Arial" w:hAnsi="Arial" w:cs="Arial"/>
          <w:sz w:val="22"/>
          <w:szCs w:val="22"/>
        </w:rPr>
        <w:t>É fundamental observar o regramento completo disposto no Decreto Municipal nº 359/2023. Vejamos:</w:t>
      </w:r>
    </w:p>
    <w:p w14:paraId="402FB02C">
      <w:pPr>
        <w:widowControl/>
        <w:autoSpaceDE w:val="0"/>
        <w:autoSpaceDN w:val="0"/>
        <w:spacing w:line="240" w:lineRule="auto"/>
        <w:ind w:left="3402" w:leftChars="1701"/>
        <w:textAlignment w:val="auto"/>
        <w:rPr>
          <w:rFonts w:ascii="Arial" w:hAnsi="Arial" w:cs="Arial"/>
        </w:rPr>
      </w:pPr>
      <w:r>
        <w:rPr>
          <w:rStyle w:val="6"/>
          <w:rFonts w:ascii="Arial" w:hAnsi="Arial" w:cs="Arial"/>
        </w:rPr>
        <w:t>Art. 142.</w:t>
      </w:r>
      <w:r>
        <w:rPr>
          <w:rFonts w:ascii="Arial" w:hAnsi="Arial" w:cs="Arial"/>
        </w:rPr>
        <w:t xml:space="preserve"> O Termo de Referência/Projeto Básico será elaborado por uma equipe de planejamento de contratação, designada por portaria, que reúna as competências necessárias sobre aspectos técnicos e de uso comum do objeto, licitações e contratos, dentre outros, e </w:t>
      </w:r>
      <w:r>
        <w:rPr>
          <w:rFonts w:ascii="Arial" w:hAnsi="Arial" w:cs="Arial"/>
          <w:bCs/>
        </w:rPr>
        <w:t>seguirá as informações já determinadas pela área demandante e/ou gestora na Solicitação da Demanda/Documento de Formação de Demanda e Estudo Técnico Preliminar, bem como a Pesquisa de Preços realizada em etapas anteriores</w:t>
      </w:r>
      <w:r>
        <w:rPr>
          <w:rFonts w:ascii="Arial" w:hAnsi="Arial" w:cs="Arial"/>
        </w:rPr>
        <w:t xml:space="preserve">, </w:t>
      </w:r>
      <w:r>
        <w:rPr>
          <w:rStyle w:val="6"/>
          <w:rFonts w:ascii="Arial" w:hAnsi="Arial" w:cs="Arial"/>
          <w:b w:val="0"/>
        </w:rPr>
        <w:t>a fim</w:t>
      </w:r>
      <w:r>
        <w:rPr>
          <w:rFonts w:ascii="Arial" w:hAnsi="Arial" w:cs="Arial"/>
        </w:rPr>
        <w:t xml:space="preserve"> de orientar a equipe de licitação para a elaboração do Edital e a condução do certame.</w:t>
      </w:r>
    </w:p>
    <w:p w14:paraId="0086686C">
      <w:pPr>
        <w:widowControl/>
        <w:autoSpaceDE w:val="0"/>
        <w:autoSpaceDN w:val="0"/>
        <w:spacing w:line="240" w:lineRule="auto"/>
        <w:ind w:left="3402" w:leftChars="1701"/>
        <w:textAlignment w:val="auto"/>
        <w:rPr>
          <w:rFonts w:ascii="Arial" w:hAnsi="Arial" w:cs="Arial"/>
        </w:rPr>
      </w:pPr>
      <w:r>
        <w:rPr>
          <w:rStyle w:val="6"/>
          <w:rFonts w:ascii="Arial" w:hAnsi="Arial" w:cs="Arial"/>
        </w:rPr>
        <w:t>§ 1º.</w:t>
      </w:r>
      <w:r>
        <w:rPr>
          <w:rFonts w:ascii="Arial" w:hAnsi="Arial" w:cs="Arial"/>
        </w:rPr>
        <w:t xml:space="preserve"> </w:t>
      </w:r>
      <w:r>
        <w:rPr>
          <w:rFonts w:ascii="Arial" w:hAnsi="Arial" w:cs="Arial"/>
          <w:bCs/>
        </w:rPr>
        <w:t xml:space="preserve">Considerando a complexidade e infinidade de objetos a serem contratados que não são conhecidos com profundidade pelos responsáveis designados pela elaboração do Termo de Referência, </w:t>
      </w:r>
      <w:r>
        <w:rPr>
          <w:rStyle w:val="6"/>
          <w:rFonts w:ascii="Arial" w:hAnsi="Arial" w:cs="Arial"/>
          <w:bCs w:val="0"/>
        </w:rPr>
        <w:t>estes</w:t>
      </w:r>
      <w:r>
        <w:rPr>
          <w:rFonts w:ascii="Arial" w:hAnsi="Arial" w:cs="Arial"/>
          <w:bCs/>
        </w:rPr>
        <w:t xml:space="preserve"> deverão ser auxiliados pela área demandante, através da sua área requisitante ou área técnica, de acordo com o objeto, ou </w:t>
      </w:r>
      <w:r>
        <w:rPr>
          <w:rStyle w:val="6"/>
          <w:rFonts w:ascii="Arial" w:hAnsi="Arial" w:cs="Arial"/>
          <w:bCs w:val="0"/>
        </w:rPr>
        <w:t>pela</w:t>
      </w:r>
      <w:r>
        <w:rPr>
          <w:rFonts w:ascii="Arial" w:hAnsi="Arial" w:cs="Arial"/>
          <w:bCs/>
        </w:rPr>
        <w:t xml:space="preserve"> área gestora quando se tratar de licitação para todas as unidades da mesma Administração Pública Municipal</w:t>
      </w:r>
      <w:r>
        <w:rPr>
          <w:rFonts w:ascii="Arial" w:hAnsi="Arial" w:cs="Arial"/>
        </w:rPr>
        <w:t>.</w:t>
      </w:r>
    </w:p>
    <w:p w14:paraId="3F60A1F2">
      <w:pPr>
        <w:widowControl/>
        <w:autoSpaceDE w:val="0"/>
        <w:autoSpaceDN w:val="0"/>
        <w:spacing w:line="360" w:lineRule="auto"/>
        <w:ind w:left="2400" w:leftChars="1200"/>
        <w:textAlignment w:val="auto"/>
        <w:rPr>
          <w:rFonts w:ascii="Arial" w:hAnsi="Arial" w:cs="Arial"/>
          <w:sz w:val="22"/>
          <w:szCs w:val="22"/>
        </w:rPr>
      </w:pPr>
    </w:p>
    <w:p w14:paraId="793188EB">
      <w:pPr>
        <w:pStyle w:val="11"/>
        <w:widowControl/>
        <w:adjustRightInd/>
        <w:spacing w:beforeAutospacing="0" w:afterAutospacing="0" w:line="360" w:lineRule="auto"/>
        <w:jc w:val="both"/>
        <w:textAlignment w:val="auto"/>
        <w:rPr>
          <w:rFonts w:ascii="Arial" w:hAnsi="Arial" w:cs="Arial"/>
          <w:sz w:val="22"/>
          <w:szCs w:val="22"/>
          <w:lang w:val="pt-BR"/>
        </w:rPr>
      </w:pPr>
      <w:r>
        <w:rPr>
          <w:rFonts w:ascii="Arial" w:hAnsi="Arial" w:cs="Arial"/>
          <w:b/>
          <w:sz w:val="22"/>
          <w:szCs w:val="22"/>
          <w:lang w:val="pt-BR"/>
        </w:rPr>
        <w:t xml:space="preserve">3.6.2. </w:t>
      </w:r>
      <w:r>
        <w:rPr>
          <w:rFonts w:ascii="Arial" w:hAnsi="Arial" w:cs="Arial"/>
          <w:sz w:val="22"/>
          <w:szCs w:val="22"/>
          <w:lang w:val="pt-BR"/>
        </w:rPr>
        <w:t>O processo em tela é rotineiro para a Administração Pública Municipal, sendo realizado ao longo dos anos e contando com a participação e análise de todas as Secretarias Municipais desde a provocação de abertura do processo de levantamento. Chamamos a atenção para o fato de que os servidores lotados nas secretarias municipais, ao atuarem próximos dos fiscais de atas e contratos, têm a oportunidade de observar problemas durante a execução e podem solicitar auxílio técnico para melhor especificação dos itens ou demais necessidades no momento da elaboração de uma nova demanda, seja no Planejamento de Contratações Anual (PCA) ou nos documentos iniciais do processo.</w:t>
      </w:r>
    </w:p>
    <w:p w14:paraId="7C5E9A06">
      <w:pPr>
        <w:pStyle w:val="11"/>
        <w:widowControl/>
        <w:adjustRightInd/>
        <w:spacing w:beforeAutospacing="0" w:afterAutospacing="0" w:line="360" w:lineRule="auto"/>
        <w:jc w:val="both"/>
        <w:textAlignment w:val="auto"/>
        <w:rPr>
          <w:rFonts w:ascii="Arial" w:hAnsi="Arial" w:cs="Arial"/>
          <w:sz w:val="22"/>
          <w:szCs w:val="22"/>
          <w:lang w:val="pt-BR"/>
        </w:rPr>
      </w:pPr>
      <w:r>
        <w:rPr>
          <w:rFonts w:ascii="Arial" w:hAnsi="Arial" w:cs="Arial"/>
          <w:b/>
          <w:sz w:val="22"/>
          <w:szCs w:val="22"/>
          <w:lang w:val="pt-BR"/>
        </w:rPr>
        <w:t xml:space="preserve">3.6.3. </w:t>
      </w:r>
      <w:r>
        <w:rPr>
          <w:rFonts w:ascii="Arial" w:hAnsi="Arial" w:cs="Arial"/>
          <w:sz w:val="22"/>
          <w:szCs w:val="22"/>
          <w:lang w:val="pt-BR"/>
        </w:rPr>
        <w:t>Embora o art. 142 determine que o Termo de Referência seja elaborado por uma equipe de planejamento de contratação, esse dispositivo deve ser considerado em conjunto com o art. 85 e 103, que estabelecem regras específicas para a elaboração do Estudo Técnico Preliminar para as contratações de itens de consumo comuns, sistêmicos e de uso geral para todos os órgãos da Administração Pública. Vejamos:</w:t>
      </w:r>
    </w:p>
    <w:p w14:paraId="62BA1C5D">
      <w:pPr>
        <w:pStyle w:val="11"/>
        <w:widowControl/>
        <w:adjustRightInd/>
        <w:spacing w:beforeAutospacing="0" w:afterAutospacing="0" w:line="360" w:lineRule="auto"/>
        <w:jc w:val="both"/>
        <w:textAlignment w:val="auto"/>
        <w:rPr>
          <w:rFonts w:ascii="Arial" w:hAnsi="Arial" w:cs="Arial"/>
          <w:sz w:val="22"/>
          <w:szCs w:val="22"/>
          <w:lang w:val="pt-BR"/>
        </w:rPr>
      </w:pPr>
    </w:p>
    <w:p w14:paraId="5447E5B8">
      <w:pPr>
        <w:pStyle w:val="11"/>
        <w:spacing w:beforeAutospacing="0" w:afterAutospacing="0" w:line="240" w:lineRule="auto"/>
        <w:ind w:left="3402" w:leftChars="1701"/>
        <w:jc w:val="both"/>
        <w:rPr>
          <w:rFonts w:ascii="Arial" w:hAnsi="Arial" w:cs="Arial"/>
          <w:szCs w:val="20"/>
          <w:lang w:val="pt-BR"/>
        </w:rPr>
      </w:pPr>
      <w:r>
        <w:rPr>
          <w:rStyle w:val="6"/>
          <w:rFonts w:ascii="Arial" w:hAnsi="Arial" w:cs="Arial"/>
          <w:szCs w:val="20"/>
          <w:lang w:val="pt-BR"/>
        </w:rPr>
        <w:t>Art. 85.</w:t>
      </w:r>
      <w:r>
        <w:rPr>
          <w:rFonts w:ascii="Arial" w:hAnsi="Arial" w:cs="Arial"/>
          <w:szCs w:val="20"/>
          <w:lang w:val="pt-BR"/>
        </w:rPr>
        <w:t xml:space="preserve"> </w:t>
      </w:r>
      <w:r>
        <w:rPr>
          <w:rFonts w:ascii="Arial" w:hAnsi="Arial" w:cs="Arial"/>
          <w:bCs/>
          <w:szCs w:val="20"/>
          <w:lang w:val="pt-BR"/>
        </w:rPr>
        <w:t xml:space="preserve">Nas contratações de itens de consumo comuns, sistêmicos e </w:t>
      </w:r>
      <w:r>
        <w:rPr>
          <w:rStyle w:val="6"/>
          <w:rFonts w:ascii="Arial" w:hAnsi="Arial" w:cs="Arial"/>
          <w:b w:val="0"/>
          <w:szCs w:val="20"/>
          <w:lang w:val="pt-BR"/>
        </w:rPr>
        <w:t>de uso geral a todos os órgãos</w:t>
      </w:r>
      <w:r>
        <w:rPr>
          <w:rFonts w:ascii="Arial" w:hAnsi="Arial" w:cs="Arial"/>
          <w:bCs/>
          <w:szCs w:val="20"/>
          <w:lang w:val="pt-BR"/>
        </w:rPr>
        <w:t xml:space="preserve"> da mesma Administração Pública ou que tenham sido objeto de planejamento anual</w:t>
      </w:r>
      <w:r>
        <w:rPr>
          <w:rFonts w:ascii="Arial" w:hAnsi="Arial" w:cs="Arial"/>
          <w:szCs w:val="20"/>
          <w:lang w:val="pt-BR"/>
        </w:rPr>
        <w:t xml:space="preserve">, as Solicitações de Demanda/Documento de Formação de Demanda deverão partir de forma individualizada de cada uma das áreas demandantes </w:t>
      </w:r>
      <w:r>
        <w:rPr>
          <w:rFonts w:ascii="Arial" w:hAnsi="Arial" w:cs="Arial"/>
          <w:bCs/>
          <w:szCs w:val="20"/>
          <w:lang w:val="pt-BR"/>
        </w:rPr>
        <w:t xml:space="preserve">para a Área Gestora, que ficará responsável por coordenar, padronizar e supervisionar o processo de contratação, assim como será </w:t>
      </w:r>
      <w:r>
        <w:rPr>
          <w:rStyle w:val="6"/>
          <w:rFonts w:ascii="Arial" w:hAnsi="Arial" w:cs="Arial"/>
          <w:bCs w:val="0"/>
          <w:szCs w:val="20"/>
          <w:lang w:val="pt-BR"/>
        </w:rPr>
        <w:t>responsável por elaborar</w:t>
      </w:r>
      <w:r>
        <w:rPr>
          <w:rFonts w:ascii="Arial" w:hAnsi="Arial" w:cs="Arial"/>
          <w:bCs/>
          <w:szCs w:val="20"/>
          <w:lang w:val="pt-BR"/>
        </w:rPr>
        <w:t xml:space="preserve"> o Estudo Técnico Preliminar</w:t>
      </w:r>
      <w:r>
        <w:rPr>
          <w:rFonts w:ascii="Arial" w:hAnsi="Arial" w:cs="Arial"/>
          <w:szCs w:val="20"/>
          <w:lang w:val="pt-BR"/>
        </w:rPr>
        <w:t>.</w:t>
      </w:r>
    </w:p>
    <w:p w14:paraId="6544A254">
      <w:pPr>
        <w:pStyle w:val="11"/>
        <w:spacing w:beforeAutospacing="0" w:afterAutospacing="0" w:line="240" w:lineRule="auto"/>
        <w:ind w:left="3402" w:leftChars="1701"/>
        <w:jc w:val="both"/>
        <w:rPr>
          <w:rFonts w:ascii="Arial" w:hAnsi="Arial" w:cs="Arial"/>
          <w:szCs w:val="20"/>
          <w:u w:val="single"/>
          <w:lang w:val="pt-BR"/>
        </w:rPr>
      </w:pPr>
      <w:r>
        <w:rPr>
          <w:rStyle w:val="6"/>
          <w:rFonts w:ascii="Arial" w:hAnsi="Arial" w:cs="Arial"/>
          <w:szCs w:val="20"/>
          <w:lang w:val="pt-BR"/>
        </w:rPr>
        <w:t>Parágrafo único.</w:t>
      </w:r>
      <w:r>
        <w:rPr>
          <w:rFonts w:ascii="Arial" w:hAnsi="Arial" w:cs="Arial"/>
          <w:szCs w:val="20"/>
          <w:lang w:val="pt-BR"/>
        </w:rPr>
        <w:t xml:space="preserve"> </w:t>
      </w:r>
      <w:r>
        <w:rPr>
          <w:rFonts w:ascii="Arial" w:hAnsi="Arial" w:cs="Arial"/>
          <w:szCs w:val="20"/>
          <w:u w:val="single"/>
          <w:lang w:val="pt-BR"/>
        </w:rPr>
        <w:t>No âmbito do Poder Executivo Municipal, a Área Gestora será de responsabilidade da Diretoria Executiva de Administração.</w:t>
      </w:r>
    </w:p>
    <w:p w14:paraId="15144C3B">
      <w:pPr>
        <w:pStyle w:val="11"/>
        <w:spacing w:beforeAutospacing="0" w:afterAutospacing="0" w:line="240" w:lineRule="auto"/>
        <w:ind w:left="3402" w:leftChars="1701"/>
        <w:jc w:val="both"/>
        <w:rPr>
          <w:rFonts w:ascii="Arial" w:hAnsi="Arial" w:cs="Arial"/>
          <w:szCs w:val="20"/>
          <w:lang w:val="pt-BR"/>
        </w:rPr>
      </w:pPr>
      <w:r>
        <w:rPr>
          <w:rStyle w:val="6"/>
          <w:rFonts w:ascii="Arial" w:hAnsi="Arial" w:cs="Arial"/>
          <w:szCs w:val="20"/>
          <w:lang w:val="pt-BR"/>
        </w:rPr>
        <w:t>Art. 103.</w:t>
      </w:r>
      <w:r>
        <w:rPr>
          <w:rFonts w:ascii="Arial" w:hAnsi="Arial" w:cs="Arial"/>
          <w:szCs w:val="20"/>
          <w:lang w:val="pt-BR"/>
        </w:rPr>
        <w:t xml:space="preserve"> Após a realização da Solicitação da Demanda/Documento e Formação de Demanda e do Estudo Técnico Preliminar, a Área Demandante deverá realizar a pesquisa de preços que, após finalizada, será anexada, em documento apartado, ao Estudo Técnico Preliminar, dando sequência </w:t>
      </w:r>
      <w:r>
        <w:rPr>
          <w:rStyle w:val="6"/>
          <w:rFonts w:ascii="Arial" w:hAnsi="Arial" w:cs="Arial"/>
          <w:b w:val="0"/>
          <w:szCs w:val="20"/>
          <w:lang w:val="pt-BR"/>
        </w:rPr>
        <w:t>à</w:t>
      </w:r>
      <w:r>
        <w:rPr>
          <w:rFonts w:ascii="Arial" w:hAnsi="Arial" w:cs="Arial"/>
          <w:szCs w:val="20"/>
          <w:lang w:val="pt-BR"/>
        </w:rPr>
        <w:t xml:space="preserve"> elaboração do Termo de Referência/Projeto Básico.</w:t>
      </w:r>
    </w:p>
    <w:p w14:paraId="46BD337F">
      <w:pPr>
        <w:pStyle w:val="11"/>
        <w:spacing w:beforeAutospacing="0" w:afterAutospacing="0" w:line="240" w:lineRule="auto"/>
        <w:ind w:left="3402" w:leftChars="1701"/>
        <w:jc w:val="both"/>
        <w:rPr>
          <w:rStyle w:val="6"/>
          <w:rFonts w:ascii="Arial" w:hAnsi="Arial" w:cs="Arial"/>
          <w:szCs w:val="20"/>
          <w:lang w:val="pt-BR"/>
        </w:rPr>
      </w:pPr>
      <w:r>
        <w:rPr>
          <w:rStyle w:val="6"/>
          <w:rFonts w:ascii="Arial" w:hAnsi="Arial" w:cs="Arial"/>
          <w:szCs w:val="20"/>
          <w:lang w:val="pt-BR"/>
        </w:rPr>
        <w:t>Parágrafo único.</w:t>
      </w:r>
      <w:r>
        <w:rPr>
          <w:rFonts w:ascii="Arial" w:hAnsi="Arial" w:cs="Arial"/>
          <w:szCs w:val="20"/>
          <w:lang w:val="pt-BR"/>
        </w:rPr>
        <w:t xml:space="preserve"> Nos casos em que se tratar de contratações de itens de consumo comuns, sistêmicos e </w:t>
      </w:r>
      <w:r>
        <w:rPr>
          <w:rStyle w:val="6"/>
          <w:rFonts w:ascii="Arial" w:hAnsi="Arial" w:cs="Arial"/>
          <w:b w:val="0"/>
          <w:szCs w:val="20"/>
          <w:lang w:val="pt-BR"/>
        </w:rPr>
        <w:t>de uso geral a todos os órgãos</w:t>
      </w:r>
      <w:r>
        <w:rPr>
          <w:rFonts w:ascii="Arial" w:hAnsi="Arial" w:cs="Arial"/>
          <w:b/>
          <w:szCs w:val="20"/>
          <w:lang w:val="pt-BR"/>
        </w:rPr>
        <w:t xml:space="preserve"> </w:t>
      </w:r>
      <w:r>
        <w:rPr>
          <w:rFonts w:ascii="Arial" w:hAnsi="Arial" w:cs="Arial"/>
          <w:szCs w:val="20"/>
          <w:lang w:val="pt-BR"/>
        </w:rPr>
        <w:t xml:space="preserve">da mesma Administração Pública ou que tenham sido objeto de planejamento anual, após a realização da Solicitação da Demanda/Documento e Formação de Demanda, caberá à Área Gestora </w:t>
      </w:r>
      <w:r>
        <w:rPr>
          <w:rStyle w:val="6"/>
          <w:rFonts w:ascii="Arial" w:hAnsi="Arial" w:cs="Arial"/>
          <w:b w:val="0"/>
          <w:bCs w:val="0"/>
          <w:szCs w:val="20"/>
          <w:lang w:val="pt-BR"/>
        </w:rPr>
        <w:t>a realização do Estudo Técnico Preliminar e a realização da Pesquisa de Preços, que, após finalizada, será anexada, em documento apartado, ao Estudo Técnico Preliminar, dando sequência à elaboração do Termo de Referência/Projeto Básico</w:t>
      </w:r>
      <w:r>
        <w:rPr>
          <w:rStyle w:val="6"/>
          <w:rFonts w:ascii="Arial" w:hAnsi="Arial" w:cs="Arial"/>
          <w:szCs w:val="20"/>
          <w:lang w:val="pt-BR"/>
        </w:rPr>
        <w:t>.</w:t>
      </w:r>
    </w:p>
    <w:p w14:paraId="25AD065B">
      <w:pPr>
        <w:pStyle w:val="11"/>
        <w:spacing w:beforeAutospacing="0" w:afterAutospacing="0" w:line="360" w:lineRule="auto"/>
        <w:jc w:val="both"/>
        <w:rPr>
          <w:rFonts w:ascii="Arial" w:hAnsi="Arial" w:cs="Arial"/>
          <w:sz w:val="22"/>
          <w:szCs w:val="22"/>
          <w:lang w:val="pt-BR"/>
        </w:rPr>
      </w:pPr>
    </w:p>
    <w:p w14:paraId="791E9C72">
      <w:pPr>
        <w:pStyle w:val="11"/>
        <w:spacing w:beforeAutospacing="0" w:afterAutospacing="0" w:line="360" w:lineRule="auto"/>
        <w:jc w:val="both"/>
        <w:rPr>
          <w:rFonts w:ascii="Arial" w:hAnsi="Arial" w:cs="Arial"/>
          <w:sz w:val="22"/>
          <w:szCs w:val="22"/>
          <w:lang w:val="pt-BR"/>
        </w:rPr>
      </w:pPr>
      <w:r>
        <w:rPr>
          <w:rFonts w:ascii="Arial" w:hAnsi="Arial" w:cs="Arial"/>
          <w:sz w:val="22"/>
          <w:szCs w:val="22"/>
          <w:lang w:val="pt-BR"/>
        </w:rPr>
        <w:t>Dito isso, é importante observarmos a definição de Estudo Técnico Preliminar (ETP), conforme o art. 2º, inciso IX:</w:t>
      </w:r>
    </w:p>
    <w:p w14:paraId="2664A838">
      <w:pPr>
        <w:pStyle w:val="11"/>
        <w:spacing w:beforeAutospacing="0" w:afterAutospacing="0" w:line="240" w:lineRule="auto"/>
        <w:ind w:left="3402" w:leftChars="1701"/>
        <w:jc w:val="both"/>
        <w:rPr>
          <w:rFonts w:ascii="Arial" w:hAnsi="Arial" w:cs="Arial"/>
          <w:sz w:val="22"/>
          <w:szCs w:val="22"/>
          <w:lang w:val="pt-BR"/>
        </w:rPr>
      </w:pPr>
      <w:r>
        <w:rPr>
          <w:rFonts w:ascii="Arial" w:hAnsi="Arial" w:cs="Arial"/>
          <w:szCs w:val="20"/>
          <w:lang w:val="pt-BR"/>
        </w:rPr>
        <w:t>"Documento constitutivo da primeira etapa do planejamento de uma contratação que caracteriza o interesse público envolvido e a sua melhor solução, demonstrando a real necessidade que justifica a contratação ou aquisição, analisando a viabilidade técnica de implementá-la, bem como construindo toda a estrutura básica para a elaboração do Anteprojeto, do Termo de Referência ou do Projeto Básico."</w:t>
      </w:r>
    </w:p>
    <w:p w14:paraId="286500A0">
      <w:pPr>
        <w:pStyle w:val="11"/>
        <w:spacing w:beforeAutospacing="0" w:afterAutospacing="0" w:line="360" w:lineRule="auto"/>
        <w:jc w:val="both"/>
        <w:rPr>
          <w:rFonts w:ascii="Arial" w:hAnsi="Arial" w:cs="Arial"/>
          <w:sz w:val="22"/>
          <w:szCs w:val="22"/>
          <w:lang w:val="pt-BR"/>
        </w:rPr>
      </w:pPr>
    </w:p>
    <w:p w14:paraId="7E9627E9">
      <w:pPr>
        <w:pStyle w:val="11"/>
        <w:spacing w:beforeAutospacing="0" w:afterAutospacing="0" w:line="360" w:lineRule="auto"/>
        <w:jc w:val="both"/>
        <w:rPr>
          <w:rFonts w:ascii="Arial" w:hAnsi="Arial" w:cs="Arial"/>
          <w:sz w:val="22"/>
          <w:szCs w:val="22"/>
          <w:lang w:val="pt-BR"/>
        </w:rPr>
      </w:pPr>
      <w:r>
        <w:rPr>
          <w:rFonts w:ascii="Arial" w:hAnsi="Arial" w:cs="Arial"/>
          <w:sz w:val="22"/>
          <w:szCs w:val="22"/>
          <w:lang w:val="pt-BR"/>
        </w:rPr>
        <w:t xml:space="preserve">Nessa toada, </w:t>
      </w:r>
      <w:r>
        <w:rPr>
          <w:rStyle w:val="6"/>
          <w:rFonts w:ascii="Arial" w:hAnsi="Arial" w:cs="Arial"/>
          <w:b w:val="0"/>
          <w:sz w:val="22"/>
          <w:szCs w:val="22"/>
          <w:lang w:val="pt-BR"/>
        </w:rPr>
        <w:t>é necessário</w:t>
      </w:r>
      <w:r>
        <w:rPr>
          <w:rFonts w:ascii="Arial" w:hAnsi="Arial" w:cs="Arial"/>
          <w:sz w:val="22"/>
          <w:szCs w:val="22"/>
          <w:lang w:val="pt-BR"/>
        </w:rPr>
        <w:t xml:space="preserve"> analisar a definição de Termo de Referência (TR), conforme o art. 2º, inciso XVIII:</w:t>
      </w:r>
    </w:p>
    <w:p w14:paraId="6185FEFE">
      <w:pPr>
        <w:pStyle w:val="11"/>
        <w:spacing w:beforeAutospacing="0" w:afterAutospacing="0" w:line="240" w:lineRule="auto"/>
        <w:ind w:left="3402" w:leftChars="1701"/>
        <w:jc w:val="both"/>
        <w:rPr>
          <w:rFonts w:ascii="Arial" w:hAnsi="Arial" w:cs="Arial"/>
          <w:sz w:val="22"/>
          <w:szCs w:val="22"/>
          <w:lang w:val="pt-BR"/>
        </w:rPr>
      </w:pPr>
      <w:r>
        <w:rPr>
          <w:rFonts w:ascii="Arial" w:hAnsi="Arial" w:cs="Arial"/>
          <w:szCs w:val="20"/>
          <w:lang w:val="pt-BR"/>
        </w:rPr>
        <w:t>“Instrumento de planejamento, pertencente à fase preparatória do processo licitatório, elaborado a partir dos estudos técnicos preliminares, com elementos necessários e suficientes capazes de caracterizar com precisão e informar a terceiros a aquisição de bens e a contratação de serviços comuns.”</w:t>
      </w:r>
    </w:p>
    <w:p w14:paraId="35994EC4">
      <w:pPr>
        <w:pStyle w:val="11"/>
        <w:widowControl/>
        <w:adjustRightInd/>
        <w:spacing w:beforeAutospacing="0" w:afterAutospacing="0" w:line="360" w:lineRule="auto"/>
        <w:ind w:firstLine="1"/>
        <w:jc w:val="both"/>
        <w:textAlignment w:val="auto"/>
        <w:rPr>
          <w:rFonts w:ascii="Arial" w:hAnsi="Arial" w:cs="Arial"/>
          <w:sz w:val="22"/>
          <w:szCs w:val="22"/>
          <w:lang w:val="pt-BR"/>
        </w:rPr>
      </w:pPr>
    </w:p>
    <w:p w14:paraId="6C943F19">
      <w:pPr>
        <w:pStyle w:val="11"/>
        <w:widowControl/>
        <w:adjustRightInd/>
        <w:spacing w:beforeAutospacing="0" w:afterAutospacing="0" w:line="360" w:lineRule="auto"/>
        <w:ind w:firstLine="1"/>
        <w:jc w:val="both"/>
        <w:textAlignment w:val="auto"/>
        <w:rPr>
          <w:rFonts w:ascii="Arial" w:hAnsi="Arial" w:cs="Arial"/>
          <w:sz w:val="22"/>
          <w:szCs w:val="22"/>
          <w:lang w:val="pt-BR"/>
        </w:rPr>
      </w:pPr>
      <w:r>
        <w:rPr>
          <w:rFonts w:ascii="Arial" w:hAnsi="Arial" w:cs="Arial"/>
          <w:sz w:val="22"/>
          <w:szCs w:val="22"/>
          <w:lang w:val="pt-BR"/>
        </w:rPr>
        <w:t xml:space="preserve">Seguindo a análise do regramento, chamamos a atenção para os critérios de pesquisa de preços, especialmente </w:t>
      </w:r>
      <w:r>
        <w:rPr>
          <w:rStyle w:val="6"/>
          <w:rFonts w:ascii="Arial" w:hAnsi="Arial" w:cs="Arial"/>
          <w:b w:val="0"/>
          <w:sz w:val="22"/>
          <w:szCs w:val="22"/>
          <w:lang w:val="pt-BR"/>
        </w:rPr>
        <w:t>o</w:t>
      </w:r>
      <w:r>
        <w:rPr>
          <w:rFonts w:ascii="Arial" w:hAnsi="Arial" w:cs="Arial"/>
          <w:sz w:val="22"/>
          <w:szCs w:val="22"/>
          <w:lang w:val="pt-BR"/>
        </w:rPr>
        <w:t xml:space="preserve"> previsto no art. 133:</w:t>
      </w:r>
    </w:p>
    <w:p w14:paraId="0E458058">
      <w:pPr>
        <w:pStyle w:val="11"/>
        <w:spacing w:beforeAutospacing="0" w:afterAutospacing="0" w:line="240" w:lineRule="auto"/>
        <w:ind w:left="3402" w:leftChars="1701"/>
        <w:jc w:val="both"/>
        <w:rPr>
          <w:rFonts w:ascii="Arial" w:hAnsi="Arial" w:cs="Arial"/>
          <w:szCs w:val="20"/>
          <w:lang w:val="pt-BR"/>
        </w:rPr>
      </w:pPr>
      <w:r>
        <w:rPr>
          <w:rStyle w:val="6"/>
          <w:rFonts w:ascii="Arial" w:hAnsi="Arial" w:cs="Arial"/>
          <w:szCs w:val="20"/>
          <w:lang w:val="pt-BR"/>
        </w:rPr>
        <w:t>Art. 133.</w:t>
      </w:r>
      <w:r>
        <w:rPr>
          <w:rFonts w:ascii="Arial" w:hAnsi="Arial" w:cs="Arial"/>
          <w:szCs w:val="20"/>
          <w:lang w:val="pt-BR"/>
        </w:rPr>
        <w:t xml:space="preserve"> No âmbito do Poder Executivo Municipal, a pesquisa de preços será realizada pela Área Demandante, posterior à Solicitação da Demanda/Documento e Formação de Demanda e Estudo Técnico Preliminar.</w:t>
      </w:r>
    </w:p>
    <w:p w14:paraId="1B5976EE">
      <w:pPr>
        <w:pStyle w:val="11"/>
        <w:spacing w:beforeAutospacing="0" w:afterAutospacing="0" w:line="240" w:lineRule="auto"/>
        <w:ind w:left="3402" w:leftChars="1701"/>
        <w:jc w:val="both"/>
        <w:rPr>
          <w:rFonts w:ascii="Arial" w:hAnsi="Arial" w:cs="Arial"/>
          <w:sz w:val="22"/>
          <w:szCs w:val="22"/>
          <w:lang w:val="pt-BR"/>
        </w:rPr>
      </w:pPr>
      <w:r>
        <w:rPr>
          <w:rStyle w:val="6"/>
          <w:rFonts w:ascii="Arial" w:hAnsi="Arial" w:cs="Arial"/>
          <w:szCs w:val="20"/>
          <w:lang w:val="pt-BR"/>
        </w:rPr>
        <w:t>Parágrafo único.</w:t>
      </w:r>
      <w:r>
        <w:rPr>
          <w:rFonts w:ascii="Arial" w:hAnsi="Arial" w:cs="Arial"/>
          <w:szCs w:val="20"/>
          <w:lang w:val="pt-BR"/>
        </w:rPr>
        <w:t xml:space="preserve"> Nos casos em que se tratar de contratações de itens de consumo comuns, sistêmicos e de uso geral a todos os órgãos da mesma Administração Pública ou que tenham sido objeto de Planejamento Anual, a Pesquisa de Preços ficará sob a responsabilidade da Diretoria Executiva de Administração, designada como Área Gestora da Administração Pública.</w:t>
      </w:r>
    </w:p>
    <w:p w14:paraId="52343C76">
      <w:pPr>
        <w:pStyle w:val="11"/>
        <w:widowControl/>
        <w:adjustRightInd/>
        <w:spacing w:beforeAutospacing="0" w:afterAutospacing="0" w:line="360" w:lineRule="auto"/>
        <w:jc w:val="both"/>
        <w:textAlignment w:val="auto"/>
        <w:rPr>
          <w:rFonts w:ascii="Arial" w:hAnsi="Arial" w:cs="Arial"/>
          <w:sz w:val="22"/>
          <w:szCs w:val="22"/>
          <w:lang w:val="pt-BR"/>
        </w:rPr>
      </w:pPr>
      <w:r>
        <w:rPr>
          <w:rFonts w:ascii="Arial" w:hAnsi="Arial" w:cs="Arial"/>
          <w:b/>
          <w:sz w:val="22"/>
          <w:szCs w:val="22"/>
          <w:lang w:val="pt-BR"/>
        </w:rPr>
        <w:t xml:space="preserve">3.6.4. </w:t>
      </w:r>
      <w:r>
        <w:rPr>
          <w:rFonts w:ascii="Arial" w:hAnsi="Arial" w:cs="Arial"/>
          <w:sz w:val="22"/>
          <w:szCs w:val="22"/>
          <w:lang w:val="pt-BR"/>
        </w:rPr>
        <w:t xml:space="preserve">Dessa forma, observa-se que o Departamento de Pré-Licitação, responsável pela elaboração do Termo de Referência, está lotado na Diretoria Executiva de Administração, que é a responsável por coordenar, padronizar e supervisionar o processo, além de elaborar o Estudo Técnico Preliminar em conjunto com todas as áreas demandantes. O Departamento de Pré-Licitação também procedeu com a pesquisa de preços. </w:t>
      </w:r>
    </w:p>
    <w:p w14:paraId="390056F4">
      <w:pPr>
        <w:widowControl/>
        <w:adjustRightInd/>
        <w:spacing w:line="360" w:lineRule="auto"/>
        <w:textAlignment w:val="auto"/>
        <w:rPr>
          <w:rFonts w:ascii="Arial" w:hAnsi="Arial" w:cs="Arial"/>
          <w:sz w:val="22"/>
          <w:szCs w:val="22"/>
        </w:rPr>
      </w:pPr>
      <w:r>
        <w:rPr>
          <w:rFonts w:ascii="Arial" w:hAnsi="Arial" w:cs="Arial"/>
          <w:b/>
          <w:sz w:val="22"/>
          <w:szCs w:val="22"/>
        </w:rPr>
        <w:t xml:space="preserve">3.6.5. </w:t>
      </w:r>
      <w:r>
        <w:rPr>
          <w:rFonts w:ascii="Arial" w:hAnsi="Arial" w:cs="Arial"/>
          <w:sz w:val="22"/>
          <w:szCs w:val="22"/>
        </w:rPr>
        <w:t>Portanto, a elaboração do Termo de Referência, utilizando como base as informações elencadas pelos técnicos lotados nas secretarias municipais descritas nos estudos técnicos preliminares e assinado o TR por um único responsável que compõem a equipe de planejamento conforme Portaria nº 571/20264, está de acordo com a legislação vigente e o regramento aplicável a esse tipo de contratação, não havendo necessidade de formação de uma equipe específica</w:t>
      </w:r>
    </w:p>
    <w:p w14:paraId="5D14B18B">
      <w:pPr>
        <w:widowControl/>
        <w:adjustRightInd/>
        <w:spacing w:line="360" w:lineRule="auto"/>
        <w:textAlignment w:val="auto"/>
        <w:rPr>
          <w:rFonts w:ascii="Arial" w:hAnsi="Arial" w:cs="Arial"/>
          <w:sz w:val="22"/>
          <w:szCs w:val="22"/>
        </w:rPr>
      </w:pPr>
    </w:p>
    <w:p w14:paraId="7DEC18B4">
      <w:pPr>
        <w:numPr>
          <w:ilvl w:val="0"/>
          <w:numId w:val="4"/>
        </w:numPr>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1260"/>
          <w:tab w:val="clear" w:pos="312"/>
        </w:tabs>
        <w:spacing w:line="360" w:lineRule="auto"/>
        <w:jc w:val="center"/>
        <w:rPr>
          <w:rFonts w:ascii="Arial" w:hAnsi="Arial" w:cs="Arial"/>
          <w:b/>
          <w:sz w:val="22"/>
          <w:szCs w:val="22"/>
        </w:rPr>
      </w:pPr>
      <w:r>
        <w:rPr>
          <w:rFonts w:ascii="Arial" w:hAnsi="Arial" w:cs="Arial"/>
          <w:b/>
          <w:sz w:val="22"/>
          <w:szCs w:val="22"/>
        </w:rPr>
        <w:t>DESCRIÇÃO DA SOLUÇÃO (QUANDO APLICÁVEL):</w:t>
      </w:r>
    </w:p>
    <w:p w14:paraId="657CB137">
      <w:pPr>
        <w:pStyle w:val="24"/>
        <w:rPr>
          <w:rFonts w:eastAsia="SimSun"/>
        </w:rPr>
      </w:pPr>
    </w:p>
    <w:p w14:paraId="7BA786AF">
      <w:pPr>
        <w:tabs>
          <w:tab w:val="left" w:pos="1510"/>
        </w:tabs>
        <w:spacing w:line="360" w:lineRule="auto"/>
        <w:rPr>
          <w:rFonts w:ascii="Arial" w:hAnsi="Arial" w:cs="Arial"/>
          <w:color w:val="000000"/>
          <w:sz w:val="22"/>
          <w:szCs w:val="22"/>
        </w:rPr>
      </w:pPr>
      <w:r>
        <w:rPr>
          <w:rFonts w:ascii="Arial" w:hAnsi="Arial" w:cs="Arial"/>
          <w:b/>
          <w:bCs/>
          <w:sz w:val="22"/>
          <w:szCs w:val="22"/>
        </w:rPr>
        <w:t xml:space="preserve">4.1. </w:t>
      </w:r>
      <w:r>
        <w:rPr>
          <w:rFonts w:ascii="Arial" w:hAnsi="Arial" w:eastAsia="SimSun" w:cs="Arial"/>
          <w:sz w:val="22"/>
          <w:szCs w:val="22"/>
        </w:rPr>
        <w:t>O fornecimento de oxigênio gasoso medicinal, acetileno e materiais correlatos será executado de forma fracionada, de acordo com as necessidades e solicitações de cada pasta interessada. A empresa contratada será integralmente responsável por toda a logística de fornecimento, o que inclui o envase, o transporte seguro, a carga, a descarga, o armazenamento temporário (quando aplicável) e a entrega definitiva dos gases e materiais, em estrita conformidade com as normas técnicas, sanitárias e de segurança vigentes.</w:t>
      </w:r>
    </w:p>
    <w:p w14:paraId="64E6E381">
      <w:pPr>
        <w:spacing w:line="360" w:lineRule="auto"/>
        <w:contextualSpacing/>
        <w:rPr>
          <w:rFonts w:ascii="Arial" w:hAnsi="Arial" w:cs="Arial"/>
          <w:sz w:val="22"/>
          <w:szCs w:val="22"/>
        </w:rPr>
      </w:pPr>
      <w:r>
        <w:rPr>
          <w:rFonts w:ascii="Arial" w:hAnsi="Arial" w:cs="Arial"/>
          <w:sz w:val="22"/>
          <w:szCs w:val="22"/>
        </w:rPr>
        <w:t>Fica estabelecido diante do estudo realizado, que a solução melhor avaliada para atender a essa necessidade, seria a contratação através de empresa do ramo pertinente pelo período de 01 (um) ano.</w:t>
      </w:r>
    </w:p>
    <w:p w14:paraId="08B2B67D">
      <w:pPr>
        <w:spacing w:line="360" w:lineRule="auto"/>
        <w:contextualSpacing/>
        <w:rPr>
          <w:rFonts w:ascii="Arial" w:hAnsi="Arial" w:cs="Arial"/>
          <w:sz w:val="22"/>
          <w:szCs w:val="22"/>
        </w:rPr>
      </w:pPr>
      <w:r>
        <w:rPr>
          <w:rFonts w:ascii="Arial" w:hAnsi="Arial" w:cs="Arial"/>
          <w:b/>
          <w:bCs/>
          <w:sz w:val="22"/>
          <w:szCs w:val="22"/>
        </w:rPr>
        <w:t xml:space="preserve">4.2. </w:t>
      </w:r>
      <w:r>
        <w:rPr>
          <w:rFonts w:ascii="Arial" w:hAnsi="Arial" w:cs="Arial"/>
          <w:sz w:val="22"/>
          <w:szCs w:val="22"/>
        </w:rPr>
        <w:t>Todas as despesas decorrentes do fornecimento — tais como fretes, tributos, encargos trabalhistas, previdenciários, fiscais, comerciais e quaisquer custos operacionais diretos ou indiretos — correrão exclusivamente por conta da contratada, sem qualquer ônus adicional para o Município de Sinop.</w:t>
      </w:r>
    </w:p>
    <w:p w14:paraId="6BA77E43">
      <w:pPr>
        <w:spacing w:line="360" w:lineRule="auto"/>
        <w:contextualSpacing/>
        <w:rPr>
          <w:rFonts w:ascii="Arial" w:hAnsi="Arial" w:cs="Arial"/>
          <w:sz w:val="22"/>
          <w:szCs w:val="22"/>
        </w:rPr>
      </w:pPr>
      <w:r>
        <w:rPr>
          <w:rFonts w:ascii="Arial" w:hAnsi="Arial" w:cs="Arial"/>
          <w:b/>
          <w:bCs/>
          <w:sz w:val="22"/>
          <w:szCs w:val="22"/>
        </w:rPr>
        <w:t>4.3.</w:t>
      </w:r>
      <w:r>
        <w:rPr>
          <w:rFonts w:ascii="Arial" w:hAnsi="Arial" w:cs="Arial"/>
          <w:sz w:val="22"/>
          <w:szCs w:val="22"/>
        </w:rPr>
        <w:t xml:space="preserve"> Com base nos estudos de viabilidade técnica e econômica realizados na fase de planejamento, concluiu-se que a solução mais vantajosa para a Administração Pública é a contratação de empresa especializada do ramo, sob o regime de </w:t>
      </w:r>
      <w:r>
        <w:rPr>
          <w:rFonts w:ascii="Arial" w:hAnsi="Arial" w:cs="Arial"/>
          <w:b/>
          <w:bCs/>
          <w:sz w:val="22"/>
          <w:szCs w:val="22"/>
        </w:rPr>
        <w:t>Registro de Preços</w:t>
      </w:r>
      <w:r>
        <w:rPr>
          <w:rFonts w:ascii="Arial" w:hAnsi="Arial" w:cs="Arial"/>
          <w:sz w:val="22"/>
          <w:szCs w:val="22"/>
        </w:rPr>
        <w:t xml:space="preserve">, pelo período de </w:t>
      </w:r>
      <w:r>
        <w:rPr>
          <w:rFonts w:ascii="Arial" w:hAnsi="Arial" w:cs="Arial"/>
          <w:b/>
          <w:bCs/>
          <w:sz w:val="22"/>
          <w:szCs w:val="22"/>
        </w:rPr>
        <w:t>01 (um) ano</w:t>
      </w:r>
      <w:r>
        <w:rPr>
          <w:rFonts w:ascii="Arial" w:hAnsi="Arial" w:cs="Arial"/>
          <w:sz w:val="22"/>
          <w:szCs w:val="22"/>
        </w:rPr>
        <w:t>. Esta modelagem garante que o município pague apenas pelo que efetivamente consumir, evitando desperdícios e a necessidade de manter grandes estoques de gases, que exigem cuidados rigorosos de segurança.</w:t>
      </w:r>
    </w:p>
    <w:p w14:paraId="37BBC2BE">
      <w:pPr>
        <w:spacing w:line="360" w:lineRule="auto"/>
        <w:contextualSpacing/>
        <w:rPr>
          <w:rFonts w:ascii="Arial" w:hAnsi="Arial" w:cs="Arial"/>
          <w:sz w:val="22"/>
          <w:szCs w:val="22"/>
        </w:rPr>
      </w:pPr>
      <w:r>
        <w:rPr>
          <w:rFonts w:ascii="Arial" w:hAnsi="Arial" w:cs="Arial"/>
          <w:b/>
          <w:bCs/>
          <w:sz w:val="22"/>
          <w:szCs w:val="22"/>
        </w:rPr>
        <w:t>4.4.</w:t>
      </w:r>
      <w:r>
        <w:rPr>
          <w:rFonts w:ascii="Arial" w:hAnsi="Arial" w:cs="Arial"/>
          <w:sz w:val="22"/>
          <w:szCs w:val="22"/>
        </w:rPr>
        <w:t xml:space="preserve"> Por se tratar de contratação cujos bens possuem padrões de desempenho e qualidade objetivamente definidos pelo mercado, o objeto é classificado como bens comuns, nos termos do art. 6º, inciso XIII, da Lei Federal nº 14.133/2021. Consequentemente, o processo licitatório será realizado obrigatoriamente sob a modalidade de Pregão, na forma</w:t>
      </w:r>
      <w:r>
        <w:rPr>
          <w:rFonts w:ascii="Arial" w:hAnsi="Arial" w:cs="Arial"/>
          <w:b/>
          <w:bCs/>
          <w:sz w:val="22"/>
          <w:szCs w:val="22"/>
        </w:rPr>
        <w:t xml:space="preserve"> </w:t>
      </w:r>
      <w:r>
        <w:rPr>
          <w:rFonts w:ascii="Arial" w:hAnsi="Arial" w:cs="Arial"/>
          <w:sz w:val="22"/>
          <w:szCs w:val="22"/>
        </w:rPr>
        <w:t>Eletrônica, adotando-se o critério de julgamento pelo menor preço por item.</w:t>
      </w:r>
    </w:p>
    <w:p w14:paraId="4B0F9F18">
      <w:pPr>
        <w:spacing w:line="360" w:lineRule="auto"/>
        <w:contextualSpacing/>
        <w:rPr>
          <w:rFonts w:ascii="Arial" w:hAnsi="Arial" w:cs="Arial"/>
          <w:sz w:val="22"/>
          <w:szCs w:val="22"/>
        </w:rPr>
      </w:pPr>
    </w:p>
    <w:p w14:paraId="315732B6">
      <w:pPr>
        <w:pBdr>
          <w:top w:val="double" w:color="auto" w:sz="4" w:space="0"/>
          <w:left w:val="double" w:color="auto" w:sz="4" w:space="4"/>
          <w:bottom w:val="double" w:color="auto" w:sz="4" w:space="1"/>
          <w:right w:val="double" w:color="auto" w:sz="4" w:space="6"/>
          <w:between w:val="double" w:color="auto" w:sz="4" w:space="1"/>
        </w:pBdr>
        <w:shd w:val="clear" w:color="auto" w:fill="D7D7D7" w:themeFill="background1" w:themeFillShade="D8"/>
        <w:spacing w:line="360" w:lineRule="auto"/>
        <w:ind w:firstLine="2751" w:firstLineChars="1250"/>
        <w:rPr>
          <w:rFonts w:ascii="Arial" w:hAnsi="Arial" w:cs="Arial"/>
          <w:b/>
          <w:bCs/>
          <w:sz w:val="22"/>
          <w:szCs w:val="22"/>
        </w:rPr>
      </w:pPr>
      <w:r>
        <w:rPr>
          <w:rFonts w:ascii="Arial" w:hAnsi="Arial" w:cs="Arial"/>
          <w:b/>
          <w:sz w:val="22"/>
          <w:szCs w:val="22"/>
        </w:rPr>
        <w:t>5. REQUISITOS DO OBJETO DA CONTRATAÇÃO:</w:t>
      </w:r>
    </w:p>
    <w:p w14:paraId="79414588">
      <w:pPr>
        <w:spacing w:line="360" w:lineRule="auto"/>
        <w:rPr>
          <w:rFonts w:ascii="Arial" w:hAnsi="Arial" w:cs="Arial"/>
          <w:b/>
          <w:bCs/>
          <w:sz w:val="22"/>
          <w:szCs w:val="22"/>
        </w:rPr>
      </w:pPr>
    </w:p>
    <w:p w14:paraId="3741BBDB">
      <w:pPr>
        <w:spacing w:line="360" w:lineRule="auto"/>
        <w:rPr>
          <w:rFonts w:ascii="Arial" w:hAnsi="Arial" w:cs="Arial"/>
          <w:b/>
          <w:bCs/>
          <w:sz w:val="22"/>
          <w:szCs w:val="22"/>
        </w:rPr>
      </w:pPr>
      <w:r>
        <w:rPr>
          <w:rFonts w:ascii="Arial" w:hAnsi="Arial" w:cs="Arial"/>
          <w:b/>
          <w:bCs/>
          <w:sz w:val="22"/>
          <w:szCs w:val="22"/>
        </w:rPr>
        <w:t>5.1. Natureza do objeto:</w:t>
      </w:r>
    </w:p>
    <w:p w14:paraId="5815754E">
      <w:pPr>
        <w:spacing w:line="360" w:lineRule="auto"/>
        <w:rPr>
          <w:rFonts w:ascii="Arial" w:hAnsi="Arial" w:cs="Arial"/>
          <w:sz w:val="22"/>
          <w:szCs w:val="22"/>
        </w:rPr>
      </w:pPr>
      <w:r>
        <w:rPr>
          <w:rFonts w:ascii="Arial" w:hAnsi="Arial" w:cs="Arial"/>
          <w:sz w:val="22"/>
          <w:szCs w:val="22"/>
        </w:rPr>
        <w:t>A presente aquisição possui os requisitos necessários e suficientes à escolha da solução, prevendo critérios e práticas de sustentabilidade.</w:t>
      </w:r>
    </w:p>
    <w:p w14:paraId="4A4217C3">
      <w:pPr>
        <w:spacing w:line="360" w:lineRule="auto"/>
        <w:rPr>
          <w:rFonts w:ascii="Arial" w:hAnsi="Arial" w:eastAsia="SimSun" w:cs="Arial"/>
          <w:sz w:val="22"/>
          <w:szCs w:val="22"/>
        </w:rPr>
      </w:pPr>
      <w:r>
        <w:rPr>
          <w:rFonts w:ascii="Arial" w:hAnsi="Arial" w:eastAsia="SimSun" w:cs="Arial"/>
          <w:b/>
          <w:bCs/>
          <w:sz w:val="22"/>
          <w:szCs w:val="22"/>
        </w:rPr>
        <w:t>5.1.1.</w:t>
      </w:r>
      <w:r>
        <w:rPr>
          <w:rFonts w:ascii="Arial" w:hAnsi="Arial" w:eastAsia="SimSun" w:cs="Arial"/>
          <w:sz w:val="22"/>
          <w:szCs w:val="22"/>
        </w:rPr>
        <w:t xml:space="preserve"> Para o fornecimento dos bens pretendidos os eventuais interessados deverão comprovar que atuam em ramo de atividade compatível com o objeto da licitação, bem como apresentar os documentos de habilitação previstos no art. 62 e seguintes da Lei Federal nº 14.133/2021. </w:t>
      </w:r>
    </w:p>
    <w:p w14:paraId="7BB809D5">
      <w:pPr>
        <w:spacing w:line="360" w:lineRule="auto"/>
        <w:rPr>
          <w:rFonts w:ascii="Arial" w:hAnsi="Arial" w:eastAsia="SimSun" w:cs="Arial"/>
          <w:sz w:val="22"/>
          <w:szCs w:val="22"/>
        </w:rPr>
      </w:pPr>
      <w:r>
        <w:rPr>
          <w:rFonts w:ascii="Arial" w:hAnsi="Arial" w:eastAsia="SimSun" w:cs="Arial"/>
          <w:b/>
          <w:bCs/>
          <w:sz w:val="22"/>
          <w:szCs w:val="22"/>
        </w:rPr>
        <w:t xml:space="preserve">5.1.2. </w:t>
      </w:r>
      <w:r>
        <w:rPr>
          <w:rFonts w:ascii="Arial" w:hAnsi="Arial" w:eastAsia="SimSun" w:cs="Arial"/>
          <w:sz w:val="22"/>
          <w:szCs w:val="22"/>
        </w:rPr>
        <w:t>Além dos documentos básicos de habilitação supracitados no Termo de Referência, a</w:t>
      </w:r>
      <w:r>
        <w:rPr>
          <w:rFonts w:ascii="Arial" w:hAnsi="Arial" w:cs="Arial"/>
          <w:bCs/>
          <w:spacing w:val="-2"/>
          <w:sz w:val="22"/>
          <w:szCs w:val="22"/>
        </w:rPr>
        <w:t xml:space="preserve"> empresa vencedora contratada para o fornecimento do item </w:t>
      </w:r>
      <w:r>
        <w:rPr>
          <w:rFonts w:ascii="Arial" w:hAnsi="Arial" w:cs="Arial"/>
          <w:b/>
          <w:spacing w:val="-2"/>
          <w:sz w:val="22"/>
          <w:szCs w:val="22"/>
        </w:rPr>
        <w:t>oxigênio medicinal,</w:t>
      </w:r>
      <w:r>
        <w:rPr>
          <w:rFonts w:ascii="Arial" w:hAnsi="Arial" w:cs="Arial"/>
          <w:bCs/>
          <w:spacing w:val="-2"/>
          <w:sz w:val="22"/>
          <w:szCs w:val="22"/>
        </w:rPr>
        <w:t xml:space="preserve"> deverá seguir o Decreto nº 077/2024 - Protocolo de Oxigenoterapia Domiciliar Prolongada PODP, onde o fluxo de atendimento e a entrega do item acontecerá de forma </w:t>
      </w:r>
      <w:r>
        <w:rPr>
          <w:rFonts w:ascii="Arial" w:hAnsi="Arial" w:cs="Arial"/>
          <w:bCs/>
          <w:spacing w:val="-2"/>
          <w:sz w:val="22"/>
          <w:szCs w:val="22"/>
          <w:u w:val="single"/>
        </w:rPr>
        <w:t>EMERGENCIAL,</w:t>
      </w:r>
      <w:r>
        <w:rPr>
          <w:rFonts w:ascii="Arial" w:hAnsi="Arial" w:cs="Arial"/>
          <w:bCs/>
          <w:spacing w:val="-2"/>
          <w:sz w:val="22"/>
          <w:szCs w:val="22"/>
        </w:rPr>
        <w:t xml:space="preserve"> conforme:</w:t>
      </w:r>
    </w:p>
    <w:p w14:paraId="67BDD56F">
      <w:pPr>
        <w:spacing w:line="360" w:lineRule="auto"/>
        <w:rPr>
          <w:rFonts w:ascii="Arial" w:hAnsi="Arial" w:cs="Arial"/>
          <w:bCs/>
          <w:spacing w:val="-2"/>
          <w:sz w:val="22"/>
          <w:szCs w:val="22"/>
        </w:rPr>
      </w:pPr>
    </w:p>
    <w:p w14:paraId="5E5E3D8B">
      <w:pPr>
        <w:pStyle w:val="28"/>
        <w:spacing w:line="240" w:lineRule="auto"/>
        <w:ind w:left="3402" w:leftChars="1701"/>
        <w:rPr>
          <w:rFonts w:ascii="Arial" w:hAnsi="Arial" w:cs="Arial"/>
          <w:lang w:val="pt-BR"/>
        </w:rPr>
      </w:pPr>
      <w:r>
        <w:rPr>
          <w:rFonts w:ascii="Arial" w:hAnsi="Arial" w:cs="Arial"/>
          <w:b/>
          <w:bCs/>
          <w:lang w:val="pt-BR"/>
        </w:rPr>
        <w:t>c.)</w:t>
      </w:r>
      <w:r>
        <w:rPr>
          <w:rFonts w:ascii="Arial" w:hAnsi="Arial" w:cs="Arial"/>
          <w:lang w:val="pt-BR"/>
        </w:rPr>
        <w:t xml:space="preserve"> Toda documentação será conferida pelo farmacêutico responsável da unidade, tendo o prazo de até 24 (vinte quatro) horas para avaliação, de segunda à sexta-feira. Após esse período o paciente ou responsável deverá procurar a unidade para verificar aprovação. Em caso de recusa ou pendência de algum documento será comunicado via telefone. </w:t>
      </w:r>
    </w:p>
    <w:p w14:paraId="606BDF6D">
      <w:pPr>
        <w:pStyle w:val="28"/>
        <w:spacing w:line="240" w:lineRule="auto"/>
        <w:ind w:left="3402" w:leftChars="1701"/>
        <w:rPr>
          <w:rFonts w:ascii="Arial" w:hAnsi="Arial" w:cs="Arial"/>
          <w:lang w:val="pt-BR"/>
        </w:rPr>
      </w:pPr>
      <w:r>
        <w:rPr>
          <w:rFonts w:ascii="Arial" w:hAnsi="Arial" w:cs="Arial"/>
          <w:b/>
          <w:bCs/>
          <w:lang w:val="pt-BR"/>
        </w:rPr>
        <w:t>d.)</w:t>
      </w:r>
      <w:r>
        <w:rPr>
          <w:rFonts w:ascii="Arial" w:hAnsi="Arial" w:cs="Arial"/>
          <w:lang w:val="pt-BR"/>
        </w:rPr>
        <w:t xml:space="preserve"> Após a conferência e aprovação, o paciente é incluído ao protocolo de oxigenoterapia domiciliar prolongada, onde o farmacêutico responsável encaminhará a empresa fornecedora a guia de autorização para fornecimento (ANEXO V) através do e-mail disponibilizado pela mesma. Também sendo comunicado ao paciente/responsável. Os documentos serão arquivados na Farmácia Regional Jacarandás.</w:t>
      </w:r>
    </w:p>
    <w:p w14:paraId="256741F3">
      <w:pPr>
        <w:pStyle w:val="28"/>
        <w:spacing w:line="240" w:lineRule="auto"/>
        <w:ind w:left="3402" w:leftChars="1701"/>
        <w:rPr>
          <w:rFonts w:ascii="Arial" w:hAnsi="Arial" w:cs="Arial"/>
          <w:lang w:val="pt-BR"/>
        </w:rPr>
      </w:pPr>
      <w:r>
        <w:rPr>
          <w:rFonts w:ascii="Arial" w:hAnsi="Arial" w:cs="Arial"/>
          <w:b/>
          <w:bCs/>
          <w:lang w:val="pt-BR"/>
        </w:rPr>
        <w:t>e.)</w:t>
      </w:r>
      <w:r>
        <w:rPr>
          <w:rFonts w:ascii="Arial" w:hAnsi="Arial" w:cs="Arial"/>
          <w:lang w:val="pt-BR"/>
        </w:rPr>
        <w:t xml:space="preserve"> A empresa fornecedora entrará em contato com o paciente/responsável via telefone para agendamento da visita técnica de viabilidade operacional da fonte de oxigênio definida para o paciente e a estrutura residencial. Necessidades de adequações ficam por conta do paciente/responsável; </w:t>
      </w:r>
    </w:p>
    <w:p w14:paraId="0559C998">
      <w:pPr>
        <w:pStyle w:val="28"/>
        <w:spacing w:line="240" w:lineRule="auto"/>
        <w:ind w:left="3402" w:leftChars="1701"/>
        <w:rPr>
          <w:rFonts w:ascii="Arial" w:hAnsi="Arial" w:cs="Arial"/>
          <w:lang w:val="pt-BR"/>
        </w:rPr>
      </w:pPr>
      <w:r>
        <w:rPr>
          <w:rFonts w:ascii="Arial" w:hAnsi="Arial" w:cs="Arial"/>
          <w:b/>
          <w:bCs/>
          <w:lang w:val="pt-BR"/>
        </w:rPr>
        <w:t xml:space="preserve">f.) </w:t>
      </w:r>
      <w:r>
        <w:rPr>
          <w:rFonts w:ascii="Arial" w:hAnsi="Arial" w:cs="Arial"/>
          <w:lang w:val="pt-BR"/>
        </w:rPr>
        <w:t>A empresa valida a fonte de oxigênio indicada pelo médico, implementa os serviços e fornece orientações aos pacientes e familiares sobre a fonte de oxigênio e seu manuseio. A empresa deve arquivar o comprovante de treinamento realizado.</w:t>
      </w:r>
    </w:p>
    <w:p w14:paraId="6097762D">
      <w:pPr>
        <w:pStyle w:val="28"/>
        <w:spacing w:line="360" w:lineRule="auto"/>
        <w:ind w:left="2400" w:leftChars="1200"/>
        <w:rPr>
          <w:rFonts w:ascii="Arial" w:hAnsi="Arial" w:cs="Arial"/>
          <w:sz w:val="22"/>
          <w:szCs w:val="22"/>
          <w:lang w:val="pt-BR"/>
        </w:rPr>
      </w:pPr>
    </w:p>
    <w:p w14:paraId="2D9D91C3">
      <w:pPr>
        <w:spacing w:line="360" w:lineRule="auto"/>
        <w:rPr>
          <w:rFonts w:ascii="Arial" w:hAnsi="Arial" w:cs="Arial"/>
          <w:b/>
          <w:spacing w:val="-4"/>
          <w:sz w:val="22"/>
          <w:szCs w:val="22"/>
        </w:rPr>
      </w:pPr>
      <w:r>
        <w:rPr>
          <w:rFonts w:ascii="Arial" w:hAnsi="Arial" w:cs="Arial"/>
          <w:b/>
          <w:spacing w:val="-2"/>
          <w:sz w:val="22"/>
          <w:szCs w:val="22"/>
        </w:rPr>
        <w:t>5.1.3.</w:t>
      </w:r>
      <w:r>
        <w:rPr>
          <w:rFonts w:ascii="Arial" w:hAnsi="Arial" w:cs="Arial"/>
          <w:bCs/>
          <w:spacing w:val="-2"/>
          <w:sz w:val="22"/>
          <w:szCs w:val="22"/>
        </w:rPr>
        <w:t xml:space="preserve"> </w:t>
      </w:r>
      <w:r>
        <w:rPr>
          <w:rFonts w:ascii="Arial" w:hAnsi="Arial" w:cs="Arial"/>
          <w:b/>
          <w:sz w:val="22"/>
          <w:szCs w:val="22"/>
        </w:rPr>
        <w:t>DEPENDÊNCIA</w:t>
      </w:r>
      <w:r>
        <w:rPr>
          <w:rFonts w:ascii="Arial" w:hAnsi="Arial" w:cs="Arial"/>
          <w:b/>
          <w:spacing w:val="-2"/>
          <w:sz w:val="22"/>
          <w:szCs w:val="22"/>
        </w:rPr>
        <w:t xml:space="preserve"> </w:t>
      </w:r>
      <w:r>
        <w:rPr>
          <w:rFonts w:ascii="Arial" w:hAnsi="Arial" w:cs="Arial"/>
          <w:b/>
          <w:sz w:val="22"/>
          <w:szCs w:val="22"/>
        </w:rPr>
        <w:t>OU</w:t>
      </w:r>
      <w:r>
        <w:rPr>
          <w:rFonts w:ascii="Arial" w:hAnsi="Arial" w:cs="Arial"/>
          <w:b/>
          <w:spacing w:val="-1"/>
          <w:sz w:val="22"/>
          <w:szCs w:val="22"/>
        </w:rPr>
        <w:t xml:space="preserve"> </w:t>
      </w:r>
      <w:r>
        <w:rPr>
          <w:rFonts w:ascii="Arial" w:hAnsi="Arial" w:cs="Arial"/>
          <w:b/>
          <w:sz w:val="22"/>
          <w:szCs w:val="22"/>
        </w:rPr>
        <w:t>VINCULAÇÃO</w:t>
      </w:r>
      <w:r>
        <w:rPr>
          <w:rFonts w:ascii="Arial" w:hAnsi="Arial" w:cs="Arial"/>
          <w:b/>
          <w:spacing w:val="-2"/>
          <w:sz w:val="22"/>
          <w:szCs w:val="22"/>
        </w:rPr>
        <w:t xml:space="preserve"> </w:t>
      </w:r>
      <w:r>
        <w:rPr>
          <w:rFonts w:ascii="Arial" w:hAnsi="Arial" w:cs="Arial"/>
          <w:b/>
          <w:sz w:val="22"/>
          <w:szCs w:val="22"/>
        </w:rPr>
        <w:t>COM</w:t>
      </w:r>
      <w:r>
        <w:rPr>
          <w:rFonts w:ascii="Arial" w:hAnsi="Arial" w:cs="Arial"/>
          <w:b/>
          <w:spacing w:val="-1"/>
          <w:sz w:val="22"/>
          <w:szCs w:val="22"/>
        </w:rPr>
        <w:t xml:space="preserve"> </w:t>
      </w:r>
      <w:r>
        <w:rPr>
          <w:rFonts w:ascii="Arial" w:hAnsi="Arial" w:cs="Arial"/>
          <w:b/>
          <w:sz w:val="22"/>
          <w:szCs w:val="22"/>
        </w:rPr>
        <w:t>OUTRO</w:t>
      </w:r>
      <w:r>
        <w:rPr>
          <w:rFonts w:ascii="Arial" w:hAnsi="Arial" w:cs="Arial"/>
          <w:b/>
          <w:spacing w:val="-1"/>
          <w:sz w:val="22"/>
          <w:szCs w:val="22"/>
        </w:rPr>
        <w:t xml:space="preserve"> </w:t>
      </w:r>
      <w:r>
        <w:rPr>
          <w:rFonts w:ascii="Arial" w:hAnsi="Arial" w:cs="Arial"/>
          <w:b/>
          <w:spacing w:val="-4"/>
          <w:sz w:val="22"/>
          <w:szCs w:val="22"/>
        </w:rPr>
        <w:t xml:space="preserve">ITEM: </w:t>
      </w:r>
    </w:p>
    <w:p w14:paraId="10EDB185">
      <w:pPr>
        <w:spacing w:line="360" w:lineRule="auto"/>
        <w:rPr>
          <w:rFonts w:ascii="Arial" w:hAnsi="Arial" w:cs="Arial"/>
          <w:sz w:val="22"/>
          <w:szCs w:val="22"/>
        </w:rPr>
      </w:pPr>
      <w:r>
        <w:rPr>
          <w:rFonts w:ascii="Arial" w:hAnsi="Arial" w:cs="Arial"/>
          <w:b/>
          <w:sz w:val="22"/>
          <w:szCs w:val="22"/>
        </w:rPr>
        <w:t>5.1.3.1.</w:t>
      </w:r>
      <w:r>
        <w:rPr>
          <w:rFonts w:ascii="Arial" w:hAnsi="Arial" w:cs="Arial"/>
          <w:bCs/>
          <w:sz w:val="22"/>
          <w:szCs w:val="22"/>
        </w:rPr>
        <w:t xml:space="preserve"> </w:t>
      </w:r>
      <w:r>
        <w:rPr>
          <w:rFonts w:ascii="Arial" w:hAnsi="Arial" w:cs="Arial"/>
          <w:sz w:val="22"/>
          <w:szCs w:val="22"/>
        </w:rPr>
        <w:t>A contratação do fornecimento de oxigênio medicinal possui dependência direta com a infraestrutura e equipamentos existentes nas unidades de saúde da Secretaria Municipal de Saúde de Sinop/MT;</w:t>
      </w:r>
    </w:p>
    <w:p w14:paraId="5718BAEC">
      <w:pPr>
        <w:spacing w:line="360" w:lineRule="auto"/>
        <w:rPr>
          <w:rFonts w:ascii="Arial" w:hAnsi="Arial" w:cs="Arial"/>
          <w:b/>
          <w:bCs/>
          <w:sz w:val="22"/>
          <w:szCs w:val="22"/>
        </w:rPr>
      </w:pPr>
    </w:p>
    <w:p w14:paraId="09C00054">
      <w:pPr>
        <w:spacing w:line="360" w:lineRule="auto"/>
        <w:rPr>
          <w:rFonts w:ascii="Arial" w:hAnsi="Arial" w:cs="Arial"/>
          <w:sz w:val="22"/>
          <w:szCs w:val="22"/>
        </w:rPr>
      </w:pPr>
      <w:r>
        <w:rPr>
          <w:rFonts w:ascii="Arial" w:hAnsi="Arial" w:cs="Arial"/>
          <w:b/>
          <w:bCs/>
          <w:sz w:val="22"/>
          <w:szCs w:val="22"/>
        </w:rPr>
        <w:t>5.1.3.2.</w:t>
      </w:r>
      <w:r>
        <w:rPr>
          <w:rFonts w:ascii="Arial" w:hAnsi="Arial" w:cs="Arial"/>
          <w:sz w:val="22"/>
          <w:szCs w:val="22"/>
        </w:rPr>
        <w:t xml:space="preserve"> Dependência da disponibilidade e adequação dos cilindros e tanques de armazenamento de oxigênio medicinal, que devem atender às normas técnicas e de segurança vigentes. A empresa fornecedora deve assegurar a integridade e segurança desses recipientes;</w:t>
      </w:r>
    </w:p>
    <w:p w14:paraId="25D95528">
      <w:pPr>
        <w:spacing w:line="360" w:lineRule="auto"/>
        <w:rPr>
          <w:rFonts w:ascii="Arial" w:hAnsi="Arial" w:cs="Arial"/>
          <w:sz w:val="22"/>
          <w:szCs w:val="22"/>
        </w:rPr>
      </w:pPr>
      <w:r>
        <w:rPr>
          <w:rFonts w:ascii="Arial" w:hAnsi="Arial" w:cs="Arial"/>
          <w:b/>
          <w:bCs/>
          <w:sz w:val="22"/>
          <w:szCs w:val="22"/>
        </w:rPr>
        <w:t>5.1.3.3.</w:t>
      </w:r>
      <w:r>
        <w:rPr>
          <w:rFonts w:ascii="Arial" w:hAnsi="Arial" w:cs="Arial"/>
          <w:sz w:val="22"/>
          <w:szCs w:val="22"/>
        </w:rPr>
        <w:t xml:space="preserve"> A adequada formação e treinamento dos profissionais de saúde para a correta administração do oxigênio medicinal e operação dos equipamentos de suporte respiratório. A eficácia do tratamento depende do uso correto do oxigênio pelos profissionais capacitados;</w:t>
      </w:r>
    </w:p>
    <w:p w14:paraId="1DA4B3AE">
      <w:pPr>
        <w:spacing w:line="360" w:lineRule="auto"/>
        <w:rPr>
          <w:rFonts w:ascii="Arial" w:hAnsi="Arial" w:cs="Arial"/>
          <w:sz w:val="22"/>
          <w:szCs w:val="22"/>
        </w:rPr>
      </w:pPr>
      <w:r>
        <w:rPr>
          <w:rFonts w:ascii="Arial" w:hAnsi="Arial" w:cs="Arial"/>
          <w:b/>
          <w:bCs/>
          <w:sz w:val="22"/>
          <w:szCs w:val="22"/>
        </w:rPr>
        <w:t xml:space="preserve">5.1.3.4. </w:t>
      </w:r>
      <w:r>
        <w:rPr>
          <w:rFonts w:ascii="Arial" w:hAnsi="Arial" w:cs="Arial"/>
          <w:sz w:val="22"/>
          <w:szCs w:val="22"/>
        </w:rPr>
        <w:t>Vinculação com contratos de manutenção preventiva e corretiva dos equipamentos e sistemas de distribuição de oxigênio medicinal. A regularidade dessas manutenções é crucial para evitar falhas e garantir a continuidade do fornecimento de oxigênio;</w:t>
      </w:r>
    </w:p>
    <w:p w14:paraId="528DCD03">
      <w:pPr>
        <w:spacing w:line="360" w:lineRule="auto"/>
        <w:rPr>
          <w:rFonts w:ascii="Arial" w:hAnsi="Arial" w:cs="Arial"/>
          <w:sz w:val="22"/>
          <w:szCs w:val="22"/>
        </w:rPr>
      </w:pPr>
      <w:r>
        <w:rPr>
          <w:rFonts w:ascii="Arial" w:hAnsi="Arial" w:cs="Arial"/>
          <w:b/>
          <w:bCs/>
          <w:sz w:val="22"/>
          <w:szCs w:val="22"/>
        </w:rPr>
        <w:t>5.1.3.5</w:t>
      </w:r>
      <w:r>
        <w:rPr>
          <w:rFonts w:ascii="Arial" w:hAnsi="Arial" w:cs="Arial"/>
          <w:sz w:val="22"/>
          <w:szCs w:val="22"/>
        </w:rPr>
        <w:t>. Portanto, a contratação do fornecimento de oxigênio medicinal deve considerar a interdependência com os itens mencionados, assegurando que todos os componentes necessários para a utilização eficaz do oxigênio estejam em conformidade e operacionais. A integração desses elementos é fundamental para a prestação de um serviço de saúde de qualidade e para a segurança dos pacientes.</w:t>
      </w:r>
    </w:p>
    <w:p w14:paraId="1A2362B5">
      <w:pPr>
        <w:spacing w:line="360" w:lineRule="auto"/>
        <w:rPr>
          <w:rFonts w:ascii="Arial" w:hAnsi="Arial" w:cs="Arial"/>
          <w:sz w:val="22"/>
          <w:szCs w:val="22"/>
        </w:rPr>
      </w:pPr>
    </w:p>
    <w:p w14:paraId="24FECBC6">
      <w:pPr>
        <w:pStyle w:val="28"/>
        <w:spacing w:line="360" w:lineRule="auto"/>
        <w:rPr>
          <w:rFonts w:ascii="Arial" w:hAnsi="Arial" w:cs="Arial"/>
          <w:b/>
          <w:spacing w:val="-2"/>
          <w:sz w:val="22"/>
          <w:szCs w:val="22"/>
          <w:lang w:val="pt-BR"/>
        </w:rPr>
      </w:pPr>
      <w:r>
        <w:rPr>
          <w:rFonts w:ascii="Arial" w:hAnsi="Arial" w:cs="Arial"/>
          <w:b/>
          <w:sz w:val="22"/>
          <w:szCs w:val="22"/>
          <w:lang w:val="pt-BR"/>
        </w:rPr>
        <w:t xml:space="preserve">5.2. Garantia </w:t>
      </w:r>
      <w:r>
        <w:rPr>
          <w:rFonts w:ascii="Arial" w:hAnsi="Arial" w:cs="Arial"/>
          <w:b/>
          <w:spacing w:val="-2"/>
          <w:sz w:val="22"/>
          <w:szCs w:val="22"/>
          <w:lang w:val="pt-BR"/>
        </w:rPr>
        <w:t>Contratual:</w:t>
      </w:r>
    </w:p>
    <w:p w14:paraId="262B3483">
      <w:pPr>
        <w:autoSpaceDE w:val="0"/>
        <w:autoSpaceDN w:val="0"/>
        <w:adjustRightInd/>
        <w:spacing w:line="360" w:lineRule="auto"/>
        <w:textAlignment w:val="auto"/>
        <w:rPr>
          <w:rFonts w:ascii="Arial" w:hAnsi="Arial" w:cs="Arial"/>
          <w:sz w:val="22"/>
          <w:szCs w:val="22"/>
        </w:rPr>
      </w:pPr>
      <w:r>
        <w:rPr>
          <w:rFonts w:ascii="Arial" w:hAnsi="Arial" w:cs="Arial"/>
          <w:b/>
          <w:bCs/>
          <w:sz w:val="22"/>
          <w:szCs w:val="22"/>
        </w:rPr>
        <w:t>5.2.1</w:t>
      </w:r>
      <w:r>
        <w:rPr>
          <w:rFonts w:ascii="Arial" w:hAnsi="Arial" w:cs="Arial"/>
          <w:sz w:val="22"/>
          <w:szCs w:val="22"/>
        </w:rPr>
        <w:t xml:space="preserve">. </w:t>
      </w:r>
      <w:r>
        <w:rPr>
          <w:rFonts w:ascii="Arial" w:hAnsi="Arial" w:cs="Arial"/>
          <w:color w:val="000000" w:themeColor="text1"/>
          <w:sz w:val="22"/>
          <w:szCs w:val="22"/>
          <w:shd w:val="clear" w:color="auto" w:fill="FFFFFF"/>
          <w14:textFill>
            <w14:solidFill>
              <w14:schemeClr w14:val="tx1"/>
            </w14:solidFill>
          </w14:textFill>
        </w:rPr>
        <w:t>Não será exigido garantia contratual, sobretudo por ser prestação de serviço e/ou entrega imediata. Todavia, é importante ressaltar que o descumprimento ou atraso nas exigências estabelecidas no edital acarretará sanções administrativas. Essas medidas punitivas estão claramente delineadas no regulamento municipal, Decreto 360/2023 e na Lei de Licitação 14.133/2021. Portanto, é imperativo observar com rigor todas as condições do edital para evitar possíveis penalidades, conforme previsto na legislação aplicável</w:t>
      </w:r>
      <w:r>
        <w:rPr>
          <w:rFonts w:ascii="Arial" w:hAnsi="Arial" w:cs="Arial"/>
          <w:sz w:val="22"/>
          <w:szCs w:val="22"/>
        </w:rPr>
        <w:t>.</w:t>
      </w:r>
    </w:p>
    <w:p w14:paraId="071D6FDF">
      <w:pPr>
        <w:autoSpaceDE w:val="0"/>
        <w:autoSpaceDN w:val="0"/>
        <w:adjustRightInd/>
        <w:spacing w:line="360" w:lineRule="auto"/>
        <w:textAlignment w:val="auto"/>
        <w:rPr>
          <w:rFonts w:ascii="Arial" w:hAnsi="Arial" w:cs="Arial"/>
          <w:sz w:val="22"/>
          <w:szCs w:val="22"/>
        </w:rPr>
      </w:pPr>
    </w:p>
    <w:p w14:paraId="628A4F9E">
      <w:pPr>
        <w:widowControl/>
        <w:spacing w:line="360" w:lineRule="auto"/>
        <w:rPr>
          <w:rFonts w:ascii="Arial" w:hAnsi="Arial" w:cs="Arial"/>
          <w:b/>
          <w:spacing w:val="-2"/>
          <w:sz w:val="22"/>
          <w:szCs w:val="22"/>
        </w:rPr>
      </w:pPr>
      <w:r>
        <w:rPr>
          <w:rFonts w:ascii="Arial" w:hAnsi="Arial" w:cs="Arial"/>
          <w:b/>
          <w:sz w:val="22"/>
          <w:szCs w:val="22"/>
        </w:rPr>
        <w:t>5.3.</w:t>
      </w:r>
      <w:r>
        <w:rPr>
          <w:rFonts w:ascii="Arial" w:hAnsi="Arial" w:cs="Arial"/>
          <w:b/>
          <w:spacing w:val="-1"/>
          <w:sz w:val="22"/>
          <w:szCs w:val="22"/>
        </w:rPr>
        <w:t xml:space="preserve"> </w:t>
      </w:r>
      <w:r>
        <w:rPr>
          <w:rFonts w:ascii="Arial" w:hAnsi="Arial" w:cs="Arial"/>
          <w:b/>
          <w:bCs/>
          <w:sz w:val="22"/>
          <w:szCs w:val="22"/>
        </w:rPr>
        <w:t>Duração</w:t>
      </w:r>
      <w:r>
        <w:rPr>
          <w:rFonts w:ascii="Arial" w:hAnsi="Arial" w:cs="Arial"/>
          <w:b/>
          <w:bCs/>
          <w:spacing w:val="-12"/>
          <w:sz w:val="22"/>
          <w:szCs w:val="22"/>
        </w:rPr>
        <w:t xml:space="preserve"> </w:t>
      </w:r>
      <w:r>
        <w:rPr>
          <w:rFonts w:ascii="Arial" w:hAnsi="Arial" w:cs="Arial"/>
          <w:b/>
          <w:bCs/>
          <w:sz w:val="22"/>
          <w:szCs w:val="22"/>
        </w:rPr>
        <w:t>Duração</w:t>
      </w:r>
      <w:r>
        <w:rPr>
          <w:rFonts w:ascii="Arial" w:hAnsi="Arial" w:cs="Arial"/>
          <w:b/>
          <w:bCs/>
          <w:spacing w:val="-1"/>
          <w:sz w:val="22"/>
          <w:szCs w:val="22"/>
        </w:rPr>
        <w:t xml:space="preserve"> </w:t>
      </w:r>
      <w:r>
        <w:rPr>
          <w:rFonts w:ascii="Arial" w:hAnsi="Arial" w:cs="Arial"/>
          <w:b/>
          <w:bCs/>
          <w:sz w:val="22"/>
          <w:szCs w:val="22"/>
        </w:rPr>
        <w:t>da Ata de Registro/Contrato</w:t>
      </w:r>
      <w:r>
        <w:rPr>
          <w:rFonts w:ascii="Arial" w:hAnsi="Arial" w:cs="Arial"/>
          <w:b/>
          <w:spacing w:val="-2"/>
          <w:sz w:val="22"/>
          <w:szCs w:val="22"/>
        </w:rPr>
        <w:t xml:space="preserve">: </w:t>
      </w:r>
    </w:p>
    <w:p w14:paraId="39D76C8D">
      <w:pPr>
        <w:spacing w:line="360" w:lineRule="auto"/>
        <w:rPr>
          <w:rFonts w:ascii="Arial" w:hAnsi="Arial" w:cs="Arial"/>
          <w:b/>
          <w:color w:val="000000" w:themeColor="text1"/>
          <w:sz w:val="22"/>
          <w:szCs w:val="22"/>
          <w:lang w:eastAsia="en-US"/>
          <w14:textFill>
            <w14:solidFill>
              <w14:schemeClr w14:val="tx1"/>
            </w14:solidFill>
          </w14:textFill>
        </w:rPr>
      </w:pPr>
      <w:r>
        <w:rPr>
          <w:rFonts w:ascii="Arial" w:hAnsi="Arial" w:cs="Arial"/>
          <w:b/>
          <w:sz w:val="22"/>
          <w:szCs w:val="22"/>
        </w:rPr>
        <w:t>5.3.1.</w:t>
      </w:r>
      <w:r>
        <w:rPr>
          <w:rFonts w:ascii="Arial" w:hAnsi="Arial" w:cs="Arial"/>
          <w:b/>
        </w:rPr>
        <w:t xml:space="preserve"> </w:t>
      </w:r>
      <w:r>
        <w:rPr>
          <w:rFonts w:ascii="Arial" w:hAnsi="Arial" w:cs="Arial"/>
          <w:sz w:val="22"/>
          <w:szCs w:val="22"/>
        </w:rPr>
        <w:t>Conforme o Art. 84 da lei 14.133/2021, o prazo de vigência da ata de registro de preços será de 1 (um) ano e poderá ser prorrogado, por igual período, desde que comprovado o preço vantajoso.</w:t>
      </w:r>
    </w:p>
    <w:p w14:paraId="49E0CD6C">
      <w:pPr>
        <w:spacing w:line="360" w:lineRule="auto"/>
        <w:rPr>
          <w:rFonts w:ascii="Arial" w:hAnsi="Arial" w:cs="Arial"/>
          <w:bCs/>
          <w:color w:val="000000" w:themeColor="text1"/>
          <w:sz w:val="22"/>
          <w:szCs w:val="22"/>
          <w:lang w:eastAsia="en-US"/>
          <w14:textFill>
            <w14:solidFill>
              <w14:schemeClr w14:val="tx1"/>
            </w14:solidFill>
          </w14:textFill>
        </w:rPr>
      </w:pPr>
      <w:r>
        <w:rPr>
          <w:rFonts w:ascii="Arial" w:hAnsi="Arial" w:cs="Arial"/>
          <w:b/>
          <w:color w:val="000000" w:themeColor="text1"/>
          <w:sz w:val="22"/>
          <w:szCs w:val="22"/>
          <w:lang w:eastAsia="en-US"/>
          <w14:textFill>
            <w14:solidFill>
              <w14:schemeClr w14:val="tx1"/>
            </w14:solidFill>
          </w14:textFill>
        </w:rPr>
        <w:t>Parágrafo único.</w:t>
      </w:r>
      <w:r>
        <w:rPr>
          <w:rFonts w:ascii="Arial" w:hAnsi="Arial" w:cs="Arial"/>
          <w:bCs/>
          <w:color w:val="000000" w:themeColor="text1"/>
          <w:sz w:val="22"/>
          <w:szCs w:val="22"/>
          <w:lang w:eastAsia="en-US"/>
          <w14:textFill>
            <w14:solidFill>
              <w14:schemeClr w14:val="tx1"/>
            </w14:solidFill>
          </w14:textFill>
        </w:rPr>
        <w:t xml:space="preserve"> O contrato decorrente da ata de registro de preços terá sua vigência estabelecida em conformidade com as disposições nela contidas.</w:t>
      </w:r>
    </w:p>
    <w:p w14:paraId="5035720A">
      <w:pPr>
        <w:spacing w:line="360" w:lineRule="auto"/>
        <w:rPr>
          <w:rFonts w:ascii="Arial" w:hAnsi="Arial" w:cs="Arial"/>
          <w:bCs/>
          <w:color w:val="000000" w:themeColor="text1"/>
          <w:sz w:val="22"/>
          <w:szCs w:val="22"/>
          <w:lang w:eastAsia="en-US"/>
          <w14:textFill>
            <w14:solidFill>
              <w14:schemeClr w14:val="tx1"/>
            </w14:solidFill>
          </w14:textFill>
        </w:rPr>
      </w:pPr>
      <w:r>
        <w:rPr>
          <w:rFonts w:ascii="Arial" w:hAnsi="Arial" w:cs="Arial"/>
          <w:bCs/>
          <w:color w:val="000000" w:themeColor="text1"/>
          <w:sz w:val="22"/>
          <w:szCs w:val="22"/>
          <w:lang w:eastAsia="en-US"/>
          <w14:textFill>
            <w14:solidFill>
              <w14:schemeClr w14:val="tx1"/>
            </w14:solidFill>
          </w14:textFill>
        </w:rPr>
        <w:t>Com efeito, a duração da ata das aquisições ora pleiteadas será de 1 (um) ano, podendo ser prorrogado conforme a lei.</w:t>
      </w:r>
    </w:p>
    <w:p w14:paraId="51F6694F">
      <w:pPr>
        <w:autoSpaceDE w:val="0"/>
        <w:autoSpaceDN w:val="0"/>
        <w:adjustRightInd/>
        <w:spacing w:line="360" w:lineRule="auto"/>
        <w:textAlignment w:val="auto"/>
        <w:rPr>
          <w:rFonts w:ascii="Arial" w:hAnsi="Arial" w:cs="Arial"/>
          <w:color w:val="000000" w:themeColor="text1"/>
          <w:sz w:val="22"/>
          <w:szCs w:val="22"/>
          <w14:textFill>
            <w14:solidFill>
              <w14:schemeClr w14:val="tx1"/>
            </w14:solidFill>
          </w14:textFill>
        </w:rPr>
      </w:pPr>
      <w:r>
        <w:rPr>
          <w:rFonts w:ascii="Arial" w:hAnsi="Arial" w:cs="Arial"/>
          <w:bCs/>
          <w:color w:val="000000" w:themeColor="text1"/>
          <w:sz w:val="22"/>
          <w:szCs w:val="22"/>
          <w:lang w:eastAsia="en-US"/>
          <w14:textFill>
            <w14:solidFill>
              <w14:schemeClr w14:val="tx1"/>
            </w14:solidFill>
          </w14:textFill>
        </w:rPr>
        <w:t>Ainda, a contratação em questão será enquadrada com base no art. 105 da Lei 14.133/2021, por se tratar de aquisição de materiais de fornecimento não-continuado</w:t>
      </w:r>
      <w:r>
        <w:rPr>
          <w:rFonts w:ascii="Arial" w:hAnsi="Arial" w:cs="Arial"/>
          <w:color w:val="000000" w:themeColor="text1"/>
          <w:sz w:val="22"/>
          <w:szCs w:val="22"/>
          <w14:textFill>
            <w14:solidFill>
              <w14:schemeClr w14:val="tx1"/>
            </w14:solidFill>
          </w14:textFill>
        </w:rPr>
        <w:t xml:space="preserve">. </w:t>
      </w:r>
    </w:p>
    <w:p w14:paraId="7532EE1D">
      <w:pPr>
        <w:pStyle w:val="11"/>
        <w:widowControl/>
        <w:spacing w:beforeAutospacing="0" w:afterAutospacing="0" w:line="360" w:lineRule="auto"/>
        <w:jc w:val="both"/>
        <w:rPr>
          <w:rFonts w:ascii="Arial" w:hAnsi="Arial" w:cs="Arial"/>
          <w:sz w:val="22"/>
          <w:szCs w:val="22"/>
          <w:lang w:val="pt-BR"/>
        </w:rPr>
      </w:pPr>
      <w:r>
        <w:rPr>
          <w:rStyle w:val="6"/>
          <w:rFonts w:ascii="Arial" w:hAnsi="Arial" w:cs="Arial"/>
          <w:sz w:val="22"/>
          <w:szCs w:val="22"/>
          <w:lang w:val="pt-BR"/>
        </w:rPr>
        <w:t>5.3.2.</w:t>
      </w:r>
      <w:r>
        <w:rPr>
          <w:rStyle w:val="6"/>
          <w:rFonts w:ascii="Arial" w:hAnsi="Arial" w:cs="Arial"/>
          <w:b w:val="0"/>
          <w:bCs w:val="0"/>
          <w:sz w:val="22"/>
          <w:szCs w:val="22"/>
          <w:lang w:val="pt-BR"/>
        </w:rPr>
        <w:t xml:space="preserve"> </w:t>
      </w:r>
      <w:r>
        <w:rPr>
          <w:rStyle w:val="6"/>
          <w:rFonts w:ascii="Arial" w:hAnsi="Arial" w:cs="Arial"/>
          <w:sz w:val="22"/>
          <w:szCs w:val="22"/>
          <w:lang w:val="pt-BR"/>
        </w:rPr>
        <w:t>O enquadramento como objeto contínuo ou não contínuo:</w:t>
      </w:r>
      <w:r>
        <w:rPr>
          <w:rFonts w:ascii="Arial" w:hAnsi="Arial" w:cs="Arial"/>
          <w:sz w:val="22"/>
          <w:szCs w:val="22"/>
          <w:lang w:val="pt-BR"/>
        </w:rPr>
        <w:t xml:space="preserve"> A presente contratação refere-se exclusivamente à </w:t>
      </w:r>
      <w:r>
        <w:rPr>
          <w:rStyle w:val="6"/>
          <w:rFonts w:ascii="Arial" w:hAnsi="Arial" w:cs="Arial"/>
          <w:b w:val="0"/>
          <w:bCs w:val="0"/>
          <w:sz w:val="22"/>
          <w:szCs w:val="22"/>
          <w:lang w:val="pt-BR"/>
        </w:rPr>
        <w:t>aquisição de produtos</w:t>
      </w:r>
      <w:r>
        <w:rPr>
          <w:rFonts w:ascii="Arial" w:hAnsi="Arial" w:cs="Arial"/>
          <w:sz w:val="22"/>
          <w:szCs w:val="22"/>
          <w:lang w:val="pt-BR"/>
        </w:rPr>
        <w:t xml:space="preserve">, sem vinculação à prestação de serviços, motivo pelo qual </w:t>
      </w:r>
      <w:r>
        <w:rPr>
          <w:rStyle w:val="6"/>
          <w:rFonts w:ascii="Arial" w:hAnsi="Arial" w:cs="Arial"/>
          <w:b w:val="0"/>
          <w:bCs w:val="0"/>
          <w:sz w:val="22"/>
          <w:szCs w:val="22"/>
          <w:lang w:val="pt-BR"/>
        </w:rPr>
        <w:t>não se enquadra como objeto de natureza contínua</w:t>
      </w:r>
      <w:r>
        <w:rPr>
          <w:rFonts w:ascii="Arial" w:hAnsi="Arial" w:cs="Arial"/>
          <w:sz w:val="22"/>
          <w:szCs w:val="22"/>
          <w:lang w:val="pt-BR"/>
        </w:rPr>
        <w:t xml:space="preserve">, nos termos do artigo 107 da Lei nº 14.133/2021. Ressalta-se, contudo, que, embora não haja obrigatoriedade de continuidade contratual, trata-se de item de </w:t>
      </w:r>
      <w:r>
        <w:rPr>
          <w:rStyle w:val="6"/>
          <w:rFonts w:ascii="Arial" w:hAnsi="Arial" w:cs="Arial"/>
          <w:b w:val="0"/>
          <w:bCs w:val="0"/>
          <w:sz w:val="22"/>
          <w:szCs w:val="22"/>
          <w:lang w:val="pt-BR"/>
        </w:rPr>
        <w:t>extrema relevância para o regular funcionamento das atividades públicas essenciais</w:t>
      </w:r>
      <w:r>
        <w:rPr>
          <w:rFonts w:ascii="Arial" w:hAnsi="Arial" w:cs="Arial"/>
          <w:sz w:val="22"/>
          <w:szCs w:val="22"/>
          <w:lang w:val="pt-BR"/>
        </w:rPr>
        <w:t xml:space="preserve">, especialmente no âmbito da </w:t>
      </w:r>
      <w:r>
        <w:rPr>
          <w:rStyle w:val="6"/>
          <w:rFonts w:ascii="Arial" w:hAnsi="Arial" w:cs="Arial"/>
          <w:b w:val="0"/>
          <w:bCs w:val="0"/>
          <w:sz w:val="22"/>
          <w:szCs w:val="22"/>
          <w:lang w:val="pt-BR"/>
        </w:rPr>
        <w:t>saúde pública</w:t>
      </w:r>
      <w:r>
        <w:rPr>
          <w:rFonts w:ascii="Arial" w:hAnsi="Arial" w:cs="Arial"/>
          <w:sz w:val="22"/>
          <w:szCs w:val="22"/>
          <w:lang w:val="pt-BR"/>
        </w:rPr>
        <w:t xml:space="preserve">, como é o caso do fornecimento de oxigênio medicinal e gases industriais utilizados em procedimentos hospitalares e em unidades de pronto atendimento, bem como na </w:t>
      </w:r>
      <w:r>
        <w:rPr>
          <w:rStyle w:val="6"/>
          <w:rFonts w:ascii="Arial" w:hAnsi="Arial" w:cs="Arial"/>
          <w:b w:val="0"/>
          <w:bCs w:val="0"/>
          <w:sz w:val="22"/>
          <w:szCs w:val="22"/>
          <w:lang w:val="pt-BR"/>
        </w:rPr>
        <w:t>manutenção de veículos e máquinas pesadas vinculadas à área de obras</w:t>
      </w:r>
      <w:r>
        <w:rPr>
          <w:rFonts w:ascii="Arial" w:hAnsi="Arial" w:cs="Arial"/>
          <w:sz w:val="22"/>
          <w:szCs w:val="22"/>
          <w:lang w:val="pt-BR"/>
        </w:rPr>
        <w:t>. A indisponibilidade desses insumos pode comprometer gravemente o atendimento à população e a execução de políticas públicas básicas.</w:t>
      </w:r>
    </w:p>
    <w:p w14:paraId="3DE5B663">
      <w:pPr>
        <w:pStyle w:val="11"/>
        <w:widowControl/>
        <w:spacing w:beforeAutospacing="0" w:afterAutospacing="0" w:line="360" w:lineRule="auto"/>
        <w:ind w:firstLine="708"/>
        <w:jc w:val="both"/>
        <w:rPr>
          <w:rFonts w:ascii="Arial" w:hAnsi="Arial" w:cs="Arial"/>
          <w:sz w:val="22"/>
          <w:szCs w:val="22"/>
          <w:lang w:val="pt-BR"/>
        </w:rPr>
      </w:pPr>
      <w:r>
        <w:rPr>
          <w:rFonts w:ascii="Arial" w:hAnsi="Arial" w:cs="Arial"/>
          <w:sz w:val="22"/>
          <w:szCs w:val="22"/>
          <w:lang w:val="pt-BR"/>
        </w:rPr>
        <w:t xml:space="preserve">Ademais, é importante ressaltar que o descumprimento ou atraso nas exigências estabelecidas no edital acarretará </w:t>
      </w:r>
      <w:r>
        <w:rPr>
          <w:rStyle w:val="6"/>
          <w:rFonts w:ascii="Arial" w:hAnsi="Arial" w:cs="Arial"/>
          <w:b w:val="0"/>
          <w:bCs w:val="0"/>
          <w:sz w:val="22"/>
          <w:szCs w:val="22"/>
          <w:lang w:val="pt-BR"/>
        </w:rPr>
        <w:t>sanções administrativas</w:t>
      </w:r>
      <w:r>
        <w:rPr>
          <w:rFonts w:ascii="Arial" w:hAnsi="Arial" w:cs="Arial"/>
          <w:sz w:val="22"/>
          <w:szCs w:val="22"/>
          <w:lang w:val="pt-BR"/>
        </w:rPr>
        <w:t xml:space="preserve">, conforme previsto no </w:t>
      </w:r>
      <w:r>
        <w:rPr>
          <w:rStyle w:val="6"/>
          <w:rFonts w:ascii="Arial" w:hAnsi="Arial" w:cs="Arial"/>
          <w:b w:val="0"/>
          <w:bCs w:val="0"/>
          <w:sz w:val="22"/>
          <w:szCs w:val="22"/>
          <w:lang w:val="pt-BR"/>
        </w:rPr>
        <w:t>Decreto Municipal nº 360/2023</w:t>
      </w:r>
      <w:r>
        <w:rPr>
          <w:rFonts w:ascii="Arial" w:hAnsi="Arial" w:cs="Arial"/>
          <w:sz w:val="22"/>
          <w:szCs w:val="22"/>
          <w:lang w:val="pt-BR"/>
        </w:rPr>
        <w:t xml:space="preserve"> e na </w:t>
      </w:r>
      <w:r>
        <w:rPr>
          <w:rStyle w:val="6"/>
          <w:rFonts w:ascii="Arial" w:hAnsi="Arial" w:cs="Arial"/>
          <w:b w:val="0"/>
          <w:bCs w:val="0"/>
          <w:sz w:val="22"/>
          <w:szCs w:val="22"/>
          <w:lang w:val="pt-BR"/>
        </w:rPr>
        <w:t>Lei nº 14.133/2021</w:t>
      </w:r>
      <w:r>
        <w:rPr>
          <w:rFonts w:ascii="Arial" w:hAnsi="Arial" w:cs="Arial"/>
          <w:sz w:val="22"/>
          <w:szCs w:val="22"/>
          <w:lang w:val="pt-BR"/>
        </w:rPr>
        <w:t>. Portanto, é imperativo que todos os licitantes observem com rigor as condições estabelecidas no edital, sob pena de aplicação das penalidades cabíveis.</w:t>
      </w:r>
    </w:p>
    <w:p w14:paraId="6AC7C693">
      <w:pPr>
        <w:pStyle w:val="9"/>
        <w:spacing w:line="240" w:lineRule="auto"/>
        <w:rPr>
          <w:rFonts w:eastAsia="SimSun"/>
        </w:rPr>
      </w:pPr>
    </w:p>
    <w:p w14:paraId="3092C484">
      <w:pPr>
        <w:autoSpaceDE w:val="0"/>
        <w:autoSpaceDN w:val="0"/>
        <w:adjustRightInd/>
        <w:spacing w:line="360" w:lineRule="auto"/>
        <w:textAlignment w:val="auto"/>
        <w:rPr>
          <w:rFonts w:ascii="Arial" w:hAnsi="Arial" w:cs="Arial"/>
          <w:b/>
          <w:spacing w:val="-4"/>
          <w:sz w:val="22"/>
          <w:szCs w:val="22"/>
        </w:rPr>
      </w:pPr>
      <w:r>
        <w:rPr>
          <w:rFonts w:ascii="Arial" w:hAnsi="Arial" w:cs="Arial"/>
          <w:b/>
          <w:sz w:val="22"/>
          <w:szCs w:val="22"/>
        </w:rPr>
        <w:t>5.4.</w:t>
      </w:r>
      <w:r>
        <w:rPr>
          <w:rFonts w:ascii="Arial" w:hAnsi="Arial" w:cs="Arial"/>
          <w:b/>
          <w:spacing w:val="-1"/>
          <w:sz w:val="22"/>
          <w:szCs w:val="22"/>
        </w:rPr>
        <w:t xml:space="preserve"> </w:t>
      </w:r>
      <w:r>
        <w:rPr>
          <w:rFonts w:ascii="Arial" w:hAnsi="Arial" w:cs="Arial"/>
          <w:b/>
          <w:sz w:val="22"/>
          <w:szCs w:val="22"/>
        </w:rPr>
        <w:t>Cota</w:t>
      </w:r>
      <w:r>
        <w:rPr>
          <w:rFonts w:ascii="Arial" w:hAnsi="Arial" w:cs="Arial"/>
          <w:b/>
          <w:spacing w:val="-1"/>
          <w:sz w:val="22"/>
          <w:szCs w:val="22"/>
        </w:rPr>
        <w:t xml:space="preserve"> </w:t>
      </w:r>
      <w:r>
        <w:rPr>
          <w:rFonts w:ascii="Arial" w:hAnsi="Arial" w:cs="Arial"/>
          <w:b/>
          <w:sz w:val="22"/>
          <w:szCs w:val="22"/>
        </w:rPr>
        <w:t>exclusiva</w:t>
      </w:r>
      <w:r>
        <w:rPr>
          <w:rFonts w:ascii="Arial" w:hAnsi="Arial" w:cs="Arial"/>
          <w:b/>
          <w:spacing w:val="-1"/>
          <w:sz w:val="22"/>
          <w:szCs w:val="22"/>
        </w:rPr>
        <w:t xml:space="preserve"> </w:t>
      </w:r>
      <w:r>
        <w:rPr>
          <w:rFonts w:ascii="Arial" w:hAnsi="Arial" w:cs="Arial"/>
          <w:b/>
          <w:sz w:val="22"/>
          <w:szCs w:val="22"/>
        </w:rPr>
        <w:t>/Parcelamento</w:t>
      </w:r>
      <w:r>
        <w:rPr>
          <w:rFonts w:ascii="Arial" w:hAnsi="Arial" w:cs="Arial"/>
          <w:b/>
          <w:spacing w:val="-1"/>
          <w:sz w:val="22"/>
          <w:szCs w:val="22"/>
        </w:rPr>
        <w:t xml:space="preserve"> </w:t>
      </w:r>
      <w:r>
        <w:rPr>
          <w:rFonts w:ascii="Arial" w:hAnsi="Arial" w:cs="Arial"/>
          <w:b/>
          <w:sz w:val="22"/>
          <w:szCs w:val="22"/>
        </w:rPr>
        <w:t>para</w:t>
      </w:r>
      <w:r>
        <w:rPr>
          <w:rFonts w:ascii="Arial" w:hAnsi="Arial" w:cs="Arial"/>
          <w:b/>
          <w:spacing w:val="-2"/>
          <w:sz w:val="22"/>
          <w:szCs w:val="22"/>
        </w:rPr>
        <w:t xml:space="preserve"> </w:t>
      </w:r>
      <w:r>
        <w:rPr>
          <w:rFonts w:ascii="Arial" w:hAnsi="Arial" w:cs="Arial"/>
          <w:b/>
          <w:sz w:val="22"/>
          <w:szCs w:val="22"/>
        </w:rPr>
        <w:t>ME</w:t>
      </w:r>
      <w:r>
        <w:rPr>
          <w:rFonts w:ascii="Arial" w:hAnsi="Arial" w:cs="Arial"/>
          <w:b/>
          <w:spacing w:val="-1"/>
          <w:sz w:val="22"/>
          <w:szCs w:val="22"/>
        </w:rPr>
        <w:t xml:space="preserve"> </w:t>
      </w:r>
      <w:r>
        <w:rPr>
          <w:rFonts w:ascii="Arial" w:hAnsi="Arial" w:cs="Arial"/>
          <w:b/>
          <w:sz w:val="22"/>
          <w:szCs w:val="22"/>
        </w:rPr>
        <w:t>e</w:t>
      </w:r>
      <w:r>
        <w:rPr>
          <w:rFonts w:ascii="Arial" w:hAnsi="Arial" w:cs="Arial"/>
          <w:b/>
          <w:spacing w:val="-1"/>
          <w:sz w:val="22"/>
          <w:szCs w:val="22"/>
        </w:rPr>
        <w:t xml:space="preserve"> </w:t>
      </w:r>
      <w:r>
        <w:rPr>
          <w:rFonts w:ascii="Arial" w:hAnsi="Arial" w:cs="Arial"/>
          <w:b/>
          <w:spacing w:val="-4"/>
          <w:sz w:val="22"/>
          <w:szCs w:val="22"/>
        </w:rPr>
        <w:t>EPP:</w:t>
      </w:r>
    </w:p>
    <w:p w14:paraId="0989B98C">
      <w:pPr>
        <w:spacing w:line="360" w:lineRule="auto"/>
        <w:rPr>
          <w:rFonts w:ascii="Arial" w:hAnsi="Arial" w:eastAsia="SimSun" w:cs="Arial"/>
          <w:sz w:val="22"/>
          <w:szCs w:val="22"/>
        </w:rPr>
      </w:pPr>
      <w:r>
        <w:rPr>
          <w:rFonts w:ascii="Arial" w:hAnsi="Arial" w:eastAsia="SimSun" w:cs="Arial"/>
          <w:sz w:val="22"/>
          <w:szCs w:val="22"/>
        </w:rPr>
        <w:t xml:space="preserve">Considerando que, na presente contratação, há </w:t>
      </w:r>
      <w:r>
        <w:rPr>
          <w:rStyle w:val="6"/>
          <w:rFonts w:ascii="Arial" w:hAnsi="Arial" w:eastAsia="SimSun" w:cs="Arial"/>
          <w:b w:val="0"/>
          <w:bCs w:val="0"/>
          <w:sz w:val="22"/>
          <w:szCs w:val="22"/>
        </w:rPr>
        <w:t>itens com valor estimado total acima de R$ 80.000,00 (oitenta mil reais)</w:t>
      </w:r>
      <w:r>
        <w:rPr>
          <w:rFonts w:ascii="Arial" w:hAnsi="Arial" w:eastAsia="SimSun" w:cs="Arial"/>
          <w:sz w:val="22"/>
          <w:szCs w:val="22"/>
        </w:rPr>
        <w:t xml:space="preserve"> e </w:t>
      </w:r>
      <w:r>
        <w:rPr>
          <w:rStyle w:val="6"/>
          <w:rFonts w:ascii="Arial" w:hAnsi="Arial" w:eastAsia="SimSun" w:cs="Arial"/>
          <w:b w:val="0"/>
          <w:bCs w:val="0"/>
          <w:sz w:val="22"/>
          <w:szCs w:val="22"/>
        </w:rPr>
        <w:t>itens com valor igual ou inferior a esse limite</w:t>
      </w:r>
      <w:r>
        <w:rPr>
          <w:rFonts w:ascii="Arial" w:hAnsi="Arial" w:eastAsia="SimSun" w:cs="Arial"/>
          <w:sz w:val="22"/>
          <w:szCs w:val="22"/>
        </w:rPr>
        <w:t xml:space="preserve">, a licitação será realizada na </w:t>
      </w:r>
      <w:r>
        <w:rPr>
          <w:rStyle w:val="6"/>
          <w:rFonts w:ascii="Arial" w:hAnsi="Arial" w:eastAsia="SimSun" w:cs="Arial"/>
          <w:b w:val="0"/>
          <w:bCs w:val="0"/>
          <w:sz w:val="22"/>
          <w:szCs w:val="22"/>
        </w:rPr>
        <w:t>modalidade Pregão Eletrônico, para Registro de Preços, do tipo menor preço por item</w:t>
      </w:r>
      <w:r>
        <w:rPr>
          <w:rFonts w:ascii="Arial" w:hAnsi="Arial" w:eastAsia="SimSun" w:cs="Arial"/>
          <w:sz w:val="22"/>
          <w:szCs w:val="22"/>
        </w:rPr>
        <w:t xml:space="preserve">, contemplando a </w:t>
      </w:r>
      <w:r>
        <w:rPr>
          <w:rStyle w:val="6"/>
          <w:rFonts w:ascii="Arial" w:hAnsi="Arial" w:eastAsia="SimSun" w:cs="Arial"/>
          <w:b w:val="0"/>
          <w:bCs w:val="0"/>
          <w:sz w:val="22"/>
          <w:szCs w:val="22"/>
        </w:rPr>
        <w:t>ampla concorrência</w:t>
      </w:r>
      <w:r>
        <w:rPr>
          <w:rFonts w:ascii="Arial" w:hAnsi="Arial" w:eastAsia="SimSun" w:cs="Arial"/>
          <w:sz w:val="22"/>
          <w:szCs w:val="22"/>
        </w:rPr>
        <w:t xml:space="preserve">, bem como a </w:t>
      </w:r>
      <w:r>
        <w:rPr>
          <w:rStyle w:val="6"/>
          <w:rFonts w:ascii="Arial" w:hAnsi="Arial" w:eastAsia="SimSun" w:cs="Arial"/>
          <w:b w:val="0"/>
          <w:bCs w:val="0"/>
          <w:sz w:val="22"/>
          <w:szCs w:val="22"/>
        </w:rPr>
        <w:t>participação exclusiva e cota reservada para Microempresas (ME) e Empresas de Pequeno Porte (EPP)</w:t>
      </w:r>
      <w:r>
        <w:rPr>
          <w:rFonts w:ascii="Arial" w:hAnsi="Arial" w:eastAsia="SimSun" w:cs="Arial"/>
          <w:sz w:val="22"/>
          <w:szCs w:val="22"/>
        </w:rPr>
        <w:t xml:space="preserve">, nos termos do </w:t>
      </w:r>
      <w:r>
        <w:rPr>
          <w:rStyle w:val="6"/>
          <w:rFonts w:ascii="Arial" w:hAnsi="Arial" w:eastAsia="SimSun" w:cs="Arial"/>
          <w:b w:val="0"/>
          <w:bCs w:val="0"/>
          <w:sz w:val="22"/>
          <w:szCs w:val="22"/>
        </w:rPr>
        <w:t>inciso I do art. 48 da Lei Complementar nº 123/2006</w:t>
      </w:r>
      <w:r>
        <w:rPr>
          <w:rFonts w:ascii="Arial" w:hAnsi="Arial" w:eastAsia="SimSun" w:cs="Arial"/>
          <w:sz w:val="22"/>
          <w:szCs w:val="22"/>
        </w:rPr>
        <w:t>, considerando a natureza divisível dos itens e a necessidade de estimular o desenvolvimento local e regional.</w:t>
      </w:r>
    </w:p>
    <w:p w14:paraId="17B9FE90">
      <w:pPr>
        <w:spacing w:line="360" w:lineRule="auto"/>
        <w:rPr>
          <w:rFonts w:ascii="Arial" w:hAnsi="Arial" w:eastAsia="SimSun" w:cs="Arial"/>
          <w:sz w:val="22"/>
          <w:szCs w:val="22"/>
        </w:rPr>
      </w:pPr>
    </w:p>
    <w:p w14:paraId="039FEF2E">
      <w:pPr>
        <w:pStyle w:val="11"/>
        <w:widowControl/>
        <w:spacing w:beforeAutospacing="0" w:afterAutospacing="0" w:line="240" w:lineRule="auto"/>
        <w:ind w:left="3402" w:leftChars="1701"/>
        <w:jc w:val="both"/>
        <w:rPr>
          <w:rFonts w:ascii="Arial" w:hAnsi="Arial" w:cs="Arial"/>
          <w:szCs w:val="20"/>
          <w:lang w:val="pt-BR"/>
        </w:rPr>
      </w:pPr>
      <w:r>
        <w:rPr>
          <w:rStyle w:val="6"/>
          <w:rFonts w:ascii="Arial" w:hAnsi="Arial" w:cs="Arial"/>
          <w:szCs w:val="20"/>
          <w:lang w:val="pt-BR"/>
        </w:rPr>
        <w:t>Art. 48.</w:t>
      </w:r>
      <w:r>
        <w:rPr>
          <w:rFonts w:ascii="Arial" w:hAnsi="Arial" w:cs="Arial"/>
          <w:szCs w:val="20"/>
          <w:lang w:val="pt-BR"/>
        </w:rPr>
        <w:t xml:space="preserve"> Para o cumprimento do disposto nos arts. 47 e 47-A desta Lei Complementar, a administração pública deverá:</w:t>
      </w:r>
    </w:p>
    <w:p w14:paraId="29A7577B">
      <w:pPr>
        <w:pStyle w:val="11"/>
        <w:widowControl/>
        <w:spacing w:beforeAutospacing="0" w:afterAutospacing="0" w:line="240" w:lineRule="auto"/>
        <w:ind w:left="3402" w:leftChars="1701"/>
        <w:jc w:val="both"/>
        <w:rPr>
          <w:rFonts w:ascii="Arial" w:hAnsi="Arial" w:cs="Arial"/>
          <w:szCs w:val="20"/>
          <w:lang w:val="pt-BR"/>
        </w:rPr>
      </w:pPr>
      <w:r>
        <w:rPr>
          <w:rStyle w:val="6"/>
          <w:rFonts w:ascii="Arial" w:hAnsi="Arial" w:cs="Arial"/>
          <w:szCs w:val="20"/>
          <w:lang w:val="pt-BR"/>
        </w:rPr>
        <w:t>I –</w:t>
      </w:r>
      <w:r>
        <w:rPr>
          <w:rFonts w:ascii="Arial" w:hAnsi="Arial" w:cs="Arial"/>
          <w:szCs w:val="20"/>
          <w:lang w:val="pt-BR"/>
        </w:rPr>
        <w:t xml:space="preserve"> estabelecer, em </w:t>
      </w:r>
      <w:r>
        <w:rPr>
          <w:rStyle w:val="6"/>
          <w:rFonts w:ascii="Arial" w:hAnsi="Arial" w:cs="Arial"/>
          <w:b w:val="0"/>
          <w:bCs w:val="0"/>
          <w:szCs w:val="20"/>
          <w:lang w:val="pt-BR"/>
        </w:rPr>
        <w:t>licitações destinadas à aquisição de bens de natureza divisível</w:t>
      </w:r>
      <w:r>
        <w:rPr>
          <w:rFonts w:ascii="Arial" w:hAnsi="Arial" w:cs="Arial"/>
          <w:szCs w:val="20"/>
          <w:lang w:val="pt-BR"/>
        </w:rPr>
        <w:t xml:space="preserve">, </w:t>
      </w:r>
      <w:r>
        <w:rPr>
          <w:rStyle w:val="6"/>
          <w:rFonts w:ascii="Arial" w:hAnsi="Arial" w:cs="Arial"/>
          <w:b w:val="0"/>
          <w:bCs w:val="0"/>
          <w:szCs w:val="20"/>
          <w:lang w:val="pt-BR"/>
        </w:rPr>
        <w:t>cota de até 25% (vinte e cinco por cento) do objeto para a contratação de microempresas e empresas de pequeno porte</w:t>
      </w:r>
      <w:r>
        <w:rPr>
          <w:rFonts w:ascii="Arial" w:hAnsi="Arial" w:cs="Arial"/>
          <w:szCs w:val="20"/>
          <w:lang w:val="pt-BR"/>
        </w:rPr>
        <w:t>, nos termos do regulamento.</w:t>
      </w:r>
    </w:p>
    <w:p w14:paraId="6FD7DB07">
      <w:pPr>
        <w:pStyle w:val="11"/>
        <w:widowControl/>
        <w:spacing w:beforeAutospacing="0" w:afterAutospacing="0" w:line="240" w:lineRule="auto"/>
        <w:ind w:left="3402" w:leftChars="1701"/>
        <w:jc w:val="both"/>
        <w:rPr>
          <w:rFonts w:ascii="Arial" w:hAnsi="Arial" w:cs="Arial"/>
          <w:szCs w:val="20"/>
          <w:lang w:val="pt-BR"/>
        </w:rPr>
      </w:pPr>
    </w:p>
    <w:p w14:paraId="16B18616">
      <w:pPr>
        <w:pStyle w:val="11"/>
        <w:widowControl/>
        <w:spacing w:beforeAutospacing="0" w:afterAutospacing="0" w:line="360" w:lineRule="auto"/>
        <w:jc w:val="both"/>
        <w:rPr>
          <w:rFonts w:ascii="Arial" w:hAnsi="Arial" w:cs="Arial"/>
          <w:szCs w:val="20"/>
          <w:lang w:val="pt-BR"/>
        </w:rPr>
      </w:pPr>
      <w:r>
        <w:rPr>
          <w:rFonts w:ascii="Arial" w:hAnsi="Arial" w:cs="Arial"/>
          <w:color w:val="000000"/>
          <w:sz w:val="22"/>
          <w:szCs w:val="22"/>
          <w:lang w:val="pt-BR"/>
        </w:rPr>
        <w:t xml:space="preserve">Portanto, considerando que o valor estimado de alguns itens é superior a R$ 80.000,00 (oitenta mil reais), a licitação será com </w:t>
      </w:r>
      <w:r>
        <w:rPr>
          <w:rFonts w:ascii="Arial" w:hAnsi="Arial" w:cs="Arial"/>
          <w:b/>
          <w:color w:val="000000"/>
          <w:sz w:val="22"/>
          <w:szCs w:val="22"/>
          <w:lang w:val="pt-BR"/>
        </w:rPr>
        <w:t xml:space="preserve">Exclusividade para ME e EPP </w:t>
      </w:r>
      <w:r>
        <w:rPr>
          <w:rFonts w:ascii="Arial" w:hAnsi="Arial" w:cs="Arial"/>
          <w:color w:val="000000"/>
          <w:sz w:val="22"/>
          <w:szCs w:val="22"/>
          <w:lang w:val="pt-BR"/>
        </w:rPr>
        <w:t xml:space="preserve">e também com </w:t>
      </w:r>
      <w:r>
        <w:rPr>
          <w:rFonts w:ascii="Arial" w:hAnsi="Arial" w:cs="Arial"/>
          <w:b/>
          <w:color w:val="000000"/>
          <w:sz w:val="22"/>
          <w:szCs w:val="22"/>
          <w:lang w:val="pt-BR"/>
        </w:rPr>
        <w:t xml:space="preserve">Cota Principal para Ampla Concorrência e Cota Reservada para ME e EPP, </w:t>
      </w:r>
      <w:r>
        <w:rPr>
          <w:rFonts w:ascii="Arial" w:hAnsi="Arial" w:cs="Arial"/>
          <w:color w:val="000000"/>
          <w:sz w:val="22"/>
          <w:szCs w:val="22"/>
          <w:lang w:val="pt-BR"/>
        </w:rPr>
        <w:t>com base na lei 123/2006.</w:t>
      </w:r>
    </w:p>
    <w:p w14:paraId="0D19E340">
      <w:pPr>
        <w:pStyle w:val="9"/>
        <w:spacing w:line="240" w:lineRule="auto"/>
        <w:rPr>
          <w:rFonts w:eastAsia="SimSun"/>
        </w:rPr>
      </w:pPr>
    </w:p>
    <w:p w14:paraId="42E35C51">
      <w:pPr>
        <w:pStyle w:val="28"/>
        <w:spacing w:line="360" w:lineRule="auto"/>
        <w:rPr>
          <w:rFonts w:ascii="Arial" w:hAnsi="Arial" w:cs="Arial"/>
          <w:b/>
          <w:spacing w:val="-2"/>
          <w:sz w:val="22"/>
          <w:szCs w:val="22"/>
          <w:lang w:val="pt-BR"/>
        </w:rPr>
      </w:pPr>
      <w:r>
        <w:rPr>
          <w:rFonts w:ascii="Arial" w:hAnsi="Arial" w:cs="Arial"/>
          <w:b/>
          <w:sz w:val="22"/>
          <w:szCs w:val="22"/>
          <w:lang w:val="pt-BR"/>
        </w:rPr>
        <w:t>5.6.</w:t>
      </w:r>
      <w:r>
        <w:rPr>
          <w:rFonts w:ascii="Arial" w:hAnsi="Arial" w:cs="Arial"/>
          <w:b/>
          <w:spacing w:val="-1"/>
          <w:sz w:val="22"/>
          <w:szCs w:val="22"/>
          <w:lang w:val="pt-BR"/>
        </w:rPr>
        <w:t xml:space="preserve"> </w:t>
      </w:r>
      <w:r>
        <w:rPr>
          <w:rFonts w:ascii="Arial" w:hAnsi="Arial" w:cs="Arial"/>
          <w:b/>
          <w:sz w:val="22"/>
          <w:szCs w:val="22"/>
          <w:lang w:val="pt-BR"/>
        </w:rPr>
        <w:t>Contratação</w:t>
      </w:r>
      <w:r>
        <w:rPr>
          <w:rFonts w:ascii="Arial" w:hAnsi="Arial" w:cs="Arial"/>
          <w:b/>
          <w:spacing w:val="-1"/>
          <w:sz w:val="22"/>
          <w:szCs w:val="22"/>
          <w:lang w:val="pt-BR"/>
        </w:rPr>
        <w:t xml:space="preserve"> </w:t>
      </w:r>
      <w:r>
        <w:rPr>
          <w:rFonts w:ascii="Arial" w:hAnsi="Arial" w:cs="Arial"/>
          <w:b/>
          <w:sz w:val="22"/>
          <w:szCs w:val="22"/>
          <w:lang w:val="pt-BR"/>
        </w:rPr>
        <w:t>Anterior</w:t>
      </w:r>
      <w:r>
        <w:rPr>
          <w:rFonts w:ascii="Arial" w:hAnsi="Arial" w:cs="Arial"/>
          <w:b/>
          <w:spacing w:val="-2"/>
          <w:sz w:val="22"/>
          <w:szCs w:val="22"/>
          <w:lang w:val="pt-BR"/>
        </w:rPr>
        <w:t xml:space="preserve"> </w:t>
      </w:r>
      <w:r>
        <w:rPr>
          <w:rFonts w:ascii="Arial" w:hAnsi="Arial" w:cs="Arial"/>
          <w:b/>
          <w:sz w:val="22"/>
          <w:szCs w:val="22"/>
          <w:lang w:val="pt-BR"/>
        </w:rPr>
        <w:t>para</w:t>
      </w:r>
      <w:r>
        <w:rPr>
          <w:rFonts w:ascii="Arial" w:hAnsi="Arial" w:cs="Arial"/>
          <w:b/>
          <w:spacing w:val="-1"/>
          <w:sz w:val="22"/>
          <w:szCs w:val="22"/>
          <w:lang w:val="pt-BR"/>
        </w:rPr>
        <w:t xml:space="preserve"> </w:t>
      </w:r>
      <w:r>
        <w:rPr>
          <w:rFonts w:ascii="Arial" w:hAnsi="Arial" w:cs="Arial"/>
          <w:b/>
          <w:sz w:val="22"/>
          <w:szCs w:val="22"/>
          <w:lang w:val="pt-BR"/>
        </w:rPr>
        <w:t>o</w:t>
      </w:r>
      <w:r>
        <w:rPr>
          <w:rFonts w:ascii="Arial" w:hAnsi="Arial" w:cs="Arial"/>
          <w:b/>
          <w:spacing w:val="-1"/>
          <w:sz w:val="22"/>
          <w:szCs w:val="22"/>
          <w:lang w:val="pt-BR"/>
        </w:rPr>
        <w:t xml:space="preserve"> </w:t>
      </w:r>
      <w:r>
        <w:rPr>
          <w:rFonts w:ascii="Arial" w:hAnsi="Arial" w:cs="Arial"/>
          <w:b/>
          <w:sz w:val="22"/>
          <w:szCs w:val="22"/>
          <w:lang w:val="pt-BR"/>
        </w:rPr>
        <w:t>objeto</w:t>
      </w:r>
      <w:r>
        <w:rPr>
          <w:rFonts w:ascii="Arial" w:hAnsi="Arial" w:cs="Arial"/>
          <w:b/>
          <w:spacing w:val="-1"/>
          <w:sz w:val="22"/>
          <w:szCs w:val="22"/>
          <w:lang w:val="pt-BR"/>
        </w:rPr>
        <w:t xml:space="preserve"> </w:t>
      </w:r>
      <w:r>
        <w:rPr>
          <w:rFonts w:ascii="Arial" w:hAnsi="Arial" w:cs="Arial"/>
          <w:b/>
          <w:sz w:val="22"/>
          <w:szCs w:val="22"/>
          <w:lang w:val="pt-BR"/>
        </w:rPr>
        <w:t xml:space="preserve">da </w:t>
      </w:r>
      <w:r>
        <w:rPr>
          <w:rFonts w:ascii="Arial" w:hAnsi="Arial" w:cs="Arial"/>
          <w:b/>
          <w:spacing w:val="-2"/>
          <w:sz w:val="22"/>
          <w:szCs w:val="22"/>
          <w:lang w:val="pt-BR"/>
        </w:rPr>
        <w:t>demanda:</w:t>
      </w:r>
    </w:p>
    <w:p w14:paraId="27596E36">
      <w:pPr>
        <w:spacing w:line="360" w:lineRule="auto"/>
        <w:rPr>
          <w:rFonts w:ascii="Arial" w:hAnsi="Arial" w:cs="Arial"/>
          <w:sz w:val="22"/>
          <w:szCs w:val="22"/>
        </w:rPr>
      </w:pPr>
      <w:r>
        <w:rPr>
          <w:rFonts w:ascii="Arial" w:hAnsi="Arial" w:cs="Arial"/>
          <w:sz w:val="22"/>
          <w:szCs w:val="22"/>
        </w:rPr>
        <w:t xml:space="preserve">( </w:t>
      </w:r>
      <w:r>
        <w:rPr>
          <w:rFonts w:ascii="Arial" w:hAnsi="Arial" w:cs="Arial"/>
          <w:b/>
          <w:bCs/>
          <w:sz w:val="22"/>
          <w:szCs w:val="22"/>
        </w:rPr>
        <w:t>X</w:t>
      </w:r>
      <w:r>
        <w:rPr>
          <w:rFonts w:ascii="Arial" w:hAnsi="Arial" w:cs="Arial"/>
          <w:sz w:val="22"/>
          <w:szCs w:val="22"/>
        </w:rPr>
        <w:t xml:space="preserve"> )</w:t>
      </w:r>
      <w:r>
        <w:rPr>
          <w:rFonts w:ascii="Arial" w:hAnsi="Arial" w:cs="Arial"/>
          <w:spacing w:val="-8"/>
          <w:sz w:val="22"/>
          <w:szCs w:val="22"/>
        </w:rPr>
        <w:t xml:space="preserve"> </w:t>
      </w:r>
      <w:r>
        <w:rPr>
          <w:rFonts w:ascii="Arial" w:hAnsi="Arial" w:cs="Arial"/>
          <w:sz w:val="22"/>
          <w:szCs w:val="22"/>
        </w:rPr>
        <w:t>Houve</w:t>
      </w:r>
      <w:r>
        <w:rPr>
          <w:rFonts w:ascii="Arial" w:hAnsi="Arial" w:cs="Arial"/>
          <w:spacing w:val="-7"/>
          <w:sz w:val="22"/>
          <w:szCs w:val="22"/>
        </w:rPr>
        <w:t xml:space="preserve"> </w:t>
      </w:r>
      <w:r>
        <w:rPr>
          <w:rFonts w:ascii="Arial" w:hAnsi="Arial" w:cs="Arial"/>
          <w:sz w:val="22"/>
          <w:szCs w:val="22"/>
        </w:rPr>
        <w:t>contratação</w:t>
      </w:r>
      <w:r>
        <w:rPr>
          <w:rFonts w:ascii="Arial" w:hAnsi="Arial" w:cs="Arial"/>
          <w:spacing w:val="-7"/>
          <w:sz w:val="22"/>
          <w:szCs w:val="22"/>
        </w:rPr>
        <w:t xml:space="preserve"> </w:t>
      </w:r>
      <w:r>
        <w:rPr>
          <w:rFonts w:ascii="Arial" w:hAnsi="Arial" w:cs="Arial"/>
          <w:sz w:val="22"/>
          <w:szCs w:val="22"/>
        </w:rPr>
        <w:t xml:space="preserve">anterior. </w:t>
      </w:r>
    </w:p>
    <w:p w14:paraId="2CE5DED7">
      <w:pPr>
        <w:autoSpaceDE w:val="0"/>
        <w:autoSpaceDN w:val="0"/>
        <w:adjustRightInd/>
        <w:spacing w:line="360" w:lineRule="auto"/>
        <w:textAlignment w:val="auto"/>
        <w:rPr>
          <w:rFonts w:ascii="Arial" w:hAnsi="Arial" w:cs="Arial"/>
          <w:sz w:val="22"/>
          <w:szCs w:val="22"/>
        </w:rPr>
      </w:pPr>
      <w:r>
        <w:rPr>
          <w:rFonts w:ascii="Arial" w:hAnsi="Arial" w:cs="Arial"/>
          <w:sz w:val="22"/>
          <w:szCs w:val="22"/>
        </w:rPr>
        <w:t>Justificar novo pedido: Impossibilidade de renovação por ser tratar de Atas de Registro n° 333 – 334 e 335/2025, regidas por Pregão Eletrônico (P.E. n°44/2025) e a contratação pretendida encontra-se alinhada com o PCA (Plano de Contratação Anual).</w:t>
      </w:r>
    </w:p>
    <w:p w14:paraId="09A2B40D">
      <w:pPr>
        <w:autoSpaceDE w:val="0"/>
        <w:autoSpaceDN w:val="0"/>
        <w:adjustRightInd/>
        <w:spacing w:line="360" w:lineRule="auto"/>
        <w:textAlignment w:val="auto"/>
        <w:rPr>
          <w:rFonts w:ascii="Arial" w:hAnsi="Arial" w:cs="Arial"/>
          <w:spacing w:val="-2"/>
          <w:sz w:val="22"/>
          <w:szCs w:val="22"/>
        </w:rPr>
      </w:pPr>
      <w:r>
        <w:rPr>
          <w:rFonts w:ascii="Arial" w:hAnsi="Arial" w:cs="Arial"/>
          <w:sz w:val="22"/>
          <w:szCs w:val="22"/>
        </w:rPr>
        <w:t>(</w:t>
      </w:r>
      <w:r>
        <w:rPr>
          <w:rFonts w:ascii="Arial" w:hAnsi="Arial" w:cs="Arial"/>
          <w:spacing w:val="29"/>
          <w:sz w:val="22"/>
          <w:szCs w:val="22"/>
        </w:rPr>
        <w:t xml:space="preserve">  </w:t>
      </w:r>
      <w:r>
        <w:rPr>
          <w:rFonts w:ascii="Arial" w:hAnsi="Arial" w:cs="Arial"/>
          <w:sz w:val="22"/>
          <w:szCs w:val="22"/>
        </w:rPr>
        <w:t>)</w:t>
      </w:r>
      <w:r>
        <w:rPr>
          <w:rFonts w:ascii="Arial" w:hAnsi="Arial" w:cs="Arial"/>
          <w:spacing w:val="-2"/>
          <w:sz w:val="22"/>
          <w:szCs w:val="22"/>
        </w:rPr>
        <w:t xml:space="preserve"> </w:t>
      </w:r>
      <w:r>
        <w:rPr>
          <w:rFonts w:ascii="Arial" w:hAnsi="Arial" w:cs="Arial"/>
          <w:sz w:val="22"/>
          <w:szCs w:val="22"/>
        </w:rPr>
        <w:t>Não houve</w:t>
      </w:r>
      <w:r>
        <w:rPr>
          <w:rFonts w:ascii="Arial" w:hAnsi="Arial" w:cs="Arial"/>
          <w:spacing w:val="-1"/>
          <w:sz w:val="22"/>
          <w:szCs w:val="22"/>
        </w:rPr>
        <w:t xml:space="preserve"> </w:t>
      </w:r>
      <w:r>
        <w:rPr>
          <w:rFonts w:ascii="Arial" w:hAnsi="Arial" w:cs="Arial"/>
          <w:sz w:val="22"/>
          <w:szCs w:val="22"/>
        </w:rPr>
        <w:t xml:space="preserve">contratação </w:t>
      </w:r>
      <w:r>
        <w:rPr>
          <w:rFonts w:ascii="Arial" w:hAnsi="Arial" w:cs="Arial"/>
          <w:spacing w:val="-2"/>
          <w:sz w:val="22"/>
          <w:szCs w:val="22"/>
        </w:rPr>
        <w:t>anterior.</w:t>
      </w:r>
    </w:p>
    <w:p w14:paraId="7A14B9B1">
      <w:pPr>
        <w:autoSpaceDE w:val="0"/>
        <w:autoSpaceDN w:val="0"/>
        <w:adjustRightInd/>
        <w:spacing w:line="360" w:lineRule="auto"/>
        <w:textAlignment w:val="auto"/>
        <w:rPr>
          <w:rFonts w:ascii="Arial" w:hAnsi="Arial" w:cs="Arial"/>
          <w:spacing w:val="-2"/>
          <w:sz w:val="22"/>
          <w:szCs w:val="22"/>
        </w:rPr>
      </w:pPr>
    </w:p>
    <w:p w14:paraId="41E21750">
      <w:pPr>
        <w:pStyle w:val="28"/>
        <w:spacing w:line="360" w:lineRule="auto"/>
        <w:rPr>
          <w:rFonts w:ascii="Arial" w:hAnsi="Arial" w:cs="Arial"/>
          <w:b/>
          <w:spacing w:val="-2"/>
          <w:sz w:val="22"/>
          <w:szCs w:val="22"/>
          <w:lang w:val="pt-BR"/>
        </w:rPr>
      </w:pPr>
      <w:r>
        <w:rPr>
          <w:rFonts w:ascii="Arial" w:hAnsi="Arial" w:cs="Arial"/>
          <w:b/>
          <w:sz w:val="22"/>
          <w:szCs w:val="22"/>
          <w:lang w:val="pt-BR"/>
        </w:rPr>
        <w:t>5.7.</w:t>
      </w:r>
      <w:r>
        <w:rPr>
          <w:rFonts w:ascii="Arial" w:hAnsi="Arial" w:cs="Arial"/>
          <w:b/>
          <w:spacing w:val="-2"/>
          <w:sz w:val="22"/>
          <w:szCs w:val="22"/>
          <w:lang w:val="pt-BR"/>
        </w:rPr>
        <w:t xml:space="preserve"> </w:t>
      </w:r>
      <w:r>
        <w:rPr>
          <w:rFonts w:ascii="Arial" w:hAnsi="Arial" w:cs="Arial"/>
          <w:b/>
          <w:sz w:val="22"/>
          <w:szCs w:val="22"/>
          <w:lang w:val="pt-BR"/>
        </w:rPr>
        <w:t>Legislação</w:t>
      </w:r>
      <w:r>
        <w:rPr>
          <w:rFonts w:ascii="Arial" w:hAnsi="Arial" w:cs="Arial"/>
          <w:b/>
          <w:spacing w:val="-1"/>
          <w:sz w:val="22"/>
          <w:szCs w:val="22"/>
          <w:lang w:val="pt-BR"/>
        </w:rPr>
        <w:t xml:space="preserve"> </w:t>
      </w:r>
      <w:r>
        <w:rPr>
          <w:rFonts w:ascii="Arial" w:hAnsi="Arial" w:cs="Arial"/>
          <w:b/>
          <w:sz w:val="22"/>
          <w:szCs w:val="22"/>
          <w:lang w:val="pt-BR"/>
        </w:rPr>
        <w:t>Específica</w:t>
      </w:r>
      <w:r>
        <w:rPr>
          <w:rFonts w:ascii="Arial" w:hAnsi="Arial" w:cs="Arial"/>
          <w:b/>
          <w:spacing w:val="-1"/>
          <w:sz w:val="22"/>
          <w:szCs w:val="22"/>
          <w:lang w:val="pt-BR"/>
        </w:rPr>
        <w:t xml:space="preserve"> </w:t>
      </w:r>
      <w:r>
        <w:rPr>
          <w:rFonts w:ascii="Arial" w:hAnsi="Arial" w:cs="Arial"/>
          <w:b/>
          <w:sz w:val="22"/>
          <w:szCs w:val="22"/>
          <w:lang w:val="pt-BR"/>
        </w:rPr>
        <w:t>sobre</w:t>
      </w:r>
      <w:r>
        <w:rPr>
          <w:rFonts w:ascii="Arial" w:hAnsi="Arial" w:cs="Arial"/>
          <w:b/>
          <w:spacing w:val="-2"/>
          <w:sz w:val="22"/>
          <w:szCs w:val="22"/>
          <w:lang w:val="pt-BR"/>
        </w:rPr>
        <w:t xml:space="preserve"> </w:t>
      </w:r>
      <w:r>
        <w:rPr>
          <w:rFonts w:ascii="Arial" w:hAnsi="Arial" w:cs="Arial"/>
          <w:b/>
          <w:sz w:val="22"/>
          <w:szCs w:val="22"/>
          <w:lang w:val="pt-BR"/>
        </w:rPr>
        <w:t>o</w:t>
      </w:r>
      <w:r>
        <w:rPr>
          <w:rFonts w:ascii="Arial" w:hAnsi="Arial" w:cs="Arial"/>
          <w:b/>
          <w:spacing w:val="-1"/>
          <w:sz w:val="22"/>
          <w:szCs w:val="22"/>
          <w:lang w:val="pt-BR"/>
        </w:rPr>
        <w:t xml:space="preserve"> </w:t>
      </w:r>
      <w:r>
        <w:rPr>
          <w:rFonts w:ascii="Arial" w:hAnsi="Arial" w:cs="Arial"/>
          <w:b/>
          <w:sz w:val="22"/>
          <w:szCs w:val="22"/>
          <w:lang w:val="pt-BR"/>
        </w:rPr>
        <w:t>objeto</w:t>
      </w:r>
      <w:r>
        <w:rPr>
          <w:rFonts w:ascii="Arial" w:hAnsi="Arial" w:cs="Arial"/>
          <w:b/>
          <w:spacing w:val="-1"/>
          <w:sz w:val="22"/>
          <w:szCs w:val="22"/>
          <w:lang w:val="pt-BR"/>
        </w:rPr>
        <w:t xml:space="preserve"> </w:t>
      </w:r>
      <w:r>
        <w:rPr>
          <w:rFonts w:ascii="Arial" w:hAnsi="Arial" w:cs="Arial"/>
          <w:b/>
          <w:sz w:val="22"/>
          <w:szCs w:val="22"/>
          <w:lang w:val="pt-BR"/>
        </w:rPr>
        <w:t>de</w:t>
      </w:r>
      <w:r>
        <w:rPr>
          <w:rFonts w:ascii="Arial" w:hAnsi="Arial" w:cs="Arial"/>
          <w:b/>
          <w:spacing w:val="-1"/>
          <w:sz w:val="22"/>
          <w:szCs w:val="22"/>
          <w:lang w:val="pt-BR"/>
        </w:rPr>
        <w:t xml:space="preserve"> </w:t>
      </w:r>
      <w:r>
        <w:rPr>
          <w:rFonts w:ascii="Arial" w:hAnsi="Arial" w:cs="Arial"/>
          <w:b/>
          <w:spacing w:val="-2"/>
          <w:sz w:val="22"/>
          <w:szCs w:val="22"/>
          <w:lang w:val="pt-BR"/>
        </w:rPr>
        <w:t>contratação:</w:t>
      </w:r>
    </w:p>
    <w:p w14:paraId="19A52192">
      <w:pPr>
        <w:pStyle w:val="28"/>
        <w:spacing w:line="360" w:lineRule="auto"/>
        <w:rPr>
          <w:rFonts w:ascii="Arial" w:hAnsi="Arial" w:cs="Arial"/>
          <w:sz w:val="22"/>
          <w:szCs w:val="22"/>
          <w:lang w:val="pt-BR"/>
        </w:rPr>
      </w:pPr>
      <w:r>
        <w:rPr>
          <w:rFonts w:ascii="Arial" w:hAnsi="Arial" w:cs="Arial"/>
          <w:sz w:val="22"/>
          <w:szCs w:val="22"/>
          <w:lang w:val="pt-BR"/>
        </w:rPr>
        <w:t>(   )</w:t>
      </w:r>
      <w:r>
        <w:rPr>
          <w:rFonts w:ascii="Arial" w:hAnsi="Arial" w:cs="Arial"/>
          <w:spacing w:val="-2"/>
          <w:sz w:val="22"/>
          <w:szCs w:val="22"/>
          <w:lang w:val="pt-BR"/>
        </w:rPr>
        <w:t xml:space="preserve"> </w:t>
      </w:r>
      <w:r>
        <w:rPr>
          <w:rFonts w:ascii="Arial" w:hAnsi="Arial" w:cs="Arial"/>
          <w:spacing w:val="-5"/>
          <w:sz w:val="22"/>
          <w:szCs w:val="22"/>
          <w:lang w:val="pt-BR"/>
        </w:rPr>
        <w:t>Não</w:t>
      </w:r>
    </w:p>
    <w:p w14:paraId="6F0598C8">
      <w:pPr>
        <w:pStyle w:val="28"/>
        <w:spacing w:line="360" w:lineRule="auto"/>
        <w:rPr>
          <w:rFonts w:ascii="Arial" w:hAnsi="Arial" w:cs="Arial"/>
          <w:spacing w:val="-5"/>
          <w:sz w:val="22"/>
          <w:szCs w:val="22"/>
          <w:lang w:val="pt-BR"/>
        </w:rPr>
      </w:pPr>
      <w:r>
        <w:rPr>
          <w:rFonts w:ascii="Arial" w:hAnsi="Arial" w:cs="Arial"/>
          <w:sz w:val="22"/>
          <w:szCs w:val="22"/>
          <w:lang w:val="pt-BR"/>
        </w:rPr>
        <w:t xml:space="preserve">( </w:t>
      </w:r>
      <w:r>
        <w:rPr>
          <w:rFonts w:ascii="Arial" w:hAnsi="Arial" w:cs="Arial"/>
          <w:spacing w:val="30"/>
          <w:sz w:val="22"/>
          <w:szCs w:val="22"/>
          <w:lang w:val="pt-BR"/>
        </w:rPr>
        <w:t xml:space="preserve">X </w:t>
      </w:r>
      <w:r>
        <w:rPr>
          <w:rFonts w:ascii="Arial" w:hAnsi="Arial" w:cs="Arial"/>
          <w:sz w:val="22"/>
          <w:szCs w:val="22"/>
          <w:lang w:val="pt-BR"/>
        </w:rPr>
        <w:t>)</w:t>
      </w:r>
      <w:r>
        <w:rPr>
          <w:rFonts w:ascii="Arial" w:hAnsi="Arial" w:cs="Arial"/>
          <w:spacing w:val="-2"/>
          <w:sz w:val="22"/>
          <w:szCs w:val="22"/>
          <w:lang w:val="pt-BR"/>
        </w:rPr>
        <w:t xml:space="preserve"> </w:t>
      </w:r>
      <w:r>
        <w:rPr>
          <w:rFonts w:ascii="Arial" w:hAnsi="Arial" w:cs="Arial"/>
          <w:spacing w:val="-5"/>
          <w:sz w:val="22"/>
          <w:szCs w:val="22"/>
          <w:lang w:val="pt-BR"/>
        </w:rPr>
        <w:t>Sim</w:t>
      </w:r>
    </w:p>
    <w:p w14:paraId="44C31A15">
      <w:pPr>
        <w:pStyle w:val="11"/>
        <w:autoSpaceDE w:val="0"/>
        <w:autoSpaceDN w:val="0"/>
        <w:spacing w:beforeAutospacing="0" w:afterAutospacing="0" w:line="360" w:lineRule="auto"/>
        <w:jc w:val="both"/>
        <w:rPr>
          <w:rFonts w:ascii="Arial" w:hAnsi="Arial" w:eastAsia="Times New Roman" w:cs="Arial"/>
          <w:sz w:val="22"/>
          <w:szCs w:val="22"/>
          <w:lang w:val="pt-BR" w:bidi="ar"/>
        </w:rPr>
      </w:pPr>
      <w:r>
        <w:rPr>
          <w:rFonts w:ascii="Arial" w:hAnsi="Arial" w:eastAsia="Times New Roman" w:cs="Arial"/>
          <w:b/>
          <w:bCs/>
          <w:sz w:val="22"/>
          <w:szCs w:val="22"/>
          <w:lang w:val="pt-BR" w:bidi="ar"/>
        </w:rPr>
        <w:t xml:space="preserve">Legislação aplicável: </w:t>
      </w:r>
      <w:r>
        <w:rPr>
          <w:rStyle w:val="50"/>
          <w:rFonts w:ascii="Arial" w:hAnsi="Arial" w:cs="Arial"/>
          <w:sz w:val="22"/>
          <w:szCs w:val="22"/>
          <w:lang w:val="pt-BR"/>
        </w:rPr>
        <w:t xml:space="preserve">Agência Nacional de Vigilância Sanitária – Resolução </w:t>
      </w:r>
      <w:r>
        <w:rPr>
          <w:rStyle w:val="50"/>
          <w:rFonts w:ascii="Arial" w:hAnsi="Arial" w:cs="Arial"/>
          <w:b/>
          <w:bCs/>
          <w:sz w:val="22"/>
          <w:szCs w:val="22"/>
          <w:lang w:val="pt-BR"/>
        </w:rPr>
        <w:t>RDC nº 870/2024</w:t>
      </w:r>
      <w:r>
        <w:rPr>
          <w:rStyle w:val="50"/>
          <w:rFonts w:ascii="Arial" w:hAnsi="Arial" w:cs="Arial"/>
          <w:sz w:val="22"/>
          <w:szCs w:val="22"/>
          <w:lang w:val="pt-BR"/>
        </w:rPr>
        <w:t>, que dispõe sobre os requisitos para notificação, registro e pós-registro de gases medicinais, abrangendo critérios de fabricação, controle de qualidade, rastreabilidade e regularização sanitária dos gases medicinais</w:t>
      </w:r>
      <w:r>
        <w:rPr>
          <w:rFonts w:ascii="Arial" w:hAnsi="Arial" w:cs="Arial"/>
          <w:sz w:val="22"/>
          <w:szCs w:val="22"/>
          <w:lang w:val="pt-BR"/>
        </w:rPr>
        <w:t>, enquanto a ABNT NBR 12188 define os requisitos mínimos de segurança para o armazenamento desses gases, com aplicação direta nos ambientes de uso e estocagem em unidades de saúde</w:t>
      </w:r>
      <w:r>
        <w:rPr>
          <w:rFonts w:ascii="Arial" w:hAnsi="Arial" w:eastAsia="Times New Roman" w:cs="Arial"/>
          <w:sz w:val="22"/>
          <w:szCs w:val="22"/>
          <w:lang w:val="pt-BR" w:bidi="ar"/>
        </w:rPr>
        <w:t>.</w:t>
      </w:r>
    </w:p>
    <w:p w14:paraId="05D13B1B">
      <w:pPr>
        <w:pStyle w:val="9"/>
        <w:spacing w:line="240" w:lineRule="auto"/>
        <w:rPr>
          <w:rFonts w:eastAsia="SimSun"/>
        </w:rPr>
      </w:pPr>
    </w:p>
    <w:p w14:paraId="181D037C">
      <w:pPr>
        <w:pStyle w:val="11"/>
        <w:widowControl/>
        <w:spacing w:beforeAutospacing="0" w:afterAutospacing="0" w:line="360" w:lineRule="auto"/>
        <w:jc w:val="both"/>
        <w:rPr>
          <w:rFonts w:ascii="Arial" w:hAnsi="Arial" w:eastAsia="Times New Roman" w:cs="Arial"/>
          <w:sz w:val="22"/>
          <w:szCs w:val="22"/>
          <w:lang w:val="pt-BR" w:bidi="ar"/>
        </w:rPr>
      </w:pPr>
      <w:r>
        <w:rPr>
          <w:rStyle w:val="6"/>
          <w:rFonts w:ascii="Arial" w:hAnsi="Arial" w:cs="Arial"/>
          <w:sz w:val="22"/>
          <w:szCs w:val="22"/>
          <w:lang w:val="pt-BR"/>
        </w:rPr>
        <w:t>5.7.1. Justificativa quanto à legislação aplicável ao objeto:</w:t>
      </w:r>
    </w:p>
    <w:p w14:paraId="2C1B678B">
      <w:pPr>
        <w:pStyle w:val="11"/>
        <w:spacing w:beforeAutospacing="0" w:afterAutospacing="0" w:line="360" w:lineRule="auto"/>
        <w:jc w:val="both"/>
        <w:rPr>
          <w:rFonts w:ascii="Arial" w:hAnsi="Arial" w:cs="Arial"/>
          <w:sz w:val="22"/>
          <w:szCs w:val="22"/>
          <w:lang w:val="pt-BR"/>
        </w:rPr>
      </w:pPr>
      <w:r>
        <w:rPr>
          <w:rFonts w:ascii="Arial" w:hAnsi="Arial" w:cs="Arial"/>
          <w:sz w:val="22"/>
          <w:szCs w:val="22"/>
          <w:lang w:val="pt-BR"/>
        </w:rPr>
        <w:t>As legislações mencionadas constituem normas técnicas específicas que regulam exclusivamente os requisitos aplicáveis aos gases medicinais, tais como produção, controle de qualidade, transporte, rotulagem e armazenamento. A Resolução RDC nº 870/2024, por exemplo, estabelece o regulamento técnico para a fabricação e comercialização de oxigênio medicinal no território nacional, enquanto a ABNT NBR 12188 define os requisitos mínimos de segurança para o armazenamento desses gases, com aplicação direta nos ambientes de uso e estocagem em unidades de saúde.</w:t>
      </w:r>
    </w:p>
    <w:p w14:paraId="325FFB84">
      <w:pPr>
        <w:pStyle w:val="11"/>
        <w:spacing w:beforeAutospacing="0" w:afterAutospacing="0" w:line="360" w:lineRule="auto"/>
        <w:jc w:val="both"/>
        <w:rPr>
          <w:rFonts w:ascii="Arial" w:hAnsi="Arial" w:cs="Arial"/>
          <w:sz w:val="22"/>
          <w:szCs w:val="22"/>
          <w:lang w:val="pt-BR"/>
        </w:rPr>
      </w:pPr>
      <w:r>
        <w:rPr>
          <w:rFonts w:ascii="Arial" w:hAnsi="Arial" w:cs="Arial"/>
          <w:sz w:val="22"/>
          <w:szCs w:val="22"/>
          <w:lang w:val="pt-BR"/>
        </w:rPr>
        <w:t>Assim, tais normas foram corretamente assinaladas como aplicáveis pela Secretaria Municipal de Saúde, uma vez que esta unidade administrativa demandou o fornecimento de oxigênio medicinal no escopo da presente contratação.</w:t>
      </w:r>
    </w:p>
    <w:p w14:paraId="2740BD63">
      <w:pPr>
        <w:pStyle w:val="11"/>
        <w:spacing w:beforeAutospacing="0" w:afterAutospacing="0" w:line="360" w:lineRule="auto"/>
        <w:jc w:val="both"/>
        <w:rPr>
          <w:rFonts w:ascii="Arial" w:hAnsi="Arial" w:cs="Arial"/>
          <w:sz w:val="22"/>
          <w:szCs w:val="22"/>
          <w:lang w:val="pt-BR"/>
        </w:rPr>
      </w:pPr>
      <w:r>
        <w:rPr>
          <w:rFonts w:ascii="Arial" w:hAnsi="Arial" w:cs="Arial"/>
          <w:sz w:val="22"/>
          <w:szCs w:val="22"/>
          <w:lang w:val="pt-BR"/>
        </w:rPr>
        <w:t xml:space="preserve">Por outro lado, a Secretaria Municipal de Obras não incluiu o item "oxigênio medicinal" em sua solicitação de demanda (Anexo II), razão pela qual não há legislação dessa natureza específica vinculada à solicitação daquela pasta. Essa ausência não representa inconsistência, mas sim a devida adequação à natureza do objeto por ela demandado, o qual não envolve substâncias reguladas pela ANVISA ou normas técnicas correlatas a gases medicinais. </w:t>
      </w:r>
    </w:p>
    <w:p w14:paraId="3AB176B8">
      <w:pPr>
        <w:pStyle w:val="11"/>
        <w:widowControl/>
        <w:spacing w:beforeAutospacing="0" w:afterAutospacing="0" w:line="360" w:lineRule="auto"/>
        <w:jc w:val="both"/>
        <w:rPr>
          <w:rFonts w:ascii="Arial" w:hAnsi="Arial" w:cs="Arial"/>
          <w:sz w:val="22"/>
          <w:szCs w:val="22"/>
          <w:lang w:val="pt-BR"/>
        </w:rPr>
      </w:pPr>
      <w:r>
        <w:rPr>
          <w:rFonts w:ascii="Arial" w:hAnsi="Arial" w:cs="Arial"/>
          <w:sz w:val="22"/>
          <w:szCs w:val="22"/>
          <w:lang w:val="pt-BR"/>
        </w:rPr>
        <w:t>Desse modo, a indicação de legislação específica restringe-se aos casos em que o objeto contratado exige regulamentação técnica própria — como ocorre com o oxigênio medicinal solicitado pela Secretaria de Saúde —, respeitando-se, assim, os princípios da legalidade, da eficiência e da coerência documental no processo licitatório.</w:t>
      </w:r>
    </w:p>
    <w:p w14:paraId="352FCCD1">
      <w:pPr>
        <w:pStyle w:val="9"/>
        <w:spacing w:line="240" w:lineRule="auto"/>
        <w:rPr>
          <w:rFonts w:eastAsia="SimSun"/>
        </w:rPr>
      </w:pPr>
    </w:p>
    <w:p w14:paraId="45243C26">
      <w:pPr>
        <w:pStyle w:val="28"/>
        <w:spacing w:line="360" w:lineRule="auto"/>
        <w:rPr>
          <w:rFonts w:ascii="Arial" w:hAnsi="Arial" w:cs="Arial"/>
          <w:b/>
          <w:spacing w:val="-2"/>
          <w:sz w:val="22"/>
          <w:szCs w:val="22"/>
          <w:lang w:val="pt-BR"/>
        </w:rPr>
      </w:pPr>
      <w:r>
        <w:rPr>
          <w:rFonts w:ascii="Arial" w:hAnsi="Arial" w:cs="Arial"/>
          <w:b/>
          <w:sz w:val="22"/>
          <w:szCs w:val="22"/>
          <w:lang w:val="pt-BR"/>
        </w:rPr>
        <w:t>5.8.</w:t>
      </w:r>
      <w:r>
        <w:rPr>
          <w:rFonts w:ascii="Arial" w:hAnsi="Arial" w:cs="Arial"/>
          <w:b/>
          <w:spacing w:val="-1"/>
          <w:sz w:val="22"/>
          <w:szCs w:val="22"/>
          <w:lang w:val="pt-BR"/>
        </w:rPr>
        <w:t xml:space="preserve"> </w:t>
      </w:r>
      <w:r>
        <w:rPr>
          <w:rFonts w:ascii="Arial" w:hAnsi="Arial" w:cs="Arial"/>
          <w:b/>
          <w:sz w:val="22"/>
          <w:szCs w:val="22"/>
          <w:lang w:val="pt-BR"/>
        </w:rPr>
        <w:t>Necessidade</w:t>
      </w:r>
      <w:r>
        <w:rPr>
          <w:rFonts w:ascii="Arial" w:hAnsi="Arial" w:cs="Arial"/>
          <w:b/>
          <w:spacing w:val="-2"/>
          <w:sz w:val="22"/>
          <w:szCs w:val="22"/>
          <w:lang w:val="pt-BR"/>
        </w:rPr>
        <w:t xml:space="preserve"> </w:t>
      </w:r>
      <w:r>
        <w:rPr>
          <w:rFonts w:ascii="Arial" w:hAnsi="Arial" w:cs="Arial"/>
          <w:b/>
          <w:sz w:val="22"/>
          <w:szCs w:val="22"/>
          <w:lang w:val="pt-BR"/>
        </w:rPr>
        <w:t>de</w:t>
      </w:r>
      <w:r>
        <w:rPr>
          <w:rFonts w:ascii="Arial" w:hAnsi="Arial" w:cs="Arial"/>
          <w:b/>
          <w:spacing w:val="-1"/>
          <w:sz w:val="22"/>
          <w:szCs w:val="22"/>
          <w:lang w:val="pt-BR"/>
        </w:rPr>
        <w:t xml:space="preserve"> </w:t>
      </w:r>
      <w:r>
        <w:rPr>
          <w:rFonts w:ascii="Arial" w:hAnsi="Arial" w:cs="Arial"/>
          <w:b/>
          <w:sz w:val="22"/>
          <w:szCs w:val="22"/>
          <w:lang w:val="pt-BR"/>
        </w:rPr>
        <w:t>Consolidação</w:t>
      </w:r>
      <w:r>
        <w:rPr>
          <w:rFonts w:ascii="Arial" w:hAnsi="Arial" w:cs="Arial"/>
          <w:b/>
          <w:spacing w:val="-1"/>
          <w:sz w:val="22"/>
          <w:szCs w:val="22"/>
          <w:lang w:val="pt-BR"/>
        </w:rPr>
        <w:t xml:space="preserve"> </w:t>
      </w:r>
      <w:r>
        <w:rPr>
          <w:rFonts w:ascii="Arial" w:hAnsi="Arial" w:cs="Arial"/>
          <w:b/>
          <w:sz w:val="22"/>
          <w:szCs w:val="22"/>
          <w:lang w:val="pt-BR"/>
        </w:rPr>
        <w:t>para toda</w:t>
      </w:r>
      <w:r>
        <w:rPr>
          <w:rFonts w:ascii="Arial" w:hAnsi="Arial" w:cs="Arial"/>
          <w:b/>
          <w:spacing w:val="-1"/>
          <w:sz w:val="22"/>
          <w:szCs w:val="22"/>
          <w:lang w:val="pt-BR"/>
        </w:rPr>
        <w:t xml:space="preserve"> </w:t>
      </w:r>
      <w:r>
        <w:rPr>
          <w:rFonts w:ascii="Arial" w:hAnsi="Arial" w:cs="Arial"/>
          <w:b/>
          <w:sz w:val="22"/>
          <w:szCs w:val="22"/>
          <w:lang w:val="pt-BR"/>
        </w:rPr>
        <w:t xml:space="preserve">a </w:t>
      </w:r>
      <w:r>
        <w:rPr>
          <w:rFonts w:ascii="Arial" w:hAnsi="Arial" w:cs="Arial"/>
          <w:b/>
          <w:spacing w:val="-2"/>
          <w:sz w:val="22"/>
          <w:szCs w:val="22"/>
          <w:lang w:val="pt-BR"/>
        </w:rPr>
        <w:t>estrutura:</w:t>
      </w:r>
    </w:p>
    <w:p w14:paraId="1A244657">
      <w:pPr>
        <w:pStyle w:val="28"/>
        <w:tabs>
          <w:tab w:val="left" w:pos="427"/>
        </w:tabs>
        <w:spacing w:line="360" w:lineRule="auto"/>
        <w:rPr>
          <w:rFonts w:ascii="Arial" w:hAnsi="Arial" w:cs="Arial"/>
          <w:sz w:val="22"/>
          <w:szCs w:val="22"/>
          <w:lang w:val="pt-BR"/>
        </w:rPr>
      </w:pPr>
      <w:r>
        <w:rPr>
          <w:rFonts w:ascii="Arial" w:hAnsi="Arial" w:cs="Arial"/>
          <w:spacing w:val="-10"/>
          <w:sz w:val="22"/>
          <w:szCs w:val="22"/>
          <w:lang w:val="pt-BR"/>
        </w:rPr>
        <w:t xml:space="preserve">( X </w:t>
      </w:r>
      <w:r>
        <w:rPr>
          <w:rFonts w:ascii="Arial" w:hAnsi="Arial" w:cs="Arial"/>
          <w:sz w:val="22"/>
          <w:szCs w:val="22"/>
          <w:lang w:val="pt-BR"/>
        </w:rPr>
        <w:t>)</w:t>
      </w:r>
      <w:r>
        <w:rPr>
          <w:rFonts w:ascii="Arial" w:hAnsi="Arial" w:cs="Arial"/>
          <w:spacing w:val="-3"/>
          <w:sz w:val="22"/>
          <w:szCs w:val="22"/>
          <w:lang w:val="pt-BR"/>
        </w:rPr>
        <w:t xml:space="preserve"> </w:t>
      </w:r>
      <w:r>
        <w:rPr>
          <w:rFonts w:ascii="Arial" w:hAnsi="Arial" w:cs="Arial"/>
          <w:spacing w:val="-1"/>
          <w:sz w:val="22"/>
          <w:szCs w:val="22"/>
          <w:lang w:val="pt-BR"/>
        </w:rPr>
        <w:t>Aquisição</w:t>
      </w:r>
      <w:r>
        <w:rPr>
          <w:rFonts w:ascii="Arial" w:hAnsi="Arial" w:cs="Arial"/>
          <w:spacing w:val="5"/>
          <w:sz w:val="22"/>
          <w:szCs w:val="22"/>
          <w:lang w:val="pt-BR"/>
        </w:rPr>
        <w:t xml:space="preserve"> </w:t>
      </w:r>
      <w:r>
        <w:rPr>
          <w:rFonts w:ascii="Arial" w:hAnsi="Arial" w:cs="Arial"/>
          <w:spacing w:val="-1"/>
          <w:sz w:val="22"/>
          <w:szCs w:val="22"/>
          <w:lang w:val="pt-BR"/>
        </w:rPr>
        <w:t>consolidada</w:t>
      </w:r>
      <w:r>
        <w:rPr>
          <w:rFonts w:ascii="Arial" w:hAnsi="Arial" w:cs="Arial"/>
          <w:sz w:val="22"/>
          <w:szCs w:val="22"/>
          <w:lang w:val="pt-BR"/>
        </w:rPr>
        <w:t xml:space="preserve"> </w:t>
      </w:r>
      <w:r>
        <w:rPr>
          <w:rFonts w:ascii="Arial" w:hAnsi="Arial" w:cs="Arial"/>
          <w:spacing w:val="-1"/>
          <w:sz w:val="22"/>
          <w:szCs w:val="22"/>
          <w:lang w:val="pt-BR"/>
        </w:rPr>
        <w:t>para toda</w:t>
      </w:r>
      <w:r>
        <w:rPr>
          <w:rFonts w:ascii="Arial" w:hAnsi="Arial" w:cs="Arial"/>
          <w:spacing w:val="-2"/>
          <w:sz w:val="22"/>
          <w:szCs w:val="22"/>
          <w:lang w:val="pt-BR"/>
        </w:rPr>
        <w:t xml:space="preserve"> </w:t>
      </w:r>
      <w:r>
        <w:rPr>
          <w:rFonts w:ascii="Arial" w:hAnsi="Arial" w:cs="Arial"/>
          <w:spacing w:val="-1"/>
          <w:sz w:val="22"/>
          <w:szCs w:val="22"/>
          <w:lang w:val="pt-BR"/>
        </w:rPr>
        <w:t>estrutura – Secretária Municipal de Saúde e Secretaria Municipal de Obras e Serviços Urbanos</w:t>
      </w:r>
      <w:r>
        <w:rPr>
          <w:rFonts w:ascii="Arial" w:hAnsi="Arial" w:cs="Arial"/>
          <w:spacing w:val="-2"/>
          <w:sz w:val="22"/>
          <w:szCs w:val="22"/>
          <w:lang w:val="pt-BR"/>
        </w:rPr>
        <w:t>.</w:t>
      </w:r>
    </w:p>
    <w:p w14:paraId="7CAB247C">
      <w:pPr>
        <w:autoSpaceDE w:val="0"/>
        <w:autoSpaceDN w:val="0"/>
        <w:adjustRightInd/>
        <w:spacing w:line="360" w:lineRule="auto"/>
        <w:textAlignment w:val="auto"/>
        <w:rPr>
          <w:rFonts w:ascii="Arial" w:hAnsi="Arial" w:cs="Arial"/>
          <w:spacing w:val="-2"/>
          <w:sz w:val="22"/>
          <w:szCs w:val="22"/>
        </w:rPr>
      </w:pPr>
      <w:r>
        <w:rPr>
          <w:rFonts w:ascii="Arial" w:hAnsi="Arial" w:cs="Arial"/>
          <w:spacing w:val="-10"/>
          <w:sz w:val="22"/>
          <w:szCs w:val="22"/>
        </w:rPr>
        <w:t xml:space="preserve">(   </w:t>
      </w:r>
      <w:r>
        <w:rPr>
          <w:rFonts w:ascii="Arial" w:hAnsi="Arial" w:cs="Arial"/>
          <w:sz w:val="22"/>
          <w:szCs w:val="22"/>
        </w:rPr>
        <w:t>)</w:t>
      </w:r>
      <w:r>
        <w:rPr>
          <w:rFonts w:ascii="Arial" w:hAnsi="Arial" w:cs="Arial"/>
          <w:spacing w:val="-5"/>
          <w:sz w:val="22"/>
          <w:szCs w:val="22"/>
        </w:rPr>
        <w:t xml:space="preserve"> </w:t>
      </w:r>
      <w:r>
        <w:rPr>
          <w:rFonts w:ascii="Arial" w:hAnsi="Arial" w:cs="Arial"/>
          <w:sz w:val="22"/>
          <w:szCs w:val="22"/>
        </w:rPr>
        <w:t>Aquisição</w:t>
      </w:r>
      <w:r>
        <w:rPr>
          <w:rFonts w:ascii="Arial" w:hAnsi="Arial" w:cs="Arial"/>
          <w:spacing w:val="1"/>
          <w:sz w:val="22"/>
          <w:szCs w:val="22"/>
        </w:rPr>
        <w:t xml:space="preserve"> </w:t>
      </w:r>
      <w:r>
        <w:rPr>
          <w:rFonts w:ascii="Arial" w:hAnsi="Arial" w:cs="Arial"/>
          <w:sz w:val="22"/>
          <w:szCs w:val="22"/>
        </w:rPr>
        <w:t>exclusiva da</w:t>
      </w:r>
      <w:r>
        <w:rPr>
          <w:rFonts w:ascii="Arial" w:hAnsi="Arial" w:cs="Arial"/>
          <w:spacing w:val="-2"/>
          <w:sz w:val="22"/>
          <w:szCs w:val="22"/>
        </w:rPr>
        <w:t xml:space="preserve"> </w:t>
      </w:r>
      <w:r>
        <w:rPr>
          <w:rFonts w:ascii="Arial" w:hAnsi="Arial" w:cs="Arial"/>
          <w:sz w:val="22"/>
          <w:szCs w:val="22"/>
        </w:rPr>
        <w:t>unidade</w:t>
      </w:r>
      <w:r>
        <w:rPr>
          <w:rFonts w:ascii="Arial" w:hAnsi="Arial" w:cs="Arial"/>
          <w:spacing w:val="-3"/>
          <w:sz w:val="22"/>
          <w:szCs w:val="22"/>
        </w:rPr>
        <w:t xml:space="preserve"> </w:t>
      </w:r>
      <w:r>
        <w:rPr>
          <w:rFonts w:ascii="Arial" w:hAnsi="Arial" w:cs="Arial"/>
          <w:sz w:val="22"/>
          <w:szCs w:val="22"/>
        </w:rPr>
        <w:t>administrativa</w:t>
      </w:r>
      <w:r>
        <w:rPr>
          <w:rFonts w:ascii="Arial" w:hAnsi="Arial" w:cs="Arial"/>
          <w:spacing w:val="-1"/>
          <w:sz w:val="22"/>
          <w:szCs w:val="22"/>
        </w:rPr>
        <w:t xml:space="preserve"> </w:t>
      </w:r>
      <w:r>
        <w:rPr>
          <w:rFonts w:ascii="Arial" w:hAnsi="Arial" w:cs="Arial"/>
          <w:spacing w:val="-2"/>
          <w:sz w:val="22"/>
          <w:szCs w:val="22"/>
        </w:rPr>
        <w:t>demandante</w:t>
      </w:r>
    </w:p>
    <w:p w14:paraId="7661642D">
      <w:pPr>
        <w:pStyle w:val="28"/>
        <w:spacing w:line="360" w:lineRule="auto"/>
        <w:rPr>
          <w:rFonts w:ascii="Arial" w:hAnsi="Arial" w:cs="Arial"/>
          <w:b/>
          <w:sz w:val="22"/>
          <w:szCs w:val="22"/>
          <w:lang w:val="pt-BR"/>
        </w:rPr>
      </w:pPr>
    </w:p>
    <w:p w14:paraId="4CA3A1AE">
      <w:pPr>
        <w:pStyle w:val="28"/>
        <w:spacing w:line="360" w:lineRule="auto"/>
        <w:rPr>
          <w:rFonts w:ascii="Arial" w:hAnsi="Arial" w:cs="Arial"/>
          <w:b/>
          <w:spacing w:val="-2"/>
          <w:sz w:val="22"/>
          <w:szCs w:val="22"/>
          <w:lang w:val="pt-BR"/>
        </w:rPr>
      </w:pPr>
      <w:r>
        <w:rPr>
          <w:rFonts w:ascii="Arial" w:hAnsi="Arial" w:cs="Arial"/>
          <w:b/>
          <w:sz w:val="22"/>
          <w:szCs w:val="22"/>
          <w:lang w:val="pt-BR"/>
        </w:rPr>
        <w:t>5.9.</w:t>
      </w:r>
      <w:r>
        <w:rPr>
          <w:rFonts w:ascii="Arial" w:hAnsi="Arial" w:cs="Arial"/>
          <w:b/>
          <w:spacing w:val="-4"/>
          <w:sz w:val="22"/>
          <w:szCs w:val="22"/>
          <w:lang w:val="pt-BR"/>
        </w:rPr>
        <w:t xml:space="preserve"> </w:t>
      </w:r>
      <w:r>
        <w:rPr>
          <w:rFonts w:ascii="Arial" w:hAnsi="Arial" w:cs="Arial"/>
          <w:b/>
          <w:sz w:val="22"/>
          <w:szCs w:val="22"/>
          <w:lang w:val="pt-BR"/>
        </w:rPr>
        <w:t>Viabilidade</w:t>
      </w:r>
      <w:r>
        <w:rPr>
          <w:rFonts w:ascii="Arial" w:hAnsi="Arial" w:cs="Arial"/>
          <w:b/>
          <w:spacing w:val="-2"/>
          <w:sz w:val="22"/>
          <w:szCs w:val="22"/>
          <w:lang w:val="pt-BR"/>
        </w:rPr>
        <w:t xml:space="preserve"> </w:t>
      </w:r>
      <w:r>
        <w:rPr>
          <w:rFonts w:ascii="Arial" w:hAnsi="Arial" w:cs="Arial"/>
          <w:b/>
          <w:sz w:val="22"/>
          <w:szCs w:val="22"/>
          <w:lang w:val="pt-BR"/>
        </w:rPr>
        <w:t>da</w:t>
      </w:r>
      <w:r>
        <w:rPr>
          <w:rFonts w:ascii="Arial" w:hAnsi="Arial" w:cs="Arial"/>
          <w:b/>
          <w:spacing w:val="-2"/>
          <w:sz w:val="22"/>
          <w:szCs w:val="22"/>
          <w:lang w:val="pt-BR"/>
        </w:rPr>
        <w:t xml:space="preserve"> </w:t>
      </w:r>
      <w:r>
        <w:rPr>
          <w:rFonts w:ascii="Arial" w:hAnsi="Arial" w:cs="Arial"/>
          <w:b/>
          <w:sz w:val="22"/>
          <w:szCs w:val="22"/>
          <w:lang w:val="pt-BR"/>
        </w:rPr>
        <w:t>adoção</w:t>
      </w:r>
      <w:r>
        <w:rPr>
          <w:rFonts w:ascii="Arial" w:hAnsi="Arial" w:cs="Arial"/>
          <w:b/>
          <w:spacing w:val="-1"/>
          <w:sz w:val="22"/>
          <w:szCs w:val="22"/>
          <w:lang w:val="pt-BR"/>
        </w:rPr>
        <w:t xml:space="preserve"> </w:t>
      </w:r>
      <w:r>
        <w:rPr>
          <w:rFonts w:ascii="Arial" w:hAnsi="Arial" w:cs="Arial"/>
          <w:b/>
          <w:sz w:val="22"/>
          <w:szCs w:val="22"/>
          <w:lang w:val="pt-BR"/>
        </w:rPr>
        <w:t>da</w:t>
      </w:r>
      <w:r>
        <w:rPr>
          <w:rFonts w:ascii="Arial" w:hAnsi="Arial" w:cs="Arial"/>
          <w:b/>
          <w:spacing w:val="-2"/>
          <w:sz w:val="22"/>
          <w:szCs w:val="22"/>
          <w:lang w:val="pt-BR"/>
        </w:rPr>
        <w:t xml:space="preserve"> </w:t>
      </w:r>
      <w:r>
        <w:rPr>
          <w:rFonts w:ascii="Arial" w:hAnsi="Arial" w:cs="Arial"/>
          <w:b/>
          <w:sz w:val="22"/>
          <w:szCs w:val="22"/>
          <w:lang w:val="pt-BR"/>
        </w:rPr>
        <w:t>modalidade</w:t>
      </w:r>
      <w:r>
        <w:rPr>
          <w:rFonts w:ascii="Arial" w:hAnsi="Arial" w:cs="Arial"/>
          <w:b/>
          <w:spacing w:val="-2"/>
          <w:sz w:val="22"/>
          <w:szCs w:val="22"/>
          <w:lang w:val="pt-BR"/>
        </w:rPr>
        <w:t xml:space="preserve"> </w:t>
      </w:r>
      <w:r>
        <w:rPr>
          <w:rFonts w:ascii="Arial" w:hAnsi="Arial" w:cs="Arial"/>
          <w:b/>
          <w:sz w:val="22"/>
          <w:szCs w:val="22"/>
          <w:lang w:val="pt-BR"/>
        </w:rPr>
        <w:t>na</w:t>
      </w:r>
      <w:r>
        <w:rPr>
          <w:rFonts w:ascii="Arial" w:hAnsi="Arial" w:cs="Arial"/>
          <w:b/>
          <w:spacing w:val="-2"/>
          <w:sz w:val="22"/>
          <w:szCs w:val="22"/>
          <w:lang w:val="pt-BR"/>
        </w:rPr>
        <w:t xml:space="preserve"> </w:t>
      </w:r>
      <w:r>
        <w:rPr>
          <w:rFonts w:ascii="Arial" w:hAnsi="Arial" w:cs="Arial"/>
          <w:b/>
          <w:sz w:val="22"/>
          <w:szCs w:val="22"/>
          <w:lang w:val="pt-BR"/>
        </w:rPr>
        <w:t>forma</w:t>
      </w:r>
      <w:r>
        <w:rPr>
          <w:rFonts w:ascii="Arial" w:hAnsi="Arial" w:cs="Arial"/>
          <w:b/>
          <w:spacing w:val="-1"/>
          <w:sz w:val="22"/>
          <w:szCs w:val="22"/>
          <w:lang w:val="pt-BR"/>
        </w:rPr>
        <w:t xml:space="preserve"> </w:t>
      </w:r>
      <w:r>
        <w:rPr>
          <w:rFonts w:ascii="Arial" w:hAnsi="Arial" w:cs="Arial"/>
          <w:b/>
          <w:spacing w:val="-2"/>
          <w:sz w:val="22"/>
          <w:szCs w:val="22"/>
          <w:lang w:val="pt-BR"/>
        </w:rPr>
        <w:t>eletrônica:</w:t>
      </w:r>
    </w:p>
    <w:p w14:paraId="3C7E7B22">
      <w:pPr>
        <w:autoSpaceDE w:val="0"/>
        <w:autoSpaceDN w:val="0"/>
        <w:adjustRightInd/>
        <w:spacing w:line="360" w:lineRule="auto"/>
        <w:textAlignment w:val="auto"/>
        <w:rPr>
          <w:rFonts w:ascii="Arial" w:hAnsi="Arial" w:cs="Arial"/>
          <w:spacing w:val="-2"/>
          <w:sz w:val="22"/>
          <w:szCs w:val="22"/>
        </w:rPr>
      </w:pPr>
      <w:r>
        <w:rPr>
          <w:rFonts w:ascii="Arial" w:hAnsi="Arial" w:cs="Arial"/>
          <w:spacing w:val="-2"/>
          <w:sz w:val="22"/>
          <w:szCs w:val="22"/>
        </w:rPr>
        <w:t>( X ) Sim</w:t>
      </w:r>
    </w:p>
    <w:p w14:paraId="5B46A8E8">
      <w:pPr>
        <w:autoSpaceDE w:val="0"/>
        <w:autoSpaceDN w:val="0"/>
        <w:adjustRightInd/>
        <w:spacing w:line="360" w:lineRule="auto"/>
        <w:textAlignment w:val="auto"/>
        <w:rPr>
          <w:rFonts w:ascii="Arial" w:hAnsi="Arial" w:cs="Arial"/>
          <w:spacing w:val="-2"/>
          <w:sz w:val="22"/>
          <w:szCs w:val="22"/>
        </w:rPr>
      </w:pPr>
      <w:r>
        <w:rPr>
          <w:rFonts w:ascii="Arial" w:hAnsi="Arial" w:cs="Arial"/>
          <w:spacing w:val="-2"/>
          <w:sz w:val="22"/>
          <w:szCs w:val="22"/>
        </w:rPr>
        <w:t>(   ) Não</w:t>
      </w:r>
    </w:p>
    <w:p w14:paraId="40CAB927">
      <w:pPr>
        <w:autoSpaceDE w:val="0"/>
        <w:autoSpaceDN w:val="0"/>
        <w:adjustRightInd/>
        <w:spacing w:line="360" w:lineRule="auto"/>
        <w:textAlignment w:val="auto"/>
        <w:rPr>
          <w:rFonts w:ascii="Arial" w:hAnsi="Arial" w:cs="Arial"/>
          <w:sz w:val="22"/>
          <w:szCs w:val="22"/>
        </w:rPr>
      </w:pPr>
      <w:r>
        <w:rPr>
          <w:rFonts w:ascii="Arial" w:hAnsi="Arial" w:cs="Arial"/>
          <w:b/>
          <w:bCs/>
          <w:spacing w:val="-2"/>
          <w:sz w:val="22"/>
          <w:szCs w:val="22"/>
        </w:rPr>
        <w:t>Justificar:</w:t>
      </w:r>
      <w:r>
        <w:rPr>
          <w:rFonts w:ascii="Arial" w:hAnsi="Arial" w:cs="Arial"/>
          <w:spacing w:val="-2"/>
          <w:sz w:val="22"/>
          <w:szCs w:val="22"/>
        </w:rPr>
        <w:t xml:space="preserve"> </w:t>
      </w:r>
      <w:r>
        <w:rPr>
          <w:rFonts w:ascii="Arial" w:hAnsi="Arial" w:eastAsia="SimSun" w:cs="Arial"/>
          <w:sz w:val="22"/>
          <w:szCs w:val="22"/>
        </w:rPr>
        <w:t xml:space="preserve">Considerando que a </w:t>
      </w:r>
      <w:r>
        <w:rPr>
          <w:rStyle w:val="6"/>
          <w:rFonts w:ascii="Arial" w:hAnsi="Arial" w:eastAsia="SimSun" w:cs="Arial"/>
          <w:b w:val="0"/>
          <w:bCs w:val="0"/>
          <w:sz w:val="22"/>
          <w:szCs w:val="22"/>
        </w:rPr>
        <w:t>Lei nº 14.133/2021</w:t>
      </w:r>
      <w:r>
        <w:rPr>
          <w:rFonts w:ascii="Arial" w:hAnsi="Arial" w:eastAsia="SimSun" w:cs="Arial"/>
          <w:sz w:val="22"/>
          <w:szCs w:val="22"/>
        </w:rPr>
        <w:t xml:space="preserve">, que rege as Licitações e Contratos Administrativos, </w:t>
      </w:r>
      <w:r>
        <w:rPr>
          <w:rStyle w:val="6"/>
          <w:rFonts w:ascii="Arial" w:hAnsi="Arial" w:eastAsia="SimSun" w:cs="Arial"/>
          <w:b w:val="0"/>
          <w:bCs w:val="0"/>
          <w:sz w:val="22"/>
          <w:szCs w:val="22"/>
        </w:rPr>
        <w:t>estabelece de forma objetiva e clara a preferência pela utilização da modalidade eletrônica</w:t>
      </w:r>
      <w:r>
        <w:rPr>
          <w:rFonts w:ascii="Arial" w:hAnsi="Arial" w:eastAsia="SimSun" w:cs="Arial"/>
          <w:sz w:val="22"/>
          <w:szCs w:val="22"/>
        </w:rPr>
        <w:t xml:space="preserve"> nos processos licitatórios, conforme disposto no </w:t>
      </w:r>
      <w:r>
        <w:rPr>
          <w:rStyle w:val="6"/>
          <w:rFonts w:ascii="Arial" w:hAnsi="Arial" w:eastAsia="SimSun" w:cs="Arial"/>
          <w:b w:val="0"/>
          <w:bCs w:val="0"/>
          <w:sz w:val="22"/>
          <w:szCs w:val="22"/>
        </w:rPr>
        <w:t>artigo 17, §2º</w:t>
      </w:r>
      <w:r>
        <w:rPr>
          <w:rFonts w:ascii="Arial" w:hAnsi="Arial" w:eastAsia="SimSun" w:cs="Arial"/>
          <w:sz w:val="22"/>
          <w:szCs w:val="22"/>
        </w:rPr>
        <w:t xml:space="preserve">, ressalta-se que </w:t>
      </w:r>
      <w:r>
        <w:rPr>
          <w:rStyle w:val="6"/>
          <w:rFonts w:ascii="Arial" w:hAnsi="Arial" w:eastAsia="SimSun" w:cs="Arial"/>
          <w:b w:val="0"/>
          <w:bCs w:val="0"/>
          <w:sz w:val="22"/>
          <w:szCs w:val="22"/>
        </w:rPr>
        <w:t>a adoção do pregão presencial somente é admitida em situações devidamente justificadas</w:t>
      </w:r>
      <w:r>
        <w:rPr>
          <w:rFonts w:ascii="Arial" w:hAnsi="Arial" w:eastAsia="SimSun" w:cs="Arial"/>
          <w:sz w:val="22"/>
          <w:szCs w:val="22"/>
        </w:rPr>
        <w:t xml:space="preserve">, devendo, nesse caso, a sessão pública ser </w:t>
      </w:r>
      <w:r>
        <w:rPr>
          <w:rStyle w:val="6"/>
          <w:rFonts w:ascii="Arial" w:hAnsi="Arial" w:eastAsia="SimSun" w:cs="Arial"/>
          <w:b w:val="0"/>
          <w:bCs w:val="0"/>
          <w:sz w:val="22"/>
          <w:szCs w:val="22"/>
        </w:rPr>
        <w:t>registrada em ata e gravada em áudio e vídeo</w:t>
      </w:r>
      <w:r>
        <w:rPr>
          <w:rFonts w:ascii="Arial" w:hAnsi="Arial" w:eastAsia="SimSun" w:cs="Arial"/>
          <w:sz w:val="22"/>
          <w:szCs w:val="22"/>
        </w:rPr>
        <w:t xml:space="preserve">. Assim, em </w:t>
      </w:r>
      <w:r>
        <w:rPr>
          <w:rStyle w:val="6"/>
          <w:rFonts w:ascii="Arial" w:hAnsi="Arial" w:eastAsia="SimSun" w:cs="Arial"/>
          <w:b w:val="0"/>
          <w:bCs w:val="0"/>
          <w:sz w:val="22"/>
          <w:szCs w:val="22"/>
        </w:rPr>
        <w:t>observância ao princípio da legalidade e à norma vigente</w:t>
      </w:r>
      <w:r>
        <w:rPr>
          <w:rFonts w:ascii="Arial" w:hAnsi="Arial" w:eastAsia="SimSun" w:cs="Arial"/>
          <w:sz w:val="22"/>
          <w:szCs w:val="22"/>
        </w:rPr>
        <w:t xml:space="preserve">, e diante da inexistência de impedimentos que justifiquem a forma presencial, </w:t>
      </w:r>
      <w:r>
        <w:rPr>
          <w:rStyle w:val="6"/>
          <w:rFonts w:ascii="Arial" w:hAnsi="Arial" w:eastAsia="SimSun" w:cs="Arial"/>
          <w:b w:val="0"/>
          <w:bCs w:val="0"/>
          <w:sz w:val="22"/>
          <w:szCs w:val="22"/>
        </w:rPr>
        <w:t>esta licitação será realizada na modalidade eletrônica</w:t>
      </w:r>
      <w:r>
        <w:rPr>
          <w:rFonts w:ascii="Arial" w:hAnsi="Arial" w:eastAsia="SimSun" w:cs="Arial"/>
          <w:sz w:val="22"/>
          <w:szCs w:val="22"/>
        </w:rPr>
        <w:t>, conforme exige a legislação.</w:t>
      </w:r>
    </w:p>
    <w:p w14:paraId="496967D4">
      <w:pPr>
        <w:pStyle w:val="28"/>
        <w:spacing w:line="360" w:lineRule="auto"/>
        <w:rPr>
          <w:rFonts w:ascii="Arial" w:hAnsi="Arial" w:cs="Arial"/>
          <w:b/>
          <w:spacing w:val="-2"/>
          <w:sz w:val="22"/>
          <w:szCs w:val="22"/>
          <w:lang w:val="pt-BR"/>
        </w:rPr>
      </w:pPr>
    </w:p>
    <w:p w14:paraId="3C2DE416">
      <w:pPr>
        <w:pStyle w:val="28"/>
        <w:spacing w:line="360" w:lineRule="auto"/>
        <w:rPr>
          <w:rFonts w:ascii="Arial" w:hAnsi="Arial" w:cs="Arial"/>
          <w:b/>
          <w:sz w:val="22"/>
          <w:szCs w:val="22"/>
          <w:lang w:val="pt-BR"/>
        </w:rPr>
      </w:pPr>
      <w:r>
        <w:rPr>
          <w:rFonts w:ascii="Arial" w:hAnsi="Arial" w:cs="Arial"/>
          <w:b/>
          <w:spacing w:val="-2"/>
          <w:sz w:val="22"/>
          <w:szCs w:val="22"/>
          <w:lang w:val="pt-BR"/>
        </w:rPr>
        <w:t>5.10. Das condições para participação de empresas em Consórcio:</w:t>
      </w:r>
    </w:p>
    <w:p w14:paraId="4793EE71">
      <w:pPr>
        <w:tabs>
          <w:tab w:val="left" w:pos="2410"/>
        </w:tabs>
        <w:spacing w:line="360" w:lineRule="auto"/>
        <w:rPr>
          <w:rFonts w:ascii="Arial" w:hAnsi="Arial" w:cs="Arial"/>
          <w:b/>
          <w:color w:val="000000"/>
          <w:sz w:val="22"/>
          <w:szCs w:val="22"/>
        </w:rPr>
      </w:pPr>
      <w:r>
        <w:rPr>
          <w:rFonts w:ascii="Arial" w:hAnsi="Arial" w:cs="Arial"/>
          <w:b/>
          <w:bCs/>
          <w:color w:val="000000"/>
          <w:sz w:val="22"/>
          <w:szCs w:val="22"/>
        </w:rPr>
        <w:t>5.10.1</w:t>
      </w:r>
      <w:r>
        <w:rPr>
          <w:rFonts w:ascii="Arial" w:hAnsi="Arial" w:cs="Arial"/>
          <w:color w:val="000000"/>
          <w:sz w:val="22"/>
          <w:szCs w:val="22"/>
        </w:rPr>
        <w:t>. Poderão participar deste processo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w:t>
      </w:r>
    </w:p>
    <w:p w14:paraId="51B140DE">
      <w:pPr>
        <w:tabs>
          <w:tab w:val="left" w:pos="2410"/>
        </w:tabs>
        <w:spacing w:line="360" w:lineRule="auto"/>
        <w:rPr>
          <w:rFonts w:ascii="Arial" w:hAnsi="Arial" w:cs="Arial"/>
          <w:b/>
          <w:color w:val="000000"/>
          <w:sz w:val="22"/>
          <w:szCs w:val="22"/>
        </w:rPr>
      </w:pPr>
    </w:p>
    <w:p w14:paraId="112F45B6">
      <w:pPr>
        <w:tabs>
          <w:tab w:val="left" w:pos="2410"/>
        </w:tabs>
        <w:spacing w:line="360" w:lineRule="auto"/>
        <w:rPr>
          <w:rFonts w:ascii="Arial" w:hAnsi="Arial" w:cs="Arial"/>
          <w:b/>
          <w:color w:val="000000"/>
          <w:sz w:val="22"/>
          <w:szCs w:val="22"/>
        </w:rPr>
      </w:pPr>
      <w:r>
        <w:rPr>
          <w:rFonts w:ascii="Arial" w:hAnsi="Arial" w:cs="Arial"/>
          <w:b/>
          <w:color w:val="000000"/>
          <w:sz w:val="22"/>
          <w:szCs w:val="22"/>
        </w:rPr>
        <w:t>5.10.1.2. Não poderão participar deste processo:</w:t>
      </w:r>
    </w:p>
    <w:p w14:paraId="5D9216BB">
      <w:pPr>
        <w:tabs>
          <w:tab w:val="left" w:pos="2410"/>
        </w:tabs>
        <w:spacing w:line="360" w:lineRule="auto"/>
        <w:rPr>
          <w:rFonts w:ascii="Arial" w:hAnsi="Arial" w:cs="Arial"/>
          <w:color w:val="000000"/>
          <w:sz w:val="22"/>
          <w:szCs w:val="22"/>
        </w:rPr>
      </w:pPr>
      <w:r>
        <w:rPr>
          <w:rFonts w:ascii="Arial" w:hAnsi="Arial" w:cs="Arial"/>
          <w:b/>
          <w:bCs/>
          <w:color w:val="000000"/>
          <w:sz w:val="22"/>
          <w:szCs w:val="22"/>
        </w:rPr>
        <w:t>5.10.1.3</w:t>
      </w:r>
      <w:r>
        <w:rPr>
          <w:rFonts w:ascii="Arial" w:hAnsi="Arial" w:cs="Arial"/>
          <w:color w:val="000000"/>
          <w:sz w:val="22"/>
          <w:szCs w:val="22"/>
        </w:rPr>
        <w:t>. Empresas que não atenderem às condições do Edital e seus Anexos;</w:t>
      </w:r>
    </w:p>
    <w:p w14:paraId="487EE5F1">
      <w:pPr>
        <w:tabs>
          <w:tab w:val="left" w:pos="2410"/>
        </w:tabs>
        <w:spacing w:line="360" w:lineRule="auto"/>
        <w:rPr>
          <w:rFonts w:ascii="Arial" w:hAnsi="Arial" w:cs="Arial"/>
          <w:color w:val="000000"/>
          <w:sz w:val="22"/>
          <w:szCs w:val="22"/>
        </w:rPr>
      </w:pPr>
      <w:r>
        <w:rPr>
          <w:rFonts w:ascii="Arial" w:hAnsi="Arial" w:cs="Arial"/>
          <w:b/>
          <w:bCs/>
          <w:color w:val="000000"/>
          <w:sz w:val="22"/>
          <w:szCs w:val="22"/>
        </w:rPr>
        <w:t>5.10.1.4</w:t>
      </w:r>
      <w:r>
        <w:rPr>
          <w:rFonts w:ascii="Arial" w:hAnsi="Arial" w:cs="Arial"/>
          <w:color w:val="000000"/>
          <w:sz w:val="22"/>
          <w:szCs w:val="22"/>
        </w:rPr>
        <w:t>. Empresas que estejam em processo de falência ou concordata, sob concurso de credores, em dissolução ou em liquidação;</w:t>
      </w:r>
    </w:p>
    <w:p w14:paraId="47481881">
      <w:pPr>
        <w:tabs>
          <w:tab w:val="left" w:pos="2410"/>
        </w:tabs>
        <w:spacing w:line="360" w:lineRule="auto"/>
        <w:rPr>
          <w:rFonts w:ascii="Arial" w:hAnsi="Arial" w:cs="Arial"/>
          <w:sz w:val="22"/>
          <w:szCs w:val="22"/>
        </w:rPr>
      </w:pPr>
      <w:r>
        <w:rPr>
          <w:rFonts w:ascii="Arial" w:hAnsi="Arial" w:cs="Arial"/>
          <w:b/>
          <w:bCs/>
          <w:color w:val="000000"/>
          <w:sz w:val="22"/>
          <w:szCs w:val="22"/>
        </w:rPr>
        <w:t>5.10.1.5.</w:t>
      </w:r>
      <w:r>
        <w:rPr>
          <w:rFonts w:ascii="Arial" w:hAnsi="Arial" w:cs="Arial"/>
          <w:color w:val="000000"/>
          <w:sz w:val="22"/>
          <w:szCs w:val="22"/>
        </w:rPr>
        <w:t xml:space="preserve"> </w:t>
      </w:r>
      <w:bookmarkStart w:id="1" w:name="_Ref113883003"/>
      <w:r>
        <w:rPr>
          <w:rFonts w:ascii="Arial" w:hAnsi="Arial" w:cs="Arial"/>
          <w:color w:val="000000"/>
          <w:sz w:val="22"/>
          <w:szCs w:val="22"/>
        </w:rPr>
        <w:t>P</w:t>
      </w:r>
      <w:r>
        <w:rPr>
          <w:rFonts w:ascii="Arial" w:hAnsi="Arial" w:cs="Arial"/>
          <w:sz w:val="22"/>
          <w:szCs w:val="22"/>
        </w:rPr>
        <w:t>essoa física ou jurídica que se encontre, ao tempo da licitação, impossibilitada de participar da licitação em decorrência de sanção que lhe foi imposta;</w:t>
      </w:r>
      <w:bookmarkEnd w:id="1"/>
    </w:p>
    <w:p w14:paraId="33E0F16B">
      <w:pPr>
        <w:tabs>
          <w:tab w:val="left" w:pos="2410"/>
        </w:tabs>
        <w:spacing w:line="360" w:lineRule="auto"/>
        <w:rPr>
          <w:rFonts w:ascii="Arial" w:hAnsi="Arial" w:cs="Arial"/>
          <w:sz w:val="22"/>
          <w:szCs w:val="22"/>
        </w:rPr>
      </w:pPr>
      <w:r>
        <w:rPr>
          <w:rFonts w:ascii="Arial" w:hAnsi="Arial" w:cs="Arial"/>
          <w:b/>
          <w:bCs/>
          <w:sz w:val="22"/>
          <w:szCs w:val="22"/>
        </w:rPr>
        <w:t>5.10.1.6.</w:t>
      </w:r>
      <w:r>
        <w:rPr>
          <w:rFonts w:ascii="Arial" w:hAnsi="Arial" w:cs="Arial"/>
          <w:sz w:val="22"/>
          <w:szCs w:val="22"/>
        </w:rPr>
        <w:t xml:space="preserve"> </w:t>
      </w:r>
      <w:r>
        <w:rPr>
          <w:rFonts w:ascii="Arial" w:hAnsi="Arial" w:cs="Arial"/>
          <w:color w:val="000000"/>
          <w:sz w:val="22"/>
          <w:szCs w:val="22"/>
        </w:rPr>
        <w:t>Empresas inadimplentes em obrigações assumidas com a Prefeitura Municipal de Sinop/MT;</w:t>
      </w:r>
    </w:p>
    <w:p w14:paraId="579A6691">
      <w:pPr>
        <w:tabs>
          <w:tab w:val="left" w:pos="2410"/>
        </w:tabs>
        <w:spacing w:line="360" w:lineRule="auto"/>
        <w:rPr>
          <w:rFonts w:ascii="Arial" w:hAnsi="Arial" w:cs="Arial"/>
          <w:color w:val="000000"/>
          <w:sz w:val="22"/>
          <w:szCs w:val="22"/>
        </w:rPr>
      </w:pPr>
      <w:r>
        <w:rPr>
          <w:rFonts w:ascii="Arial" w:hAnsi="Arial" w:cs="Arial"/>
          <w:b/>
          <w:bCs/>
          <w:color w:val="000000"/>
          <w:sz w:val="22"/>
          <w:szCs w:val="22"/>
        </w:rPr>
        <w:t>5.10.1.7.</w:t>
      </w:r>
      <w:r>
        <w:rPr>
          <w:rFonts w:ascii="Arial" w:hAnsi="Arial" w:cs="Arial"/>
          <w:color w:val="000000"/>
          <w:sz w:val="22"/>
          <w:szCs w:val="22"/>
        </w:rPr>
        <w:t xml:space="preserve"> Empresas cujo objeto social não seja pertinente e compatível com o objeto desta licitação;</w:t>
      </w:r>
    </w:p>
    <w:p w14:paraId="595DBA91">
      <w:pPr>
        <w:tabs>
          <w:tab w:val="left" w:pos="2410"/>
        </w:tabs>
        <w:spacing w:line="360" w:lineRule="auto"/>
        <w:rPr>
          <w:rFonts w:ascii="Arial" w:hAnsi="Arial" w:cs="Arial"/>
          <w:sz w:val="22"/>
          <w:szCs w:val="22"/>
        </w:rPr>
      </w:pPr>
      <w:r>
        <w:rPr>
          <w:rFonts w:ascii="Arial" w:hAnsi="Arial" w:cs="Arial"/>
          <w:b/>
          <w:bCs/>
          <w:sz w:val="22"/>
          <w:szCs w:val="22"/>
        </w:rPr>
        <w:t>5.10.1.8.</w:t>
      </w:r>
      <w:r>
        <w:rPr>
          <w:rFonts w:ascii="Arial" w:hAnsi="Arial" w:cs="Arial"/>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ou que deles seja cônjuge, companheiro ou parente em linha reta, colateral ou por afinidade, até o terceiro grau;</w:t>
      </w:r>
    </w:p>
    <w:p w14:paraId="7BCB2A1C">
      <w:pPr>
        <w:tabs>
          <w:tab w:val="left" w:pos="2410"/>
        </w:tabs>
        <w:spacing w:line="360" w:lineRule="auto"/>
        <w:rPr>
          <w:rFonts w:ascii="Arial" w:hAnsi="Arial" w:cs="Arial"/>
          <w:sz w:val="22"/>
          <w:szCs w:val="22"/>
        </w:rPr>
      </w:pPr>
      <w:r>
        <w:rPr>
          <w:rFonts w:ascii="Arial" w:hAnsi="Arial" w:cs="Arial"/>
          <w:b/>
          <w:bCs/>
          <w:color w:val="000000" w:themeColor="text1"/>
          <w:sz w:val="22"/>
          <w:szCs w:val="22"/>
          <w14:textFill>
            <w14:solidFill>
              <w14:schemeClr w14:val="tx1"/>
            </w14:solidFill>
          </w14:textFill>
        </w:rPr>
        <w:t>5.10.1.9.</w:t>
      </w:r>
      <w:r>
        <w:rPr>
          <w:rFonts w:ascii="Arial" w:hAnsi="Arial" w:cs="Arial"/>
          <w:color w:val="000000"/>
          <w:sz w:val="22"/>
          <w:szCs w:val="22"/>
        </w:rPr>
        <w:t xml:space="preserve"> Empresas estrangeiras não autorizadas a funcionar no país;</w:t>
      </w:r>
    </w:p>
    <w:p w14:paraId="3C1B616B">
      <w:pPr>
        <w:tabs>
          <w:tab w:val="left" w:pos="2410"/>
        </w:tabs>
        <w:spacing w:line="360" w:lineRule="auto"/>
        <w:rPr>
          <w:rFonts w:ascii="Arial" w:hAnsi="Arial" w:cs="Arial"/>
          <w:sz w:val="22"/>
          <w:szCs w:val="22"/>
        </w:rPr>
      </w:pPr>
      <w:r>
        <w:rPr>
          <w:rFonts w:ascii="Arial" w:hAnsi="Arial" w:cs="Arial"/>
          <w:b/>
          <w:bCs/>
          <w:sz w:val="22"/>
          <w:szCs w:val="22"/>
        </w:rPr>
        <w:t>5.10.1.10.</w:t>
      </w:r>
      <w:r>
        <w:rPr>
          <w:rFonts w:ascii="Arial" w:hAnsi="Arial" w:cs="Arial"/>
          <w:sz w:val="22"/>
          <w:szCs w:val="22"/>
        </w:rPr>
        <w:t xml:space="preserve"> 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bookmarkStart w:id="2" w:name="_Ref114659912"/>
      <w:bookmarkStart w:id="3" w:name="_Ref113883338"/>
    </w:p>
    <w:p w14:paraId="0175196C">
      <w:pPr>
        <w:tabs>
          <w:tab w:val="left" w:pos="2410"/>
        </w:tabs>
        <w:spacing w:line="360" w:lineRule="auto"/>
        <w:rPr>
          <w:rFonts w:ascii="Arial" w:hAnsi="Arial" w:cs="Arial"/>
          <w:sz w:val="22"/>
          <w:szCs w:val="22"/>
        </w:rPr>
      </w:pPr>
      <w:r>
        <w:rPr>
          <w:rFonts w:ascii="Arial" w:hAnsi="Arial" w:cs="Arial"/>
          <w:b/>
          <w:bCs/>
          <w:sz w:val="22"/>
          <w:szCs w:val="22"/>
        </w:rPr>
        <w:t>5.10.1.11.</w:t>
      </w:r>
      <w:r>
        <w:rPr>
          <w:rFonts w:ascii="Arial" w:hAnsi="Arial" w:cs="Arial"/>
          <w:sz w:val="22"/>
          <w:szCs w:val="22"/>
        </w:rPr>
        <w:t xml:space="preserve"> Autor do anteprojeto, do projeto básico ou do projeto executivo, pessoa física ou jurídica, quando a licitação versar sobre serviços ou fornecimento de bens a ele relacionados;</w:t>
      </w:r>
      <w:bookmarkEnd w:id="2"/>
      <w:bookmarkEnd w:id="3"/>
      <w:r>
        <w:rPr>
          <w:rFonts w:ascii="Arial" w:hAnsi="Arial" w:cs="Arial"/>
          <w:sz w:val="22"/>
          <w:szCs w:val="22"/>
        </w:rPr>
        <w:t xml:space="preserve"> </w:t>
      </w:r>
      <w:bookmarkStart w:id="4" w:name="_Ref114659913"/>
      <w:bookmarkStart w:id="5" w:name="_Ref113883339"/>
    </w:p>
    <w:p w14:paraId="045CE5A8">
      <w:pPr>
        <w:tabs>
          <w:tab w:val="left" w:pos="2410"/>
        </w:tabs>
        <w:spacing w:line="360" w:lineRule="auto"/>
        <w:rPr>
          <w:rFonts w:ascii="Arial" w:hAnsi="Arial" w:cs="Arial"/>
          <w:sz w:val="22"/>
          <w:szCs w:val="22"/>
        </w:rPr>
      </w:pPr>
      <w:r>
        <w:rPr>
          <w:rFonts w:ascii="Arial" w:hAnsi="Arial" w:cs="Arial"/>
          <w:b/>
          <w:bCs/>
          <w:sz w:val="22"/>
          <w:szCs w:val="22"/>
        </w:rPr>
        <w:t>5.10.1.12.</w:t>
      </w:r>
      <w:r>
        <w:rPr>
          <w:rFonts w:ascii="Arial" w:hAnsi="Arial" w:cs="Arial"/>
          <w:sz w:val="22"/>
          <w:szCs w:val="22"/>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rFonts w:ascii="Arial" w:hAnsi="Arial" w:cs="Arial"/>
          <w:sz w:val="22"/>
          <w:szCs w:val="22"/>
        </w:rPr>
        <w:t xml:space="preserve"> </w:t>
      </w:r>
      <w:bookmarkEnd w:id="5"/>
      <w:bookmarkStart w:id="6" w:name="_Ref113883579"/>
    </w:p>
    <w:p w14:paraId="7AE311F4">
      <w:pPr>
        <w:tabs>
          <w:tab w:val="left" w:pos="2410"/>
        </w:tabs>
        <w:spacing w:line="360" w:lineRule="auto"/>
        <w:rPr>
          <w:rFonts w:ascii="Arial" w:hAnsi="Arial" w:cs="Arial"/>
          <w:sz w:val="22"/>
          <w:szCs w:val="22"/>
        </w:rPr>
      </w:pPr>
      <w:r>
        <w:rPr>
          <w:rFonts w:ascii="Arial" w:hAnsi="Arial" w:cs="Arial"/>
          <w:b/>
          <w:bCs/>
          <w:sz w:val="22"/>
          <w:szCs w:val="22"/>
        </w:rPr>
        <w:t>5.10.1.13.</w:t>
      </w:r>
      <w:r>
        <w:rPr>
          <w:rFonts w:ascii="Arial" w:hAnsi="Arial" w:cs="Arial"/>
          <w:sz w:val="22"/>
          <w:szCs w:val="22"/>
        </w:rPr>
        <w:t xml:space="preserve"> Empresas controladoras, controladas ou coligadas, nos termos da Lei nº 6.404/1976, concorrendo entre si;</w:t>
      </w:r>
      <w:bookmarkEnd w:id="6"/>
    </w:p>
    <w:p w14:paraId="7434C49E">
      <w:pPr>
        <w:tabs>
          <w:tab w:val="left" w:pos="2410"/>
        </w:tabs>
        <w:spacing w:line="360" w:lineRule="auto"/>
        <w:rPr>
          <w:rFonts w:ascii="Arial" w:hAnsi="Arial" w:cs="Arial"/>
          <w:sz w:val="22"/>
          <w:szCs w:val="22"/>
        </w:rPr>
      </w:pPr>
      <w:r>
        <w:rPr>
          <w:rFonts w:ascii="Arial" w:hAnsi="Arial" w:cs="Arial"/>
          <w:b/>
          <w:bCs/>
          <w:sz w:val="22"/>
          <w:szCs w:val="22"/>
        </w:rPr>
        <w:t xml:space="preserve">5.10.1.14. </w:t>
      </w:r>
      <w:r>
        <w:rPr>
          <w:rFonts w:ascii="Arial" w:hAnsi="Arial" w:cs="Arial"/>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7" w:name="_Ref113962336"/>
    </w:p>
    <w:p w14:paraId="2767CF78">
      <w:pPr>
        <w:tabs>
          <w:tab w:val="left" w:pos="2410"/>
        </w:tabs>
        <w:spacing w:line="360" w:lineRule="auto"/>
        <w:rPr>
          <w:rFonts w:ascii="Arial" w:hAnsi="Arial" w:cs="Arial"/>
          <w:sz w:val="22"/>
          <w:szCs w:val="22"/>
        </w:rPr>
      </w:pPr>
      <w:r>
        <w:rPr>
          <w:rFonts w:ascii="Arial" w:hAnsi="Arial" w:cs="Arial"/>
          <w:b/>
          <w:bCs/>
          <w:sz w:val="22"/>
          <w:szCs w:val="22"/>
        </w:rPr>
        <w:t xml:space="preserve">5.10.1.15. </w:t>
      </w:r>
      <w:r>
        <w:rPr>
          <w:rFonts w:ascii="Arial" w:hAnsi="Arial" w:cs="Arial"/>
          <w:sz w:val="22"/>
          <w:szCs w:val="22"/>
        </w:rPr>
        <w:t>Agente público do órgão ou entidade licitante;</w:t>
      </w:r>
      <w:bookmarkEnd w:id="7"/>
    </w:p>
    <w:p w14:paraId="548F01FD">
      <w:pPr>
        <w:tabs>
          <w:tab w:val="left" w:pos="2410"/>
        </w:tabs>
        <w:spacing w:line="360" w:lineRule="auto"/>
        <w:rPr>
          <w:rFonts w:ascii="Arial" w:hAnsi="Arial" w:cs="Arial"/>
          <w:sz w:val="22"/>
          <w:szCs w:val="22"/>
        </w:rPr>
      </w:pPr>
      <w:r>
        <w:rPr>
          <w:rFonts w:ascii="Arial" w:hAnsi="Arial" w:cs="Arial"/>
          <w:b/>
          <w:bCs/>
          <w:sz w:val="22"/>
          <w:szCs w:val="22"/>
        </w:rPr>
        <w:t>5.10.1.16.</w:t>
      </w:r>
      <w:r>
        <w:rPr>
          <w:rFonts w:ascii="Arial" w:hAnsi="Arial" w:cs="Arial"/>
          <w:sz w:val="22"/>
          <w:szCs w:val="22"/>
        </w:rPr>
        <w:t xml:space="preserve"> Organizações da Sociedade Civil de Interesse Público - OSCIP, atuando nessa condição;</w:t>
      </w:r>
    </w:p>
    <w:p w14:paraId="0D4C271F">
      <w:pPr>
        <w:tabs>
          <w:tab w:val="left" w:pos="2410"/>
        </w:tabs>
        <w:spacing w:line="360" w:lineRule="auto"/>
        <w:rPr>
          <w:rFonts w:ascii="Arial" w:hAnsi="Arial" w:cs="Arial"/>
          <w:sz w:val="22"/>
          <w:szCs w:val="22"/>
        </w:rPr>
      </w:pPr>
      <w:r>
        <w:rPr>
          <w:rFonts w:ascii="Arial" w:hAnsi="Arial" w:cs="Arial"/>
          <w:b/>
          <w:bCs/>
          <w:sz w:val="22"/>
          <w:szCs w:val="22"/>
        </w:rPr>
        <w:t xml:space="preserve">5.10.1.17. </w:t>
      </w:r>
      <w:r>
        <w:rPr>
          <w:rFonts w:ascii="Arial" w:hAnsi="Arial" w:cs="Arial"/>
          <w:sz w:val="22"/>
          <w:szCs w:val="22"/>
        </w:rPr>
        <w:t xml:space="preserve">Não poderá participar, direta ou indiretamente, da licitação ou da execução da Ata de Registro de Preços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 xml:space="preserve"> HYPERLINK "http://www.planalto.gov.br/ccivil_03/_ato2019-2022/2021/lei/L14133.htm" \l "art9§1" </w:instrText>
      </w:r>
      <w:r>
        <w:fldChar w:fldCharType="separate"/>
      </w:r>
      <w:r>
        <w:rPr>
          <w:rStyle w:val="8"/>
          <w:rFonts w:ascii="Arial" w:hAnsi="Arial" w:cs="Arial"/>
          <w:color w:val="auto"/>
          <w:sz w:val="22"/>
          <w:szCs w:val="22"/>
          <w:u w:val="none"/>
        </w:rPr>
        <w:t>§ 1º do art. 9º da Lei Federal nº 14.133/2021</w:t>
      </w:r>
      <w:r>
        <w:rPr>
          <w:rStyle w:val="8"/>
          <w:rFonts w:ascii="Arial" w:hAnsi="Arial" w:cs="Arial"/>
          <w:color w:val="auto"/>
          <w:sz w:val="22"/>
          <w:szCs w:val="22"/>
          <w:u w:val="none"/>
        </w:rPr>
        <w:fldChar w:fldCharType="end"/>
      </w:r>
      <w:r>
        <w:rPr>
          <w:rFonts w:ascii="Arial" w:hAnsi="Arial" w:cs="Arial"/>
          <w:sz w:val="22"/>
          <w:szCs w:val="22"/>
        </w:rPr>
        <w:t>.</w:t>
      </w:r>
    </w:p>
    <w:p w14:paraId="3D858C6E">
      <w:pPr>
        <w:pStyle w:val="34"/>
        <w:numPr>
          <w:ilvl w:val="1"/>
          <w:numId w:val="0"/>
        </w:numPr>
        <w:tabs>
          <w:tab w:val="left" w:pos="480"/>
        </w:tabs>
        <w:spacing w:before="0" w:after="0" w:line="360" w:lineRule="auto"/>
        <w:ind w:left="-16" w:leftChars="-8"/>
        <w:rPr>
          <w:sz w:val="22"/>
          <w:szCs w:val="22"/>
        </w:rPr>
      </w:pPr>
      <w:r>
        <w:rPr>
          <w:b/>
          <w:bCs/>
          <w:sz w:val="22"/>
          <w:szCs w:val="22"/>
        </w:rPr>
        <w:t>5.10.1.18.</w:t>
      </w:r>
      <w:r>
        <w:rPr>
          <w:sz w:val="22"/>
          <w:szCs w:val="22"/>
        </w:rPr>
        <w:t xml:space="preserve"> O impedimento de que trata o item </w:t>
      </w:r>
      <w:r>
        <w:rPr>
          <w:b/>
          <w:bCs/>
          <w:sz w:val="22"/>
          <w:szCs w:val="22"/>
        </w:rPr>
        <w:t>5.10.1.14</w:t>
      </w:r>
      <w:r>
        <w:rPr>
          <w:sz w:val="22"/>
          <w:szCs w:val="22"/>
        </w:rPr>
        <w:t>.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8" w:name="art14§2"/>
      <w:bookmarkEnd w:id="8"/>
    </w:p>
    <w:p w14:paraId="47692C54">
      <w:pPr>
        <w:pStyle w:val="34"/>
        <w:numPr>
          <w:ilvl w:val="1"/>
          <w:numId w:val="0"/>
        </w:numPr>
        <w:tabs>
          <w:tab w:val="left" w:pos="480"/>
        </w:tabs>
        <w:spacing w:before="0" w:after="0" w:line="360" w:lineRule="auto"/>
        <w:rPr>
          <w:sz w:val="22"/>
          <w:szCs w:val="22"/>
        </w:rPr>
      </w:pPr>
      <w:r>
        <w:rPr>
          <w:b/>
          <w:bCs/>
          <w:sz w:val="22"/>
          <w:szCs w:val="22"/>
        </w:rPr>
        <w:t>5.10.1.19</w:t>
      </w:r>
      <w:r>
        <w:rPr>
          <w:sz w:val="22"/>
          <w:szCs w:val="22"/>
        </w:rPr>
        <w:t xml:space="preserve">. A critério da Administração e exclusivamente a seu serviço, o autor dos projetos e a empresa a que se referem os itens </w:t>
      </w:r>
      <w:r>
        <w:rPr>
          <w:b/>
          <w:bCs/>
          <w:sz w:val="22"/>
          <w:szCs w:val="22"/>
        </w:rPr>
        <w:t>5.10.1.11.</w:t>
      </w:r>
      <w:r>
        <w:rPr>
          <w:sz w:val="22"/>
          <w:szCs w:val="22"/>
        </w:rPr>
        <w:t xml:space="preserve"> e </w:t>
      </w:r>
      <w:r>
        <w:rPr>
          <w:b/>
          <w:bCs/>
          <w:sz w:val="22"/>
          <w:szCs w:val="22"/>
        </w:rPr>
        <w:t>5.10.1.12</w:t>
      </w:r>
      <w:r>
        <w:rPr>
          <w:sz w:val="22"/>
          <w:szCs w:val="22"/>
        </w:rPr>
        <w:t xml:space="preserve"> poderão participar no apoio das atividades de planejamento da contratação, de execução da licitação ou de gestão </w:t>
      </w:r>
      <w:r>
        <w:rPr>
          <w:color w:val="auto"/>
          <w:sz w:val="22"/>
          <w:szCs w:val="22"/>
        </w:rPr>
        <w:t xml:space="preserve">da </w:t>
      </w:r>
      <w:r>
        <w:rPr>
          <w:sz w:val="22"/>
          <w:szCs w:val="22"/>
        </w:rPr>
        <w:t>Ata</w:t>
      </w:r>
      <w:r>
        <w:rPr>
          <w:color w:val="auto"/>
          <w:sz w:val="22"/>
          <w:szCs w:val="22"/>
        </w:rPr>
        <w:t xml:space="preserve"> de Registro de Preços</w:t>
      </w:r>
      <w:r>
        <w:rPr>
          <w:sz w:val="22"/>
          <w:szCs w:val="22"/>
        </w:rPr>
        <w:t>, desde que sob supervisão exclusiva de agentes públicos do órgão ou entidade.</w:t>
      </w:r>
      <w:bookmarkStart w:id="9" w:name="art14§3"/>
      <w:bookmarkEnd w:id="9"/>
    </w:p>
    <w:p w14:paraId="28D68096">
      <w:pPr>
        <w:pStyle w:val="34"/>
        <w:numPr>
          <w:ilvl w:val="1"/>
          <w:numId w:val="0"/>
        </w:numPr>
        <w:tabs>
          <w:tab w:val="left" w:pos="480"/>
        </w:tabs>
        <w:spacing w:before="0" w:after="0" w:line="360" w:lineRule="auto"/>
        <w:rPr>
          <w:sz w:val="22"/>
          <w:szCs w:val="22"/>
        </w:rPr>
      </w:pPr>
      <w:r>
        <w:rPr>
          <w:b/>
          <w:bCs/>
          <w:sz w:val="22"/>
          <w:szCs w:val="22"/>
        </w:rPr>
        <w:t>5.10.1.20</w:t>
      </w:r>
      <w:r>
        <w:rPr>
          <w:sz w:val="22"/>
          <w:szCs w:val="22"/>
        </w:rPr>
        <w:t>. Equiparam-se aos autores do projeto as empresas integrantes do mesmo grupo econômico.</w:t>
      </w:r>
      <w:bookmarkStart w:id="10" w:name="art14§4"/>
      <w:bookmarkEnd w:id="10"/>
    </w:p>
    <w:p w14:paraId="480FCDD0">
      <w:pPr>
        <w:pStyle w:val="34"/>
        <w:numPr>
          <w:ilvl w:val="1"/>
          <w:numId w:val="0"/>
        </w:numPr>
        <w:tabs>
          <w:tab w:val="left" w:pos="480"/>
        </w:tabs>
        <w:spacing w:before="0" w:after="0" w:line="360" w:lineRule="auto"/>
        <w:ind w:left="-16" w:leftChars="-8"/>
        <w:rPr>
          <w:sz w:val="22"/>
          <w:szCs w:val="22"/>
        </w:rPr>
      </w:pPr>
      <w:r>
        <w:rPr>
          <w:b/>
          <w:bCs/>
          <w:sz w:val="22"/>
          <w:szCs w:val="22"/>
        </w:rPr>
        <w:t>5.10.1.21.</w:t>
      </w:r>
      <w:r>
        <w:rPr>
          <w:sz w:val="22"/>
          <w:szCs w:val="22"/>
        </w:rPr>
        <w:t xml:space="preserve"> O disposto nos itens </w:t>
      </w:r>
      <w:r>
        <w:rPr>
          <w:b/>
          <w:bCs/>
          <w:sz w:val="22"/>
          <w:szCs w:val="22"/>
        </w:rPr>
        <w:t>5.10.1.11.</w:t>
      </w:r>
      <w:r>
        <w:rPr>
          <w:sz w:val="22"/>
          <w:szCs w:val="22"/>
        </w:rPr>
        <w:t xml:space="preserve"> e </w:t>
      </w:r>
      <w:r>
        <w:rPr>
          <w:b/>
          <w:bCs/>
          <w:sz w:val="22"/>
          <w:szCs w:val="22"/>
        </w:rPr>
        <w:t>5.10.1.12.</w:t>
      </w:r>
      <w:r>
        <w:rPr>
          <w:sz w:val="22"/>
          <w:szCs w:val="22"/>
        </w:rPr>
        <w:t xml:space="preserve"> não impede a licitação ou a contratação de serviço que inclua como encargo da Contratada a elaboração do projeto básico e do projeto executivo, nas contratações integradas, e do projeto executivo, nos demais regimes de execução.</w:t>
      </w:r>
      <w:bookmarkStart w:id="11" w:name="art14§5"/>
      <w:bookmarkEnd w:id="11"/>
    </w:p>
    <w:p w14:paraId="21577DCE">
      <w:pPr>
        <w:pStyle w:val="34"/>
        <w:numPr>
          <w:ilvl w:val="1"/>
          <w:numId w:val="0"/>
        </w:numPr>
        <w:tabs>
          <w:tab w:val="left" w:pos="480"/>
        </w:tabs>
        <w:spacing w:before="0" w:after="0" w:line="360" w:lineRule="auto"/>
        <w:rPr>
          <w:sz w:val="22"/>
          <w:szCs w:val="22"/>
        </w:rPr>
      </w:pPr>
      <w:r>
        <w:rPr>
          <w:b/>
          <w:bCs/>
          <w:sz w:val="22"/>
          <w:szCs w:val="22"/>
        </w:rPr>
        <w:t>5.10.1.22.</w:t>
      </w:r>
      <w:r>
        <w:rPr>
          <w:sz w:val="22"/>
          <w:szCs w:val="22"/>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 xml:space="preserve"> HYPERLINK "http://www.planalto.gov.br/ccivil_03/_ato2019-2022/2021/lei/L14133.htm" \h </w:instrText>
      </w:r>
      <w:r>
        <w:fldChar w:fldCharType="separate"/>
      </w:r>
      <w:r>
        <w:rPr>
          <w:rStyle w:val="8"/>
          <w:color w:val="auto"/>
          <w:sz w:val="22"/>
          <w:szCs w:val="22"/>
          <w:u w:val="none"/>
        </w:rPr>
        <w:t>Lei Federal nº 14.133/2021</w:t>
      </w:r>
      <w:r>
        <w:rPr>
          <w:rStyle w:val="8"/>
          <w:color w:val="auto"/>
          <w:sz w:val="22"/>
          <w:szCs w:val="22"/>
          <w:u w:val="none"/>
        </w:rPr>
        <w:fldChar w:fldCharType="end"/>
      </w:r>
      <w:r>
        <w:rPr>
          <w:color w:val="auto"/>
          <w:sz w:val="22"/>
          <w:szCs w:val="22"/>
        </w:rPr>
        <w:t>.</w:t>
      </w:r>
    </w:p>
    <w:p w14:paraId="34820820">
      <w:pPr>
        <w:pStyle w:val="34"/>
        <w:numPr>
          <w:ilvl w:val="1"/>
          <w:numId w:val="0"/>
        </w:numPr>
        <w:tabs>
          <w:tab w:val="left" w:pos="480"/>
        </w:tabs>
        <w:spacing w:before="0" w:after="0" w:line="360" w:lineRule="auto"/>
        <w:ind w:left="-16" w:leftChars="-8"/>
        <w:rPr>
          <w:sz w:val="22"/>
          <w:szCs w:val="22"/>
        </w:rPr>
      </w:pPr>
      <w:r>
        <w:rPr>
          <w:b/>
          <w:bCs/>
          <w:sz w:val="22"/>
          <w:szCs w:val="22"/>
        </w:rPr>
        <w:t>5.10.1.23.</w:t>
      </w:r>
      <w:r>
        <w:rPr>
          <w:sz w:val="22"/>
          <w:szCs w:val="22"/>
        </w:rPr>
        <w:t xml:space="preserve"> A vedação de que trata o item </w:t>
      </w:r>
      <w:r>
        <w:rPr>
          <w:b/>
          <w:bCs/>
          <w:sz w:val="22"/>
          <w:szCs w:val="22"/>
        </w:rPr>
        <w:t>5.10.1.15</w:t>
      </w:r>
      <w:r>
        <w:rPr>
          <w:sz w:val="22"/>
          <w:szCs w:val="22"/>
        </w:rPr>
        <w:t>. estende-se a terceiro que auxilie a condução da contratação na qualidade de integrante de Equipe de Apoio, profissional especializado ou funcionário ou representante de empresa que preste assessoria técnica.</w:t>
      </w:r>
    </w:p>
    <w:p w14:paraId="7B7E879E">
      <w:pPr>
        <w:pStyle w:val="34"/>
        <w:numPr>
          <w:ilvl w:val="1"/>
          <w:numId w:val="0"/>
        </w:numPr>
        <w:tabs>
          <w:tab w:val="left" w:pos="480"/>
        </w:tabs>
        <w:spacing w:before="0" w:after="0" w:line="360" w:lineRule="auto"/>
        <w:ind w:left="-16" w:leftChars="-8"/>
        <w:rPr>
          <w:b/>
          <w:bCs/>
          <w:sz w:val="22"/>
          <w:szCs w:val="22"/>
        </w:rPr>
      </w:pPr>
      <w:r>
        <w:rPr>
          <w:b/>
          <w:bCs/>
          <w:sz w:val="22"/>
          <w:szCs w:val="22"/>
        </w:rPr>
        <w:t>5.10.1.24. Será permitida a participação de consórcio de empresas, sendo exigidas:</w:t>
      </w:r>
    </w:p>
    <w:p w14:paraId="4025A9FD">
      <w:pPr>
        <w:tabs>
          <w:tab w:val="left" w:pos="1276"/>
        </w:tabs>
        <w:autoSpaceDE w:val="0"/>
        <w:autoSpaceDN w:val="0"/>
        <w:spacing w:line="360" w:lineRule="auto"/>
        <w:contextualSpacing/>
        <w:rPr>
          <w:rFonts w:ascii="Arial" w:hAnsi="Arial" w:cs="Arial"/>
          <w:sz w:val="22"/>
          <w:szCs w:val="22"/>
        </w:rPr>
      </w:pPr>
      <w:r>
        <w:rPr>
          <w:rFonts w:ascii="Arial" w:hAnsi="Arial" w:cs="Arial"/>
          <w:b/>
          <w:bCs/>
          <w:color w:val="000000"/>
          <w:sz w:val="22"/>
          <w:szCs w:val="22"/>
        </w:rPr>
        <w:t>5.10.1.25.</w:t>
      </w:r>
      <w:r>
        <w:rPr>
          <w:rFonts w:ascii="Arial" w:hAnsi="Arial" w:cs="Arial"/>
          <w:color w:val="000000"/>
          <w:sz w:val="22"/>
          <w:szCs w:val="22"/>
        </w:rPr>
        <w:t xml:space="preserve"> A comprovação da existência de compromisso público ou particular de constituição de consórcio, com indicação da empresa líder, que atenderá às condições de liderança estabelecidas no Edital e representará as consorciadas perante o município;</w:t>
      </w:r>
    </w:p>
    <w:p w14:paraId="7FF736D5">
      <w:pPr>
        <w:tabs>
          <w:tab w:val="left" w:pos="1276"/>
        </w:tabs>
        <w:autoSpaceDE w:val="0"/>
        <w:autoSpaceDN w:val="0"/>
        <w:spacing w:line="360" w:lineRule="auto"/>
        <w:contextualSpacing/>
        <w:rPr>
          <w:rFonts w:ascii="Arial" w:hAnsi="Arial" w:cs="Arial"/>
          <w:sz w:val="22"/>
          <w:szCs w:val="22"/>
        </w:rPr>
      </w:pPr>
      <w:r>
        <w:rPr>
          <w:rFonts w:ascii="Arial" w:hAnsi="Arial" w:cs="Arial"/>
          <w:b/>
          <w:bCs/>
          <w:color w:val="000000"/>
          <w:sz w:val="22"/>
          <w:szCs w:val="22"/>
        </w:rPr>
        <w:t>5.10.1.26.</w:t>
      </w:r>
      <w:r>
        <w:rPr>
          <w:rFonts w:ascii="Arial" w:hAnsi="Arial" w:cs="Arial"/>
          <w:color w:val="000000"/>
          <w:sz w:val="22"/>
          <w:szCs w:val="22"/>
        </w:rPr>
        <w:t xml:space="preserve"> A apresentação da documentação de habilitação especificada no Edital por empresa consorciada;</w:t>
      </w:r>
    </w:p>
    <w:p w14:paraId="49FF871C">
      <w:pPr>
        <w:tabs>
          <w:tab w:val="left" w:pos="1276"/>
        </w:tabs>
        <w:autoSpaceDE w:val="0"/>
        <w:autoSpaceDN w:val="0"/>
        <w:spacing w:line="360" w:lineRule="auto"/>
        <w:contextualSpacing/>
        <w:rPr>
          <w:rFonts w:ascii="Arial" w:hAnsi="Arial" w:cs="Arial"/>
          <w:sz w:val="22"/>
          <w:szCs w:val="22"/>
        </w:rPr>
      </w:pPr>
      <w:r>
        <w:rPr>
          <w:rFonts w:ascii="Arial" w:hAnsi="Arial" w:cs="Arial"/>
          <w:b/>
          <w:bCs/>
          <w:color w:val="000000"/>
          <w:sz w:val="22"/>
          <w:szCs w:val="22"/>
        </w:rPr>
        <w:t>5.10.1.27.</w:t>
      </w:r>
      <w:r>
        <w:rPr>
          <w:rFonts w:ascii="Arial" w:hAnsi="Arial" w:cs="Arial"/>
          <w:color w:val="000000"/>
          <w:sz w:val="22"/>
          <w:szCs w:val="22"/>
        </w:rPr>
        <w:t xml:space="preserve"> A comprovação da capacidade técnica do consórcio pelo somatório dos quantitativos de cada empresa consorciada, na forma estabelecida no Edital;</w:t>
      </w:r>
    </w:p>
    <w:p w14:paraId="6AEF0F37">
      <w:pPr>
        <w:tabs>
          <w:tab w:val="left" w:pos="1276"/>
        </w:tabs>
        <w:autoSpaceDE w:val="0"/>
        <w:autoSpaceDN w:val="0"/>
        <w:spacing w:line="360" w:lineRule="auto"/>
        <w:contextualSpacing/>
        <w:rPr>
          <w:rFonts w:ascii="Arial" w:hAnsi="Arial" w:cs="Arial"/>
          <w:color w:val="000000"/>
          <w:sz w:val="22"/>
          <w:szCs w:val="22"/>
        </w:rPr>
      </w:pPr>
      <w:r>
        <w:rPr>
          <w:rFonts w:ascii="Arial" w:hAnsi="Arial" w:cs="Arial"/>
          <w:b/>
          <w:bCs/>
          <w:color w:val="000000"/>
          <w:sz w:val="22"/>
          <w:szCs w:val="22"/>
        </w:rPr>
        <w:t>5.10.1.28.</w:t>
      </w:r>
      <w:r>
        <w:rPr>
          <w:rFonts w:ascii="Arial" w:hAnsi="Arial" w:cs="Arial"/>
          <w:color w:val="000000"/>
          <w:sz w:val="22"/>
          <w:szCs w:val="22"/>
        </w:rPr>
        <w:t xml:space="preserve"> A demonstração, por cada empresa consorciada, do atendimento aos índices contábeis definidos no Edital, para fins de qualificação econômico-financeira;</w:t>
      </w:r>
    </w:p>
    <w:p w14:paraId="7027AD35">
      <w:pPr>
        <w:tabs>
          <w:tab w:val="left" w:pos="1276"/>
        </w:tabs>
        <w:autoSpaceDE w:val="0"/>
        <w:autoSpaceDN w:val="0"/>
        <w:spacing w:line="360" w:lineRule="auto"/>
        <w:contextualSpacing/>
        <w:rPr>
          <w:rFonts w:ascii="Arial" w:hAnsi="Arial" w:cs="Arial"/>
          <w:sz w:val="22"/>
          <w:szCs w:val="22"/>
        </w:rPr>
      </w:pPr>
      <w:r>
        <w:rPr>
          <w:rFonts w:ascii="Arial" w:hAnsi="Arial" w:cs="Arial"/>
          <w:b/>
          <w:bCs/>
          <w:color w:val="000000"/>
          <w:sz w:val="22"/>
          <w:szCs w:val="22"/>
        </w:rPr>
        <w:t>5.10.1.29.</w:t>
      </w:r>
      <w:r>
        <w:rPr>
          <w:rFonts w:ascii="Arial" w:hAnsi="Arial" w:cs="Arial"/>
          <w:color w:val="000000"/>
          <w:sz w:val="22"/>
          <w:szCs w:val="22"/>
        </w:rPr>
        <w:t xml:space="preserve"> A responsabilidade solidária das empresas consorciadas pelas obrigações do consórcio, nas etapas da licitação e durante a vigência d</w:t>
      </w:r>
      <w:r>
        <w:rPr>
          <w:rFonts w:ascii="Arial" w:hAnsi="Arial" w:cs="Arial"/>
          <w:sz w:val="22"/>
          <w:szCs w:val="22"/>
        </w:rPr>
        <w:t>a Ata de Registro de Preços ou Contrato, quando for o caso</w:t>
      </w:r>
      <w:r>
        <w:rPr>
          <w:rFonts w:ascii="Arial" w:hAnsi="Arial" w:cs="Arial"/>
          <w:color w:val="000000"/>
          <w:sz w:val="22"/>
          <w:szCs w:val="22"/>
        </w:rPr>
        <w:t>;</w:t>
      </w:r>
    </w:p>
    <w:p w14:paraId="3D2CD0C0">
      <w:pPr>
        <w:tabs>
          <w:tab w:val="left" w:pos="1276"/>
        </w:tabs>
        <w:autoSpaceDE w:val="0"/>
        <w:autoSpaceDN w:val="0"/>
        <w:spacing w:line="360" w:lineRule="auto"/>
        <w:contextualSpacing/>
        <w:rPr>
          <w:rFonts w:ascii="Arial" w:hAnsi="Arial" w:cs="Arial"/>
          <w:sz w:val="22"/>
          <w:szCs w:val="22"/>
        </w:rPr>
      </w:pPr>
      <w:r>
        <w:rPr>
          <w:rFonts w:ascii="Arial" w:hAnsi="Arial" w:cs="Arial"/>
          <w:b/>
          <w:bCs/>
          <w:color w:val="000000"/>
          <w:sz w:val="22"/>
          <w:szCs w:val="22"/>
        </w:rPr>
        <w:t>5.10.1.30.</w:t>
      </w:r>
      <w:r>
        <w:rPr>
          <w:rFonts w:ascii="Arial" w:hAnsi="Arial" w:cs="Arial"/>
          <w:color w:val="000000"/>
          <w:sz w:val="22"/>
          <w:szCs w:val="22"/>
        </w:rPr>
        <w:t xml:space="preserve"> A obrigatoriedade de liderança por empresa brasileira no consórcio formado por empresas brasileiras e estrangeiras; </w:t>
      </w:r>
    </w:p>
    <w:p w14:paraId="7B513162">
      <w:pPr>
        <w:tabs>
          <w:tab w:val="left" w:pos="1276"/>
        </w:tabs>
        <w:autoSpaceDE w:val="0"/>
        <w:autoSpaceDN w:val="0"/>
        <w:spacing w:line="360" w:lineRule="auto"/>
        <w:contextualSpacing/>
        <w:rPr>
          <w:rFonts w:ascii="Arial" w:hAnsi="Arial" w:cs="Arial"/>
          <w:sz w:val="22"/>
          <w:szCs w:val="22"/>
        </w:rPr>
      </w:pPr>
      <w:r>
        <w:rPr>
          <w:rFonts w:ascii="Arial" w:hAnsi="Arial" w:cs="Arial"/>
          <w:b/>
          <w:bCs/>
          <w:color w:val="000000"/>
          <w:sz w:val="22"/>
          <w:szCs w:val="22"/>
        </w:rPr>
        <w:t>5.10.1.31.</w:t>
      </w:r>
      <w:r>
        <w:rPr>
          <w:rFonts w:ascii="Arial" w:hAnsi="Arial" w:cs="Arial"/>
          <w:color w:val="000000"/>
          <w:sz w:val="22"/>
          <w:szCs w:val="22"/>
        </w:rPr>
        <w:t xml:space="preserve"> A constituição e o registro do consórcio antes da celebração </w:t>
      </w:r>
      <w:r>
        <w:rPr>
          <w:rFonts w:ascii="Arial" w:hAnsi="Arial" w:cs="Arial"/>
          <w:sz w:val="22"/>
          <w:szCs w:val="22"/>
        </w:rPr>
        <w:t>da Ata de Registro de Preços ou Contrato, quando for o caso</w:t>
      </w:r>
      <w:r>
        <w:rPr>
          <w:rFonts w:ascii="Arial" w:hAnsi="Arial" w:cs="Arial"/>
          <w:color w:val="000000"/>
          <w:sz w:val="22"/>
          <w:szCs w:val="22"/>
        </w:rPr>
        <w:t>.</w:t>
      </w:r>
    </w:p>
    <w:p w14:paraId="74E0826C">
      <w:pPr>
        <w:pStyle w:val="24"/>
      </w:pPr>
      <w:r>
        <w:rPr>
          <w:b/>
        </w:rPr>
        <w:t>5.10.1.32.</w:t>
      </w:r>
      <w:r>
        <w:t xml:space="preserve"> Fica vedada a participação de empresa consorciada, na mesma licitação, por meio de mais de um consórcio ou isoladamente.</w:t>
      </w:r>
    </w:p>
    <w:p w14:paraId="63F852F5">
      <w:pPr>
        <w:pStyle w:val="24"/>
      </w:pPr>
      <w:r>
        <w:rPr>
          <w:b/>
        </w:rPr>
        <w:t>5.10.1.33.</w:t>
      </w:r>
      <w:r>
        <w:t xml:space="preserve"> Sob pena de inabilitação ou desclassificação, todos os documentos apresentados deverão referir-se ao mesmo CNPJ constante no credenciamento junto à plataforma eletrônica. </w:t>
      </w:r>
    </w:p>
    <w:p w14:paraId="4893663B">
      <w:pPr>
        <w:tabs>
          <w:tab w:val="left" w:pos="1276"/>
        </w:tabs>
        <w:autoSpaceDE w:val="0"/>
        <w:autoSpaceDN w:val="0"/>
        <w:spacing w:line="360" w:lineRule="auto"/>
        <w:contextualSpacing/>
        <w:rPr>
          <w:rFonts w:ascii="Arial" w:hAnsi="Arial" w:cs="Arial"/>
          <w:sz w:val="22"/>
          <w:szCs w:val="22"/>
        </w:rPr>
      </w:pPr>
      <w:r>
        <w:rPr>
          <w:rFonts w:ascii="Arial" w:hAnsi="Arial" w:cs="Arial"/>
          <w:b/>
          <w:bCs/>
          <w:sz w:val="22"/>
          <w:szCs w:val="22"/>
        </w:rPr>
        <w:t>5.10.1.34.</w:t>
      </w:r>
      <w:r>
        <w:rPr>
          <w:rFonts w:ascii="Arial" w:hAnsi="Arial" w:cs="Arial"/>
          <w:sz w:val="22"/>
          <w:szCs w:val="22"/>
        </w:rPr>
        <w:t xml:space="preserve"> Será concedido tratamento favorecido para as Microempresas e Empresas de Pequeno Porte, para as Sociedades Cooperativas mencionadas no </w:t>
      </w:r>
      <w:r>
        <w:fldChar w:fldCharType="begin"/>
      </w:r>
      <w:r>
        <w:instrText xml:space="preserve"> HYPERLINK "http://www.planalto.gov.br/ccivil_03/_ato2019-2022/2021/lei/L14133.htm" \l "art16" \h </w:instrText>
      </w:r>
      <w:r>
        <w:fldChar w:fldCharType="separate"/>
      </w:r>
      <w:r>
        <w:rPr>
          <w:rStyle w:val="8"/>
          <w:rFonts w:ascii="Arial" w:hAnsi="Arial" w:cs="Arial"/>
          <w:color w:val="auto"/>
          <w:sz w:val="22"/>
          <w:szCs w:val="22"/>
          <w:u w:val="none"/>
        </w:rPr>
        <w:t>artigo 16 da Lei Federal nº 14.133/2021</w:t>
      </w:r>
      <w:r>
        <w:rPr>
          <w:rStyle w:val="8"/>
          <w:rFonts w:ascii="Arial" w:hAnsi="Arial" w:cs="Arial"/>
          <w:color w:val="auto"/>
          <w:sz w:val="22"/>
          <w:szCs w:val="22"/>
          <w:u w:val="none"/>
        </w:rPr>
        <w:fldChar w:fldCharType="end"/>
      </w:r>
      <w:r>
        <w:rPr>
          <w:rFonts w:ascii="Arial" w:hAnsi="Arial" w:cs="Arial"/>
          <w:sz w:val="22"/>
          <w:szCs w:val="22"/>
        </w:rPr>
        <w:t xml:space="preserve">, para o Agricultor Familiar, o Produtor Rural pessoa física e para o Microempreendedor Individual - MEI, nos limites previstos da </w:t>
      </w:r>
      <w:r>
        <w:fldChar w:fldCharType="begin"/>
      </w:r>
      <w:r>
        <w:instrText xml:space="preserve"> HYPERLINK "https://www.planalto.gov.br/ccivil_03/leis/lcp/lcp123.htm" \h </w:instrText>
      </w:r>
      <w:r>
        <w:fldChar w:fldCharType="separate"/>
      </w:r>
      <w:r>
        <w:rPr>
          <w:rStyle w:val="8"/>
          <w:rFonts w:ascii="Arial" w:hAnsi="Arial" w:cs="Arial"/>
          <w:color w:val="auto"/>
          <w:sz w:val="22"/>
          <w:szCs w:val="22"/>
          <w:u w:val="none"/>
        </w:rPr>
        <w:t>Lei Complementar nº 123/2006</w:t>
      </w:r>
      <w:r>
        <w:rPr>
          <w:rStyle w:val="8"/>
          <w:rFonts w:ascii="Arial" w:hAnsi="Arial" w:cs="Arial"/>
          <w:color w:val="auto"/>
          <w:sz w:val="22"/>
          <w:szCs w:val="22"/>
          <w:u w:val="none"/>
        </w:rPr>
        <w:fldChar w:fldCharType="end"/>
      </w:r>
      <w:r>
        <w:rPr>
          <w:rFonts w:ascii="Arial" w:hAnsi="Arial" w:cs="Arial"/>
          <w:sz w:val="22"/>
          <w:szCs w:val="22"/>
        </w:rPr>
        <w:t xml:space="preserve"> e do Decreto n.º 8.538/2015.</w:t>
      </w:r>
      <w:bookmarkStart w:id="12" w:name="_Ref117015508"/>
    </w:p>
    <w:p w14:paraId="59C5CE7B">
      <w:pPr>
        <w:tabs>
          <w:tab w:val="left" w:pos="1276"/>
        </w:tabs>
        <w:autoSpaceDE w:val="0"/>
        <w:autoSpaceDN w:val="0"/>
        <w:spacing w:line="360" w:lineRule="auto"/>
        <w:contextualSpacing/>
        <w:rPr>
          <w:rFonts w:ascii="Arial" w:hAnsi="Arial" w:cs="Arial"/>
          <w:b/>
          <w:color w:val="FF0000"/>
          <w:spacing w:val="-2"/>
          <w:sz w:val="22"/>
          <w:szCs w:val="22"/>
        </w:rPr>
      </w:pPr>
      <w:r>
        <w:rPr>
          <w:rFonts w:ascii="Arial" w:hAnsi="Arial" w:cs="Arial"/>
          <w:b/>
          <w:bCs/>
          <w:sz w:val="22"/>
          <w:szCs w:val="22"/>
        </w:rPr>
        <w:t>5.10.1.35.</w:t>
      </w:r>
      <w:r>
        <w:rPr>
          <w:rFonts w:ascii="Arial" w:hAnsi="Arial" w:cs="Arial"/>
          <w:sz w:val="22"/>
          <w:szCs w:val="22"/>
        </w:rPr>
        <w:t xml:space="preserve">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2"/>
    </w:p>
    <w:p w14:paraId="4B9981C7">
      <w:pPr>
        <w:tabs>
          <w:tab w:val="left" w:pos="1276"/>
        </w:tabs>
        <w:autoSpaceDE w:val="0"/>
        <w:autoSpaceDN w:val="0"/>
        <w:spacing w:line="360" w:lineRule="auto"/>
        <w:contextualSpacing/>
        <w:rPr>
          <w:rFonts w:ascii="Arial" w:hAnsi="Arial" w:cs="Arial"/>
          <w:b/>
          <w:bCs/>
          <w:sz w:val="22"/>
          <w:szCs w:val="22"/>
        </w:rPr>
      </w:pPr>
      <w:r>
        <w:rPr>
          <w:rFonts w:ascii="Arial" w:hAnsi="Arial" w:cs="Arial"/>
          <w:b/>
          <w:bCs/>
          <w:sz w:val="22"/>
          <w:szCs w:val="22"/>
        </w:rPr>
        <w:t>5.10.1.36.</w:t>
      </w:r>
      <w:r>
        <w:rPr>
          <w:rFonts w:ascii="Arial" w:hAnsi="Arial" w:cs="Arial"/>
          <w:sz w:val="22"/>
          <w:szCs w:val="22"/>
        </w:rPr>
        <w:t xml:space="preserve"> Não será concedido tratamento diferenciado no caso de licitação para aquisição de bens ou contratação de serviços comuns, até mesmo de engenharia, ao item ou lote cujo valor estimado for superior à receita bruta máxima admitida para fins de enquadramento como Empresa de Pequeno Porte.</w:t>
      </w:r>
    </w:p>
    <w:p w14:paraId="555E60A3">
      <w:pPr>
        <w:adjustRightInd/>
        <w:spacing w:line="360" w:lineRule="auto"/>
        <w:contextualSpacing/>
        <w:rPr>
          <w:rFonts w:ascii="Arial" w:hAnsi="Arial" w:cs="Arial"/>
          <w:b/>
          <w:bCs/>
          <w:sz w:val="22"/>
          <w:szCs w:val="22"/>
        </w:rPr>
      </w:pPr>
      <w:r>
        <w:rPr>
          <w:rFonts w:ascii="Arial" w:hAnsi="Arial" w:cs="Arial"/>
          <w:b/>
          <w:bCs/>
          <w:sz w:val="22"/>
          <w:szCs w:val="22"/>
        </w:rPr>
        <w:t>5.11.EVENTUAL NECESSIDADE DE APRESENTAÇÃO DE AMOSTRA, PROTÓTIPO OU CATÁLOGO:</w:t>
      </w:r>
    </w:p>
    <w:p w14:paraId="3C379A54">
      <w:pPr>
        <w:pStyle w:val="28"/>
        <w:spacing w:line="360" w:lineRule="auto"/>
        <w:rPr>
          <w:rFonts w:ascii="Arial" w:hAnsi="Arial" w:cs="Arial"/>
          <w:color w:val="000000" w:themeColor="text1"/>
          <w:sz w:val="22"/>
          <w:szCs w:val="22"/>
          <w:lang w:val="pt-BR"/>
          <w14:textFill>
            <w14:solidFill>
              <w14:schemeClr w14:val="tx1"/>
            </w14:solidFill>
          </w14:textFill>
        </w:rPr>
      </w:pPr>
      <w:r>
        <w:rPr>
          <w:rFonts w:ascii="Arial" w:hAnsi="Arial" w:cs="Arial"/>
          <w:b/>
          <w:bCs/>
          <w:color w:val="000000" w:themeColor="text1"/>
          <w:sz w:val="22"/>
          <w:szCs w:val="22"/>
          <w:lang w:val="pt-BR"/>
          <w14:textFill>
            <w14:solidFill>
              <w14:schemeClr w14:val="tx1"/>
            </w14:solidFill>
          </w14:textFill>
        </w:rPr>
        <w:t>5.11.1.</w:t>
      </w:r>
      <w:r>
        <w:rPr>
          <w:rFonts w:ascii="Arial" w:hAnsi="Arial" w:cs="Arial"/>
          <w:color w:val="000000" w:themeColor="text1"/>
          <w:sz w:val="22"/>
          <w:szCs w:val="22"/>
          <w:lang w:val="pt-BR"/>
          <w14:textFill>
            <w14:solidFill>
              <w14:schemeClr w14:val="tx1"/>
            </w14:solidFill>
          </w14:textFill>
        </w:rPr>
        <w:t xml:space="preserve"> (Não se aplica)</w:t>
      </w:r>
    </w:p>
    <w:p w14:paraId="580568C0">
      <w:pPr>
        <w:adjustRightInd/>
        <w:spacing w:line="360" w:lineRule="auto"/>
        <w:contextualSpacing/>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5.12. EVENTUAL NECESSIDADE DE VISITA TÉCNICA, QUANDO APLICÁVEL:</w:t>
      </w:r>
    </w:p>
    <w:p w14:paraId="71DF6AEC">
      <w:pPr>
        <w:pStyle w:val="28"/>
        <w:spacing w:line="360" w:lineRule="auto"/>
        <w:rPr>
          <w:rFonts w:ascii="Arial" w:hAnsi="Arial" w:cs="Arial"/>
          <w:color w:val="000000" w:themeColor="text1"/>
          <w:sz w:val="22"/>
          <w:szCs w:val="22"/>
          <w:lang w:val="pt-BR"/>
          <w14:textFill>
            <w14:solidFill>
              <w14:schemeClr w14:val="tx1"/>
            </w14:solidFill>
          </w14:textFill>
        </w:rPr>
      </w:pPr>
      <w:r>
        <w:rPr>
          <w:rFonts w:ascii="Arial" w:hAnsi="Arial" w:cs="Arial"/>
          <w:b/>
          <w:bCs/>
          <w:color w:val="000000" w:themeColor="text1"/>
          <w:sz w:val="22"/>
          <w:szCs w:val="22"/>
          <w:lang w:val="pt-BR"/>
          <w14:textFill>
            <w14:solidFill>
              <w14:schemeClr w14:val="tx1"/>
            </w14:solidFill>
          </w14:textFill>
        </w:rPr>
        <w:t>5.12.1.</w:t>
      </w:r>
      <w:r>
        <w:rPr>
          <w:rFonts w:ascii="Arial" w:hAnsi="Arial" w:cs="Arial"/>
          <w:color w:val="000000" w:themeColor="text1"/>
          <w:sz w:val="22"/>
          <w:szCs w:val="22"/>
          <w:lang w:val="pt-BR"/>
          <w14:textFill>
            <w14:solidFill>
              <w14:schemeClr w14:val="tx1"/>
            </w14:solidFill>
          </w14:textFill>
        </w:rPr>
        <w:t xml:space="preserve"> (Não se aplica)</w:t>
      </w:r>
    </w:p>
    <w:p w14:paraId="5C5DF56F">
      <w:pPr>
        <w:tabs>
          <w:tab w:val="left" w:pos="200"/>
          <w:tab w:val="left" w:pos="400"/>
        </w:tabs>
        <w:adjustRightInd/>
        <w:spacing w:line="360" w:lineRule="auto"/>
        <w:contextualSpacing/>
        <w:rPr>
          <w:rFonts w:ascii="Arial" w:hAnsi="Arial" w:cs="Arial"/>
          <w:b/>
          <w:bCs/>
          <w:sz w:val="22"/>
          <w:szCs w:val="22"/>
        </w:rPr>
      </w:pPr>
      <w:r>
        <w:rPr>
          <w:rFonts w:ascii="Arial" w:hAnsi="Arial" w:cs="Arial"/>
          <w:b/>
          <w:sz w:val="22"/>
          <w:szCs w:val="22"/>
        </w:rPr>
        <w:t xml:space="preserve">5.13. </w:t>
      </w:r>
      <w:r>
        <w:rPr>
          <w:rFonts w:ascii="Arial" w:hAnsi="Arial" w:cs="Arial"/>
          <w:b/>
          <w:bCs/>
          <w:sz w:val="22"/>
          <w:szCs w:val="22"/>
        </w:rPr>
        <w:t>EVENTUAL NECESSIDADE DE REGISTRO E LICENÇAS QUANDO OBRIGATÓRIO POR LEI:</w:t>
      </w:r>
    </w:p>
    <w:p w14:paraId="76A109C2">
      <w:pPr>
        <w:adjustRightInd/>
        <w:spacing w:line="360" w:lineRule="auto"/>
        <w:contextualSpacing/>
        <w:rPr>
          <w:rFonts w:ascii="Arial" w:hAnsi="Arial" w:cs="Arial"/>
          <w:sz w:val="22"/>
          <w:szCs w:val="22"/>
        </w:rPr>
      </w:pPr>
      <w:r>
        <w:rPr>
          <w:rFonts w:ascii="Arial" w:hAnsi="Arial" w:cs="Arial"/>
          <w:b/>
          <w:bCs/>
          <w:sz w:val="22"/>
          <w:szCs w:val="22"/>
        </w:rPr>
        <w:t xml:space="preserve">5.13.1. </w:t>
      </w:r>
      <w:r>
        <w:rPr>
          <w:rFonts w:ascii="Arial" w:hAnsi="Arial" w:cs="Arial"/>
          <w:sz w:val="22"/>
          <w:szCs w:val="22"/>
        </w:rPr>
        <w:t>(Não se aplica).</w:t>
      </w:r>
    </w:p>
    <w:p w14:paraId="07CB5869">
      <w:pPr>
        <w:pStyle w:val="28"/>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ascii="Arial" w:hAnsi="Arial" w:eastAsia="SimSun" w:cs="Arial"/>
          <w:b/>
          <w:bCs/>
          <w:color w:val="000000"/>
          <w:sz w:val="22"/>
          <w:szCs w:val="22"/>
          <w:lang w:val="pt-BR" w:eastAsia="zh-CN" w:bidi="ar"/>
        </w:rPr>
      </w:pPr>
      <w:r>
        <w:rPr>
          <w:rFonts w:ascii="Arial" w:hAnsi="Arial" w:cs="Arial"/>
          <w:b/>
          <w:sz w:val="22"/>
          <w:szCs w:val="22"/>
          <w:lang w:val="pt-BR"/>
        </w:rPr>
        <w:t xml:space="preserve">5.14. </w:t>
      </w:r>
      <w:r>
        <w:rPr>
          <w:rFonts w:hint="default" w:ascii="Arial" w:hAnsi="Arial" w:cs="Arial"/>
          <w:b/>
          <w:sz w:val="22"/>
          <w:szCs w:val="22"/>
          <w:lang w:val="pt-BR"/>
        </w:rPr>
        <w:t xml:space="preserve">QUALIFICAÇÃO </w:t>
      </w:r>
      <w:r>
        <w:rPr>
          <w:rFonts w:ascii="Arial" w:hAnsi="Arial" w:cs="Arial"/>
          <w:b/>
          <w:sz w:val="22"/>
          <w:szCs w:val="22"/>
          <w:lang w:val="pt-BR"/>
        </w:rPr>
        <w:t>TÉCNICA</w:t>
      </w:r>
    </w:p>
    <w:p w14:paraId="4670A730">
      <w:pPr>
        <w:keepNext w:val="0"/>
        <w:keepLines w:val="0"/>
        <w:pageBreakBefore w:val="0"/>
        <w:widowControl w:val="0"/>
        <w:tabs>
          <w:tab w:val="left" w:pos="1276"/>
        </w:tabs>
        <w:kinsoku/>
        <w:wordWrap/>
        <w:overflowPunct/>
        <w:topLinePunct w:val="0"/>
        <w:autoSpaceDE/>
        <w:autoSpaceDN/>
        <w:bidi w:val="0"/>
        <w:adjustRightInd w:val="0"/>
        <w:snapToGrid w:val="0"/>
        <w:spacing w:line="360" w:lineRule="auto"/>
        <w:textAlignment w:val="baseline"/>
        <w:rPr>
          <w:rFonts w:hint="default" w:ascii="Arial" w:hAnsi="Arial" w:cs="Arial"/>
          <w:color w:val="000000"/>
          <w:sz w:val="22"/>
          <w:szCs w:val="22"/>
          <w:lang w:val="pt-BR"/>
        </w:rPr>
      </w:pPr>
      <w:r>
        <w:rPr>
          <w:rFonts w:ascii="Arial" w:hAnsi="Arial" w:cs="Arial"/>
          <w:b/>
          <w:bCs/>
          <w:sz w:val="22"/>
          <w:szCs w:val="22"/>
        </w:rPr>
        <w:t>5.14.1.</w:t>
      </w:r>
      <w:r>
        <w:rPr>
          <w:rFonts w:ascii="Arial" w:hAnsi="Arial" w:cs="Arial"/>
          <w:b/>
          <w:color w:val="000000"/>
          <w:sz w:val="22"/>
          <w:szCs w:val="22"/>
        </w:rPr>
        <w:t xml:space="preserve"> </w:t>
      </w:r>
      <w:r>
        <w:rPr>
          <w:rFonts w:hint="default" w:ascii="Arial" w:hAnsi="Arial" w:cs="Arial"/>
          <w:b w:val="0"/>
          <w:bCs/>
          <w:color w:val="000000"/>
          <w:sz w:val="22"/>
          <w:szCs w:val="22"/>
        </w:rPr>
        <w:t>Para os itens</w:t>
      </w:r>
      <w:r>
        <w:rPr>
          <w:rFonts w:hint="default" w:ascii="Arial" w:hAnsi="Arial" w:cs="Arial"/>
          <w:b/>
          <w:color w:val="000000"/>
          <w:sz w:val="22"/>
          <w:szCs w:val="22"/>
        </w:rPr>
        <w:t xml:space="preserve"> </w:t>
      </w:r>
      <w:r>
        <w:rPr>
          <w:rFonts w:hint="default" w:ascii="Arial" w:hAnsi="Arial" w:cs="Arial"/>
          <w:b/>
          <w:color w:val="000000"/>
          <w:sz w:val="22"/>
          <w:szCs w:val="22"/>
          <w:lang w:val="pt-BR"/>
        </w:rPr>
        <w:t>3,4,</w:t>
      </w:r>
      <w:r>
        <w:rPr>
          <w:rFonts w:hint="default" w:ascii="Arial" w:hAnsi="Arial" w:cs="Arial"/>
          <w:b/>
          <w:color w:val="000000"/>
          <w:sz w:val="22"/>
          <w:szCs w:val="22"/>
        </w:rPr>
        <w:t>8, 9, 10, 11, 12 e 13</w:t>
      </w:r>
      <w:r>
        <w:rPr>
          <w:rFonts w:ascii="Arial" w:hAnsi="Arial" w:cs="Arial"/>
          <w:color w:val="000000"/>
          <w:sz w:val="22"/>
          <w:szCs w:val="22"/>
        </w:rPr>
        <w:t xml:space="preserve"> deverá apresentar a AFE - Autorização de Funcionamento fornecido pela ANVISA</w:t>
      </w:r>
      <w:r>
        <w:rPr>
          <w:rFonts w:hint="default" w:ascii="Arial" w:hAnsi="Arial" w:cs="Arial"/>
          <w:color w:val="000000"/>
          <w:sz w:val="22"/>
          <w:szCs w:val="22"/>
          <w:lang w:val="pt-BR"/>
        </w:rPr>
        <w:t>.</w:t>
      </w:r>
    </w:p>
    <w:p w14:paraId="56B305FB">
      <w:pPr>
        <w:pStyle w:val="20"/>
        <w:keepNext w:val="0"/>
        <w:keepLines w:val="0"/>
        <w:pageBreakBefore w:val="0"/>
        <w:widowControl w:val="0"/>
        <w:tabs>
          <w:tab w:val="left" w:pos="1276"/>
        </w:tabs>
        <w:kinsoku/>
        <w:wordWrap/>
        <w:overflowPunct/>
        <w:topLinePunct w:val="0"/>
        <w:autoSpaceDE/>
        <w:autoSpaceDN/>
        <w:bidi w:val="0"/>
        <w:adjustRightInd w:val="0"/>
        <w:snapToGrid w:val="0"/>
        <w:spacing w:line="360" w:lineRule="auto"/>
        <w:ind w:left="0"/>
        <w:textAlignment w:val="baseline"/>
        <w:rPr>
          <w:rFonts w:hint="default" w:ascii="Arial" w:hAnsi="Arial" w:cs="Arial"/>
          <w:color w:val="000000"/>
          <w:sz w:val="22"/>
          <w:szCs w:val="22"/>
        </w:rPr>
      </w:pPr>
      <w:r>
        <w:rPr>
          <w:rFonts w:ascii="Arial" w:hAnsi="Arial" w:cs="Arial"/>
          <w:b/>
          <w:bCs/>
          <w:color w:val="000000"/>
          <w:sz w:val="22"/>
          <w:szCs w:val="22"/>
        </w:rPr>
        <w:t>5.14.2.</w:t>
      </w:r>
      <w:r>
        <w:rPr>
          <w:rFonts w:ascii="Arial" w:hAnsi="Arial" w:cs="Arial"/>
          <w:color w:val="000000"/>
          <w:sz w:val="22"/>
          <w:szCs w:val="22"/>
        </w:rPr>
        <w:t xml:space="preserve"> </w:t>
      </w:r>
      <w:r>
        <w:rPr>
          <w:rFonts w:hint="default" w:ascii="Arial" w:hAnsi="Arial" w:cs="Arial"/>
          <w:color w:val="000000"/>
          <w:sz w:val="22"/>
          <w:szCs w:val="22"/>
        </w:rPr>
        <w:t>No caso de a licitante ser fabricante e/ou envasadora de oxigênio medicinal, deverá apresentar Autorização de Funcionamento de Empresa – AFE, válida, expedida pela Agência Nacional de Vigilância Sanitária – ANVISA, compatível com a atividade exercida.</w:t>
      </w:r>
    </w:p>
    <w:p w14:paraId="773A49F1">
      <w:pPr>
        <w:pStyle w:val="20"/>
        <w:keepNext w:val="0"/>
        <w:keepLines w:val="0"/>
        <w:pageBreakBefore w:val="0"/>
        <w:widowControl w:val="0"/>
        <w:tabs>
          <w:tab w:val="left" w:pos="1276"/>
        </w:tabs>
        <w:kinsoku/>
        <w:wordWrap/>
        <w:overflowPunct/>
        <w:topLinePunct w:val="0"/>
        <w:autoSpaceDE/>
        <w:autoSpaceDN/>
        <w:bidi w:val="0"/>
        <w:adjustRightInd w:val="0"/>
        <w:snapToGrid w:val="0"/>
        <w:spacing w:line="360" w:lineRule="auto"/>
        <w:ind w:left="0"/>
        <w:textAlignment w:val="baseline"/>
        <w:rPr>
          <w:rFonts w:hint="default" w:ascii="Arial" w:hAnsi="Arial" w:cs="Arial"/>
          <w:b w:val="0"/>
          <w:bCs w:val="0"/>
          <w:szCs w:val="22"/>
        </w:rPr>
      </w:pPr>
      <w:r>
        <w:rPr>
          <w:rFonts w:ascii="Arial" w:hAnsi="Arial" w:cs="Arial"/>
          <w:b/>
          <w:bCs/>
          <w:szCs w:val="22"/>
        </w:rPr>
        <w:t xml:space="preserve">5.14.3. </w:t>
      </w:r>
      <w:r>
        <w:rPr>
          <w:rFonts w:hint="default" w:ascii="Arial" w:hAnsi="Arial" w:cs="Arial"/>
          <w:b w:val="0"/>
          <w:bCs w:val="0"/>
          <w:szCs w:val="22"/>
        </w:rPr>
        <w:t>No caso de a licitante atuar exclusivamente como distribuidora de oxigênio medicinal, deverá apresentar a documentação sanitária legalmente exigível para o exercício da atividade de distribuição, bem como comprovação da regularidade sanitária do fabricante/envasador do produto ofertado, quando aplicável, nos termos da regulamentação da ANVISA.</w:t>
      </w:r>
    </w:p>
    <w:p w14:paraId="3B280C7D">
      <w:pPr>
        <w:pStyle w:val="20"/>
        <w:keepNext w:val="0"/>
        <w:keepLines w:val="0"/>
        <w:pageBreakBefore w:val="0"/>
        <w:widowControl w:val="0"/>
        <w:tabs>
          <w:tab w:val="left" w:pos="1276"/>
        </w:tabs>
        <w:kinsoku/>
        <w:wordWrap/>
        <w:overflowPunct/>
        <w:topLinePunct w:val="0"/>
        <w:autoSpaceDE/>
        <w:autoSpaceDN/>
        <w:bidi w:val="0"/>
        <w:adjustRightInd w:val="0"/>
        <w:snapToGrid w:val="0"/>
        <w:spacing w:line="360" w:lineRule="auto"/>
        <w:ind w:left="0"/>
        <w:textAlignment w:val="baseline"/>
        <w:rPr>
          <w:rFonts w:hint="default" w:ascii="Arial" w:hAnsi="Arial" w:cs="Arial"/>
          <w:b w:val="0"/>
          <w:bCs w:val="0"/>
          <w:szCs w:val="22"/>
          <w:lang w:val="pt-BR"/>
        </w:rPr>
      </w:pPr>
      <w:r>
        <w:rPr>
          <w:rFonts w:ascii="Arial" w:hAnsi="Arial" w:cs="Arial"/>
          <w:b/>
          <w:bCs/>
          <w:szCs w:val="22"/>
        </w:rPr>
        <w:t xml:space="preserve">5.14.4. </w:t>
      </w:r>
      <w:r>
        <w:rPr>
          <w:rFonts w:hint="default" w:ascii="Arial" w:hAnsi="Arial" w:cs="Arial"/>
          <w:b w:val="0"/>
          <w:bCs w:val="0"/>
          <w:szCs w:val="22"/>
        </w:rPr>
        <w:t>Para os itens</w:t>
      </w:r>
      <w:r>
        <w:rPr>
          <w:rFonts w:hint="default" w:ascii="Arial" w:hAnsi="Arial" w:cs="Arial"/>
          <w:b w:val="0"/>
          <w:bCs w:val="0"/>
          <w:szCs w:val="22"/>
          <w:lang w:val="pt-BR"/>
        </w:rPr>
        <w:t xml:space="preserve"> </w:t>
      </w:r>
      <w:r>
        <w:rPr>
          <w:rFonts w:hint="default" w:ascii="Arial" w:hAnsi="Arial" w:cs="Arial"/>
          <w:b/>
          <w:bCs/>
          <w:szCs w:val="22"/>
          <w:lang w:val="pt-BR"/>
        </w:rPr>
        <w:t>3,4</w:t>
      </w:r>
      <w:r>
        <w:rPr>
          <w:rFonts w:hint="default" w:ascii="Arial" w:hAnsi="Arial" w:cs="Arial"/>
          <w:b/>
          <w:bCs/>
          <w:szCs w:val="22"/>
        </w:rPr>
        <w:t xml:space="preserve"> 8, 9, 10, 11, 12 e 13</w:t>
      </w:r>
      <w:r>
        <w:rPr>
          <w:rFonts w:hint="default" w:ascii="Arial" w:hAnsi="Arial" w:cs="Arial"/>
          <w:b w:val="0"/>
          <w:bCs w:val="0"/>
          <w:szCs w:val="22"/>
        </w:rPr>
        <w:t>, deverá ser apresentada Licença ou Alvará Sanitário, estadual ou municipal</w:t>
      </w:r>
      <w:r>
        <w:rPr>
          <w:rFonts w:hint="default" w:ascii="Arial" w:hAnsi="Arial" w:cs="Arial"/>
          <w:b w:val="0"/>
          <w:bCs w:val="0"/>
          <w:szCs w:val="22"/>
          <w:lang w:val="pt-BR"/>
        </w:rPr>
        <w:t>.</w:t>
      </w:r>
    </w:p>
    <w:p w14:paraId="1EA557AE">
      <w:pPr>
        <w:pStyle w:val="20"/>
        <w:keepNext w:val="0"/>
        <w:keepLines w:val="0"/>
        <w:pageBreakBefore w:val="0"/>
        <w:widowControl w:val="0"/>
        <w:tabs>
          <w:tab w:val="left" w:pos="1276"/>
        </w:tabs>
        <w:kinsoku/>
        <w:wordWrap/>
        <w:overflowPunct/>
        <w:topLinePunct w:val="0"/>
        <w:autoSpaceDE/>
        <w:autoSpaceDN/>
        <w:bidi w:val="0"/>
        <w:adjustRightInd w:val="0"/>
        <w:snapToGrid w:val="0"/>
        <w:spacing w:line="360" w:lineRule="auto"/>
        <w:ind w:left="0"/>
        <w:textAlignment w:val="baseline"/>
        <w:rPr>
          <w:rFonts w:hint="default" w:ascii="Arial" w:hAnsi="Arial" w:cs="Arial"/>
          <w:b w:val="0"/>
          <w:bCs w:val="0"/>
          <w:szCs w:val="22"/>
          <w:lang w:val="pt-BR"/>
        </w:rPr>
      </w:pPr>
      <w:r>
        <w:rPr>
          <w:rFonts w:hint="default" w:ascii="Arial" w:hAnsi="Arial" w:cs="Arial"/>
          <w:b/>
          <w:bCs/>
          <w:szCs w:val="22"/>
          <w:lang w:val="pt-BR"/>
        </w:rPr>
        <w:t xml:space="preserve">5.14.5. </w:t>
      </w:r>
      <w:r>
        <w:rPr>
          <w:rFonts w:hint="default" w:ascii="Arial" w:hAnsi="Arial" w:cs="Arial"/>
          <w:b w:val="0"/>
          <w:bCs w:val="0"/>
          <w:szCs w:val="22"/>
          <w:lang w:val="pt-BR"/>
        </w:rPr>
        <w:t>A exigência prevista no item 5.14.4 não será aplicada aos itens de natureza estritamente industrial, ferramentaria ou aos demais produtos para os quais o licenciamento sanitário da atividade da licitante não seja legalmente exigível.</w:t>
      </w:r>
    </w:p>
    <w:p w14:paraId="5F3BABF4">
      <w:pPr>
        <w:pStyle w:val="20"/>
        <w:tabs>
          <w:tab w:val="left" w:pos="1276"/>
        </w:tabs>
        <w:spacing w:line="360" w:lineRule="auto"/>
        <w:ind w:left="2400"/>
        <w:rPr>
          <w:rFonts w:ascii="Arial" w:hAnsi="Arial" w:cs="Arial"/>
          <w:szCs w:val="22"/>
        </w:rPr>
      </w:pPr>
    </w:p>
    <w:p w14:paraId="0F4097B8">
      <w:pPr>
        <w:numPr>
          <w:ilvl w:val="0"/>
          <w:numId w:val="5"/>
        </w:numPr>
        <w:pBdr>
          <w:top w:val="double" w:color="auto" w:sz="4" w:space="0"/>
          <w:left w:val="double" w:color="auto" w:sz="4" w:space="4"/>
          <w:bottom w:val="double" w:color="auto" w:sz="4" w:space="1"/>
          <w:right w:val="double" w:color="auto" w:sz="4" w:space="6"/>
          <w:between w:val="double" w:color="auto" w:sz="4" w:space="1"/>
        </w:pBdr>
        <w:shd w:val="clear" w:color="auto" w:fill="D7D7D7" w:themeFill="background1" w:themeFillShade="D8"/>
        <w:spacing w:line="360" w:lineRule="auto"/>
        <w:ind w:firstLine="2641" w:firstLineChars="1200"/>
        <w:rPr>
          <w:rFonts w:ascii="Arial" w:hAnsi="Arial" w:cs="Arial"/>
          <w:b/>
          <w:bCs/>
          <w:sz w:val="22"/>
          <w:szCs w:val="22"/>
        </w:rPr>
      </w:pPr>
      <w:r>
        <w:rPr>
          <w:rFonts w:ascii="Arial" w:hAnsi="Arial" w:cs="Arial"/>
          <w:b/>
          <w:sz w:val="22"/>
          <w:szCs w:val="22"/>
        </w:rPr>
        <w:t>EXECUÇÃO DO OBJETO:</w:t>
      </w:r>
    </w:p>
    <w:p w14:paraId="3C092CC9">
      <w:pPr>
        <w:tabs>
          <w:tab w:val="left" w:pos="0"/>
        </w:tabs>
        <w:spacing w:line="360" w:lineRule="auto"/>
        <w:contextualSpacing/>
        <w:rPr>
          <w:rFonts w:ascii="Arial" w:hAnsi="Arial" w:cs="Arial"/>
          <w:b/>
          <w:bCs/>
          <w:sz w:val="22"/>
          <w:szCs w:val="22"/>
        </w:rPr>
      </w:pPr>
    </w:p>
    <w:p w14:paraId="4707E4AD">
      <w:pPr>
        <w:numPr>
          <w:ilvl w:val="1"/>
          <w:numId w:val="5"/>
        </w:numPr>
        <w:tabs>
          <w:tab w:val="left" w:pos="0"/>
        </w:tabs>
        <w:spacing w:line="360" w:lineRule="auto"/>
        <w:contextualSpacing/>
        <w:rPr>
          <w:rFonts w:ascii="Arial" w:hAnsi="Arial" w:cs="Arial"/>
          <w:b/>
          <w:bCs/>
          <w:sz w:val="22"/>
          <w:szCs w:val="22"/>
        </w:rPr>
      </w:pPr>
      <w:r>
        <w:rPr>
          <w:rFonts w:ascii="Arial" w:hAnsi="Arial" w:cs="Arial"/>
          <w:b/>
          <w:bCs/>
          <w:sz w:val="22"/>
          <w:szCs w:val="22"/>
        </w:rPr>
        <w:t>OBRIGAÇÕES DAS PARTES:</w:t>
      </w:r>
    </w:p>
    <w:p w14:paraId="14DC8988">
      <w:pPr>
        <w:numPr>
          <w:ilvl w:val="2"/>
          <w:numId w:val="5"/>
        </w:numPr>
        <w:spacing w:line="360" w:lineRule="auto"/>
        <w:rPr>
          <w:rFonts w:ascii="Arial" w:hAnsi="Arial" w:cs="Arial"/>
          <w:b/>
          <w:bCs/>
          <w:sz w:val="22"/>
          <w:szCs w:val="22"/>
        </w:rPr>
      </w:pPr>
      <w:r>
        <w:rPr>
          <w:rFonts w:ascii="Arial" w:hAnsi="Arial" w:cs="Arial"/>
          <w:b/>
          <w:bCs/>
          <w:sz w:val="22"/>
          <w:szCs w:val="22"/>
        </w:rPr>
        <w:t>OBRIGAÇÕES DA CONTRATADA:</w:t>
      </w:r>
    </w:p>
    <w:p w14:paraId="6B94E139">
      <w:pPr>
        <w:pStyle w:val="13"/>
        <w:tabs>
          <w:tab w:val="left" w:pos="1276"/>
        </w:tabs>
        <w:spacing w:line="360" w:lineRule="auto"/>
        <w:outlineLvl w:val="1"/>
        <w:rPr>
          <w:rFonts w:ascii="Arial" w:hAnsi="Arial" w:cs="Arial"/>
          <w:bCs/>
          <w:sz w:val="22"/>
          <w:szCs w:val="22"/>
        </w:rPr>
      </w:pPr>
      <w:r>
        <w:rPr>
          <w:rFonts w:ascii="Arial" w:hAnsi="Arial" w:cs="Arial"/>
          <w:b/>
          <w:sz w:val="22"/>
          <w:szCs w:val="22"/>
        </w:rPr>
        <w:t>6.1.1.1.</w:t>
      </w:r>
      <w:r>
        <w:rPr>
          <w:rFonts w:ascii="Arial" w:hAnsi="Arial" w:cs="Arial"/>
          <w:bCs/>
          <w:sz w:val="22"/>
          <w:szCs w:val="22"/>
        </w:rPr>
        <w:t xml:space="preserve"> Fornecer os produtos nas especificações e com a qualidade exigida;</w:t>
      </w:r>
    </w:p>
    <w:p w14:paraId="49913819">
      <w:pPr>
        <w:tabs>
          <w:tab w:val="left" w:pos="1276"/>
        </w:tabs>
        <w:spacing w:line="360" w:lineRule="auto"/>
        <w:rPr>
          <w:rFonts w:ascii="Arial" w:hAnsi="Arial" w:cs="Arial"/>
          <w:sz w:val="22"/>
          <w:szCs w:val="22"/>
        </w:rPr>
      </w:pPr>
      <w:r>
        <w:rPr>
          <w:rFonts w:ascii="Arial" w:hAnsi="Arial" w:cs="Arial"/>
          <w:b/>
          <w:sz w:val="22"/>
          <w:szCs w:val="22"/>
        </w:rPr>
        <w:t xml:space="preserve">6.1.1.2. </w:t>
      </w:r>
      <w:r>
        <w:rPr>
          <w:rFonts w:ascii="Arial" w:hAnsi="Arial" w:cs="Arial"/>
          <w:sz w:val="22"/>
          <w:szCs w:val="22"/>
        </w:rPr>
        <w:t>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6322029A">
      <w:pPr>
        <w:tabs>
          <w:tab w:val="left" w:pos="1276"/>
        </w:tabs>
        <w:spacing w:line="360" w:lineRule="auto"/>
        <w:outlineLvl w:val="1"/>
        <w:rPr>
          <w:rFonts w:ascii="Arial" w:hAnsi="Arial" w:cs="Arial"/>
          <w:sz w:val="22"/>
          <w:szCs w:val="22"/>
        </w:rPr>
      </w:pPr>
      <w:r>
        <w:rPr>
          <w:rFonts w:ascii="Arial" w:hAnsi="Arial" w:cs="Arial"/>
          <w:b/>
          <w:bCs/>
          <w:sz w:val="22"/>
          <w:szCs w:val="22"/>
        </w:rPr>
        <w:t>6.1.1.3.</w:t>
      </w:r>
      <w:r>
        <w:rPr>
          <w:rFonts w:ascii="Arial" w:hAnsi="Arial" w:cs="Arial"/>
          <w:sz w:val="22"/>
          <w:szCs w:val="22"/>
        </w:rPr>
        <w:t xml:space="preserve"> Pagar todos os tributos, encargos, custos e despesas, dentre outros, que incidam ou venham a incidir, direta ou indiretamente, sobre os serviços fornecidos;</w:t>
      </w:r>
    </w:p>
    <w:p w14:paraId="2ACAC0E3">
      <w:pPr>
        <w:spacing w:line="360" w:lineRule="auto"/>
        <w:rPr>
          <w:rFonts w:ascii="Arial" w:hAnsi="Arial" w:cs="Arial"/>
          <w:sz w:val="22"/>
          <w:szCs w:val="22"/>
        </w:rPr>
      </w:pPr>
      <w:r>
        <w:rPr>
          <w:rFonts w:ascii="Arial" w:hAnsi="Arial" w:cs="Arial"/>
          <w:b/>
          <w:sz w:val="22"/>
          <w:szCs w:val="22"/>
        </w:rPr>
        <w:t xml:space="preserve">6.1.1.4. </w:t>
      </w:r>
      <w:r>
        <w:rPr>
          <w:rFonts w:ascii="Arial" w:hAnsi="Arial" w:cs="Arial"/>
          <w:sz w:val="22"/>
          <w:szCs w:val="22"/>
        </w:rPr>
        <w:t xml:space="preserve">Manter, durante a validade da ata, as mesmas condições de habilitação. </w:t>
      </w:r>
    </w:p>
    <w:p w14:paraId="3F56905E">
      <w:pPr>
        <w:tabs>
          <w:tab w:val="left" w:pos="1276"/>
        </w:tabs>
        <w:spacing w:line="360" w:lineRule="auto"/>
        <w:rPr>
          <w:rFonts w:ascii="Arial" w:hAnsi="Arial" w:cs="Arial"/>
          <w:sz w:val="22"/>
          <w:szCs w:val="22"/>
        </w:rPr>
      </w:pPr>
      <w:r>
        <w:rPr>
          <w:rFonts w:ascii="Arial" w:hAnsi="Arial" w:cs="Arial"/>
          <w:b/>
          <w:sz w:val="22"/>
          <w:szCs w:val="22"/>
        </w:rPr>
        <w:t xml:space="preserve">6.1.1.5. </w:t>
      </w:r>
      <w:r>
        <w:rPr>
          <w:rFonts w:ascii="Arial" w:hAnsi="Arial" w:cs="Arial"/>
          <w:sz w:val="22"/>
          <w:szCs w:val="22"/>
        </w:rPr>
        <w:t>Fornecer o objeto licitado, no preço, prazo e forma estipulados na proposta.</w:t>
      </w:r>
    </w:p>
    <w:p w14:paraId="76ED400F">
      <w:pPr>
        <w:pStyle w:val="28"/>
        <w:spacing w:line="360" w:lineRule="auto"/>
        <w:rPr>
          <w:rFonts w:ascii="Arial" w:hAnsi="Arial" w:cs="Arial" w:eastAsiaTheme="minorHAnsi"/>
          <w:sz w:val="22"/>
          <w:szCs w:val="22"/>
          <w:lang w:val="pt-BR"/>
        </w:rPr>
      </w:pPr>
      <w:r>
        <w:rPr>
          <w:rFonts w:ascii="Arial" w:hAnsi="Arial" w:cs="Arial" w:eastAsiaTheme="minorHAnsi"/>
          <w:b/>
          <w:bCs/>
          <w:sz w:val="22"/>
          <w:szCs w:val="22"/>
          <w:lang w:val="pt-BR"/>
        </w:rPr>
        <w:t xml:space="preserve">6.1.1.6. </w:t>
      </w:r>
      <w:r>
        <w:rPr>
          <w:rFonts w:ascii="Arial" w:hAnsi="Arial" w:cs="Arial" w:eastAsiaTheme="minorHAnsi"/>
          <w:sz w:val="22"/>
          <w:szCs w:val="22"/>
          <w:lang w:val="pt-BR"/>
        </w:rPr>
        <w:t>Será de responsabilidade da contratada o cumprimento dos prazos estabelecidos no contrato, devendo assegurar a entrega dos aparelhos solicitadas dentro do prazo acordado, de modo a evitar prejuízos à operacionalidade das unidades de saúde e garantir a continuidade dos serviços prestados à população;</w:t>
      </w:r>
    </w:p>
    <w:p w14:paraId="06BF7E75">
      <w:pPr>
        <w:pStyle w:val="28"/>
        <w:spacing w:line="360" w:lineRule="auto"/>
        <w:rPr>
          <w:rFonts w:ascii="Arial" w:hAnsi="Arial" w:cs="Arial" w:eastAsiaTheme="minorHAnsi"/>
          <w:sz w:val="22"/>
          <w:szCs w:val="22"/>
          <w:lang w:val="pt-BR"/>
        </w:rPr>
      </w:pPr>
      <w:r>
        <w:rPr>
          <w:rFonts w:ascii="Arial" w:hAnsi="Arial" w:cs="Arial" w:eastAsiaTheme="minorHAnsi"/>
          <w:b/>
          <w:bCs/>
          <w:sz w:val="22"/>
          <w:szCs w:val="22"/>
          <w:lang w:val="pt-BR"/>
        </w:rPr>
        <w:t xml:space="preserve">6.1.1.7. </w:t>
      </w:r>
      <w:r>
        <w:rPr>
          <w:rFonts w:ascii="Arial" w:hAnsi="Arial" w:cs="Arial" w:eastAsiaTheme="minorHAnsi"/>
          <w:sz w:val="22"/>
          <w:szCs w:val="22"/>
          <w:lang w:val="pt-BR"/>
        </w:rPr>
        <w:t>Eventuais atrasos na entrega/execução deverão ser devidamente justificados pela contratada e comunicado aos fiscais responsáveis pela ata da Secretaria Municipal de Saúde, que poderá avaliar as medidas necessárias para mitigar os impactos causados pela não conformidade com os prazos estabelecidos;</w:t>
      </w:r>
    </w:p>
    <w:p w14:paraId="38E689EC">
      <w:pPr>
        <w:pStyle w:val="28"/>
        <w:spacing w:line="360" w:lineRule="auto"/>
        <w:rPr>
          <w:rFonts w:ascii="Arial" w:hAnsi="Arial" w:cs="Arial" w:eastAsiaTheme="minorHAnsi"/>
          <w:sz w:val="22"/>
          <w:szCs w:val="22"/>
          <w:lang w:val="pt-BR"/>
        </w:rPr>
      </w:pPr>
      <w:r>
        <w:rPr>
          <w:rFonts w:ascii="Arial" w:hAnsi="Arial" w:cs="Arial" w:eastAsiaTheme="minorHAnsi"/>
          <w:b/>
          <w:bCs/>
          <w:sz w:val="22"/>
          <w:szCs w:val="22"/>
          <w:lang w:val="pt-BR"/>
        </w:rPr>
        <w:t xml:space="preserve">6.1.1.8. </w:t>
      </w:r>
      <w:r>
        <w:rPr>
          <w:rFonts w:ascii="Arial" w:hAnsi="Arial" w:cs="Arial" w:eastAsiaTheme="minorHAnsi"/>
          <w:sz w:val="22"/>
          <w:szCs w:val="22"/>
          <w:lang w:val="pt-BR"/>
        </w:rPr>
        <w:t xml:space="preserve">A empresa contratada deverá garantir a entrega de oxigênio medicinal nos horários estabelecidos conforme o </w:t>
      </w:r>
      <w:r>
        <w:rPr>
          <w:rFonts w:ascii="Arial" w:hAnsi="Arial" w:cs="Arial"/>
          <w:bCs/>
          <w:spacing w:val="-2"/>
          <w:sz w:val="22"/>
          <w:szCs w:val="22"/>
          <w:lang w:val="pt-BR"/>
        </w:rPr>
        <w:t xml:space="preserve">Decreto nº 077/2024 - Protocolo de Oxigenoterapia Domiciliar Prolongada PODP, </w:t>
      </w:r>
      <w:r>
        <w:rPr>
          <w:rFonts w:ascii="Arial" w:hAnsi="Arial" w:cs="Arial" w:eastAsiaTheme="minorHAnsi"/>
          <w:sz w:val="22"/>
          <w:szCs w:val="22"/>
          <w:lang w:val="pt-BR"/>
        </w:rPr>
        <w:t xml:space="preserve"> observando as necessidades de cada unidade de saúde e assegurando a continuidade do fornecimento em situações de emergência. A logística de entrega deve ser organizada de forma a evitar qualquer interrupção no abastecimento, especialmente nos casos de atendimento de urgência e emergência.</w:t>
      </w:r>
    </w:p>
    <w:p w14:paraId="1FA3539E">
      <w:pPr>
        <w:numPr>
          <w:ilvl w:val="2"/>
          <w:numId w:val="5"/>
        </w:numPr>
        <w:tabs>
          <w:tab w:val="left" w:pos="0"/>
        </w:tabs>
        <w:spacing w:line="360" w:lineRule="auto"/>
        <w:contextualSpacing/>
        <w:rPr>
          <w:rFonts w:ascii="Arial" w:hAnsi="Arial" w:cs="Arial"/>
          <w:b/>
          <w:sz w:val="22"/>
          <w:szCs w:val="22"/>
        </w:rPr>
      </w:pPr>
      <w:r>
        <w:rPr>
          <w:rFonts w:ascii="Arial" w:hAnsi="Arial" w:cs="Arial"/>
          <w:b/>
          <w:sz w:val="22"/>
          <w:szCs w:val="22"/>
        </w:rPr>
        <w:t>OBRIGAÇÕES DA CONTRATANTE:</w:t>
      </w:r>
    </w:p>
    <w:p w14:paraId="2E8A14C3">
      <w:pPr>
        <w:pStyle w:val="24"/>
      </w:pPr>
      <w:r>
        <w:rPr>
          <w:b/>
        </w:rPr>
        <w:t>6.1.2.1.</w:t>
      </w:r>
      <w:r>
        <w:t xml:space="preserve"> Atestar nas Notas Fiscais e/ou fatura a efetiva entrega do objeto desta licitação.</w:t>
      </w:r>
    </w:p>
    <w:p w14:paraId="024B40BB">
      <w:pPr>
        <w:pStyle w:val="24"/>
      </w:pPr>
      <w:r>
        <w:rPr>
          <w:b/>
        </w:rPr>
        <w:t>6.1.2.2.</w:t>
      </w:r>
      <w:r>
        <w:t xml:space="preserve"> Promover o acompanhamento e a fiscalização da execução do objeto do presente Termo de Referência, sob o aspecto quantitativo e qualitativo, anotando em registro próprio as falhas e ocorrências detectadas.</w:t>
      </w:r>
    </w:p>
    <w:p w14:paraId="1BFEE8C7">
      <w:pPr>
        <w:pStyle w:val="24"/>
      </w:pPr>
      <w:r>
        <w:rPr>
          <w:b/>
        </w:rPr>
        <w:t xml:space="preserve">6.1.2.3. </w:t>
      </w:r>
      <w:r>
        <w:t>Comunicar prontamente qualquer anormalidade na execução do objeto, podendo recusar o recebimento, caso não esteja de acordo com as especificações e condições estabelecidas no presente Termo de Referência.</w:t>
      </w:r>
    </w:p>
    <w:p w14:paraId="1D34DF88">
      <w:pPr>
        <w:pStyle w:val="24"/>
      </w:pPr>
      <w:r>
        <w:rPr>
          <w:b/>
        </w:rPr>
        <w:t>6.1.2.4.</w:t>
      </w:r>
      <w:r>
        <w:t xml:space="preserve"> A Contratante não responderá por quaisquer compromissos assumidos pela Contratada com terceiros, bem como por qualquer dano causado a terceiros em decorrência de ato da Contratada, de seus empregados, prepostos ou subordinados.</w:t>
      </w:r>
    </w:p>
    <w:p w14:paraId="10702898">
      <w:pPr>
        <w:pStyle w:val="24"/>
      </w:pPr>
      <w:r>
        <w:rPr>
          <w:b/>
        </w:rPr>
        <w:t xml:space="preserve">6.1.2.5. </w:t>
      </w:r>
      <w:r>
        <w:t>Fornecer todo tipo de informação interna essencial à realização dos fornecimentos.</w:t>
      </w:r>
    </w:p>
    <w:p w14:paraId="39D20DEF">
      <w:pPr>
        <w:pStyle w:val="24"/>
      </w:pPr>
      <w:r>
        <w:rPr>
          <w:b/>
        </w:rPr>
        <w:t>6.1.2.6.</w:t>
      </w:r>
      <w:r>
        <w:t xml:space="preserve"> Conferir toda a documentação, especificação do material, quantidade e qualidade técnica gerada e apresentada durante a execução do objeto, efetuando o seu atesto quando a mesma estiver em conformidade com os padrões de informação e qualidade exigidos.</w:t>
      </w:r>
    </w:p>
    <w:p w14:paraId="4A6D64F0">
      <w:pPr>
        <w:pStyle w:val="24"/>
      </w:pPr>
      <w:r>
        <w:rPr>
          <w:b/>
        </w:rPr>
        <w:t>6.1.2.7.</w:t>
      </w:r>
      <w:r>
        <w:t xml:space="preserve"> Efetuar o pagamento de acordo com o estabelecido neste Termo de Referência e demais cominações legais, desde que atendidas todas as exigências e cumpridas as especificações e desde que devidamente atestadas as notas fiscais e relatórios feitos pelos fiscais e gestores da Ata de Registro de Preços.</w:t>
      </w:r>
    </w:p>
    <w:p w14:paraId="61C6203B">
      <w:pPr>
        <w:pStyle w:val="24"/>
      </w:pPr>
      <w:r>
        <w:rPr>
          <w:b/>
        </w:rPr>
        <w:t xml:space="preserve">6.1.2.8. </w:t>
      </w:r>
      <w:r>
        <w:t>Aplicar à contratada as penalidades, quando for o caso.</w:t>
      </w:r>
    </w:p>
    <w:p w14:paraId="08CF577F">
      <w:pPr>
        <w:pStyle w:val="24"/>
      </w:pPr>
      <w:r>
        <w:rPr>
          <w:b/>
        </w:rPr>
        <w:t>6.1.2.9.</w:t>
      </w:r>
      <w:r>
        <w:t xml:space="preserve"> Notificar, por escrito, a contratada da aplicação de qualquer sanção.</w:t>
      </w:r>
    </w:p>
    <w:p w14:paraId="155C515F">
      <w:pPr>
        <w:pStyle w:val="24"/>
      </w:pPr>
      <w:r>
        <w:rPr>
          <w:b/>
        </w:rPr>
        <w:t xml:space="preserve">6.1.2.10. </w:t>
      </w:r>
      <w:r>
        <w:t>Acompanhar, controlar e avaliar a entrega e a qualidade dos materiais, através da unidade responsável por esta atribuição.</w:t>
      </w:r>
    </w:p>
    <w:p w14:paraId="304BCA80">
      <w:pPr>
        <w:pStyle w:val="24"/>
      </w:pPr>
      <w:r>
        <w:rPr>
          <w:b/>
        </w:rPr>
        <w:t xml:space="preserve">6.1.2.11. </w:t>
      </w:r>
      <w:r>
        <w:t xml:space="preserve">Proporcionar todas as facilidades para a execução do objeto do presente Termo de Referência, permitindo o acesso dos profissionais da contratada às suas dependências. Esses profissionais ficarão sujeitos a todas as normas internas da contratante, principalmente as de segurança, inclusive aqueles referentes à identificação, trajes, trânsito e permanência em suas dependências. </w:t>
      </w:r>
    </w:p>
    <w:p w14:paraId="4FD8A0DC">
      <w:pPr>
        <w:spacing w:line="360" w:lineRule="auto"/>
        <w:rPr>
          <w:rFonts w:ascii="Arial" w:hAnsi="Arial" w:cs="Arial"/>
          <w:b/>
          <w:sz w:val="22"/>
          <w:szCs w:val="22"/>
        </w:rPr>
      </w:pPr>
    </w:p>
    <w:p w14:paraId="66A44F96">
      <w:pPr>
        <w:numPr>
          <w:ilvl w:val="1"/>
          <w:numId w:val="5"/>
        </w:numPr>
        <w:tabs>
          <w:tab w:val="left" w:pos="0"/>
        </w:tabs>
        <w:spacing w:line="360" w:lineRule="auto"/>
        <w:contextualSpacing/>
        <w:rPr>
          <w:rFonts w:ascii="Arial" w:hAnsi="Arial" w:cs="Arial"/>
          <w:b/>
          <w:bCs/>
          <w:sz w:val="22"/>
          <w:szCs w:val="22"/>
        </w:rPr>
      </w:pPr>
      <w:r>
        <w:rPr>
          <w:rFonts w:ascii="Arial" w:hAnsi="Arial" w:cs="Arial"/>
          <w:b/>
          <w:bCs/>
          <w:sz w:val="22"/>
          <w:szCs w:val="22"/>
        </w:rPr>
        <w:t>CRITÉRIOS DE RECEBIMENTO PROVISÓRIO E DEFINITIVO DO OBJETO DA CONTRATAÇÃO:</w:t>
      </w:r>
    </w:p>
    <w:p w14:paraId="488E2B72">
      <w:pPr>
        <w:widowControl/>
        <w:numPr>
          <w:ilvl w:val="2"/>
          <w:numId w:val="5"/>
        </w:numPr>
        <w:adjustRightInd/>
        <w:spacing w:line="360" w:lineRule="auto"/>
        <w:textAlignment w:val="auto"/>
        <w:rPr>
          <w:rFonts w:ascii="Arial" w:hAnsi="Arial" w:cs="Arial"/>
          <w:sz w:val="22"/>
          <w:szCs w:val="22"/>
        </w:rPr>
      </w:pPr>
      <w:r>
        <w:rPr>
          <w:rFonts w:ascii="Arial" w:hAnsi="Arial" w:cs="Arial"/>
          <w:b/>
          <w:bCs/>
          <w:sz w:val="22"/>
          <w:szCs w:val="22"/>
        </w:rPr>
        <w:t>O recebimento provisório:</w:t>
      </w:r>
      <w:r>
        <w:rPr>
          <w:rFonts w:ascii="Arial" w:hAnsi="Arial" w:cs="Arial"/>
          <w:sz w:val="22"/>
          <w:szCs w:val="22"/>
        </w:rPr>
        <w:t xml:space="preserve"> será mediante o registro de recebimento do material pela Fiscalização, para efeito de posterior verificação de sua conformidade;</w:t>
      </w:r>
    </w:p>
    <w:p w14:paraId="11259B38">
      <w:pPr>
        <w:widowControl/>
        <w:numPr>
          <w:ilvl w:val="2"/>
          <w:numId w:val="5"/>
        </w:numPr>
        <w:adjustRightInd/>
        <w:spacing w:line="360" w:lineRule="auto"/>
        <w:textAlignment w:val="auto"/>
        <w:rPr>
          <w:rFonts w:ascii="Arial" w:hAnsi="Arial" w:cs="Arial"/>
          <w:sz w:val="22"/>
          <w:szCs w:val="22"/>
        </w:rPr>
      </w:pPr>
      <w:r>
        <w:rPr>
          <w:rFonts w:ascii="Arial" w:hAnsi="Arial" w:cs="Arial"/>
          <w:b/>
          <w:bCs/>
          <w:sz w:val="22"/>
          <w:szCs w:val="22"/>
        </w:rPr>
        <w:t xml:space="preserve">O recebimento definitivo: </w:t>
      </w:r>
      <w:r>
        <w:rPr>
          <w:rFonts w:ascii="Arial" w:hAnsi="Arial" w:cs="Arial"/>
          <w:sz w:val="22"/>
          <w:szCs w:val="22"/>
        </w:rPr>
        <w:t>O recebimento definitivo será mediante recibo, em até 5 (cinco) dias úteis após o recebimento provisório e a verificação da perfeita execução das obrigações contratuais, ocasião em que se fará constar o atesto da nota fiscal;</w:t>
      </w:r>
    </w:p>
    <w:p w14:paraId="6AC06EE9">
      <w:pPr>
        <w:widowControl/>
        <w:numPr>
          <w:ilvl w:val="2"/>
          <w:numId w:val="5"/>
        </w:numPr>
        <w:adjustRightInd/>
        <w:spacing w:line="360" w:lineRule="auto"/>
        <w:textAlignment w:val="auto"/>
        <w:rPr>
          <w:rFonts w:ascii="Arial" w:hAnsi="Arial" w:cs="Arial"/>
          <w:sz w:val="22"/>
          <w:szCs w:val="22"/>
        </w:rPr>
      </w:pPr>
      <w:r>
        <w:rPr>
          <w:rFonts w:ascii="Arial" w:hAnsi="Arial" w:cs="Arial"/>
          <w:sz w:val="22"/>
          <w:szCs w:val="22"/>
        </w:rPr>
        <w:t>O Recebimento Definitivo não exclui a responsabilidade da contratada por vícios de qualidade ou disparidade com as especificações técnicas verificadas posteriormente;</w:t>
      </w:r>
    </w:p>
    <w:p w14:paraId="736BC9FE">
      <w:pPr>
        <w:widowControl/>
        <w:numPr>
          <w:ilvl w:val="2"/>
          <w:numId w:val="5"/>
        </w:numPr>
        <w:adjustRightInd/>
        <w:spacing w:line="360" w:lineRule="auto"/>
        <w:textAlignment w:val="auto"/>
        <w:rPr>
          <w:rFonts w:ascii="Arial" w:hAnsi="Arial" w:cs="Arial"/>
          <w:sz w:val="22"/>
          <w:szCs w:val="22"/>
        </w:rPr>
      </w:pPr>
      <w:r>
        <w:rPr>
          <w:rFonts w:ascii="Arial" w:hAnsi="Arial" w:cs="Arial"/>
          <w:sz w:val="22"/>
          <w:szCs w:val="22"/>
        </w:rPr>
        <w:t>Os produtos poderão ser rejeitados, no todo ou em parte, quando em desacordo com as especificações constantes neste Termo de Referência e na proposta, devendo ser substituídos em até 2 (dois) dias, a contar da notificação da contratada, às suas custas, sem prejuízo da aplicação das penalidades.</w:t>
      </w:r>
    </w:p>
    <w:p w14:paraId="0930FDF4">
      <w:pPr>
        <w:widowControl/>
        <w:numPr>
          <w:ilvl w:val="2"/>
          <w:numId w:val="5"/>
        </w:numPr>
        <w:adjustRightInd/>
        <w:spacing w:line="360" w:lineRule="auto"/>
        <w:textAlignment w:val="auto"/>
        <w:rPr>
          <w:rFonts w:ascii="Arial" w:hAnsi="Arial" w:cs="Arial"/>
          <w:b/>
          <w:bCs/>
          <w:sz w:val="22"/>
          <w:szCs w:val="22"/>
        </w:rPr>
      </w:pPr>
      <w:r>
        <w:rPr>
          <w:rFonts w:ascii="Arial" w:hAnsi="Arial" w:cs="Arial"/>
          <w:sz w:val="22"/>
          <w:szCs w:val="22"/>
        </w:rPr>
        <w:t>Acrescenta-se que o</w:t>
      </w:r>
      <w:r>
        <w:rPr>
          <w:rFonts w:ascii="Arial" w:hAnsi="Arial" w:cs="Arial"/>
          <w:sz w:val="22"/>
          <w:szCs w:val="22"/>
          <w:lang w:eastAsia="zh-CN"/>
        </w:rPr>
        <w:t xml:space="preserve"> recebimento do produto contratado ocorrerá respeitando o Art. 43. do Decreto Municipal 359/2023.</w:t>
      </w:r>
    </w:p>
    <w:p w14:paraId="78098A0A">
      <w:pPr>
        <w:widowControl/>
        <w:numPr>
          <w:ilvl w:val="2"/>
          <w:numId w:val="5"/>
        </w:numPr>
        <w:adjustRightInd/>
        <w:spacing w:line="360" w:lineRule="auto"/>
        <w:textAlignment w:val="auto"/>
        <w:rPr>
          <w:rFonts w:ascii="Arial" w:hAnsi="Arial" w:cs="Arial"/>
          <w:sz w:val="22"/>
          <w:szCs w:val="22"/>
        </w:rPr>
      </w:pPr>
      <w:r>
        <w:rPr>
          <w:rFonts w:ascii="Arial" w:hAnsi="Arial" w:cs="Arial"/>
          <w:sz w:val="22"/>
          <w:szCs w:val="22"/>
        </w:rPr>
        <w:t xml:space="preserve">Por ocasião do recebimento provisório para análise de conformidade, os itens correspondentes ao </w:t>
      </w:r>
      <w:r>
        <w:rPr>
          <w:rFonts w:ascii="Arial" w:hAnsi="Arial" w:cs="Arial"/>
          <w:b/>
          <w:bCs/>
          <w:sz w:val="22"/>
          <w:szCs w:val="22"/>
        </w:rPr>
        <w:t>Conjunto para Oxigenação Portátil</w:t>
      </w:r>
      <w:r>
        <w:rPr>
          <w:rFonts w:ascii="Arial" w:hAnsi="Arial" w:cs="Arial"/>
          <w:sz w:val="22"/>
          <w:szCs w:val="22"/>
        </w:rPr>
        <w:t xml:space="preserve"> e ao </w:t>
      </w:r>
      <w:r>
        <w:rPr>
          <w:rFonts w:ascii="Arial" w:hAnsi="Arial" w:cs="Arial"/>
          <w:b/>
          <w:bCs/>
          <w:sz w:val="22"/>
          <w:szCs w:val="22"/>
        </w:rPr>
        <w:t>Fluxômetro</w:t>
      </w:r>
      <w:r>
        <w:rPr>
          <w:rFonts w:ascii="Arial" w:hAnsi="Arial" w:cs="Arial"/>
          <w:sz w:val="22"/>
          <w:szCs w:val="22"/>
        </w:rPr>
        <w:t xml:space="preserve"> deverão conter, obrigatoriamente gravados de forma indelével em seus corpos, rótulos ou embalagens externas:</w:t>
      </w:r>
    </w:p>
    <w:p w14:paraId="210194E0">
      <w:pPr>
        <w:widowControl/>
        <w:adjustRightInd/>
        <w:spacing w:line="360" w:lineRule="auto"/>
        <w:textAlignment w:val="auto"/>
        <w:rPr>
          <w:rFonts w:ascii="Arial" w:hAnsi="Arial" w:cs="Arial"/>
          <w:sz w:val="22"/>
          <w:szCs w:val="22"/>
        </w:rPr>
      </w:pPr>
      <w:r>
        <w:rPr>
          <w:rFonts w:ascii="Arial" w:hAnsi="Arial" w:cs="Arial"/>
          <w:b/>
          <w:bCs/>
          <w:sz w:val="22"/>
          <w:szCs w:val="22"/>
        </w:rPr>
        <w:t>I.</w:t>
      </w:r>
      <w:r>
        <w:rPr>
          <w:rFonts w:ascii="Arial" w:hAnsi="Arial" w:cs="Arial"/>
          <w:sz w:val="22"/>
          <w:szCs w:val="22"/>
        </w:rPr>
        <w:t xml:space="preserve"> O número do respectivo Registro na ANVISA;</w:t>
      </w:r>
    </w:p>
    <w:p w14:paraId="54B916F0">
      <w:pPr>
        <w:widowControl/>
        <w:adjustRightInd/>
        <w:spacing w:line="360" w:lineRule="auto"/>
        <w:textAlignment w:val="auto"/>
        <w:rPr>
          <w:rFonts w:ascii="Arial" w:hAnsi="Arial" w:cs="Arial"/>
          <w:sz w:val="22"/>
          <w:szCs w:val="22"/>
        </w:rPr>
      </w:pPr>
      <w:r>
        <w:rPr>
          <w:rFonts w:ascii="Arial" w:hAnsi="Arial" w:cs="Arial"/>
          <w:b/>
          <w:bCs/>
          <w:sz w:val="22"/>
          <w:szCs w:val="22"/>
        </w:rPr>
        <w:t>II.</w:t>
      </w:r>
      <w:r>
        <w:rPr>
          <w:rFonts w:ascii="Arial" w:hAnsi="Arial" w:cs="Arial"/>
          <w:sz w:val="22"/>
          <w:szCs w:val="22"/>
        </w:rPr>
        <w:t xml:space="preserve"> O número do lote de fabricação e a data de validade (quando aplicável);</w:t>
      </w:r>
    </w:p>
    <w:p w14:paraId="4F01357B">
      <w:pPr>
        <w:widowControl/>
        <w:adjustRightInd/>
        <w:spacing w:line="360" w:lineRule="auto"/>
        <w:textAlignment w:val="auto"/>
        <w:rPr>
          <w:rFonts w:ascii="Arial" w:hAnsi="Arial" w:cs="Arial"/>
          <w:sz w:val="22"/>
          <w:szCs w:val="22"/>
        </w:rPr>
      </w:pPr>
      <w:r>
        <w:rPr>
          <w:rFonts w:ascii="Arial" w:hAnsi="Arial" w:cs="Arial"/>
          <w:b/>
          <w:bCs/>
          <w:sz w:val="22"/>
          <w:szCs w:val="22"/>
        </w:rPr>
        <w:t>III.</w:t>
      </w:r>
      <w:r>
        <w:rPr>
          <w:rFonts w:ascii="Arial" w:hAnsi="Arial" w:cs="Arial"/>
          <w:sz w:val="22"/>
          <w:szCs w:val="22"/>
        </w:rPr>
        <w:t xml:space="preserve"> Manual de instruções em língua portuguesa e o termo de garantia do fabricante.</w:t>
      </w:r>
    </w:p>
    <w:p w14:paraId="280D4A59">
      <w:pPr>
        <w:widowControl/>
        <w:numPr>
          <w:ilvl w:val="2"/>
          <w:numId w:val="5"/>
        </w:numPr>
        <w:adjustRightInd/>
        <w:spacing w:line="360" w:lineRule="auto"/>
        <w:textAlignment w:val="auto"/>
        <w:rPr>
          <w:rFonts w:ascii="Arial" w:hAnsi="Arial" w:cs="Arial"/>
          <w:b/>
          <w:bCs/>
          <w:sz w:val="22"/>
          <w:szCs w:val="22"/>
        </w:rPr>
      </w:pPr>
      <w:r>
        <w:rPr>
          <w:rFonts w:ascii="Arial" w:hAnsi="Arial" w:cs="Arial"/>
          <w:sz w:val="22"/>
          <w:szCs w:val="22"/>
        </w:rPr>
        <w:t>A constatação de produtos com registro sanitário suspenso, cancelado ou inexistente perante a ANVISA no ato da entrega ensejará a imediata rejeição do objeto, com a aplicação das sanções administrativas previstas neste TR e no Art. 156 da Lei nº 14.133/2021.</w:t>
      </w:r>
    </w:p>
    <w:p w14:paraId="6DA62F08">
      <w:pPr>
        <w:widowControl/>
        <w:adjustRightInd/>
        <w:spacing w:line="360" w:lineRule="auto"/>
        <w:textAlignment w:val="auto"/>
        <w:rPr>
          <w:rFonts w:ascii="Arial" w:hAnsi="Arial" w:cs="Arial"/>
          <w:b/>
          <w:bCs/>
          <w:sz w:val="22"/>
          <w:szCs w:val="22"/>
        </w:rPr>
      </w:pPr>
    </w:p>
    <w:p w14:paraId="378B23AD">
      <w:pPr>
        <w:pStyle w:val="28"/>
        <w:numPr>
          <w:ilvl w:val="1"/>
          <w:numId w:val="5"/>
        </w:numPr>
        <w:tabs>
          <w:tab w:val="left" w:pos="200"/>
        </w:tabs>
        <w:spacing w:line="360" w:lineRule="auto"/>
        <w:rPr>
          <w:rFonts w:ascii="Arial" w:hAnsi="Arial" w:cs="Arial"/>
          <w:b/>
          <w:bCs/>
          <w:iCs/>
          <w:sz w:val="22"/>
          <w:szCs w:val="22"/>
          <w:lang w:val="pt-BR"/>
        </w:rPr>
      </w:pPr>
      <w:r>
        <w:rPr>
          <w:rFonts w:ascii="Arial" w:hAnsi="Arial" w:cs="Arial"/>
          <w:b/>
          <w:bCs/>
          <w:iCs/>
          <w:sz w:val="22"/>
          <w:szCs w:val="22"/>
          <w:lang w:val="pt-BR"/>
        </w:rPr>
        <w:t>LOCAL,</w:t>
      </w:r>
      <w:r>
        <w:rPr>
          <w:rFonts w:ascii="Arial" w:hAnsi="Arial" w:cs="Arial"/>
          <w:b/>
          <w:bCs/>
          <w:iCs/>
          <w:spacing w:val="26"/>
          <w:sz w:val="22"/>
          <w:szCs w:val="22"/>
          <w:lang w:val="pt-BR"/>
        </w:rPr>
        <w:t xml:space="preserve"> </w:t>
      </w:r>
      <w:r>
        <w:rPr>
          <w:rFonts w:ascii="Arial" w:hAnsi="Arial" w:cs="Arial"/>
          <w:b/>
          <w:bCs/>
          <w:iCs/>
          <w:sz w:val="22"/>
          <w:szCs w:val="22"/>
          <w:lang w:val="pt-BR"/>
        </w:rPr>
        <w:t>HORÁRIO,</w:t>
      </w:r>
      <w:r>
        <w:rPr>
          <w:rFonts w:ascii="Arial" w:hAnsi="Arial" w:cs="Arial"/>
          <w:b/>
          <w:bCs/>
          <w:iCs/>
          <w:spacing w:val="26"/>
          <w:sz w:val="22"/>
          <w:szCs w:val="22"/>
          <w:lang w:val="pt-BR"/>
        </w:rPr>
        <w:t xml:space="preserve"> </w:t>
      </w:r>
      <w:r>
        <w:rPr>
          <w:rFonts w:ascii="Arial" w:hAnsi="Arial" w:cs="Arial"/>
          <w:b/>
          <w:bCs/>
          <w:iCs/>
          <w:sz w:val="22"/>
          <w:szCs w:val="22"/>
          <w:lang w:val="pt-BR"/>
        </w:rPr>
        <w:t>PERIODICIDADE</w:t>
      </w:r>
      <w:r>
        <w:rPr>
          <w:rFonts w:ascii="Arial" w:hAnsi="Arial" w:cs="Arial"/>
          <w:b/>
          <w:bCs/>
          <w:iCs/>
          <w:spacing w:val="26"/>
          <w:sz w:val="22"/>
          <w:szCs w:val="22"/>
          <w:lang w:val="pt-BR"/>
        </w:rPr>
        <w:t xml:space="preserve"> </w:t>
      </w:r>
      <w:r>
        <w:rPr>
          <w:rFonts w:ascii="Arial" w:hAnsi="Arial" w:cs="Arial"/>
          <w:b/>
          <w:bCs/>
          <w:iCs/>
          <w:sz w:val="22"/>
          <w:szCs w:val="22"/>
          <w:lang w:val="pt-BR"/>
        </w:rPr>
        <w:t>E</w:t>
      </w:r>
      <w:r>
        <w:rPr>
          <w:rFonts w:ascii="Arial" w:hAnsi="Arial" w:cs="Arial"/>
          <w:b/>
          <w:bCs/>
          <w:iCs/>
          <w:spacing w:val="26"/>
          <w:sz w:val="22"/>
          <w:szCs w:val="22"/>
          <w:lang w:val="pt-BR"/>
        </w:rPr>
        <w:t xml:space="preserve"> </w:t>
      </w:r>
      <w:r>
        <w:rPr>
          <w:rFonts w:ascii="Arial" w:hAnsi="Arial" w:cs="Arial"/>
          <w:b/>
          <w:bCs/>
          <w:iCs/>
          <w:sz w:val="22"/>
          <w:szCs w:val="22"/>
          <w:lang w:val="pt-BR"/>
        </w:rPr>
        <w:t>FORMA</w:t>
      </w:r>
      <w:r>
        <w:rPr>
          <w:rFonts w:ascii="Arial" w:hAnsi="Arial" w:cs="Arial"/>
          <w:b/>
          <w:bCs/>
          <w:iCs/>
          <w:spacing w:val="27"/>
          <w:sz w:val="22"/>
          <w:szCs w:val="22"/>
          <w:lang w:val="pt-BR"/>
        </w:rPr>
        <w:t xml:space="preserve"> </w:t>
      </w:r>
      <w:r>
        <w:rPr>
          <w:rFonts w:ascii="Arial" w:hAnsi="Arial" w:cs="Arial"/>
          <w:b/>
          <w:bCs/>
          <w:iCs/>
          <w:sz w:val="22"/>
          <w:szCs w:val="22"/>
          <w:lang w:val="pt-BR"/>
        </w:rPr>
        <w:t>DE</w:t>
      </w:r>
      <w:r>
        <w:rPr>
          <w:rFonts w:ascii="Arial" w:hAnsi="Arial" w:cs="Arial"/>
          <w:b/>
          <w:bCs/>
          <w:iCs/>
          <w:spacing w:val="26"/>
          <w:sz w:val="22"/>
          <w:szCs w:val="22"/>
          <w:lang w:val="pt-BR"/>
        </w:rPr>
        <w:t xml:space="preserve"> </w:t>
      </w:r>
      <w:r>
        <w:rPr>
          <w:rFonts w:ascii="Arial" w:hAnsi="Arial" w:cs="Arial"/>
          <w:b/>
          <w:bCs/>
          <w:iCs/>
          <w:sz w:val="22"/>
          <w:szCs w:val="22"/>
          <w:lang w:val="pt-BR"/>
        </w:rPr>
        <w:t>ENTREGA/EXECUÇÃO</w:t>
      </w:r>
      <w:r>
        <w:rPr>
          <w:rFonts w:ascii="Arial" w:hAnsi="Arial" w:cs="Arial"/>
          <w:b/>
          <w:bCs/>
          <w:iCs/>
          <w:spacing w:val="26"/>
          <w:sz w:val="22"/>
          <w:szCs w:val="22"/>
          <w:lang w:val="pt-BR"/>
        </w:rPr>
        <w:t xml:space="preserve"> </w:t>
      </w:r>
      <w:r>
        <w:rPr>
          <w:rFonts w:ascii="Arial" w:hAnsi="Arial" w:cs="Arial"/>
          <w:b/>
          <w:bCs/>
          <w:iCs/>
          <w:sz w:val="22"/>
          <w:szCs w:val="22"/>
          <w:lang w:val="pt-BR"/>
        </w:rPr>
        <w:t>DO</w:t>
      </w:r>
      <w:r>
        <w:rPr>
          <w:rFonts w:ascii="Arial" w:hAnsi="Arial" w:cs="Arial"/>
          <w:b/>
          <w:bCs/>
          <w:iCs/>
          <w:spacing w:val="26"/>
          <w:sz w:val="22"/>
          <w:szCs w:val="22"/>
          <w:lang w:val="pt-BR"/>
        </w:rPr>
        <w:t xml:space="preserve"> </w:t>
      </w:r>
      <w:r>
        <w:rPr>
          <w:rFonts w:ascii="Arial" w:hAnsi="Arial" w:cs="Arial"/>
          <w:b/>
          <w:bCs/>
          <w:iCs/>
          <w:sz w:val="22"/>
          <w:szCs w:val="22"/>
          <w:lang w:val="pt-BR"/>
        </w:rPr>
        <w:t>OBJETO</w:t>
      </w:r>
      <w:r>
        <w:rPr>
          <w:rFonts w:ascii="Arial" w:hAnsi="Arial" w:cs="Arial"/>
          <w:b/>
          <w:bCs/>
          <w:iCs/>
          <w:spacing w:val="26"/>
          <w:sz w:val="22"/>
          <w:szCs w:val="22"/>
          <w:lang w:val="pt-BR"/>
        </w:rPr>
        <w:t xml:space="preserve"> </w:t>
      </w:r>
      <w:r>
        <w:rPr>
          <w:rFonts w:ascii="Arial" w:hAnsi="Arial" w:cs="Arial"/>
          <w:b/>
          <w:bCs/>
          <w:iCs/>
          <w:sz w:val="22"/>
          <w:szCs w:val="22"/>
          <w:lang w:val="pt-BR"/>
        </w:rPr>
        <w:t>E</w:t>
      </w:r>
      <w:r>
        <w:rPr>
          <w:rFonts w:ascii="Arial" w:hAnsi="Arial" w:cs="Arial"/>
          <w:b/>
          <w:bCs/>
          <w:iCs/>
          <w:spacing w:val="26"/>
          <w:sz w:val="22"/>
          <w:szCs w:val="22"/>
          <w:lang w:val="pt-BR"/>
        </w:rPr>
        <w:t xml:space="preserve"> </w:t>
      </w:r>
      <w:r>
        <w:rPr>
          <w:rFonts w:ascii="Arial" w:hAnsi="Arial" w:cs="Arial"/>
          <w:b/>
          <w:bCs/>
          <w:iCs/>
          <w:sz w:val="22"/>
          <w:szCs w:val="22"/>
          <w:lang w:val="pt-BR"/>
        </w:rPr>
        <w:t>CRITÉRIOS</w:t>
      </w:r>
      <w:r>
        <w:rPr>
          <w:rFonts w:ascii="Arial" w:hAnsi="Arial" w:cs="Arial"/>
          <w:b/>
          <w:bCs/>
          <w:iCs/>
          <w:spacing w:val="27"/>
          <w:sz w:val="22"/>
          <w:szCs w:val="22"/>
          <w:lang w:val="pt-BR"/>
        </w:rPr>
        <w:t xml:space="preserve"> </w:t>
      </w:r>
      <w:r>
        <w:rPr>
          <w:rFonts w:ascii="Arial" w:hAnsi="Arial" w:cs="Arial"/>
          <w:b/>
          <w:bCs/>
          <w:iCs/>
          <w:sz w:val="22"/>
          <w:szCs w:val="22"/>
          <w:lang w:val="pt-BR"/>
        </w:rPr>
        <w:t>DE ACEITAÇÃO OU NÃO DO OBJETO:</w:t>
      </w:r>
    </w:p>
    <w:p w14:paraId="6FE479DD">
      <w:pPr>
        <w:pStyle w:val="24"/>
        <w:numPr>
          <w:ilvl w:val="2"/>
          <w:numId w:val="5"/>
        </w:numPr>
      </w:pPr>
      <w:r>
        <w:t xml:space="preserve">Local de entrega dos produtos: os produtos deverão ser entregues nas Unidades da Secretaria Municipal de Saúde e Secretaria Municipal de Obras e </w:t>
      </w:r>
    </w:p>
    <w:p w14:paraId="2B240135">
      <w:pPr>
        <w:pStyle w:val="24"/>
      </w:pPr>
      <w:r>
        <w:rPr>
          <w:b/>
        </w:rPr>
        <w:t>Serviços Urbanos</w:t>
      </w:r>
      <w:r>
        <w:t xml:space="preserve"> ou, outro lugar que serão indicados pelo funcionário responsável.</w:t>
      </w:r>
    </w:p>
    <w:p w14:paraId="4031FC08">
      <w:pPr>
        <w:pStyle w:val="24"/>
        <w:rPr>
          <w:b/>
        </w:rPr>
      </w:pPr>
    </w:p>
    <w:p w14:paraId="56E0CE5C">
      <w:pPr>
        <w:pStyle w:val="24"/>
        <w:rPr>
          <w:b/>
        </w:rPr>
      </w:pPr>
    </w:p>
    <w:p w14:paraId="1F4F13B7">
      <w:pPr>
        <w:pStyle w:val="24"/>
      </w:pPr>
      <w:r>
        <w:rPr>
          <w:b/>
        </w:rPr>
        <w:t>6.3.1.1</w:t>
      </w:r>
      <w:r>
        <w:t xml:space="preserve">. O prazo de entrega para os itens </w:t>
      </w:r>
      <w:r>
        <w:rPr>
          <w:b/>
          <w:bCs w:val="0"/>
        </w:rPr>
        <w:t>6, 8, 9, 10, 11, 12 e 13</w:t>
      </w:r>
      <w:r>
        <w:t xml:space="preserve"> (</w:t>
      </w:r>
      <w:r>
        <w:rPr>
          <w:b/>
          <w:bCs w:val="0"/>
        </w:rPr>
        <w:t>nitrogênio e oxigênio</w:t>
      </w:r>
      <w:r>
        <w:t xml:space="preserve">) é de </w:t>
      </w:r>
      <w:r>
        <w:rPr>
          <w:b/>
        </w:rPr>
        <w:t>24 (vinte e quatro) horas</w:t>
      </w:r>
      <w:r>
        <w:t>, contadas a partir do recebimento da NAD (Nota de Autorização de Despesas);</w:t>
      </w:r>
    </w:p>
    <w:p w14:paraId="61D4A668">
      <w:pPr>
        <w:pStyle w:val="24"/>
        <w:rPr>
          <w:b/>
          <w:bCs w:val="0"/>
        </w:rPr>
      </w:pPr>
      <w:r>
        <w:rPr>
          <w:b/>
          <w:bCs w:val="0"/>
        </w:rPr>
        <w:t xml:space="preserve">6.3.1.2. </w:t>
      </w:r>
      <w:r>
        <w:t xml:space="preserve">O prazo de entrega para os itens </w:t>
      </w:r>
      <w:r>
        <w:rPr>
          <w:b/>
          <w:bCs w:val="0"/>
        </w:rPr>
        <w:t>1, 2, 3, 4, 5, 7, 14, 15, 16 e 17</w:t>
      </w:r>
      <w:r>
        <w:t xml:space="preserve"> (gás oxigênio, acetileno e demais itens) é de até </w:t>
      </w:r>
      <w:r>
        <w:rPr>
          <w:b/>
        </w:rPr>
        <w:t>5 (cinco) dias úteis</w:t>
      </w:r>
      <w:r>
        <w:t>, contados a partir do recebimento da NAD (Nota de Autorização de Despesas).</w:t>
      </w:r>
    </w:p>
    <w:p w14:paraId="3DAF97FB">
      <w:pPr>
        <w:pStyle w:val="24"/>
        <w:spacing w:line="240" w:lineRule="auto"/>
      </w:pPr>
    </w:p>
    <w:tbl>
      <w:tblPr>
        <w:tblStyle w:val="21"/>
        <w:tblW w:w="0" w:type="auto"/>
        <w:tblInd w:w="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5454"/>
      </w:tblGrid>
      <w:tr w14:paraId="644F2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8" w:type="dxa"/>
          </w:tcPr>
          <w:p w14:paraId="50371AF4">
            <w:pPr>
              <w:pStyle w:val="24"/>
              <w:spacing w:line="240" w:lineRule="auto"/>
              <w:jc w:val="center"/>
              <w:rPr>
                <w:b/>
                <w:bCs w:val="0"/>
              </w:rPr>
            </w:pPr>
            <w:r>
              <w:rPr>
                <w:b/>
                <w:bCs w:val="0"/>
              </w:rPr>
              <w:t>SECRETARIA</w:t>
            </w:r>
          </w:p>
        </w:tc>
        <w:tc>
          <w:tcPr>
            <w:tcW w:w="5454" w:type="dxa"/>
          </w:tcPr>
          <w:p w14:paraId="6D11F0C8">
            <w:pPr>
              <w:pStyle w:val="24"/>
              <w:spacing w:line="240" w:lineRule="auto"/>
              <w:jc w:val="center"/>
            </w:pPr>
            <w:r>
              <w:rPr>
                <w:b/>
                <w:bCs w:val="0"/>
              </w:rPr>
              <w:t>ENDEREÇO DE REFERÊNCIA</w:t>
            </w:r>
          </w:p>
        </w:tc>
      </w:tr>
      <w:tr w14:paraId="23093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trPr>
        <w:tc>
          <w:tcPr>
            <w:tcW w:w="9352" w:type="dxa"/>
            <w:gridSpan w:val="2"/>
          </w:tcPr>
          <w:p w14:paraId="66F368D2">
            <w:pPr>
              <w:pStyle w:val="24"/>
              <w:spacing w:line="240" w:lineRule="auto"/>
              <w:rPr>
                <w:sz w:val="18"/>
                <w:szCs w:val="18"/>
              </w:rPr>
            </w:pPr>
          </w:p>
        </w:tc>
      </w:tr>
      <w:tr w14:paraId="7DEF8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98" w:type="dxa"/>
            <w:vAlign w:val="center"/>
          </w:tcPr>
          <w:p w14:paraId="32F68ABA">
            <w:pPr>
              <w:pStyle w:val="24"/>
              <w:spacing w:line="240" w:lineRule="auto"/>
              <w:rPr>
                <w:b/>
                <w:bCs w:val="0"/>
              </w:rPr>
            </w:pPr>
            <w:r>
              <w:rPr>
                <w:b/>
                <w:bCs w:val="0"/>
              </w:rPr>
              <w:t>OBRAS E SERVIÇOS URBANOS</w:t>
            </w:r>
          </w:p>
        </w:tc>
        <w:tc>
          <w:tcPr>
            <w:tcW w:w="5454" w:type="dxa"/>
          </w:tcPr>
          <w:p w14:paraId="3734C17C">
            <w:pPr>
              <w:pStyle w:val="24"/>
              <w:spacing w:line="240" w:lineRule="auto"/>
            </w:pPr>
            <w:r>
              <w:t>Rua das Mangueiras, nº 832, Jd. Celeste</w:t>
            </w:r>
          </w:p>
        </w:tc>
      </w:tr>
      <w:tr w14:paraId="7B027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3898" w:type="dxa"/>
            <w:vAlign w:val="center"/>
          </w:tcPr>
          <w:p w14:paraId="697D3925">
            <w:pPr>
              <w:pStyle w:val="24"/>
              <w:spacing w:line="240" w:lineRule="auto"/>
              <w:rPr>
                <w:b/>
                <w:bCs w:val="0"/>
              </w:rPr>
            </w:pPr>
            <w:r>
              <w:rPr>
                <w:b/>
                <w:bCs w:val="0"/>
              </w:rPr>
              <w:t>SAÚDE</w:t>
            </w:r>
          </w:p>
        </w:tc>
        <w:tc>
          <w:tcPr>
            <w:tcW w:w="5454" w:type="dxa"/>
            <w:vAlign w:val="center"/>
          </w:tcPr>
          <w:p w14:paraId="04062693">
            <w:pPr>
              <w:pStyle w:val="24"/>
              <w:spacing w:line="240" w:lineRule="auto"/>
            </w:pPr>
            <w:r>
              <w:t>Av. Sibipirunas nº 5753, Esq. c/ R das Salvias Jardim Primaveras – CEP: 78550-408</w:t>
            </w:r>
          </w:p>
        </w:tc>
      </w:tr>
    </w:tbl>
    <w:p w14:paraId="215A4EE1">
      <w:pPr>
        <w:pStyle w:val="24"/>
        <w:spacing w:line="240" w:lineRule="auto"/>
      </w:pPr>
    </w:p>
    <w:p w14:paraId="37B41591">
      <w:pPr>
        <w:pStyle w:val="24"/>
        <w:rPr>
          <w:rFonts w:eastAsiaTheme="minorHAnsi"/>
        </w:rPr>
      </w:pPr>
      <w:r>
        <w:rPr>
          <w:b/>
        </w:rPr>
        <w:t xml:space="preserve">6.3.1.3. </w:t>
      </w:r>
      <w:r>
        <w:rPr>
          <w:rFonts w:eastAsiaTheme="minorHAnsi"/>
        </w:rPr>
        <w:t>O prazo de entrega/execução é considerado adequado para que a empresa fornecedora organize a logística de aquisição, transporte e entrega domiciliar dos cilindros de oxigênio conforme a demanda e a necessidade dos pacientes cadastrados nas unidades de saúde da Secretaria Municipal;</w:t>
      </w:r>
    </w:p>
    <w:p w14:paraId="12AC3D76">
      <w:pPr>
        <w:pStyle w:val="24"/>
      </w:pPr>
      <w:r>
        <w:rPr>
          <w:b/>
        </w:rPr>
        <w:t xml:space="preserve">6.3.1.4. </w:t>
      </w:r>
      <w:r>
        <w:t>Horário de Entrega:</w:t>
      </w:r>
    </w:p>
    <w:p w14:paraId="74BE8CEA">
      <w:pPr>
        <w:pStyle w:val="24"/>
      </w:pPr>
      <w:r>
        <w:rPr>
          <w:b/>
        </w:rPr>
        <w:t>I</w:t>
      </w:r>
      <w:r>
        <w:t>-Entregas Programadas: Dias úteis (segunda a sexta-feira): das 08h00 às 17h00 Sábados: das 08h00 às 12h00.</w:t>
      </w:r>
    </w:p>
    <w:p w14:paraId="4D30DDED">
      <w:pPr>
        <w:pStyle w:val="24"/>
      </w:pPr>
      <w:r>
        <w:rPr>
          <w:b/>
        </w:rPr>
        <w:t>II</w:t>
      </w:r>
      <w:r>
        <w:t>-Entregas Emergenciais: Disponibilidade 24 horas, todos os dias da semana, inclusive feriados.</w:t>
      </w:r>
    </w:p>
    <w:p w14:paraId="66BE9CBF">
      <w:pPr>
        <w:pStyle w:val="16"/>
        <w:spacing w:line="360" w:lineRule="auto"/>
        <w:jc w:val="both"/>
        <w:rPr>
          <w:rFonts w:ascii="Arial" w:hAnsi="Arial" w:cs="Arial"/>
          <w:sz w:val="22"/>
          <w:szCs w:val="22"/>
          <w:shd w:val="clear" w:color="auto" w:fill="FFFFFF"/>
        </w:rPr>
      </w:pPr>
      <w:r>
        <w:rPr>
          <w:rFonts w:ascii="Arial" w:hAnsi="Arial" w:cs="Arial"/>
          <w:b/>
          <w:bCs/>
          <w:sz w:val="22"/>
          <w:szCs w:val="22"/>
          <w:shd w:val="clear" w:color="auto" w:fill="FFFFFF"/>
        </w:rPr>
        <w:t xml:space="preserve">6.3.1.5. </w:t>
      </w:r>
      <w:r>
        <w:rPr>
          <w:rFonts w:ascii="Arial" w:hAnsi="Arial" w:cs="Arial"/>
          <w:sz w:val="22"/>
          <w:szCs w:val="22"/>
          <w:shd w:val="clear" w:color="auto" w:fill="FFFFFF"/>
        </w:rPr>
        <w:t xml:space="preserve">Considerando que a aquisição de oxigênio medicinal visa atender as necessidades dos pacientes cadastrados nas unidades de Saúde, a entrega do item deverá ser domiciliar, garantindo que o paciente/representante receba a instalação e as orientações adequadas sobre manuseio e conservação do cilindro, como preconiza </w:t>
      </w:r>
      <w:r>
        <w:rPr>
          <w:rFonts w:ascii="Arial" w:hAnsi="Arial" w:cs="Arial"/>
          <w:sz w:val="22"/>
          <w:szCs w:val="22"/>
        </w:rPr>
        <w:t xml:space="preserve">o </w:t>
      </w:r>
      <w:r>
        <w:rPr>
          <w:rFonts w:ascii="Arial" w:hAnsi="Arial" w:cs="Arial"/>
          <w:bCs/>
          <w:spacing w:val="-2"/>
          <w:sz w:val="22"/>
          <w:szCs w:val="22"/>
        </w:rPr>
        <w:t>Decreto nº 077/2024 - Protocolo de Oxigenoterapia Domiciliar Prolongada PODP.</w:t>
      </w:r>
      <w:r>
        <w:rPr>
          <w:rFonts w:ascii="Arial" w:hAnsi="Arial" w:cs="Arial"/>
          <w:sz w:val="22"/>
          <w:szCs w:val="22"/>
          <w:shd w:val="clear" w:color="auto" w:fill="FFFFFF"/>
        </w:rPr>
        <w:t xml:space="preserve">  </w:t>
      </w:r>
    </w:p>
    <w:p w14:paraId="39902873">
      <w:pPr>
        <w:pStyle w:val="16"/>
        <w:spacing w:line="360" w:lineRule="auto"/>
        <w:jc w:val="both"/>
        <w:rPr>
          <w:rFonts w:ascii="Arial" w:hAnsi="Arial" w:cs="Arial"/>
          <w:sz w:val="22"/>
          <w:szCs w:val="22"/>
        </w:rPr>
      </w:pPr>
      <w:r>
        <w:rPr>
          <w:rFonts w:ascii="Arial" w:hAnsi="Arial" w:cs="Arial"/>
          <w:b/>
          <w:sz w:val="22"/>
          <w:szCs w:val="22"/>
        </w:rPr>
        <w:t xml:space="preserve">6.3.1.6. Forma de entrega do Oxigênio Gasoso Medicinal: </w:t>
      </w:r>
      <w:r>
        <w:rPr>
          <w:rFonts w:ascii="Arial" w:hAnsi="Arial" w:cs="Arial"/>
          <w:sz w:val="22"/>
          <w:szCs w:val="22"/>
        </w:rPr>
        <w:t xml:space="preserve">deverá ser realizada, de acordo com a necessidade e demanda estabelecida pela Secretaria Municipal de Saúde de Sinop/MT; </w:t>
      </w:r>
    </w:p>
    <w:p w14:paraId="6A6C8E2E">
      <w:pPr>
        <w:pStyle w:val="9"/>
      </w:pPr>
      <w:r>
        <w:rPr>
          <w:b/>
        </w:rPr>
        <w:t>6.3.1.7. Do empréstimo dos cilindros:</w:t>
      </w:r>
      <w:r>
        <w:t xml:space="preserve"> deverão ser emprestados ao município, na modalidade COMODATO sem custo da locação conforme a necessidade das Secretarias.</w:t>
      </w:r>
    </w:p>
    <w:p w14:paraId="619762B6">
      <w:pPr>
        <w:autoSpaceDE w:val="0"/>
        <w:autoSpaceDN w:val="0"/>
        <w:spacing w:line="360" w:lineRule="auto"/>
        <w:rPr>
          <w:rFonts w:ascii="Arial" w:hAnsi="Arial" w:cs="Arial"/>
          <w:sz w:val="22"/>
          <w:szCs w:val="22"/>
        </w:rPr>
      </w:pPr>
      <w:r>
        <w:rPr>
          <w:rFonts w:ascii="Arial" w:hAnsi="Arial" w:cs="Arial"/>
          <w:b/>
          <w:bCs/>
          <w:sz w:val="22"/>
          <w:szCs w:val="22"/>
        </w:rPr>
        <w:t xml:space="preserve">6.3.1.8. Forma de entrega do </w:t>
      </w:r>
      <w:r>
        <w:rPr>
          <w:rFonts w:ascii="Arial" w:hAnsi="Arial" w:cs="Arial"/>
          <w:b/>
          <w:sz w:val="22"/>
          <w:szCs w:val="22"/>
        </w:rPr>
        <w:t xml:space="preserve">Gás Oxigênio e Acetileno: </w:t>
      </w:r>
      <w:r>
        <w:rPr>
          <w:rFonts w:ascii="Arial" w:hAnsi="Arial" w:cs="Arial"/>
          <w:sz w:val="22"/>
          <w:szCs w:val="22"/>
        </w:rPr>
        <w:t>Quando solicitado pela Secretaria de Obras os cilindros deverão ser inspecionados pela empresa detentora. Constatada a necessidade de troca, a mesma deverá ser acompanhada, conferida e aceita por funcionário responsável.</w:t>
      </w:r>
    </w:p>
    <w:p w14:paraId="07B2BE75">
      <w:pPr>
        <w:autoSpaceDE w:val="0"/>
        <w:autoSpaceDN w:val="0"/>
        <w:spacing w:line="360" w:lineRule="auto"/>
        <w:rPr>
          <w:rFonts w:ascii="Arial" w:hAnsi="Arial" w:cs="Arial"/>
          <w:b/>
          <w:sz w:val="22"/>
          <w:szCs w:val="22"/>
          <w:u w:val="single"/>
        </w:rPr>
      </w:pPr>
      <w:r>
        <w:rPr>
          <w:rFonts w:ascii="Arial" w:hAnsi="Arial" w:cs="Arial"/>
          <w:b/>
          <w:sz w:val="22"/>
          <w:szCs w:val="22"/>
        </w:rPr>
        <w:t xml:space="preserve">6.3.1.8. </w:t>
      </w:r>
      <w:r>
        <w:rPr>
          <w:rFonts w:ascii="Arial" w:hAnsi="Arial" w:cs="Arial"/>
          <w:b/>
          <w:bCs/>
          <w:sz w:val="22"/>
          <w:szCs w:val="22"/>
        </w:rPr>
        <w:t xml:space="preserve">Prazo para entrega dos produtos </w:t>
      </w:r>
      <w:r>
        <w:rPr>
          <w:rFonts w:ascii="Arial" w:hAnsi="Arial" w:cs="Arial"/>
          <w:b/>
          <w:sz w:val="22"/>
          <w:szCs w:val="22"/>
        </w:rPr>
        <w:t xml:space="preserve">Gás Oxigênio e Acetileno: </w:t>
      </w:r>
      <w:r>
        <w:rPr>
          <w:rFonts w:ascii="Arial" w:hAnsi="Arial" w:cs="Arial"/>
          <w:b/>
          <w:sz w:val="22"/>
          <w:szCs w:val="22"/>
          <w:u w:val="single"/>
        </w:rPr>
        <w:t xml:space="preserve">até 05 (cinco) </w:t>
      </w:r>
    </w:p>
    <w:p w14:paraId="6F4135EA">
      <w:pPr>
        <w:autoSpaceDE w:val="0"/>
        <w:autoSpaceDN w:val="0"/>
        <w:spacing w:line="360" w:lineRule="auto"/>
        <w:rPr>
          <w:rFonts w:ascii="Arial" w:hAnsi="Arial" w:cs="Arial"/>
          <w:sz w:val="22"/>
          <w:szCs w:val="22"/>
        </w:rPr>
      </w:pPr>
      <w:r>
        <w:rPr>
          <w:rFonts w:ascii="Arial" w:hAnsi="Arial" w:cs="Arial"/>
          <w:b/>
          <w:sz w:val="22"/>
          <w:szCs w:val="22"/>
          <w:u w:val="single"/>
        </w:rPr>
        <w:t>dias</w:t>
      </w:r>
      <w:r>
        <w:rPr>
          <w:rFonts w:ascii="Arial" w:hAnsi="Arial" w:cs="Arial"/>
          <w:sz w:val="22"/>
          <w:szCs w:val="22"/>
        </w:rPr>
        <w:t xml:space="preserve">, a contar do recebimento da requisição, estando sujeito a conferencia e aceite pelo funcionário responsável.  </w:t>
      </w:r>
    </w:p>
    <w:p w14:paraId="33BE40AE">
      <w:pPr>
        <w:tabs>
          <w:tab w:val="left" w:pos="0"/>
        </w:tabs>
        <w:spacing w:line="360" w:lineRule="auto"/>
        <w:rPr>
          <w:rFonts w:ascii="Arial" w:hAnsi="Arial" w:cs="Arial"/>
          <w:b/>
          <w:bCs/>
          <w:sz w:val="22"/>
          <w:szCs w:val="22"/>
        </w:rPr>
      </w:pPr>
      <w:r>
        <w:rPr>
          <w:rFonts w:ascii="Arial" w:hAnsi="Arial" w:cs="Arial"/>
          <w:b/>
          <w:bCs/>
          <w:sz w:val="22"/>
          <w:szCs w:val="22"/>
        </w:rPr>
        <w:t>6.4. PRAZO MÍNIMO DE VALIDADE DO PRODUTO:</w:t>
      </w:r>
    </w:p>
    <w:p w14:paraId="24C411A1">
      <w:pPr>
        <w:tabs>
          <w:tab w:val="left" w:pos="0"/>
        </w:tabs>
        <w:spacing w:line="360" w:lineRule="auto"/>
        <w:rPr>
          <w:rFonts w:ascii="Arial" w:hAnsi="Arial" w:cs="Arial"/>
          <w:sz w:val="22"/>
          <w:szCs w:val="22"/>
        </w:rPr>
      </w:pPr>
      <w:r>
        <w:rPr>
          <w:rFonts w:ascii="Arial" w:hAnsi="Arial" w:cs="Arial"/>
          <w:b/>
          <w:bCs/>
          <w:sz w:val="22"/>
          <w:szCs w:val="22"/>
        </w:rPr>
        <w:t xml:space="preserve">6.4.1. </w:t>
      </w:r>
      <w:r>
        <w:rPr>
          <w:rFonts w:ascii="Arial" w:hAnsi="Arial" w:cs="Arial"/>
          <w:sz w:val="22"/>
          <w:szCs w:val="22"/>
        </w:rPr>
        <w:t xml:space="preserve">(Não se aplica). </w:t>
      </w:r>
    </w:p>
    <w:p w14:paraId="4FBE58A5">
      <w:pPr>
        <w:tabs>
          <w:tab w:val="left" w:pos="0"/>
        </w:tabs>
        <w:spacing w:line="360" w:lineRule="auto"/>
        <w:rPr>
          <w:rFonts w:ascii="Arial" w:hAnsi="Arial" w:cs="Arial"/>
          <w:b/>
          <w:bCs/>
          <w:sz w:val="22"/>
          <w:szCs w:val="22"/>
        </w:rPr>
      </w:pPr>
    </w:p>
    <w:p w14:paraId="10E50CBB">
      <w:pPr>
        <w:tabs>
          <w:tab w:val="left" w:pos="0"/>
        </w:tabs>
        <w:spacing w:line="360" w:lineRule="auto"/>
        <w:rPr>
          <w:rFonts w:ascii="Arial" w:hAnsi="Arial" w:cs="Arial"/>
          <w:b/>
          <w:bCs/>
          <w:sz w:val="22"/>
          <w:szCs w:val="22"/>
        </w:rPr>
      </w:pPr>
      <w:r>
        <w:rPr>
          <w:rFonts w:ascii="Arial" w:hAnsi="Arial" w:cs="Arial"/>
          <w:b/>
          <w:bCs/>
          <w:sz w:val="22"/>
          <w:szCs w:val="22"/>
        </w:rPr>
        <w:t>6.5. ESPECIFICAÇÃO DA GARANTIA EXIGIDA:</w:t>
      </w:r>
    </w:p>
    <w:p w14:paraId="3E262119">
      <w:pPr>
        <w:spacing w:line="360" w:lineRule="auto"/>
        <w:rPr>
          <w:rFonts w:ascii="Arial" w:hAnsi="Arial" w:cs="Arial"/>
          <w:sz w:val="22"/>
          <w:szCs w:val="22"/>
        </w:rPr>
      </w:pPr>
      <w:r>
        <w:rPr>
          <w:rFonts w:ascii="Arial" w:hAnsi="Arial" w:cs="Arial"/>
          <w:b/>
          <w:bCs/>
          <w:sz w:val="22"/>
          <w:szCs w:val="22"/>
        </w:rPr>
        <w:t xml:space="preserve">6.5.1. </w:t>
      </w:r>
      <w:r>
        <w:rPr>
          <w:rFonts w:ascii="Arial" w:hAnsi="Arial" w:cs="Arial"/>
          <w:sz w:val="22"/>
          <w:szCs w:val="22"/>
        </w:rPr>
        <w:t>(Não se aplica).</w:t>
      </w:r>
    </w:p>
    <w:p w14:paraId="7A188A24">
      <w:pPr>
        <w:spacing w:line="360" w:lineRule="auto"/>
        <w:rPr>
          <w:rFonts w:ascii="Arial" w:hAnsi="Arial" w:eastAsia="SimSun" w:cs="Arial"/>
          <w:color w:val="000000"/>
          <w:sz w:val="22"/>
          <w:szCs w:val="22"/>
          <w:lang w:eastAsia="zh-CN" w:bidi="ar"/>
        </w:rPr>
      </w:pPr>
    </w:p>
    <w:p w14:paraId="57D09AA4">
      <w:pPr>
        <w:tabs>
          <w:tab w:val="left" w:pos="-200"/>
        </w:tabs>
        <w:spacing w:line="360" w:lineRule="auto"/>
        <w:rPr>
          <w:rFonts w:ascii="Arial" w:hAnsi="Arial" w:cs="Arial"/>
          <w:b/>
          <w:bCs/>
          <w:iCs/>
          <w:spacing w:val="-2"/>
          <w:sz w:val="22"/>
          <w:szCs w:val="22"/>
        </w:rPr>
      </w:pPr>
      <w:r>
        <w:rPr>
          <w:rFonts w:ascii="Arial" w:hAnsi="Arial" w:cs="Arial"/>
          <w:b/>
          <w:bCs/>
          <w:sz w:val="22"/>
          <w:szCs w:val="22"/>
        </w:rPr>
        <w:t xml:space="preserve">6.6. </w:t>
      </w:r>
      <w:r>
        <w:rPr>
          <w:rFonts w:ascii="Arial" w:hAnsi="Arial" w:cs="Arial"/>
          <w:b/>
          <w:bCs/>
          <w:iCs/>
          <w:sz w:val="22"/>
          <w:szCs w:val="22"/>
        </w:rPr>
        <w:t>CONDIÇÕES</w:t>
      </w:r>
      <w:r>
        <w:rPr>
          <w:rFonts w:ascii="Arial" w:hAnsi="Arial" w:cs="Arial"/>
          <w:b/>
          <w:bCs/>
          <w:iCs/>
          <w:spacing w:val="-4"/>
          <w:sz w:val="22"/>
          <w:szCs w:val="22"/>
        </w:rPr>
        <w:t xml:space="preserve"> </w:t>
      </w:r>
      <w:r>
        <w:rPr>
          <w:rFonts w:ascii="Arial" w:hAnsi="Arial" w:cs="Arial"/>
          <w:b/>
          <w:bCs/>
          <w:iCs/>
          <w:sz w:val="22"/>
          <w:szCs w:val="22"/>
        </w:rPr>
        <w:t>DE</w:t>
      </w:r>
      <w:r>
        <w:rPr>
          <w:rFonts w:ascii="Arial" w:hAnsi="Arial" w:cs="Arial"/>
          <w:b/>
          <w:bCs/>
          <w:iCs/>
          <w:spacing w:val="-2"/>
          <w:sz w:val="22"/>
          <w:szCs w:val="22"/>
        </w:rPr>
        <w:t xml:space="preserve"> </w:t>
      </w:r>
      <w:r>
        <w:rPr>
          <w:rFonts w:ascii="Arial" w:hAnsi="Arial" w:cs="Arial"/>
          <w:b/>
          <w:bCs/>
          <w:iCs/>
          <w:sz w:val="22"/>
          <w:szCs w:val="22"/>
        </w:rPr>
        <w:t>MANUTENÇÃO</w:t>
      </w:r>
      <w:r>
        <w:rPr>
          <w:rFonts w:ascii="Arial" w:hAnsi="Arial" w:cs="Arial"/>
          <w:b/>
          <w:bCs/>
          <w:iCs/>
          <w:spacing w:val="-1"/>
          <w:sz w:val="22"/>
          <w:szCs w:val="22"/>
        </w:rPr>
        <w:t xml:space="preserve"> </w:t>
      </w:r>
      <w:r>
        <w:rPr>
          <w:rFonts w:ascii="Arial" w:hAnsi="Arial" w:cs="Arial"/>
          <w:b/>
          <w:bCs/>
          <w:iCs/>
          <w:sz w:val="22"/>
          <w:szCs w:val="22"/>
        </w:rPr>
        <w:t>PREVENTIVA</w:t>
      </w:r>
      <w:r>
        <w:rPr>
          <w:rFonts w:ascii="Arial" w:hAnsi="Arial" w:cs="Arial"/>
          <w:b/>
          <w:bCs/>
          <w:iCs/>
          <w:spacing w:val="1"/>
          <w:sz w:val="22"/>
          <w:szCs w:val="22"/>
        </w:rPr>
        <w:t xml:space="preserve"> </w:t>
      </w:r>
      <w:r>
        <w:rPr>
          <w:rFonts w:ascii="Arial" w:hAnsi="Arial" w:cs="Arial"/>
          <w:b/>
          <w:bCs/>
          <w:iCs/>
          <w:sz w:val="22"/>
          <w:szCs w:val="22"/>
        </w:rPr>
        <w:t>E/OU</w:t>
      </w:r>
      <w:r>
        <w:rPr>
          <w:rFonts w:ascii="Arial" w:hAnsi="Arial" w:cs="Arial"/>
          <w:b/>
          <w:bCs/>
          <w:iCs/>
          <w:spacing w:val="-1"/>
          <w:sz w:val="22"/>
          <w:szCs w:val="22"/>
        </w:rPr>
        <w:t xml:space="preserve"> </w:t>
      </w:r>
      <w:r>
        <w:rPr>
          <w:rFonts w:ascii="Arial" w:hAnsi="Arial" w:cs="Arial"/>
          <w:b/>
          <w:bCs/>
          <w:iCs/>
          <w:sz w:val="22"/>
          <w:szCs w:val="22"/>
        </w:rPr>
        <w:t>CORRETIVA</w:t>
      </w:r>
      <w:r>
        <w:rPr>
          <w:rFonts w:ascii="Arial" w:hAnsi="Arial" w:cs="Arial"/>
          <w:b/>
          <w:bCs/>
          <w:iCs/>
          <w:spacing w:val="-1"/>
          <w:sz w:val="22"/>
          <w:szCs w:val="22"/>
        </w:rPr>
        <w:t xml:space="preserve"> </w:t>
      </w:r>
      <w:r>
        <w:rPr>
          <w:rFonts w:ascii="Arial" w:hAnsi="Arial" w:cs="Arial"/>
          <w:b/>
          <w:bCs/>
          <w:iCs/>
          <w:sz w:val="22"/>
          <w:szCs w:val="22"/>
        </w:rPr>
        <w:t>E</w:t>
      </w:r>
      <w:r>
        <w:rPr>
          <w:rFonts w:ascii="Arial" w:hAnsi="Arial" w:cs="Arial"/>
          <w:b/>
          <w:bCs/>
          <w:iCs/>
          <w:spacing w:val="-2"/>
          <w:sz w:val="22"/>
          <w:szCs w:val="22"/>
        </w:rPr>
        <w:t xml:space="preserve"> </w:t>
      </w:r>
      <w:r>
        <w:rPr>
          <w:rFonts w:ascii="Arial" w:hAnsi="Arial" w:cs="Arial"/>
          <w:b/>
          <w:bCs/>
          <w:iCs/>
          <w:sz w:val="22"/>
          <w:szCs w:val="22"/>
        </w:rPr>
        <w:t>ASSISTÊNCIA</w:t>
      </w:r>
      <w:r>
        <w:rPr>
          <w:rFonts w:ascii="Arial" w:hAnsi="Arial" w:cs="Arial"/>
          <w:b/>
          <w:bCs/>
          <w:iCs/>
          <w:spacing w:val="-1"/>
          <w:sz w:val="22"/>
          <w:szCs w:val="22"/>
        </w:rPr>
        <w:t xml:space="preserve"> </w:t>
      </w:r>
      <w:r>
        <w:rPr>
          <w:rFonts w:ascii="Arial" w:hAnsi="Arial" w:cs="Arial"/>
          <w:b/>
          <w:bCs/>
          <w:iCs/>
          <w:spacing w:val="-2"/>
          <w:sz w:val="22"/>
          <w:szCs w:val="22"/>
        </w:rPr>
        <w:t>TÉCNICA:</w:t>
      </w:r>
    </w:p>
    <w:p w14:paraId="78C96841">
      <w:pPr>
        <w:tabs>
          <w:tab w:val="left" w:pos="0"/>
        </w:tabs>
        <w:spacing w:line="360" w:lineRule="auto"/>
        <w:rPr>
          <w:rFonts w:ascii="Arial" w:hAnsi="Arial" w:cs="Arial"/>
          <w:sz w:val="22"/>
          <w:szCs w:val="22"/>
        </w:rPr>
      </w:pPr>
      <w:r>
        <w:rPr>
          <w:rFonts w:ascii="Arial" w:hAnsi="Arial" w:cs="Arial"/>
          <w:b/>
          <w:bCs/>
          <w:sz w:val="22"/>
          <w:szCs w:val="22"/>
        </w:rPr>
        <w:t>6.6.1.</w:t>
      </w:r>
      <w:r>
        <w:rPr>
          <w:rFonts w:ascii="Arial" w:hAnsi="Arial" w:cs="Arial"/>
          <w:sz w:val="22"/>
          <w:szCs w:val="22"/>
        </w:rPr>
        <w:t xml:space="preserve"> (Não se aplica).</w:t>
      </w:r>
    </w:p>
    <w:p w14:paraId="79E6F55E">
      <w:pPr>
        <w:tabs>
          <w:tab w:val="left" w:pos="0"/>
        </w:tabs>
        <w:spacing w:line="360" w:lineRule="auto"/>
        <w:rPr>
          <w:rFonts w:ascii="Arial" w:hAnsi="Arial" w:cs="Arial"/>
          <w:sz w:val="22"/>
          <w:szCs w:val="22"/>
        </w:rPr>
      </w:pPr>
    </w:p>
    <w:p w14:paraId="61B18E48">
      <w:pPr>
        <w:tabs>
          <w:tab w:val="left" w:pos="0"/>
        </w:tabs>
        <w:spacing w:line="360" w:lineRule="auto"/>
        <w:rPr>
          <w:rFonts w:ascii="Arial" w:hAnsi="Arial" w:cs="Arial"/>
          <w:b/>
          <w:bCs/>
          <w:sz w:val="22"/>
          <w:szCs w:val="22"/>
        </w:rPr>
      </w:pPr>
      <w:r>
        <w:rPr>
          <w:rFonts w:ascii="Arial" w:hAnsi="Arial" w:cs="Arial"/>
          <w:b/>
          <w:bCs/>
          <w:sz w:val="22"/>
          <w:szCs w:val="22"/>
        </w:rPr>
        <w:t>6.7. CRONOGRAMA DE EXECUÇÃO:</w:t>
      </w:r>
    </w:p>
    <w:p w14:paraId="73AC45FB">
      <w:pPr>
        <w:tabs>
          <w:tab w:val="left" w:pos="0"/>
        </w:tabs>
        <w:spacing w:line="360" w:lineRule="auto"/>
        <w:rPr>
          <w:rFonts w:ascii="Arial" w:hAnsi="Arial" w:cs="Arial"/>
          <w:sz w:val="22"/>
          <w:szCs w:val="22"/>
        </w:rPr>
      </w:pPr>
      <w:r>
        <w:rPr>
          <w:rFonts w:ascii="Arial" w:hAnsi="Arial" w:cs="Arial"/>
          <w:b/>
          <w:bCs/>
          <w:sz w:val="22"/>
          <w:szCs w:val="22"/>
        </w:rPr>
        <w:t>6.7.1.</w:t>
      </w:r>
      <w:r>
        <w:rPr>
          <w:rFonts w:ascii="Arial" w:hAnsi="Arial" w:cs="Arial"/>
          <w:sz w:val="22"/>
          <w:szCs w:val="22"/>
        </w:rPr>
        <w:t xml:space="preserve"> (Não se aplica).</w:t>
      </w:r>
    </w:p>
    <w:p w14:paraId="16FAC5EC">
      <w:pPr>
        <w:tabs>
          <w:tab w:val="left" w:pos="0"/>
        </w:tabs>
        <w:spacing w:line="360" w:lineRule="auto"/>
        <w:rPr>
          <w:rFonts w:ascii="Arial" w:hAnsi="Arial" w:cs="Arial"/>
          <w:sz w:val="22"/>
          <w:szCs w:val="22"/>
        </w:rPr>
      </w:pPr>
    </w:p>
    <w:p w14:paraId="3305A89E">
      <w:pPr>
        <w:spacing w:line="360" w:lineRule="auto"/>
        <w:rPr>
          <w:rFonts w:ascii="Arial" w:hAnsi="Arial" w:cs="Arial"/>
          <w:b/>
          <w:bCs/>
          <w:sz w:val="22"/>
          <w:szCs w:val="22"/>
        </w:rPr>
      </w:pPr>
      <w:r>
        <w:rPr>
          <w:rFonts w:ascii="Arial" w:hAnsi="Arial" w:cs="Arial"/>
          <w:b/>
          <w:bCs/>
          <w:sz w:val="22"/>
          <w:szCs w:val="22"/>
        </w:rPr>
        <w:t>6.8. NECESSIDADE DE ACOMPANHAMENTO DOS SERVIÇOS POR PROFISSIONAIS DA “ÁREA” DEMANDANTE:</w:t>
      </w:r>
    </w:p>
    <w:p w14:paraId="7B2287BE">
      <w:pPr>
        <w:tabs>
          <w:tab w:val="left" w:pos="0"/>
        </w:tabs>
        <w:spacing w:line="360" w:lineRule="auto"/>
        <w:contextualSpacing/>
        <w:rPr>
          <w:rFonts w:ascii="Arial" w:hAnsi="Arial" w:cs="Arial"/>
          <w:sz w:val="22"/>
          <w:szCs w:val="22"/>
        </w:rPr>
      </w:pPr>
      <w:r>
        <w:rPr>
          <w:rFonts w:ascii="Arial" w:hAnsi="Arial" w:cs="Arial"/>
          <w:b/>
          <w:bCs/>
          <w:sz w:val="22"/>
          <w:szCs w:val="22"/>
        </w:rPr>
        <w:t>6.8.1. (</w:t>
      </w:r>
      <w:r>
        <w:rPr>
          <w:rFonts w:ascii="Arial" w:hAnsi="Arial" w:cs="Arial"/>
          <w:sz w:val="22"/>
          <w:szCs w:val="22"/>
        </w:rPr>
        <w:t>Não se aplica).</w:t>
      </w:r>
    </w:p>
    <w:p w14:paraId="7BCE5719">
      <w:pPr>
        <w:tabs>
          <w:tab w:val="left" w:pos="0"/>
        </w:tabs>
        <w:spacing w:line="360" w:lineRule="auto"/>
        <w:contextualSpacing/>
        <w:rPr>
          <w:rFonts w:ascii="Arial" w:hAnsi="Arial" w:cs="Arial"/>
          <w:sz w:val="22"/>
          <w:szCs w:val="22"/>
        </w:rPr>
      </w:pPr>
    </w:p>
    <w:p w14:paraId="76BE75C3">
      <w:pPr>
        <w:tabs>
          <w:tab w:val="left" w:pos="0"/>
        </w:tabs>
        <w:spacing w:line="360" w:lineRule="auto"/>
        <w:contextualSpacing/>
        <w:rPr>
          <w:rFonts w:ascii="Arial" w:hAnsi="Arial" w:cs="Arial"/>
          <w:b/>
          <w:bCs/>
          <w:sz w:val="22"/>
          <w:szCs w:val="22"/>
        </w:rPr>
      </w:pPr>
      <w:r>
        <w:rPr>
          <w:rFonts w:ascii="Arial" w:hAnsi="Arial" w:cs="Arial"/>
          <w:b/>
          <w:bCs/>
          <w:sz w:val="22"/>
          <w:szCs w:val="22"/>
        </w:rPr>
        <w:t xml:space="preserve">6.9. POSSIBILIDADE DE TROCA DE PEÇAS, SE POR ORIGIGINAIS OU SIMILARES, E DE PROCESSOS DE REMANUFATURA, RECONDICIONAMENTO, REUTILIZAÇÃO OU REFILAMENTO: </w:t>
      </w:r>
    </w:p>
    <w:p w14:paraId="03B8AFDB">
      <w:pPr>
        <w:tabs>
          <w:tab w:val="left" w:pos="0"/>
        </w:tabs>
        <w:spacing w:line="360" w:lineRule="auto"/>
        <w:contextualSpacing/>
        <w:rPr>
          <w:rFonts w:ascii="Arial" w:hAnsi="Arial" w:cs="Arial"/>
          <w:sz w:val="22"/>
          <w:szCs w:val="22"/>
        </w:rPr>
      </w:pPr>
      <w:r>
        <w:rPr>
          <w:rFonts w:ascii="Arial" w:hAnsi="Arial" w:cs="Arial"/>
          <w:b/>
          <w:bCs/>
          <w:sz w:val="22"/>
          <w:szCs w:val="22"/>
        </w:rPr>
        <w:t>6.9.1. (</w:t>
      </w:r>
      <w:r>
        <w:rPr>
          <w:rFonts w:ascii="Arial" w:hAnsi="Arial" w:cs="Arial"/>
          <w:sz w:val="22"/>
          <w:szCs w:val="22"/>
        </w:rPr>
        <w:t>Não se aplica).</w:t>
      </w:r>
    </w:p>
    <w:p w14:paraId="1755A333">
      <w:pPr>
        <w:tabs>
          <w:tab w:val="left" w:pos="0"/>
        </w:tabs>
        <w:spacing w:line="360" w:lineRule="auto"/>
        <w:contextualSpacing/>
        <w:rPr>
          <w:rFonts w:ascii="Arial" w:hAnsi="Arial" w:cs="Arial"/>
          <w:sz w:val="22"/>
          <w:szCs w:val="22"/>
        </w:rPr>
      </w:pPr>
    </w:p>
    <w:p w14:paraId="5F3F1B54">
      <w:pPr>
        <w:tabs>
          <w:tab w:val="left" w:pos="0"/>
        </w:tabs>
        <w:spacing w:line="360" w:lineRule="auto"/>
        <w:contextualSpacing/>
        <w:rPr>
          <w:rFonts w:ascii="Arial" w:hAnsi="Arial" w:cs="Arial"/>
          <w:b/>
          <w:bCs/>
          <w:sz w:val="22"/>
          <w:szCs w:val="22"/>
        </w:rPr>
      </w:pPr>
      <w:r>
        <w:rPr>
          <w:rFonts w:ascii="Arial" w:hAnsi="Arial" w:cs="Arial"/>
          <w:b/>
          <w:bCs/>
          <w:sz w:val="22"/>
          <w:szCs w:val="22"/>
        </w:rPr>
        <w:t>6.10. POSSIBILIDADE OU NÃO DE SUBCONTRATAÇÃO:</w:t>
      </w:r>
    </w:p>
    <w:p w14:paraId="13085D41">
      <w:pPr>
        <w:tabs>
          <w:tab w:val="left" w:pos="426"/>
        </w:tabs>
        <w:spacing w:line="360" w:lineRule="auto"/>
        <w:contextualSpacing/>
        <w:rPr>
          <w:rFonts w:ascii="Arial" w:hAnsi="Arial" w:cs="Arial"/>
          <w:sz w:val="22"/>
          <w:szCs w:val="22"/>
        </w:rPr>
      </w:pPr>
      <w:r>
        <w:rPr>
          <w:rFonts w:ascii="Arial" w:hAnsi="Arial" w:cs="Arial"/>
          <w:b/>
          <w:bCs/>
          <w:sz w:val="22"/>
          <w:szCs w:val="22"/>
        </w:rPr>
        <w:t xml:space="preserve">6.10.1. </w:t>
      </w:r>
      <w:r>
        <w:rPr>
          <w:rFonts w:ascii="Arial" w:hAnsi="Arial" w:cs="Arial"/>
          <w:sz w:val="22"/>
          <w:szCs w:val="22"/>
        </w:rPr>
        <w:t>Será vedado</w:t>
      </w:r>
      <w:r>
        <w:rPr>
          <w:rFonts w:ascii="Arial" w:hAnsi="Arial" w:cs="Arial"/>
          <w:b/>
          <w:bCs/>
          <w:sz w:val="22"/>
          <w:szCs w:val="22"/>
        </w:rPr>
        <w:t xml:space="preserve"> </w:t>
      </w:r>
      <w:r>
        <w:rPr>
          <w:rFonts w:ascii="Arial" w:hAnsi="Arial" w:cs="Arial"/>
          <w:sz w:val="22"/>
          <w:szCs w:val="22"/>
        </w:rPr>
        <w:t>transferir a terceiros ou subcontratar as obrigações assumidas.</w:t>
      </w:r>
    </w:p>
    <w:p w14:paraId="6E7D1246">
      <w:pPr>
        <w:tabs>
          <w:tab w:val="left" w:pos="426"/>
        </w:tabs>
        <w:spacing w:line="360" w:lineRule="auto"/>
        <w:contextualSpacing/>
        <w:rPr>
          <w:rFonts w:ascii="Arial" w:hAnsi="Arial" w:cs="Arial"/>
          <w:sz w:val="22"/>
          <w:szCs w:val="22"/>
        </w:rPr>
      </w:pPr>
    </w:p>
    <w:p w14:paraId="42EE4421">
      <w:pPr>
        <w:tabs>
          <w:tab w:val="left" w:pos="426"/>
        </w:tabs>
        <w:spacing w:line="360" w:lineRule="auto"/>
        <w:contextualSpacing/>
        <w:rPr>
          <w:rFonts w:ascii="Arial" w:hAnsi="Arial" w:cs="Arial"/>
          <w:b/>
          <w:bCs/>
          <w:sz w:val="22"/>
          <w:szCs w:val="22"/>
        </w:rPr>
      </w:pPr>
      <w:r>
        <w:rPr>
          <w:rFonts w:ascii="Arial" w:hAnsi="Arial" w:cs="Arial"/>
          <w:b/>
          <w:bCs/>
          <w:sz w:val="22"/>
          <w:szCs w:val="22"/>
        </w:rPr>
        <w:t>6.11. POSSIBILIDADE DE PRORROGAÇÃO CONTRATUAL E REAJUSTE:</w:t>
      </w:r>
    </w:p>
    <w:p w14:paraId="157A5AEF">
      <w:pPr>
        <w:pStyle w:val="9"/>
      </w:pPr>
      <w:r>
        <w:rPr>
          <w:b/>
        </w:rPr>
        <w:t xml:space="preserve">6.11.1. </w:t>
      </w:r>
      <w:r>
        <w:t>A vigência da Ata de Registro de preços será de 1 (um) ano, contada a partir da sua assinatura, podendo ser prorrogada por igual período, mediante a anuência do fornecedor, desde que comprovado o preço vantajoso, conforme art. 84 da Lei Federal nº 14.133/2021.</w:t>
      </w:r>
    </w:p>
    <w:p w14:paraId="11FF3242">
      <w:pPr>
        <w:pStyle w:val="9"/>
      </w:pPr>
      <w:r>
        <w:t xml:space="preserve">Em caso de prorrogação da Ata de Registro de Preços, poderá ser renovado o quantitativo inicialmente registrado (RESOLUÇÃO DE CONSULTA TCE-MT N° 21/2025/Consulta Processo 196.139-0/2025) Conselheiro Guilherme Antônio Maluf, desde que: </w:t>
      </w:r>
    </w:p>
    <w:p w14:paraId="0637C0A2">
      <w:pPr>
        <w:pStyle w:val="9"/>
      </w:pPr>
      <w:r>
        <w:rPr>
          <w:b/>
        </w:rPr>
        <w:t xml:space="preserve">a). </w:t>
      </w:r>
      <w:r>
        <w:t xml:space="preserve">seja comprovado o preço vantajoso; </w:t>
      </w:r>
    </w:p>
    <w:p w14:paraId="23E5B23D">
      <w:pPr>
        <w:pStyle w:val="9"/>
      </w:pPr>
      <w:r>
        <w:rPr>
          <w:b/>
        </w:rPr>
        <w:t>b).</w:t>
      </w:r>
      <w:r>
        <w:t xml:space="preserve"> a prorrogação da Ata de Registro de Preços ocorra dentro do prazo de vigência; </w:t>
      </w:r>
    </w:p>
    <w:p w14:paraId="3DF38828">
      <w:pPr>
        <w:pStyle w:val="9"/>
      </w:pPr>
      <w:r>
        <w:rPr>
          <w:b/>
        </w:rPr>
        <w:t>c).</w:t>
      </w:r>
      <w:r>
        <w:t xml:space="preserve"> A renovação não ultrapasse os quantitativos originais dos bens e serviços; </w:t>
      </w:r>
    </w:p>
    <w:p w14:paraId="49B884B3">
      <w:pPr>
        <w:pStyle w:val="9"/>
      </w:pPr>
      <w:r>
        <w:rPr>
          <w:b/>
        </w:rPr>
        <w:t>d).</w:t>
      </w:r>
      <w:r>
        <w:t xml:space="preserve"> Haja prévia consulta e aceitação do fornecedor.</w:t>
      </w:r>
    </w:p>
    <w:p w14:paraId="16782C5E">
      <w:pPr>
        <w:tabs>
          <w:tab w:val="left" w:pos="426"/>
        </w:tabs>
        <w:spacing w:line="360" w:lineRule="auto"/>
        <w:contextualSpacing/>
        <w:rPr>
          <w:rFonts w:ascii="Arial" w:hAnsi="Arial" w:cs="Arial"/>
          <w:b/>
          <w:sz w:val="22"/>
          <w:szCs w:val="22"/>
        </w:rPr>
      </w:pPr>
      <w:r>
        <w:rPr>
          <w:rFonts w:ascii="Arial" w:hAnsi="Arial" w:cs="Arial"/>
          <w:b/>
          <w:sz w:val="22"/>
          <w:szCs w:val="22"/>
        </w:rPr>
        <w:t xml:space="preserve">6.11.2. </w:t>
      </w:r>
      <w:r>
        <w:rPr>
          <w:rFonts w:ascii="Arial" w:hAnsi="Arial" w:cs="Arial"/>
          <w:bCs/>
          <w:sz w:val="22"/>
          <w:szCs w:val="22"/>
        </w:rPr>
        <w:t>Data de finalização da pesquisa estimativa de preços</w:t>
      </w:r>
      <w:r>
        <w:rPr>
          <w:rFonts w:ascii="Arial" w:hAnsi="Arial" w:cs="Arial"/>
          <w:b/>
          <w:sz w:val="22"/>
          <w:szCs w:val="22"/>
        </w:rPr>
        <w:t xml:space="preserve">: </w:t>
      </w:r>
      <w:r>
        <w:rPr>
          <w:rFonts w:ascii="Arial" w:hAnsi="Arial" w:eastAsia="SimSun" w:cs="Arial"/>
          <w:b/>
          <w:bCs/>
          <w:color w:val="000000" w:themeColor="text1"/>
          <w:sz w:val="22"/>
          <w:szCs w:val="22"/>
          <w14:textFill>
            <w14:solidFill>
              <w14:schemeClr w14:val="tx1"/>
            </w14:solidFill>
          </w14:textFill>
        </w:rPr>
        <w:t>2/06/2026 13:37:20 e 07/08/2026</w:t>
      </w:r>
    </w:p>
    <w:p w14:paraId="70537506">
      <w:pPr>
        <w:tabs>
          <w:tab w:val="left" w:pos="426"/>
        </w:tabs>
        <w:spacing w:line="360" w:lineRule="auto"/>
        <w:contextualSpacing/>
        <w:rPr>
          <w:rFonts w:ascii="Arial" w:hAnsi="Arial" w:cs="Arial"/>
          <w:b/>
          <w:sz w:val="22"/>
          <w:szCs w:val="22"/>
        </w:rPr>
      </w:pPr>
    </w:p>
    <w:p w14:paraId="46C79148">
      <w:pPr>
        <w:tabs>
          <w:tab w:val="left" w:pos="426"/>
        </w:tabs>
        <w:spacing w:line="360" w:lineRule="auto"/>
        <w:contextualSpacing/>
        <w:rPr>
          <w:rFonts w:ascii="Arial" w:hAnsi="Arial" w:cs="Arial"/>
          <w:b/>
          <w:sz w:val="22"/>
          <w:szCs w:val="22"/>
        </w:rPr>
      </w:pPr>
      <w:r>
        <w:rPr>
          <w:rFonts w:ascii="Arial" w:hAnsi="Arial" w:cs="Arial"/>
          <w:b/>
          <w:sz w:val="22"/>
          <w:szCs w:val="22"/>
        </w:rPr>
        <w:t>6.12. APLICAÇÃO DE SANÇÕES ADMINISTRATIVAS:</w:t>
      </w:r>
    </w:p>
    <w:p w14:paraId="711D5138">
      <w:pPr>
        <w:tabs>
          <w:tab w:val="left" w:pos="426"/>
        </w:tabs>
        <w:spacing w:line="360" w:lineRule="auto"/>
        <w:contextualSpacing/>
        <w:rPr>
          <w:rFonts w:ascii="Arial" w:hAnsi="Arial" w:cs="Arial"/>
          <w:bCs/>
          <w:sz w:val="22"/>
          <w:szCs w:val="22"/>
        </w:rPr>
      </w:pPr>
      <w:r>
        <w:rPr>
          <w:rFonts w:ascii="Arial" w:hAnsi="Arial" w:cs="Arial"/>
          <w:b/>
          <w:sz w:val="22"/>
          <w:szCs w:val="22"/>
        </w:rPr>
        <w:t xml:space="preserve">6.12.1. </w:t>
      </w:r>
      <w:r>
        <w:rPr>
          <w:rFonts w:ascii="Arial" w:hAnsi="Arial" w:cs="Arial"/>
          <w:bCs/>
          <w:sz w:val="22"/>
          <w:szCs w:val="22"/>
        </w:rPr>
        <w:t>As sanções de que tratam este Termo de Referência são aquelas descritas nos Art. 155 a 163 da Lei 14.133/2021 e no Decreto 360/2023.</w:t>
      </w:r>
    </w:p>
    <w:p w14:paraId="65306CEA">
      <w:pPr>
        <w:tabs>
          <w:tab w:val="left" w:pos="426"/>
        </w:tabs>
        <w:spacing w:line="360" w:lineRule="auto"/>
        <w:contextualSpacing/>
        <w:rPr>
          <w:rFonts w:ascii="Arial" w:hAnsi="Arial" w:cs="Arial"/>
          <w:b/>
          <w:sz w:val="22"/>
          <w:szCs w:val="22"/>
        </w:rPr>
      </w:pPr>
    </w:p>
    <w:p w14:paraId="0CC1B7ED">
      <w:pPr>
        <w:tabs>
          <w:tab w:val="left" w:pos="426"/>
        </w:tabs>
        <w:spacing w:line="360" w:lineRule="auto"/>
        <w:contextualSpacing/>
        <w:rPr>
          <w:rFonts w:ascii="Arial" w:hAnsi="Arial" w:cs="Arial"/>
          <w:b/>
          <w:sz w:val="22"/>
          <w:szCs w:val="22"/>
        </w:rPr>
      </w:pPr>
      <w:r>
        <w:rPr>
          <w:rFonts w:ascii="Arial" w:hAnsi="Arial" w:cs="Arial"/>
          <w:b/>
          <w:sz w:val="22"/>
          <w:szCs w:val="22"/>
        </w:rPr>
        <w:t>6.13. NECESSIDADE DE APRESENTAÇÃO DE RELATÓRIOS DE MANUTENÇÃO:</w:t>
      </w:r>
    </w:p>
    <w:p w14:paraId="7EB9A5D5">
      <w:pPr>
        <w:tabs>
          <w:tab w:val="left" w:pos="0"/>
        </w:tabs>
        <w:spacing w:line="360" w:lineRule="auto"/>
        <w:contextualSpacing/>
        <w:rPr>
          <w:rFonts w:ascii="Arial" w:hAnsi="Arial" w:cs="Arial"/>
          <w:sz w:val="22"/>
          <w:szCs w:val="22"/>
        </w:rPr>
      </w:pPr>
      <w:r>
        <w:rPr>
          <w:rFonts w:ascii="Arial" w:hAnsi="Arial" w:cs="Arial"/>
          <w:b/>
          <w:bCs/>
          <w:sz w:val="22"/>
          <w:szCs w:val="22"/>
        </w:rPr>
        <w:t xml:space="preserve">6.13.1. </w:t>
      </w:r>
      <w:r>
        <w:rPr>
          <w:rFonts w:ascii="Arial" w:hAnsi="Arial" w:cs="Arial"/>
          <w:sz w:val="22"/>
          <w:szCs w:val="22"/>
        </w:rPr>
        <w:t>(Não se aplica).</w:t>
      </w:r>
    </w:p>
    <w:p w14:paraId="04D91295">
      <w:pPr>
        <w:tabs>
          <w:tab w:val="left" w:pos="0"/>
        </w:tabs>
        <w:spacing w:line="360" w:lineRule="auto"/>
        <w:contextualSpacing/>
        <w:rPr>
          <w:rFonts w:ascii="Arial" w:hAnsi="Arial" w:cs="Arial"/>
          <w:sz w:val="22"/>
          <w:szCs w:val="22"/>
        </w:rPr>
      </w:pPr>
    </w:p>
    <w:p w14:paraId="331BD910">
      <w:pPr>
        <w:tabs>
          <w:tab w:val="left" w:pos="0"/>
        </w:tabs>
        <w:spacing w:line="360" w:lineRule="auto"/>
        <w:contextualSpacing/>
        <w:rPr>
          <w:rFonts w:ascii="Arial" w:hAnsi="Arial" w:cs="Arial"/>
          <w:b/>
          <w:bCs/>
          <w:sz w:val="22"/>
          <w:szCs w:val="22"/>
        </w:rPr>
      </w:pPr>
      <w:r>
        <w:rPr>
          <w:rFonts w:ascii="Arial" w:hAnsi="Arial" w:cs="Arial"/>
          <w:b/>
          <w:bCs/>
          <w:sz w:val="22"/>
          <w:szCs w:val="22"/>
        </w:rPr>
        <w:t>6.14. MOBILIZAÇÃO E DESMOBILIZAÇÃO DO CANTEIRO DE OBRAS (BARRACÃO, INSTALAÇÕES DE PONTOS DE ÁGUA, ENERGIA E ESGOTO):</w:t>
      </w:r>
    </w:p>
    <w:p w14:paraId="4E62F7E1">
      <w:pPr>
        <w:tabs>
          <w:tab w:val="left" w:pos="0"/>
        </w:tabs>
        <w:spacing w:line="360" w:lineRule="auto"/>
        <w:contextualSpacing/>
        <w:rPr>
          <w:rFonts w:ascii="Arial" w:hAnsi="Arial" w:cs="Arial"/>
          <w:sz w:val="22"/>
          <w:szCs w:val="22"/>
        </w:rPr>
      </w:pPr>
      <w:r>
        <w:rPr>
          <w:rFonts w:ascii="Arial" w:hAnsi="Arial" w:cs="Arial"/>
          <w:b/>
          <w:bCs/>
          <w:sz w:val="22"/>
          <w:szCs w:val="22"/>
        </w:rPr>
        <w:t xml:space="preserve">6.14.1. </w:t>
      </w:r>
      <w:r>
        <w:rPr>
          <w:rFonts w:ascii="Arial" w:hAnsi="Arial" w:cs="Arial"/>
          <w:sz w:val="22"/>
          <w:szCs w:val="22"/>
        </w:rPr>
        <w:t>(Não se aplica).</w:t>
      </w:r>
    </w:p>
    <w:p w14:paraId="2AEB1E99">
      <w:pPr>
        <w:tabs>
          <w:tab w:val="left" w:pos="0"/>
        </w:tabs>
        <w:spacing w:line="360" w:lineRule="auto"/>
        <w:contextualSpacing/>
        <w:rPr>
          <w:rFonts w:ascii="Arial" w:hAnsi="Arial" w:cs="Arial"/>
          <w:sz w:val="22"/>
          <w:szCs w:val="22"/>
        </w:rPr>
      </w:pPr>
    </w:p>
    <w:p w14:paraId="45CC4E00">
      <w:pPr>
        <w:tabs>
          <w:tab w:val="left" w:pos="0"/>
        </w:tabs>
        <w:spacing w:line="360" w:lineRule="auto"/>
        <w:contextualSpacing/>
        <w:rPr>
          <w:rFonts w:ascii="Arial" w:hAnsi="Arial" w:cs="Arial"/>
          <w:b/>
          <w:bCs/>
          <w:sz w:val="22"/>
          <w:szCs w:val="22"/>
        </w:rPr>
      </w:pPr>
      <w:r>
        <w:rPr>
          <w:rFonts w:ascii="Arial" w:hAnsi="Arial" w:cs="Arial"/>
          <w:b/>
          <w:bCs/>
          <w:sz w:val="22"/>
          <w:szCs w:val="22"/>
        </w:rPr>
        <w:t>6.15. LIMPEZA DOS LOCAIS DE INSTALAÇÃO E/OU REMOÇÃO DE ENTULHOS; EXIGÊNCIAS ESPECÍFICAS PARA O OBJETO A SER CONTRATADO:</w:t>
      </w:r>
    </w:p>
    <w:p w14:paraId="49D938FB">
      <w:pPr>
        <w:tabs>
          <w:tab w:val="left" w:pos="0"/>
        </w:tabs>
        <w:spacing w:line="360" w:lineRule="auto"/>
        <w:contextualSpacing/>
        <w:rPr>
          <w:rFonts w:ascii="Arial" w:hAnsi="Arial" w:cs="Arial"/>
          <w:sz w:val="22"/>
          <w:szCs w:val="22"/>
        </w:rPr>
      </w:pPr>
      <w:r>
        <w:rPr>
          <w:rFonts w:ascii="Arial" w:hAnsi="Arial" w:cs="Arial"/>
          <w:b/>
          <w:bCs/>
          <w:sz w:val="22"/>
          <w:szCs w:val="22"/>
        </w:rPr>
        <w:t xml:space="preserve">6.15.1. </w:t>
      </w:r>
      <w:r>
        <w:rPr>
          <w:rFonts w:ascii="Arial" w:hAnsi="Arial" w:cs="Arial"/>
          <w:sz w:val="22"/>
          <w:szCs w:val="22"/>
        </w:rPr>
        <w:t>(Não se aplica).</w:t>
      </w:r>
    </w:p>
    <w:p w14:paraId="70D414FD">
      <w:pPr>
        <w:tabs>
          <w:tab w:val="left" w:pos="0"/>
        </w:tabs>
        <w:spacing w:line="360" w:lineRule="auto"/>
        <w:contextualSpacing/>
        <w:rPr>
          <w:rFonts w:ascii="Arial" w:hAnsi="Arial" w:cs="Arial"/>
          <w:b/>
          <w:bCs/>
          <w:sz w:val="22"/>
          <w:szCs w:val="22"/>
        </w:rPr>
      </w:pPr>
    </w:p>
    <w:p w14:paraId="2D6BCD00">
      <w:pPr>
        <w:tabs>
          <w:tab w:val="left" w:pos="0"/>
        </w:tabs>
        <w:spacing w:line="360" w:lineRule="auto"/>
        <w:contextualSpacing/>
        <w:rPr>
          <w:rFonts w:ascii="Arial" w:hAnsi="Arial" w:cs="Arial"/>
          <w:b/>
          <w:bCs/>
          <w:sz w:val="22"/>
          <w:szCs w:val="22"/>
        </w:rPr>
      </w:pPr>
      <w:r>
        <w:rPr>
          <w:rFonts w:ascii="Arial" w:hAnsi="Arial" w:cs="Arial"/>
          <w:b/>
          <w:bCs/>
          <w:sz w:val="22"/>
          <w:szCs w:val="22"/>
        </w:rPr>
        <w:t>6.16. NECESSIDADE DE DISPONIBILIZAÇÃO DE SAC E INDICAÇÃO DO NÚMERO PARA ATENDIMENTO COMERCIAL:</w:t>
      </w:r>
    </w:p>
    <w:p w14:paraId="1BA44E59">
      <w:pPr>
        <w:widowControl/>
        <w:spacing w:line="360" w:lineRule="auto"/>
        <w:rPr>
          <w:rFonts w:ascii="Arial" w:hAnsi="Arial" w:cs="Arial"/>
          <w:sz w:val="22"/>
          <w:szCs w:val="22"/>
        </w:rPr>
      </w:pPr>
      <w:r>
        <w:rPr>
          <w:rFonts w:ascii="Arial" w:hAnsi="Arial" w:cs="Arial"/>
          <w:b/>
          <w:bCs/>
          <w:sz w:val="22"/>
          <w:szCs w:val="22"/>
        </w:rPr>
        <w:t xml:space="preserve">6.16.1. </w:t>
      </w:r>
      <w:r>
        <w:rPr>
          <w:rFonts w:ascii="Arial" w:hAnsi="Arial" w:cs="Arial"/>
          <w:sz w:val="22"/>
          <w:szCs w:val="22"/>
        </w:rPr>
        <w:t xml:space="preserve">Para manter melhor </w:t>
      </w:r>
      <w:r>
        <w:rPr>
          <w:rFonts w:ascii="Arial" w:hAnsi="Arial" w:eastAsia="Cambria" w:cs="Arial"/>
          <w:color w:val="000000"/>
          <w:sz w:val="22"/>
          <w:szCs w:val="22"/>
          <w:lang w:bidi="ar"/>
        </w:rPr>
        <w:t>comunicação entre a Prefeitura Municipal de Sinop/Secretaria e o contratado, devem ser disponibilizados no mínimo 1(um) número para atendimento comercial via telefone, 1 (um) número via whatsapp e e-mail</w:t>
      </w:r>
      <w:r>
        <w:rPr>
          <w:rFonts w:ascii="Arial" w:hAnsi="Arial" w:cs="Arial"/>
          <w:sz w:val="22"/>
          <w:szCs w:val="22"/>
        </w:rPr>
        <w:t>.</w:t>
      </w:r>
    </w:p>
    <w:p w14:paraId="70012E54">
      <w:pPr>
        <w:widowControl/>
        <w:spacing w:line="360" w:lineRule="auto"/>
        <w:rPr>
          <w:rFonts w:ascii="Arial" w:hAnsi="Arial" w:cs="Arial"/>
          <w:b/>
          <w:bCs/>
          <w:sz w:val="22"/>
          <w:szCs w:val="22"/>
        </w:rPr>
      </w:pPr>
    </w:p>
    <w:p w14:paraId="095E5B8A">
      <w:pPr>
        <w:tabs>
          <w:tab w:val="left" w:pos="0"/>
        </w:tabs>
        <w:spacing w:line="360" w:lineRule="auto"/>
        <w:contextualSpacing/>
        <w:rPr>
          <w:rFonts w:ascii="Arial" w:hAnsi="Arial" w:cs="Arial"/>
          <w:b/>
          <w:bCs/>
          <w:sz w:val="22"/>
          <w:szCs w:val="22"/>
        </w:rPr>
      </w:pPr>
      <w:r>
        <w:rPr>
          <w:rFonts w:ascii="Arial" w:hAnsi="Arial" w:cs="Arial"/>
          <w:b/>
          <w:bCs/>
          <w:sz w:val="22"/>
          <w:szCs w:val="22"/>
        </w:rPr>
        <w:t>6.17. POSSIBILIDADE DE SUPORTE TÉCNICO REMOTO OU PELO SITE ELETRÔNICO, BEM COMO O PRAZO PARA ATENDIMENTO, FORMA DE ATENDIMENTO (0-800, E-MAIL, ETC.), PRAZO E FORMA PARA A SOLUÇÃO DO PROBLEMA, SUBSTITUIÇÃO DO EQUIPAMENTO DEFEITUOSO:</w:t>
      </w:r>
    </w:p>
    <w:p w14:paraId="5EFD3ECC">
      <w:pPr>
        <w:tabs>
          <w:tab w:val="left" w:pos="0"/>
        </w:tabs>
        <w:spacing w:line="360" w:lineRule="auto"/>
        <w:contextualSpacing/>
        <w:rPr>
          <w:rFonts w:ascii="Arial" w:hAnsi="Arial" w:cs="Arial"/>
          <w:b/>
          <w:bCs/>
          <w:sz w:val="22"/>
          <w:szCs w:val="22"/>
        </w:rPr>
      </w:pPr>
    </w:p>
    <w:p w14:paraId="30BE1D7F">
      <w:pPr>
        <w:tabs>
          <w:tab w:val="left" w:pos="0"/>
          <w:tab w:val="left" w:pos="600"/>
        </w:tabs>
        <w:spacing w:line="360" w:lineRule="auto"/>
        <w:contextualSpacing/>
        <w:rPr>
          <w:rFonts w:ascii="Arial" w:hAnsi="Arial" w:cs="Arial"/>
          <w:sz w:val="22"/>
          <w:szCs w:val="22"/>
          <w:lang w:val="en-US"/>
        </w:rPr>
      </w:pPr>
      <w:r>
        <w:rPr>
          <w:rFonts w:ascii="Arial" w:hAnsi="Arial" w:cs="Arial"/>
          <w:b/>
          <w:bCs/>
          <w:sz w:val="22"/>
          <w:szCs w:val="22"/>
        </w:rPr>
        <w:t>6.17.1.</w:t>
      </w:r>
      <w:r>
        <w:rPr>
          <w:rFonts w:ascii="Arial" w:hAnsi="Arial" w:cs="Arial"/>
          <w:sz w:val="22"/>
          <w:szCs w:val="22"/>
          <w:lang w:val="en-US"/>
        </w:rPr>
        <w:t xml:space="preserve"> O licitante deverá informar, junto à proposta, no mínimo um número de telefone válido do fabricante e os meios de comunicação </w:t>
      </w:r>
      <w:r>
        <w:rPr>
          <w:rFonts w:ascii="Arial" w:hAnsi="Arial" w:cs="Arial"/>
          <w:i/>
          <w:iCs/>
          <w:sz w:val="22"/>
          <w:szCs w:val="22"/>
          <w:lang w:val="en-US"/>
        </w:rPr>
        <w:t>online</w:t>
      </w:r>
      <w:r>
        <w:rPr>
          <w:rFonts w:ascii="Arial" w:hAnsi="Arial" w:cs="Arial"/>
          <w:sz w:val="22"/>
          <w:szCs w:val="22"/>
          <w:lang w:val="en-US"/>
        </w:rPr>
        <w:t xml:space="preserve"> para a abertura de chamados técnicos.</w:t>
      </w:r>
    </w:p>
    <w:p w14:paraId="087E5E3E">
      <w:pPr>
        <w:tabs>
          <w:tab w:val="left" w:pos="0"/>
          <w:tab w:val="left" w:pos="600"/>
        </w:tabs>
        <w:spacing w:line="360" w:lineRule="auto"/>
        <w:contextualSpacing/>
        <w:rPr>
          <w:rFonts w:ascii="Arial" w:hAnsi="Arial" w:cs="Arial"/>
          <w:sz w:val="22"/>
          <w:szCs w:val="22"/>
        </w:rPr>
      </w:pPr>
      <w:r>
        <w:rPr>
          <w:rFonts w:ascii="Arial" w:hAnsi="Arial" w:cs="Arial"/>
          <w:b/>
          <w:bCs/>
          <w:sz w:val="22"/>
          <w:szCs w:val="22"/>
        </w:rPr>
        <w:t>6.17.2.</w:t>
      </w:r>
      <w:r>
        <w:rPr>
          <w:rFonts w:ascii="Arial" w:hAnsi="Arial" w:cs="Arial"/>
          <w:sz w:val="22"/>
          <w:szCs w:val="22"/>
        </w:rPr>
        <w:t xml:space="preserve"> Reparar, corrigir, remover, reconstruir ou substituir, às suas expensas, no total ou em parte, no prazo máximo de </w:t>
      </w:r>
      <w:r>
        <w:rPr>
          <w:rFonts w:ascii="Arial" w:hAnsi="Arial" w:cs="Arial"/>
          <w:b/>
          <w:bCs/>
          <w:sz w:val="22"/>
          <w:szCs w:val="22"/>
        </w:rPr>
        <w:t>24 (vinte e quatro) horas</w:t>
      </w:r>
      <w:r>
        <w:rPr>
          <w:rFonts w:ascii="Arial" w:hAnsi="Arial" w:cs="Arial"/>
          <w:sz w:val="22"/>
          <w:szCs w:val="22"/>
        </w:rPr>
        <w:t>, a contar do recebimento da notificação do Contratante, o objeto do ajuste em que se verifiquem vícios, defeitos ou incorreções resultantes da execução ou dos materiais empregados.</w:t>
      </w:r>
    </w:p>
    <w:p w14:paraId="03EA813F">
      <w:pPr>
        <w:tabs>
          <w:tab w:val="left" w:pos="0"/>
          <w:tab w:val="left" w:pos="600"/>
        </w:tabs>
        <w:spacing w:line="360" w:lineRule="auto"/>
        <w:contextualSpacing/>
        <w:rPr>
          <w:rFonts w:ascii="Arial" w:hAnsi="Arial" w:cs="Arial"/>
          <w:sz w:val="22"/>
          <w:szCs w:val="22"/>
        </w:rPr>
      </w:pPr>
      <w:r>
        <w:rPr>
          <w:rFonts w:ascii="Arial" w:hAnsi="Arial" w:cs="Arial"/>
          <w:b/>
          <w:bCs/>
          <w:sz w:val="22"/>
          <w:szCs w:val="22"/>
        </w:rPr>
        <w:t>6.17.3.</w:t>
      </w:r>
      <w:r>
        <w:rPr>
          <w:rFonts w:ascii="Arial" w:hAnsi="Arial" w:cs="Arial"/>
          <w:sz w:val="22"/>
          <w:szCs w:val="22"/>
        </w:rPr>
        <w:t xml:space="preserve"> Decorrido o prazo para reparos e substituições sem o atendimento da solicitação/notificação enviada pela Prefeitura Municipal de Sinop/Secretaria ou a apresentação de justificativas aceitas do Contratado, fica a Prefeitura Municipal de Sinop/Secretaria autorizada a contratar empresa diversa para executar os reparos, ajustes ou a substituição do bem ou de seus componentes, bem como a exigir do Contratado o ressarcimento/reembolso dos custos respectivos, sem que tal fato acarrete a perda da garantia dos equipamentos.</w:t>
      </w:r>
    </w:p>
    <w:p w14:paraId="38212A53">
      <w:pPr>
        <w:tabs>
          <w:tab w:val="left" w:pos="0"/>
          <w:tab w:val="left" w:pos="600"/>
        </w:tabs>
        <w:spacing w:line="360" w:lineRule="auto"/>
        <w:contextualSpacing/>
        <w:rPr>
          <w:rFonts w:ascii="Arial" w:hAnsi="Arial" w:cs="Arial"/>
          <w:sz w:val="22"/>
          <w:szCs w:val="22"/>
        </w:rPr>
      </w:pPr>
    </w:p>
    <w:p w14:paraId="566D05A2">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eastAsia="SimSun" w:cs="Arial"/>
          <w:b/>
          <w:bCs/>
          <w:color w:val="000000" w:themeColor="text1"/>
          <w:sz w:val="22"/>
          <w:szCs w:val="22"/>
          <w:lang w:val="pt-BR" w:eastAsia="zh-CN" w:bidi="ar"/>
          <w14:textFill>
            <w14:solidFill>
              <w14:schemeClr w14:val="tx1"/>
            </w14:solidFill>
          </w14:textFill>
        </w:rPr>
      </w:pPr>
      <w:r>
        <w:rPr>
          <w:rFonts w:ascii="Arial" w:hAnsi="Arial" w:cs="Arial"/>
          <w:b/>
          <w:sz w:val="22"/>
          <w:szCs w:val="22"/>
        </w:rPr>
        <w:t>7.  GESTÃO DA ATA DE REGISTRO DE PREÇOS</w:t>
      </w:r>
      <w:r>
        <w:rPr>
          <w:rFonts w:hint="default" w:ascii="Arial" w:hAnsi="Arial" w:cs="Arial"/>
          <w:b/>
          <w:sz w:val="22"/>
          <w:szCs w:val="22"/>
          <w:lang w:val="pt-BR"/>
        </w:rPr>
        <w:t>:</w:t>
      </w:r>
    </w:p>
    <w:p w14:paraId="2F7DF716">
      <w:pPr>
        <w:widowControl/>
        <w:spacing w:line="360" w:lineRule="auto"/>
        <w:rPr>
          <w:rFonts w:ascii="Arial" w:hAnsi="Arial" w:eastAsia="SimSun" w:cs="Arial"/>
          <w:b/>
          <w:bCs/>
          <w:color w:val="000000" w:themeColor="text1"/>
          <w:sz w:val="22"/>
          <w:szCs w:val="22"/>
          <w:lang w:eastAsia="zh-CN" w:bidi="ar"/>
          <w14:textFill>
            <w14:solidFill>
              <w14:schemeClr w14:val="tx1"/>
            </w14:solidFill>
          </w14:textFill>
        </w:rPr>
      </w:pPr>
    </w:p>
    <w:p w14:paraId="0E7CDBAA">
      <w:pPr>
        <w:widowControl/>
        <w:spacing w:line="360" w:lineRule="auto"/>
        <w:rPr>
          <w:rFonts w:ascii="Arial" w:hAnsi="Arial" w:eastAsia="SimSun" w:cs="Arial"/>
          <w:color w:val="000000" w:themeColor="text1"/>
          <w:sz w:val="22"/>
          <w:szCs w:val="22"/>
          <w14:textFill>
            <w14:solidFill>
              <w14:schemeClr w14:val="tx1"/>
            </w14:solidFill>
          </w14:textFill>
        </w:rPr>
      </w:pPr>
      <w:r>
        <w:rPr>
          <w:rFonts w:ascii="Arial" w:hAnsi="Arial" w:eastAsia="SimSun" w:cs="Arial"/>
          <w:b/>
          <w:bCs/>
          <w:color w:val="000000" w:themeColor="text1"/>
          <w:sz w:val="22"/>
          <w:szCs w:val="22"/>
          <w:lang w:eastAsia="zh-CN" w:bidi="ar"/>
          <w14:textFill>
            <w14:solidFill>
              <w14:schemeClr w14:val="tx1"/>
            </w14:solidFill>
          </w14:textFill>
        </w:rPr>
        <w:t>7.1.</w:t>
      </w:r>
      <w:r>
        <w:rPr>
          <w:rFonts w:ascii="Arial" w:hAnsi="Arial" w:eastAsia="SimSun" w:cs="Arial"/>
          <w:color w:val="000000" w:themeColor="text1"/>
          <w:sz w:val="22"/>
          <w:szCs w:val="22"/>
          <w:lang w:eastAsia="zh-CN" w:bidi="ar"/>
          <w14:textFill>
            <w14:solidFill>
              <w14:schemeClr w14:val="tx1"/>
            </w14:solidFill>
          </w14:textFill>
        </w:rPr>
        <w:t xml:space="preserve"> Nos termos do Art. 117, da Lei n° 14.133/2021, a</w:t>
      </w:r>
      <w:r>
        <w:rPr>
          <w:rFonts w:ascii="Arial" w:hAnsi="Arial" w:eastAsia="SimSun" w:cs="Arial"/>
          <w:color w:val="000000" w:themeColor="text1"/>
          <w:sz w:val="22"/>
          <w:szCs w:val="22"/>
          <w14:textFill>
            <w14:solidFill>
              <w14:schemeClr w14:val="tx1"/>
            </w14:solidFill>
          </w14:textFill>
        </w:rPr>
        <w:t xml:space="preserve"> execução do contrato deverá ser acompanhada e fiscalizada por 1 (um) ou mais fiscais do contrato, representantes da Administração especialmente designados conforme requisitos estabelecidos no </w:t>
      </w:r>
      <w:r>
        <w:fldChar w:fldCharType="begin"/>
      </w:r>
      <w:r>
        <w:instrText xml:space="preserve"> HYPERLINK "https://www.planalto.gov.br/ccivil_03/_ato2019-2022/2021/lei/L14133.htm" \l "art7" </w:instrText>
      </w:r>
      <w:r>
        <w:fldChar w:fldCharType="separate"/>
      </w:r>
      <w:r>
        <w:rPr>
          <w:rStyle w:val="8"/>
          <w:rFonts w:ascii="Arial" w:hAnsi="Arial" w:eastAsia="SimSun" w:cs="Arial"/>
          <w:color w:val="000000" w:themeColor="text1"/>
          <w:sz w:val="22"/>
          <w:szCs w:val="22"/>
          <w14:textFill>
            <w14:solidFill>
              <w14:schemeClr w14:val="tx1"/>
            </w14:solidFill>
          </w14:textFill>
        </w:rPr>
        <w:t>art. 7º desta Lei</w:t>
      </w:r>
      <w:r>
        <w:rPr>
          <w:rStyle w:val="8"/>
          <w:rFonts w:ascii="Arial" w:hAnsi="Arial" w:eastAsia="SimSun" w:cs="Arial"/>
          <w:color w:val="000000" w:themeColor="text1"/>
          <w:sz w:val="22"/>
          <w:szCs w:val="22"/>
          <w14:textFill>
            <w14:solidFill>
              <w14:schemeClr w14:val="tx1"/>
            </w14:solidFill>
          </w14:textFill>
        </w:rPr>
        <w:fldChar w:fldCharType="end"/>
      </w:r>
      <w:r>
        <w:rPr>
          <w:rFonts w:ascii="Arial" w:hAnsi="Arial" w:eastAsia="SimSun" w:cs="Arial"/>
          <w:color w:val="000000" w:themeColor="text1"/>
          <w:sz w:val="22"/>
          <w:szCs w:val="22"/>
          <w14:textFill>
            <w14:solidFill>
              <w14:schemeClr w14:val="tx1"/>
            </w14:solidFill>
          </w14:textFill>
        </w:rPr>
        <w:t>, ou pelos respectivos substitutos, permitida a contratação de terceiros para assisti-los e subsidiá-los com informações pertinentes a essa atribuição.</w:t>
      </w:r>
    </w:p>
    <w:p w14:paraId="72C2C0EF">
      <w:pPr>
        <w:widowControl/>
        <w:spacing w:line="360" w:lineRule="auto"/>
        <w:rPr>
          <w:rFonts w:ascii="Arial" w:hAnsi="Arial" w:eastAsia="SimSun" w:cs="Arial"/>
          <w:color w:val="000000" w:themeColor="text1"/>
          <w:sz w:val="22"/>
          <w:szCs w:val="22"/>
          <w14:textFill>
            <w14:solidFill>
              <w14:schemeClr w14:val="tx1"/>
            </w14:solidFill>
          </w14:textFill>
        </w:rPr>
      </w:pPr>
    </w:p>
    <w:p w14:paraId="6703C5F9">
      <w:pPr>
        <w:spacing w:line="360" w:lineRule="auto"/>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7.2</w:t>
      </w:r>
      <w:r>
        <w:rPr>
          <w:rFonts w:ascii="Arial" w:hAnsi="Arial" w:cs="Arial"/>
          <w:color w:val="000000" w:themeColor="text1"/>
          <w:sz w:val="22"/>
          <w:szCs w:val="22"/>
          <w14:textFill>
            <w14:solidFill>
              <w14:schemeClr w14:val="tx1"/>
            </w14:solidFill>
          </w14:textFill>
        </w:rPr>
        <w:t xml:space="preserve">. § 1° </w:t>
      </w:r>
      <w:r>
        <w:rPr>
          <w:rFonts w:ascii="Arial" w:hAnsi="Arial" w:eastAsia="SimSun" w:cs="Arial"/>
          <w:color w:val="000000" w:themeColor="text1"/>
          <w:sz w:val="22"/>
          <w:szCs w:val="22"/>
          <w14:textFill>
            <w14:solidFill>
              <w14:schemeClr w14:val="tx1"/>
            </w14:solidFill>
          </w14:textFill>
        </w:rPr>
        <w:t>O fiscal do contrato anotará em registro próprio todas as ocorrências relacionadas à execução do contrato, determinando o que for necessário para a regularização das faltas ou dos defeitos observados.</w:t>
      </w:r>
    </w:p>
    <w:p w14:paraId="16CECAA9">
      <w:pPr>
        <w:widowControl/>
        <w:spacing w:line="360" w:lineRule="auto"/>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7.3. </w:t>
      </w:r>
      <w:r>
        <w:rPr>
          <w:rFonts w:ascii="Arial" w:hAnsi="Arial" w:cs="Arial"/>
          <w:color w:val="000000" w:themeColor="text1"/>
          <w:sz w:val="22"/>
          <w:szCs w:val="22"/>
          <w14:textFill>
            <w14:solidFill>
              <w14:schemeClr w14:val="tx1"/>
            </w14:solidFill>
          </w14:textFill>
        </w:rPr>
        <w:t xml:space="preserve">§ 2° </w:t>
      </w:r>
      <w:r>
        <w:rPr>
          <w:rFonts w:ascii="Arial" w:hAnsi="Arial" w:eastAsia="SimSun" w:cs="Arial"/>
          <w:color w:val="000000" w:themeColor="text1"/>
          <w:sz w:val="22"/>
          <w:szCs w:val="22"/>
          <w14:textFill>
            <w14:solidFill>
              <w14:schemeClr w14:val="tx1"/>
            </w14:solidFill>
          </w14:textFill>
        </w:rPr>
        <w:t>O fiscal do contrato informará a seus superiores, em tempo hábil para a adoção das medidas convenientes, a situação que demandar decisão ou providência que ultrapasse sua competência.</w:t>
      </w:r>
    </w:p>
    <w:p w14:paraId="164169C6">
      <w:pPr>
        <w:widowControl/>
        <w:spacing w:line="360" w:lineRule="auto"/>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7.4. </w:t>
      </w:r>
      <w:r>
        <w:rPr>
          <w:rFonts w:ascii="Arial" w:hAnsi="Arial" w:cs="Arial"/>
          <w:color w:val="000000" w:themeColor="text1"/>
          <w:sz w:val="22"/>
          <w:szCs w:val="22"/>
          <w14:textFill>
            <w14:solidFill>
              <w14:schemeClr w14:val="tx1"/>
            </w14:solidFill>
          </w14:textFill>
        </w:rPr>
        <w:t xml:space="preserve">§ 3° </w:t>
      </w:r>
      <w:r>
        <w:rPr>
          <w:rFonts w:ascii="Arial" w:hAnsi="Arial" w:eastAsia="SimSun" w:cs="Arial"/>
          <w:color w:val="000000" w:themeColor="text1"/>
          <w:sz w:val="22"/>
          <w:szCs w:val="22"/>
          <w14:textFill>
            <w14:solidFill>
              <w14:schemeClr w14:val="tx1"/>
            </w14:solidFill>
          </w14:textFill>
        </w:rPr>
        <w:t>O fiscal do contrato será auxiliado pelos órgãos de assessoramento jurídico e de controle interno da Administração, que deverão dirimir dúvidas e subsidiá-lo com informações relevantes para prevenir riscos na execução contratual.</w:t>
      </w:r>
    </w:p>
    <w:p w14:paraId="66838321">
      <w:pPr>
        <w:widowControl/>
        <w:spacing w:line="360" w:lineRule="auto"/>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7.5. </w:t>
      </w:r>
      <w:r>
        <w:rPr>
          <w:rFonts w:ascii="Arial" w:hAnsi="Arial" w:cs="Arial"/>
          <w:color w:val="000000" w:themeColor="text1"/>
          <w:sz w:val="22"/>
          <w:szCs w:val="22"/>
          <w14:textFill>
            <w14:solidFill>
              <w14:schemeClr w14:val="tx1"/>
            </w14:solidFill>
          </w14:textFill>
        </w:rPr>
        <w:t xml:space="preserve">A gestão e acompanhamento da entrega do objeto serão feitos pela Secretaria Municipal solicitante, através do servidor responsável pelo recebimento do mesmo, </w:t>
      </w:r>
    </w:p>
    <w:p w14:paraId="5E4A7DA6">
      <w:pPr>
        <w:widowControl/>
        <w:spacing w:line="360" w:lineRule="auto"/>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bem como o Termo de Aceite e posterior atesto em Nota Fiscal que será remetida para pagamento.</w:t>
      </w:r>
    </w:p>
    <w:p w14:paraId="6AC34263">
      <w:pPr>
        <w:widowControl/>
        <w:spacing w:line="360" w:lineRule="auto"/>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7.6. </w:t>
      </w:r>
      <w:r>
        <w:rPr>
          <w:rFonts w:ascii="Arial" w:hAnsi="Arial" w:cs="Arial"/>
          <w:color w:val="000000" w:themeColor="text1"/>
          <w:sz w:val="22"/>
          <w:szCs w:val="22"/>
          <w14:textFill>
            <w14:solidFill>
              <w14:schemeClr w14:val="tx1"/>
            </w14:solidFill>
          </w14:textFill>
        </w:rPr>
        <w:t>A Contratante deverá monitorar constantemente o nível de qualidade dos serviços para evitar a sua degeneração, devendo intervir para corrigir ou aplicar sanções quando verificar desconformidades da prestação do serviço com a qualidade exigida.</w:t>
      </w:r>
    </w:p>
    <w:p w14:paraId="5FD6BE2F">
      <w:pPr>
        <w:widowControl/>
        <w:spacing w:line="240" w:lineRule="auto"/>
        <w:rPr>
          <w:rFonts w:ascii="Arial" w:hAnsi="Arial" w:cs="Arial"/>
          <w:color w:val="000000" w:themeColor="text1"/>
          <w:sz w:val="22"/>
          <w:szCs w:val="22"/>
          <w14:textFill>
            <w14:solidFill>
              <w14:schemeClr w14:val="tx1"/>
            </w14:solidFill>
          </w14:textFill>
        </w:rPr>
      </w:pPr>
    </w:p>
    <w:p w14:paraId="4C4AF255">
      <w:pPr>
        <w:pStyle w:val="24"/>
        <w:pBdr>
          <w:top w:val="single" w:color="auto" w:sz="4" w:space="1"/>
          <w:left w:val="single" w:color="auto" w:sz="4" w:space="4"/>
          <w:bottom w:val="single" w:color="auto" w:sz="4" w:space="1"/>
          <w:right w:val="single" w:color="auto" w:sz="4" w:space="4"/>
        </w:pBdr>
        <w:spacing w:line="240" w:lineRule="auto"/>
      </w:pPr>
      <w:r>
        <w:t>SECRETARIA DE OBRAS:</w:t>
      </w:r>
    </w:p>
    <w:p w14:paraId="723F77E0">
      <w:pPr>
        <w:pBdr>
          <w:top w:val="single" w:color="auto" w:sz="4" w:space="1"/>
          <w:left w:val="single" w:color="auto" w:sz="4" w:space="4"/>
          <w:bottom w:val="single" w:color="auto" w:sz="4" w:space="1"/>
          <w:right w:val="single" w:color="auto" w:sz="4" w:space="4"/>
        </w:pBdr>
        <w:tabs>
          <w:tab w:val="left" w:pos="426"/>
        </w:tabs>
        <w:spacing w:line="240" w:lineRule="auto"/>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Gestor:</w:t>
      </w:r>
      <w:r>
        <w:rPr>
          <w:rFonts w:ascii="Arial" w:hAnsi="Arial" w:cs="Arial"/>
          <w:color w:val="000000" w:themeColor="text1"/>
          <w:sz w:val="22"/>
          <w:szCs w:val="22"/>
          <w14:textFill>
            <w14:solidFill>
              <w14:schemeClr w14:val="tx1"/>
            </w14:solidFill>
          </w14:textFill>
        </w:rPr>
        <w:t xml:space="preserve">  Celso Silva Ferreira</w:t>
      </w:r>
    </w:p>
    <w:p w14:paraId="07E6B3C8">
      <w:pPr>
        <w:pBdr>
          <w:top w:val="single" w:color="auto" w:sz="4" w:space="1"/>
          <w:left w:val="single" w:color="auto" w:sz="4" w:space="4"/>
          <w:bottom w:val="single" w:color="auto" w:sz="4" w:space="1"/>
          <w:right w:val="single" w:color="auto" w:sz="4" w:space="4"/>
        </w:pBdr>
        <w:tabs>
          <w:tab w:val="left" w:pos="426"/>
        </w:tabs>
        <w:spacing w:line="240" w:lineRule="auto"/>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Cargo:</w:t>
      </w:r>
      <w:r>
        <w:rPr>
          <w:rFonts w:ascii="Arial" w:hAnsi="Arial" w:cs="Arial"/>
          <w:color w:val="000000" w:themeColor="text1"/>
          <w:sz w:val="22"/>
          <w:szCs w:val="22"/>
          <w14:textFill>
            <w14:solidFill>
              <w14:schemeClr w14:val="tx1"/>
            </w14:solidFill>
          </w14:textFill>
        </w:rPr>
        <w:t xml:space="preserve"> Mecânico</w:t>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tab/>
      </w:r>
      <w:r>
        <w:rPr>
          <w:rFonts w:ascii="Arial" w:hAnsi="Arial" w:cs="Arial"/>
          <w:b/>
          <w:bCs/>
          <w:color w:val="000000" w:themeColor="text1"/>
          <w:sz w:val="22"/>
          <w:szCs w:val="22"/>
          <w14:textFill>
            <w14:solidFill>
              <w14:schemeClr w14:val="tx1"/>
            </w14:solidFill>
          </w14:textFill>
        </w:rPr>
        <w:t>Matrícula:</w:t>
      </w:r>
      <w:r>
        <w:rPr>
          <w:rFonts w:ascii="Arial" w:hAnsi="Arial" w:cs="Arial"/>
          <w:color w:val="000000" w:themeColor="text1"/>
          <w:sz w:val="22"/>
          <w:szCs w:val="22"/>
          <w14:textFill>
            <w14:solidFill>
              <w14:schemeClr w14:val="tx1"/>
            </w14:solidFill>
          </w14:textFill>
        </w:rPr>
        <w:t xml:space="preserve"> 2339</w:t>
      </w:r>
    </w:p>
    <w:p w14:paraId="388BA63F">
      <w:pPr>
        <w:pBdr>
          <w:top w:val="single" w:color="auto" w:sz="4" w:space="1"/>
          <w:left w:val="single" w:color="auto" w:sz="4" w:space="4"/>
          <w:bottom w:val="single" w:color="auto" w:sz="4" w:space="1"/>
          <w:right w:val="single" w:color="auto" w:sz="4" w:space="4"/>
        </w:pBdr>
        <w:tabs>
          <w:tab w:val="left" w:pos="426"/>
        </w:tabs>
        <w:spacing w:line="240" w:lineRule="auto"/>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Suplente:</w:t>
      </w:r>
      <w:r>
        <w:rPr>
          <w:rFonts w:ascii="Arial" w:hAnsi="Arial" w:cs="Arial"/>
          <w:color w:val="000000" w:themeColor="text1"/>
          <w:sz w:val="22"/>
          <w:szCs w:val="22"/>
          <w14:textFill>
            <w14:solidFill>
              <w14:schemeClr w14:val="tx1"/>
            </w14:solidFill>
          </w14:textFill>
        </w:rPr>
        <w:t xml:space="preserve"> Adevilal José Damasceno</w:t>
      </w:r>
    </w:p>
    <w:p w14:paraId="60758744">
      <w:pPr>
        <w:pBdr>
          <w:top w:val="single" w:color="auto" w:sz="4" w:space="1"/>
          <w:left w:val="single" w:color="auto" w:sz="4" w:space="4"/>
          <w:bottom w:val="single" w:color="auto" w:sz="4" w:space="1"/>
          <w:right w:val="single" w:color="auto" w:sz="4" w:space="4"/>
        </w:pBdr>
        <w:tabs>
          <w:tab w:val="left" w:pos="426"/>
        </w:tabs>
        <w:spacing w:line="240" w:lineRule="auto"/>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Cargo: </w:t>
      </w:r>
      <w:r>
        <w:rPr>
          <w:rFonts w:ascii="Arial" w:hAnsi="Arial" w:cs="Arial"/>
          <w:color w:val="000000" w:themeColor="text1"/>
          <w:sz w:val="22"/>
          <w:szCs w:val="22"/>
          <w14:textFill>
            <w14:solidFill>
              <w14:schemeClr w14:val="tx1"/>
            </w14:solidFill>
          </w14:textFill>
        </w:rPr>
        <w:t>Mecânico</w:t>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tab/>
      </w:r>
      <w:r>
        <w:rPr>
          <w:rFonts w:ascii="Arial" w:hAnsi="Arial" w:cs="Arial"/>
          <w:b/>
          <w:bCs/>
          <w:color w:val="000000" w:themeColor="text1"/>
          <w:sz w:val="22"/>
          <w:szCs w:val="22"/>
          <w14:textFill>
            <w14:solidFill>
              <w14:schemeClr w14:val="tx1"/>
            </w14:solidFill>
          </w14:textFill>
        </w:rPr>
        <w:t>Matrícula:</w:t>
      </w:r>
      <w:r>
        <w:rPr>
          <w:rFonts w:ascii="Arial" w:hAnsi="Arial" w:cs="Arial"/>
          <w:color w:val="000000" w:themeColor="text1"/>
          <w:sz w:val="22"/>
          <w:szCs w:val="22"/>
          <w14:textFill>
            <w14:solidFill>
              <w14:schemeClr w14:val="tx1"/>
            </w14:solidFill>
          </w14:textFill>
        </w:rPr>
        <w:t xml:space="preserve"> 725</w:t>
      </w:r>
    </w:p>
    <w:p w14:paraId="1B3AAA2A">
      <w:pPr>
        <w:pStyle w:val="24"/>
        <w:spacing w:line="240" w:lineRule="auto"/>
      </w:pPr>
    </w:p>
    <w:p w14:paraId="17D32761">
      <w:pPr>
        <w:pStyle w:val="24"/>
        <w:pBdr>
          <w:top w:val="single" w:color="auto" w:sz="4" w:space="1"/>
          <w:left w:val="single" w:color="auto" w:sz="4" w:space="4"/>
          <w:bottom w:val="single" w:color="auto" w:sz="4" w:space="1"/>
          <w:right w:val="single" w:color="auto" w:sz="4" w:space="4"/>
        </w:pBdr>
        <w:spacing w:line="240" w:lineRule="auto"/>
      </w:pPr>
      <w:r>
        <w:t>SECRETARIA DE SAÚDE:</w:t>
      </w:r>
    </w:p>
    <w:p w14:paraId="06F62200">
      <w:pPr>
        <w:pBdr>
          <w:top w:val="single" w:color="auto" w:sz="4" w:space="1"/>
          <w:left w:val="single" w:color="auto" w:sz="4" w:space="4"/>
          <w:bottom w:val="single" w:color="auto" w:sz="4" w:space="1"/>
          <w:right w:val="single" w:color="auto" w:sz="4" w:space="4"/>
        </w:pBdr>
        <w:tabs>
          <w:tab w:val="left" w:pos="426"/>
        </w:tabs>
        <w:spacing w:line="240" w:lineRule="auto"/>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Gestor:</w:t>
      </w:r>
      <w:r>
        <w:rPr>
          <w:rFonts w:ascii="Arial" w:hAnsi="Arial" w:cs="Arial"/>
          <w:color w:val="000000" w:themeColor="text1"/>
          <w:sz w:val="22"/>
          <w:szCs w:val="22"/>
          <w14:textFill>
            <w14:solidFill>
              <w14:schemeClr w14:val="tx1"/>
            </w14:solidFill>
          </w14:textFill>
        </w:rPr>
        <w:t xml:space="preserve">  Bruna Serpa de Almeida Godoy</w:t>
      </w:r>
    </w:p>
    <w:p w14:paraId="2B83101A">
      <w:pPr>
        <w:pBdr>
          <w:top w:val="single" w:color="auto" w:sz="4" w:space="1"/>
          <w:left w:val="single" w:color="auto" w:sz="4" w:space="4"/>
          <w:bottom w:val="single" w:color="auto" w:sz="4" w:space="1"/>
          <w:right w:val="single" w:color="auto" w:sz="4" w:space="4"/>
        </w:pBdr>
        <w:tabs>
          <w:tab w:val="left" w:pos="426"/>
        </w:tabs>
        <w:spacing w:line="240" w:lineRule="auto"/>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Cargo:</w:t>
      </w:r>
      <w:r>
        <w:rPr>
          <w:rFonts w:ascii="Arial" w:hAnsi="Arial" w:cs="Arial"/>
          <w:color w:val="000000" w:themeColor="text1"/>
          <w:sz w:val="22"/>
          <w:szCs w:val="22"/>
          <w14:textFill>
            <w14:solidFill>
              <w14:schemeClr w14:val="tx1"/>
            </w14:solidFill>
          </w14:textFill>
        </w:rPr>
        <w:t xml:space="preserve"> Farmaceutico/Bioquimico</w:t>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tab/>
      </w:r>
      <w:r>
        <w:rPr>
          <w:rFonts w:ascii="Arial" w:hAnsi="Arial" w:cs="Arial"/>
          <w:b/>
          <w:bCs/>
          <w:color w:val="000000" w:themeColor="text1"/>
          <w:sz w:val="22"/>
          <w:szCs w:val="22"/>
          <w14:textFill>
            <w14:solidFill>
              <w14:schemeClr w14:val="tx1"/>
            </w14:solidFill>
          </w14:textFill>
        </w:rPr>
        <w:t>Matrícula:</w:t>
      </w:r>
      <w:r>
        <w:rPr>
          <w:rFonts w:ascii="Arial" w:hAnsi="Arial" w:cs="Arial"/>
          <w:color w:val="000000" w:themeColor="text1"/>
          <w:sz w:val="22"/>
          <w:szCs w:val="22"/>
          <w14:textFill>
            <w14:solidFill>
              <w14:schemeClr w14:val="tx1"/>
            </w14:solidFill>
          </w14:textFill>
        </w:rPr>
        <w:t xml:space="preserve"> 18172</w:t>
      </w:r>
    </w:p>
    <w:p w14:paraId="5E0D6E77">
      <w:pPr>
        <w:pBdr>
          <w:top w:val="single" w:color="auto" w:sz="4" w:space="1"/>
          <w:left w:val="single" w:color="auto" w:sz="4" w:space="4"/>
          <w:bottom w:val="single" w:color="auto" w:sz="4" w:space="1"/>
          <w:right w:val="single" w:color="auto" w:sz="4" w:space="4"/>
        </w:pBdr>
        <w:tabs>
          <w:tab w:val="left" w:pos="426"/>
        </w:tabs>
        <w:spacing w:line="240" w:lineRule="auto"/>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Suplente:</w:t>
      </w:r>
      <w:r>
        <w:rPr>
          <w:rFonts w:ascii="Arial" w:hAnsi="Arial" w:cs="Arial"/>
          <w:color w:val="000000" w:themeColor="text1"/>
          <w:sz w:val="22"/>
          <w:szCs w:val="22"/>
          <w14:textFill>
            <w14:solidFill>
              <w14:schemeClr w14:val="tx1"/>
            </w14:solidFill>
          </w14:textFill>
        </w:rPr>
        <w:t xml:space="preserve"> Emily Carolina Lopes</w:t>
      </w:r>
    </w:p>
    <w:p w14:paraId="29BC0C00">
      <w:pPr>
        <w:pBdr>
          <w:top w:val="single" w:color="auto" w:sz="4" w:space="1"/>
          <w:left w:val="single" w:color="auto" w:sz="4" w:space="4"/>
          <w:bottom w:val="single" w:color="auto" w:sz="4" w:space="1"/>
          <w:right w:val="single" w:color="auto" w:sz="4" w:space="4"/>
        </w:pBdr>
        <w:tabs>
          <w:tab w:val="left" w:pos="567"/>
        </w:tabs>
        <w:autoSpaceDE w:val="0"/>
        <w:autoSpaceDN w:val="0"/>
        <w:spacing w:line="240" w:lineRule="auto"/>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Cargo: </w:t>
      </w:r>
      <w:r>
        <w:rPr>
          <w:rFonts w:hint="default" w:ascii="Arial" w:hAnsi="Arial" w:cs="Arial"/>
          <w:b w:val="0"/>
          <w:bCs w:val="0"/>
          <w:color w:val="000000" w:themeColor="text1"/>
          <w:sz w:val="22"/>
          <w:szCs w:val="22"/>
          <w14:textFill>
            <w14:solidFill>
              <w14:schemeClr w14:val="tx1"/>
            </w14:solidFill>
          </w14:textFill>
        </w:rPr>
        <w:t>Gestor de Projeto</w:t>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tab/>
      </w:r>
      <w:r>
        <w:rPr>
          <w:rFonts w:ascii="Arial" w:hAnsi="Arial" w:cs="Arial"/>
          <w:b/>
          <w:bCs/>
          <w:color w:val="000000" w:themeColor="text1"/>
          <w:sz w:val="22"/>
          <w:szCs w:val="22"/>
          <w14:textFill>
            <w14:solidFill>
              <w14:schemeClr w14:val="tx1"/>
            </w14:solidFill>
          </w14:textFill>
        </w:rPr>
        <w:t>Matrícula:</w:t>
      </w:r>
      <w:r>
        <w:rPr>
          <w:rFonts w:ascii="Arial" w:hAnsi="Arial" w:cs="Arial"/>
          <w:color w:val="000000" w:themeColor="text1"/>
          <w:sz w:val="22"/>
          <w:szCs w:val="22"/>
          <w14:textFill>
            <w14:solidFill>
              <w14:schemeClr w14:val="tx1"/>
            </w14:solidFill>
          </w14:textFill>
        </w:rPr>
        <w:t xml:space="preserve"> 18089</w:t>
      </w:r>
    </w:p>
    <w:p w14:paraId="1E9DEE08">
      <w:pPr>
        <w:tabs>
          <w:tab w:val="left" w:pos="567"/>
        </w:tabs>
        <w:autoSpaceDE w:val="0"/>
        <w:autoSpaceDN w:val="0"/>
        <w:spacing w:line="240" w:lineRule="auto"/>
        <w:rPr>
          <w:rFonts w:ascii="Arial" w:hAnsi="Arial" w:cs="Arial"/>
          <w:color w:val="000000" w:themeColor="text1"/>
          <w:sz w:val="22"/>
          <w:szCs w:val="22"/>
          <w14:textFill>
            <w14:solidFill>
              <w14:schemeClr w14:val="tx1"/>
            </w14:solidFill>
          </w14:textFill>
        </w:rPr>
      </w:pPr>
    </w:p>
    <w:p w14:paraId="286C8AFC">
      <w:pPr>
        <w:tabs>
          <w:tab w:val="left" w:pos="567"/>
        </w:tabs>
        <w:autoSpaceDE w:val="0"/>
        <w:autoSpaceDN w:val="0"/>
        <w:spacing w:line="240" w:lineRule="auto"/>
        <w:rPr>
          <w:rFonts w:ascii="Arial" w:hAnsi="Arial" w:cs="Arial"/>
          <w:color w:val="000000" w:themeColor="text1"/>
          <w:sz w:val="22"/>
          <w:szCs w:val="22"/>
          <w14:textFill>
            <w14:solidFill>
              <w14:schemeClr w14:val="tx1"/>
            </w14:solidFill>
          </w14:textFill>
        </w:rPr>
      </w:pPr>
    </w:p>
    <w:p w14:paraId="2E252E6C">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b/>
          <w:bCs/>
          <w:sz w:val="22"/>
          <w:szCs w:val="22"/>
          <w:lang w:val="pt-BR" w:eastAsia="en-US"/>
        </w:rPr>
      </w:pPr>
      <w:r>
        <w:rPr>
          <w:rFonts w:ascii="Arial" w:hAnsi="Arial" w:cs="Arial"/>
          <w:b/>
          <w:sz w:val="22"/>
          <w:szCs w:val="22"/>
        </w:rPr>
        <w:t>8. DOS CRITÉRIOS DE MEDIÇÃO E DE PAGAMENTO</w:t>
      </w:r>
      <w:r>
        <w:rPr>
          <w:rFonts w:hint="default" w:ascii="Arial" w:hAnsi="Arial" w:cs="Arial"/>
          <w:b/>
          <w:sz w:val="22"/>
          <w:szCs w:val="22"/>
          <w:lang w:val="pt-BR"/>
        </w:rPr>
        <w:t>:</w:t>
      </w:r>
    </w:p>
    <w:p w14:paraId="6372B794">
      <w:pPr>
        <w:pStyle w:val="34"/>
        <w:numPr>
          <w:ilvl w:val="0"/>
          <w:numId w:val="0"/>
        </w:numPr>
        <w:spacing w:before="0" w:after="0" w:line="360" w:lineRule="auto"/>
        <w:rPr>
          <w:b/>
          <w:bCs/>
          <w:sz w:val="22"/>
          <w:szCs w:val="22"/>
          <w:lang w:eastAsia="en-US"/>
        </w:rPr>
      </w:pPr>
    </w:p>
    <w:p w14:paraId="42F99A82">
      <w:pPr>
        <w:pStyle w:val="34"/>
        <w:numPr>
          <w:ilvl w:val="0"/>
          <w:numId w:val="0"/>
        </w:numPr>
        <w:spacing w:before="0" w:after="0" w:line="360" w:lineRule="auto"/>
        <w:rPr>
          <w:sz w:val="22"/>
          <w:szCs w:val="22"/>
          <w:lang w:eastAsia="en-US"/>
        </w:rPr>
      </w:pPr>
      <w:r>
        <w:rPr>
          <w:b/>
          <w:bCs/>
          <w:sz w:val="22"/>
          <w:szCs w:val="22"/>
          <w:lang w:eastAsia="en-US"/>
        </w:rPr>
        <w:t xml:space="preserve">8.1. </w:t>
      </w:r>
      <w:r>
        <w:rPr>
          <w:sz w:val="22"/>
          <w:szCs w:val="22"/>
          <w:lang w:eastAsia="en-US"/>
        </w:rPr>
        <w:t xml:space="preserve">Os serviços serão recebidos provisoriamente, de forma sumária, no ato da entrega ou da prestação do serviço, juntamente com a </w:t>
      </w:r>
      <w:r>
        <w:rPr>
          <w:rFonts w:eastAsia="Calibri"/>
          <w:sz w:val="22"/>
          <w:szCs w:val="22"/>
          <w:lang w:eastAsia="en-US"/>
        </w:rPr>
        <w:t>nota</w:t>
      </w:r>
      <w:r>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Pr>
          <w:color w:val="FF0000"/>
          <w:sz w:val="22"/>
          <w:szCs w:val="22"/>
          <w:lang w:eastAsia="en-US"/>
        </w:rPr>
        <w:t xml:space="preserve"> </w:t>
      </w:r>
      <w:r>
        <w:rPr>
          <w:sz w:val="22"/>
          <w:szCs w:val="22"/>
          <w:lang w:eastAsia="en-US"/>
        </w:rPr>
        <w:t>e na proposta.</w:t>
      </w:r>
    </w:p>
    <w:p w14:paraId="7CA93CB9">
      <w:pPr>
        <w:pStyle w:val="39"/>
        <w:numPr>
          <w:ilvl w:val="0"/>
          <w:numId w:val="0"/>
        </w:numPr>
        <w:spacing w:before="0" w:after="0" w:line="360" w:lineRule="auto"/>
        <w:rPr>
          <w:color w:val="00B050"/>
          <w:sz w:val="22"/>
          <w:szCs w:val="22"/>
        </w:rPr>
      </w:pPr>
      <w:r>
        <w:rPr>
          <w:b/>
          <w:bCs/>
          <w:sz w:val="22"/>
          <w:szCs w:val="22"/>
        </w:rPr>
        <w:t>8.2.</w:t>
      </w:r>
      <w:r>
        <w:rPr>
          <w:sz w:val="22"/>
          <w:szCs w:val="22"/>
        </w:rPr>
        <w:t xml:space="preserve"> Será indicada a retenção ou glosa no pagamento, proporcional à irregularidade verificada, sem prejuízo das sanções cabíveis, caso se constate que a Contratada:</w:t>
      </w:r>
    </w:p>
    <w:p w14:paraId="038B7AB3">
      <w:pPr>
        <w:pStyle w:val="40"/>
        <w:numPr>
          <w:ilvl w:val="0"/>
          <w:numId w:val="0"/>
        </w:numPr>
        <w:spacing w:before="0" w:after="0" w:line="360" w:lineRule="auto"/>
        <w:rPr>
          <w:sz w:val="22"/>
          <w:szCs w:val="22"/>
        </w:rPr>
      </w:pPr>
      <w:r>
        <w:rPr>
          <w:b/>
          <w:bCs/>
          <w:sz w:val="22"/>
          <w:szCs w:val="22"/>
        </w:rPr>
        <w:t>8.2.1.</w:t>
      </w:r>
      <w:r>
        <w:rPr>
          <w:sz w:val="22"/>
          <w:szCs w:val="22"/>
        </w:rPr>
        <w:t xml:space="preserve"> Não produzir os resultados acordados,</w:t>
      </w:r>
    </w:p>
    <w:p w14:paraId="18EED150">
      <w:pPr>
        <w:pStyle w:val="40"/>
        <w:numPr>
          <w:ilvl w:val="0"/>
          <w:numId w:val="0"/>
        </w:numPr>
        <w:spacing w:before="0" w:after="0" w:line="360" w:lineRule="auto"/>
        <w:rPr>
          <w:sz w:val="22"/>
          <w:szCs w:val="22"/>
        </w:rPr>
      </w:pPr>
      <w:r>
        <w:rPr>
          <w:b/>
          <w:bCs/>
          <w:sz w:val="22"/>
          <w:szCs w:val="22"/>
        </w:rPr>
        <w:t>8.2.2.</w:t>
      </w:r>
      <w:r>
        <w:rPr>
          <w:sz w:val="22"/>
          <w:szCs w:val="22"/>
        </w:rPr>
        <w:t xml:space="preserve"> Deixar de executar, ou não executar com a qualidade mínima exigida as atividades contratadas; ou</w:t>
      </w:r>
    </w:p>
    <w:p w14:paraId="1CE0AAF4">
      <w:pPr>
        <w:pStyle w:val="40"/>
        <w:numPr>
          <w:ilvl w:val="0"/>
          <w:numId w:val="0"/>
        </w:numPr>
        <w:spacing w:before="0" w:after="0" w:line="360" w:lineRule="auto"/>
        <w:rPr>
          <w:sz w:val="22"/>
          <w:szCs w:val="22"/>
        </w:rPr>
      </w:pPr>
      <w:r>
        <w:rPr>
          <w:b/>
          <w:bCs/>
          <w:sz w:val="22"/>
          <w:szCs w:val="22"/>
        </w:rPr>
        <w:t xml:space="preserve">8.2.3. </w:t>
      </w:r>
      <w:r>
        <w:rPr>
          <w:sz w:val="22"/>
          <w:szCs w:val="22"/>
        </w:rPr>
        <w:t>Deixar de utilizar materiais e recursos humanos exigidos para a execução do serviço, ou utilizá-los com qualidade ou quantidade inferior à demandada.</w:t>
      </w:r>
    </w:p>
    <w:p w14:paraId="720B11A7">
      <w:pPr>
        <w:pStyle w:val="34"/>
        <w:numPr>
          <w:ilvl w:val="0"/>
          <w:numId w:val="0"/>
        </w:numPr>
        <w:spacing w:before="0" w:after="0" w:line="360" w:lineRule="auto"/>
        <w:rPr>
          <w:sz w:val="22"/>
          <w:szCs w:val="22"/>
          <w:lang w:eastAsia="en-US"/>
        </w:rPr>
      </w:pPr>
      <w:r>
        <w:rPr>
          <w:b/>
          <w:bCs/>
          <w:sz w:val="22"/>
          <w:szCs w:val="22"/>
          <w:lang w:eastAsia="en-US"/>
        </w:rPr>
        <w:t xml:space="preserve">8.3. </w:t>
      </w:r>
      <w:r>
        <w:rPr>
          <w:sz w:val="22"/>
          <w:szCs w:val="22"/>
          <w:lang w:eastAsia="en-US"/>
        </w:rPr>
        <w:t>Os serviços poderão ser rejeitados, no todo ou em parte, inclusive antes do recebimento provisório, quando em desacordo com as especificações constantes no Termo de Referência</w:t>
      </w:r>
      <w:r>
        <w:rPr>
          <w:color w:val="FF0000"/>
          <w:sz w:val="22"/>
          <w:szCs w:val="22"/>
          <w:lang w:eastAsia="en-US"/>
        </w:rPr>
        <w:t xml:space="preserve"> </w:t>
      </w:r>
      <w:r>
        <w:rPr>
          <w:sz w:val="22"/>
          <w:szCs w:val="22"/>
          <w:lang w:eastAsia="en-US"/>
        </w:rPr>
        <w:t>e na proposta, devendo ser substituídos no prazo de</w:t>
      </w:r>
      <w:r>
        <w:rPr>
          <w:sz w:val="22"/>
          <w:szCs w:val="22"/>
        </w:rPr>
        <w:t xml:space="preserve"> em  até </w:t>
      </w:r>
      <w:r>
        <w:rPr>
          <w:b/>
          <w:bCs/>
          <w:sz w:val="22"/>
          <w:szCs w:val="22"/>
        </w:rPr>
        <w:t>5 (cinco)</w:t>
      </w:r>
      <w:r>
        <w:rPr>
          <w:sz w:val="22"/>
          <w:szCs w:val="22"/>
        </w:rPr>
        <w:t xml:space="preserve"> dias</w:t>
      </w:r>
      <w:r>
        <w:rPr>
          <w:sz w:val="22"/>
          <w:szCs w:val="22"/>
          <w:lang w:eastAsia="en-US"/>
        </w:rPr>
        <w:t xml:space="preserve"> a contar da notificação da Contratada, às suas custas, sem prejuízo da aplicação das penalidades.</w:t>
      </w:r>
    </w:p>
    <w:p w14:paraId="2DB12AA8">
      <w:pPr>
        <w:pStyle w:val="34"/>
        <w:numPr>
          <w:ilvl w:val="0"/>
          <w:numId w:val="0"/>
        </w:numPr>
        <w:spacing w:before="0" w:after="0" w:line="360" w:lineRule="auto"/>
        <w:rPr>
          <w:sz w:val="22"/>
          <w:szCs w:val="22"/>
          <w:lang w:eastAsia="en-US"/>
        </w:rPr>
      </w:pPr>
      <w:r>
        <w:rPr>
          <w:b/>
          <w:bCs/>
          <w:sz w:val="22"/>
          <w:szCs w:val="22"/>
          <w:lang w:eastAsia="en-US"/>
        </w:rPr>
        <w:t xml:space="preserve">8.4. </w:t>
      </w:r>
      <w:r>
        <w:rPr>
          <w:sz w:val="22"/>
          <w:szCs w:val="22"/>
          <w:lang w:eastAsia="en-US"/>
        </w:rPr>
        <w:t>O recebimento definitivo ocorrerá no prazo de 5 (cinco</w:t>
      </w:r>
      <w:r>
        <w:rPr>
          <w:color w:val="auto"/>
          <w:sz w:val="22"/>
          <w:szCs w:val="22"/>
          <w:lang w:eastAsia="en-US"/>
        </w:rPr>
        <w:t>) dias úteis,</w:t>
      </w:r>
      <w:r>
        <w:rPr>
          <w:color w:val="FF0000"/>
          <w:sz w:val="22"/>
          <w:szCs w:val="22"/>
          <w:lang w:eastAsia="en-US"/>
        </w:rPr>
        <w:t xml:space="preserve"> </w:t>
      </w:r>
      <w:r>
        <w:rPr>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00BE3398">
      <w:pPr>
        <w:pStyle w:val="34"/>
        <w:numPr>
          <w:ilvl w:val="0"/>
          <w:numId w:val="0"/>
        </w:numPr>
        <w:spacing w:before="0" w:after="0" w:line="360" w:lineRule="auto"/>
        <w:rPr>
          <w:sz w:val="22"/>
          <w:szCs w:val="22"/>
          <w:lang w:eastAsia="en-US"/>
        </w:rPr>
      </w:pPr>
      <w:r>
        <w:rPr>
          <w:b/>
          <w:bCs/>
          <w:sz w:val="22"/>
          <w:szCs w:val="22"/>
          <w:lang w:eastAsia="en-US"/>
        </w:rPr>
        <w:t xml:space="preserve">8.5. </w:t>
      </w:r>
      <w:r>
        <w:rPr>
          <w:sz w:val="22"/>
          <w:szCs w:val="22"/>
          <w:lang w:eastAsia="en-US"/>
        </w:rPr>
        <w:t xml:space="preserve">O prazo para recebimento definitivo poderá ser excepcionalmente prorrogado, </w:t>
      </w:r>
      <w:r>
        <w:rPr>
          <w:color w:val="auto"/>
          <w:sz w:val="22"/>
          <w:szCs w:val="22"/>
          <w:lang w:eastAsia="en-US"/>
        </w:rPr>
        <w:t>de forma justificada, por igual período, quando houver necessidade de diligências para a aferição do ate</w:t>
      </w:r>
      <w:r>
        <w:rPr>
          <w:sz w:val="22"/>
          <w:szCs w:val="22"/>
          <w:lang w:eastAsia="en-US"/>
        </w:rPr>
        <w:t>ndimento das exigências contratuais.</w:t>
      </w:r>
    </w:p>
    <w:p w14:paraId="1BCE096A">
      <w:pPr>
        <w:pStyle w:val="34"/>
        <w:numPr>
          <w:ilvl w:val="0"/>
          <w:numId w:val="0"/>
        </w:numPr>
        <w:spacing w:before="0" w:after="0" w:line="360" w:lineRule="auto"/>
        <w:rPr>
          <w:sz w:val="22"/>
          <w:szCs w:val="22"/>
          <w:lang w:eastAsia="en-US"/>
        </w:rPr>
      </w:pPr>
      <w:r>
        <w:rPr>
          <w:b/>
          <w:bCs/>
          <w:sz w:val="22"/>
          <w:szCs w:val="22"/>
          <w:lang w:eastAsia="en-US"/>
        </w:rPr>
        <w:t>8.6.</w:t>
      </w:r>
      <w:r>
        <w:rPr>
          <w:sz w:val="22"/>
          <w:szCs w:val="22"/>
          <w:lang w:eastAsia="en-US"/>
        </w:rPr>
        <w:t xml:space="preserve"> No caso de controvérsia sobre a execução do objeto, quanto à dimensão, qualidade e quantidade, deverá ser observado o teor do </w:t>
      </w:r>
      <w:r>
        <w:fldChar w:fldCharType="begin"/>
      </w:r>
      <w:r>
        <w:instrText xml:space="preserve"> HYPERLINK "http://www.planalto.gov.br/ccivil_03/_ato2019-2022/2021/lei/L14133.htm" \l "art143" \h </w:instrText>
      </w:r>
      <w:r>
        <w:fldChar w:fldCharType="separate"/>
      </w:r>
      <w:r>
        <w:rPr>
          <w:rStyle w:val="8"/>
          <w:color w:val="auto"/>
          <w:sz w:val="22"/>
          <w:szCs w:val="22"/>
          <w:u w:val="none"/>
          <w:lang w:eastAsia="en-US"/>
        </w:rPr>
        <w:t>art. 143 da Lei nº 14.133/2021</w:t>
      </w:r>
      <w:r>
        <w:rPr>
          <w:rStyle w:val="8"/>
          <w:color w:val="auto"/>
          <w:sz w:val="22"/>
          <w:szCs w:val="22"/>
          <w:u w:val="none"/>
          <w:lang w:eastAsia="en-US"/>
        </w:rPr>
        <w:fldChar w:fldCharType="end"/>
      </w:r>
      <w:r>
        <w:rPr>
          <w:sz w:val="22"/>
          <w:szCs w:val="22"/>
          <w:lang w:eastAsia="en-US"/>
        </w:rPr>
        <w:t>, comunicando-se à empresa para emissão de nota fiscal no que pertine à parcela incontroversa da execução do objeto, para efeito de liquidação e pagamento.</w:t>
      </w:r>
    </w:p>
    <w:p w14:paraId="4A4BEE04">
      <w:pPr>
        <w:pStyle w:val="34"/>
        <w:numPr>
          <w:ilvl w:val="0"/>
          <w:numId w:val="0"/>
        </w:numPr>
        <w:spacing w:before="0" w:after="0" w:line="360" w:lineRule="auto"/>
        <w:rPr>
          <w:sz w:val="22"/>
          <w:szCs w:val="22"/>
          <w:lang w:eastAsia="en-US"/>
        </w:rPr>
      </w:pPr>
      <w:r>
        <w:rPr>
          <w:b/>
          <w:bCs/>
          <w:sz w:val="22"/>
          <w:szCs w:val="22"/>
          <w:lang w:eastAsia="en-US"/>
        </w:rPr>
        <w:t>8.7.</w:t>
      </w:r>
      <w:r>
        <w:rPr>
          <w:sz w:val="22"/>
          <w:szCs w:val="22"/>
          <w:lang w:eastAsia="en-US"/>
        </w:rPr>
        <w:t xml:space="preserve"> 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C0B192C">
      <w:pPr>
        <w:pStyle w:val="34"/>
        <w:numPr>
          <w:ilvl w:val="0"/>
          <w:numId w:val="0"/>
        </w:numPr>
        <w:spacing w:before="0" w:after="0" w:line="360" w:lineRule="auto"/>
        <w:rPr>
          <w:b/>
          <w:bCs/>
          <w:sz w:val="22"/>
          <w:szCs w:val="22"/>
          <w:lang w:eastAsia="en-US"/>
        </w:rPr>
      </w:pPr>
      <w:r>
        <w:rPr>
          <w:b/>
          <w:bCs/>
          <w:sz w:val="22"/>
          <w:szCs w:val="22"/>
          <w:lang w:eastAsia="en-US"/>
        </w:rPr>
        <w:t xml:space="preserve">8.8. </w:t>
      </w:r>
      <w:r>
        <w:rPr>
          <w:sz w:val="22"/>
          <w:szCs w:val="22"/>
          <w:lang w:eastAsia="en-US"/>
        </w:rPr>
        <w:t>O recebimento provisório ou definitivo não excluirá a responsabilidade civil pela solidez e pela segurança dos bens nem a responsabilidade ético-profissional pela perfeita execução do Contrato ou da Ata de Registro de Preços.</w:t>
      </w:r>
    </w:p>
    <w:p w14:paraId="65A9D512">
      <w:pPr>
        <w:pStyle w:val="39"/>
        <w:numPr>
          <w:ilvl w:val="0"/>
          <w:numId w:val="0"/>
        </w:numPr>
        <w:spacing w:before="0" w:after="0" w:line="360" w:lineRule="auto"/>
        <w:rPr>
          <w:sz w:val="22"/>
          <w:szCs w:val="22"/>
          <w:lang w:eastAsia="en-US"/>
        </w:rPr>
      </w:pPr>
      <w:r>
        <w:rPr>
          <w:b/>
          <w:bCs/>
          <w:sz w:val="22"/>
          <w:szCs w:val="22"/>
          <w:lang w:eastAsia="en-US"/>
        </w:rPr>
        <w:t xml:space="preserve">8.9. </w:t>
      </w:r>
      <w:r>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3F60044E">
      <w:pPr>
        <w:pStyle w:val="39"/>
        <w:numPr>
          <w:ilvl w:val="0"/>
          <w:numId w:val="0"/>
        </w:numPr>
        <w:spacing w:before="0" w:after="0" w:line="360" w:lineRule="auto"/>
        <w:rPr>
          <w:sz w:val="22"/>
          <w:szCs w:val="22"/>
          <w:lang w:eastAsia="en-US"/>
        </w:rPr>
      </w:pPr>
      <w:r>
        <w:rPr>
          <w:b/>
          <w:bCs/>
          <w:sz w:val="22"/>
          <w:szCs w:val="22"/>
          <w:lang w:eastAsia="en-US"/>
        </w:rPr>
        <w:t xml:space="preserve">8.9.1. </w:t>
      </w:r>
      <w:r>
        <w:rPr>
          <w:sz w:val="22"/>
          <w:szCs w:val="22"/>
          <w:lang w:eastAsia="en-US"/>
        </w:rPr>
        <w:t>O prazo de validade;</w:t>
      </w:r>
    </w:p>
    <w:p w14:paraId="61920C56">
      <w:pPr>
        <w:pStyle w:val="39"/>
        <w:numPr>
          <w:ilvl w:val="0"/>
          <w:numId w:val="0"/>
        </w:numPr>
        <w:spacing w:before="0" w:after="0" w:line="360" w:lineRule="auto"/>
        <w:rPr>
          <w:sz w:val="22"/>
          <w:szCs w:val="22"/>
          <w:lang w:eastAsia="en-US"/>
        </w:rPr>
      </w:pPr>
      <w:r>
        <w:rPr>
          <w:b/>
          <w:bCs/>
          <w:sz w:val="22"/>
          <w:szCs w:val="22"/>
          <w:lang w:eastAsia="en-US"/>
        </w:rPr>
        <w:t xml:space="preserve">8.9.2. </w:t>
      </w:r>
      <w:r>
        <w:rPr>
          <w:sz w:val="22"/>
          <w:szCs w:val="22"/>
          <w:lang w:eastAsia="en-US"/>
        </w:rPr>
        <w:t xml:space="preserve">A data da emissão; </w:t>
      </w:r>
    </w:p>
    <w:p w14:paraId="3AF01D94">
      <w:pPr>
        <w:pStyle w:val="39"/>
        <w:numPr>
          <w:ilvl w:val="0"/>
          <w:numId w:val="0"/>
        </w:numPr>
        <w:spacing w:before="0" w:after="0" w:line="360" w:lineRule="auto"/>
        <w:rPr>
          <w:sz w:val="22"/>
          <w:szCs w:val="22"/>
          <w:lang w:eastAsia="en-US"/>
        </w:rPr>
      </w:pPr>
      <w:r>
        <w:rPr>
          <w:b/>
          <w:bCs/>
          <w:sz w:val="22"/>
          <w:szCs w:val="22"/>
          <w:lang w:eastAsia="en-US"/>
        </w:rPr>
        <w:t>8.9.3.</w:t>
      </w:r>
      <w:r>
        <w:rPr>
          <w:sz w:val="22"/>
          <w:szCs w:val="22"/>
          <w:lang w:eastAsia="en-US"/>
        </w:rPr>
        <w:t xml:space="preserve"> Os dados do Contrato ou da Ata de Registro de Preços e do órgão contratante; </w:t>
      </w:r>
    </w:p>
    <w:p w14:paraId="28AB848B">
      <w:pPr>
        <w:pStyle w:val="39"/>
        <w:numPr>
          <w:ilvl w:val="0"/>
          <w:numId w:val="0"/>
        </w:numPr>
        <w:spacing w:before="0" w:after="0" w:line="360" w:lineRule="auto"/>
        <w:rPr>
          <w:sz w:val="22"/>
          <w:szCs w:val="22"/>
          <w:lang w:eastAsia="en-US"/>
        </w:rPr>
      </w:pPr>
      <w:r>
        <w:rPr>
          <w:b/>
          <w:bCs/>
          <w:sz w:val="22"/>
          <w:szCs w:val="22"/>
          <w:lang w:eastAsia="en-US"/>
        </w:rPr>
        <w:t>8.9.4.</w:t>
      </w:r>
      <w:r>
        <w:rPr>
          <w:sz w:val="22"/>
          <w:szCs w:val="22"/>
          <w:lang w:eastAsia="en-US"/>
        </w:rPr>
        <w:t xml:space="preserve"> O período respectivo de execução do Contrato ou da Ata de Registro de Preços; </w:t>
      </w:r>
    </w:p>
    <w:p w14:paraId="570890CD">
      <w:pPr>
        <w:pStyle w:val="39"/>
        <w:numPr>
          <w:ilvl w:val="0"/>
          <w:numId w:val="0"/>
        </w:numPr>
        <w:spacing w:before="0" w:after="0" w:line="360" w:lineRule="auto"/>
        <w:rPr>
          <w:sz w:val="22"/>
          <w:szCs w:val="22"/>
          <w:lang w:eastAsia="en-US"/>
        </w:rPr>
      </w:pPr>
      <w:r>
        <w:rPr>
          <w:b/>
          <w:bCs/>
          <w:sz w:val="22"/>
          <w:szCs w:val="22"/>
          <w:lang w:eastAsia="en-US"/>
        </w:rPr>
        <w:t>8.9.5.</w:t>
      </w:r>
      <w:r>
        <w:rPr>
          <w:sz w:val="22"/>
          <w:szCs w:val="22"/>
          <w:lang w:eastAsia="en-US"/>
        </w:rPr>
        <w:t xml:space="preserve"> O valor a pagar; e </w:t>
      </w:r>
    </w:p>
    <w:p w14:paraId="59D53531">
      <w:pPr>
        <w:pStyle w:val="39"/>
        <w:numPr>
          <w:ilvl w:val="0"/>
          <w:numId w:val="0"/>
        </w:numPr>
        <w:spacing w:before="0" w:after="0" w:line="360" w:lineRule="auto"/>
        <w:rPr>
          <w:rFonts w:eastAsia="Calibri"/>
          <w:b/>
          <w:bCs/>
          <w:sz w:val="22"/>
          <w:szCs w:val="22"/>
          <w:lang w:eastAsia="en-US"/>
        </w:rPr>
      </w:pPr>
      <w:r>
        <w:rPr>
          <w:b/>
          <w:bCs/>
          <w:sz w:val="22"/>
          <w:szCs w:val="22"/>
          <w:lang w:eastAsia="en-US"/>
        </w:rPr>
        <w:t>8.9.6.</w:t>
      </w:r>
      <w:r>
        <w:rPr>
          <w:sz w:val="22"/>
          <w:szCs w:val="22"/>
          <w:lang w:eastAsia="en-US"/>
        </w:rPr>
        <w:t xml:space="preserve"> Eventual destaque do valor de retenções tributárias cabíveis.</w:t>
      </w:r>
    </w:p>
    <w:p w14:paraId="0B42B5FC">
      <w:pPr>
        <w:pStyle w:val="34"/>
        <w:numPr>
          <w:ilvl w:val="0"/>
          <w:numId w:val="0"/>
        </w:numPr>
        <w:spacing w:before="0" w:after="0" w:line="360" w:lineRule="auto"/>
        <w:rPr>
          <w:sz w:val="22"/>
          <w:szCs w:val="22"/>
          <w:lang w:eastAsia="en-US"/>
        </w:rPr>
      </w:pPr>
      <w:r>
        <w:rPr>
          <w:rFonts w:eastAsia="Calibri"/>
          <w:b/>
          <w:bCs/>
          <w:sz w:val="22"/>
          <w:szCs w:val="22"/>
          <w:lang w:eastAsia="en-US"/>
        </w:rPr>
        <w:t xml:space="preserve">8.10. </w:t>
      </w:r>
      <w:r>
        <w:rPr>
          <w:rFonts w:eastAsia="Calibri"/>
          <w:sz w:val="22"/>
          <w:szCs w:val="22"/>
          <w:lang w:eastAsia="en-US"/>
        </w:rPr>
        <w:t xml:space="preserve">Havendo erro na apresentação da nota fiscal ou instrumento de cobrança equivalente, ou circunstância que impeça a </w:t>
      </w:r>
      <w:r>
        <w:rPr>
          <w:sz w:val="22"/>
          <w:szCs w:val="22"/>
          <w:lang w:eastAsia="en-US"/>
        </w:rPr>
        <w:t xml:space="preserve">liquidação da despesa, esta ficará sobrestada até que a Contratada providencie as medidas saneadoras, reiniciando-se o </w:t>
      </w:r>
    </w:p>
    <w:p w14:paraId="194C47E9">
      <w:pPr>
        <w:pStyle w:val="34"/>
        <w:numPr>
          <w:ilvl w:val="0"/>
          <w:numId w:val="0"/>
        </w:numPr>
        <w:spacing w:before="0" w:after="0" w:line="360" w:lineRule="auto"/>
        <w:rPr>
          <w:sz w:val="22"/>
          <w:szCs w:val="22"/>
          <w:lang w:eastAsia="en-US"/>
        </w:rPr>
      </w:pPr>
      <w:r>
        <w:rPr>
          <w:sz w:val="22"/>
          <w:szCs w:val="22"/>
          <w:lang w:eastAsia="en-US"/>
        </w:rPr>
        <w:t>prazo após a comprovação da regularização da situação, sem ônus ao contratante;</w:t>
      </w:r>
    </w:p>
    <w:p w14:paraId="1E6F7470">
      <w:pPr>
        <w:pStyle w:val="34"/>
        <w:numPr>
          <w:ilvl w:val="0"/>
          <w:numId w:val="0"/>
        </w:numPr>
        <w:spacing w:before="0" w:after="0" w:line="360" w:lineRule="auto"/>
        <w:rPr>
          <w:sz w:val="22"/>
          <w:szCs w:val="22"/>
          <w:lang w:eastAsia="en-US"/>
        </w:rPr>
      </w:pPr>
      <w:r>
        <w:rPr>
          <w:b/>
          <w:bCs/>
          <w:sz w:val="22"/>
          <w:szCs w:val="22"/>
          <w:lang w:eastAsia="en-US"/>
        </w:rPr>
        <w:t>8.11.</w:t>
      </w:r>
      <w:r>
        <w:rPr>
          <w:sz w:val="22"/>
          <w:szCs w:val="22"/>
          <w:lang w:eastAsia="en-US"/>
        </w:rPr>
        <w:t xml:space="preserve"> A nota fiscal ou instrumento de cobrança equivalente deverá ser obrigatoriamente acompanhado da comprovação da regularidade fiscal, mediante consulta aos sítios eletrônicos oficiais ou à documentação mencionada no</w:t>
      </w:r>
      <w:r>
        <w:rPr>
          <w:color w:val="auto"/>
          <w:sz w:val="22"/>
          <w:szCs w:val="22"/>
          <w:lang w:eastAsia="en-US"/>
        </w:rPr>
        <w:t xml:space="preserve"> </w:t>
      </w:r>
      <w:r>
        <w:fldChar w:fldCharType="begin"/>
      </w:r>
      <w:r>
        <w:instrText xml:space="preserve"> HYPERLINK "http://www.planalto.gov.br/ccivil_03/_ato2019-2022/2021/lei/L14133.htm" \l "art68" \h </w:instrText>
      </w:r>
      <w:r>
        <w:fldChar w:fldCharType="separate"/>
      </w:r>
      <w:r>
        <w:rPr>
          <w:rStyle w:val="8"/>
          <w:color w:val="auto"/>
          <w:sz w:val="22"/>
          <w:szCs w:val="22"/>
          <w:u w:val="none"/>
          <w:lang w:eastAsia="en-US"/>
        </w:rPr>
        <w:t xml:space="preserve">art. 68 da Lei nº 14.133/2021.  </w:t>
      </w:r>
      <w:r>
        <w:rPr>
          <w:rStyle w:val="8"/>
          <w:color w:val="auto"/>
          <w:sz w:val="22"/>
          <w:szCs w:val="22"/>
          <w:u w:val="none"/>
          <w:lang w:eastAsia="en-US"/>
        </w:rPr>
        <w:fldChar w:fldCharType="end"/>
      </w:r>
      <w:r>
        <w:rPr>
          <w:sz w:val="22"/>
          <w:szCs w:val="22"/>
          <w:lang w:eastAsia="en-US"/>
        </w:rPr>
        <w:t xml:space="preserve"> </w:t>
      </w:r>
    </w:p>
    <w:p w14:paraId="34D2A868">
      <w:pPr>
        <w:pStyle w:val="34"/>
        <w:numPr>
          <w:ilvl w:val="0"/>
          <w:numId w:val="0"/>
        </w:numPr>
        <w:spacing w:before="0" w:after="0" w:line="360" w:lineRule="auto"/>
        <w:rPr>
          <w:sz w:val="22"/>
          <w:szCs w:val="22"/>
          <w:lang w:eastAsia="en-US"/>
        </w:rPr>
      </w:pPr>
      <w:r>
        <w:rPr>
          <w:b/>
          <w:bCs/>
          <w:sz w:val="22"/>
          <w:szCs w:val="22"/>
          <w:lang w:eastAsia="en-US"/>
        </w:rPr>
        <w:t xml:space="preserve">8.12. </w:t>
      </w:r>
      <w:r>
        <w:rPr>
          <w:sz w:val="22"/>
          <w:szCs w:val="22"/>
          <w:lang w:eastAsia="en-US"/>
        </w:rPr>
        <w:t>Constatando-se a situação de irregularidade da Contratada, será providenciada sua notificação, por escrito, para que, no prazo de 2 (dois) dias úteis, regularize sua situação ou, no mesmo prazo, apresente sua defesa. O prazo poderá ser prorrogado uma vez, por igual período, a critério do contratante.</w:t>
      </w:r>
    </w:p>
    <w:p w14:paraId="10936EB5">
      <w:pPr>
        <w:pStyle w:val="34"/>
        <w:numPr>
          <w:ilvl w:val="0"/>
          <w:numId w:val="0"/>
        </w:numPr>
        <w:spacing w:before="0" w:after="0" w:line="360" w:lineRule="auto"/>
        <w:rPr>
          <w:sz w:val="22"/>
          <w:szCs w:val="22"/>
          <w:lang w:eastAsia="en-US"/>
        </w:rPr>
      </w:pPr>
      <w:r>
        <w:rPr>
          <w:b/>
          <w:bCs/>
          <w:sz w:val="22"/>
          <w:szCs w:val="22"/>
          <w:lang w:eastAsia="en-US"/>
        </w:rPr>
        <w:t xml:space="preserve">8.13. </w:t>
      </w:r>
      <w:r>
        <w:rPr>
          <w:sz w:val="22"/>
          <w:szCs w:val="22"/>
          <w:lang w:eastAsia="en-US"/>
        </w:rPr>
        <w:t xml:space="preserve">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AFE2AD4">
      <w:pPr>
        <w:pStyle w:val="34"/>
        <w:numPr>
          <w:ilvl w:val="0"/>
          <w:numId w:val="0"/>
        </w:numPr>
        <w:spacing w:before="0" w:after="0" w:line="360" w:lineRule="auto"/>
        <w:rPr>
          <w:b/>
          <w:bCs/>
          <w:sz w:val="22"/>
          <w:szCs w:val="22"/>
          <w:lang w:eastAsia="en-US"/>
        </w:rPr>
      </w:pPr>
      <w:r>
        <w:rPr>
          <w:b/>
          <w:bCs/>
          <w:sz w:val="22"/>
          <w:szCs w:val="22"/>
          <w:lang w:eastAsia="en-US"/>
        </w:rPr>
        <w:t>8.14.</w:t>
      </w:r>
      <w:r>
        <w:rPr>
          <w:sz w:val="22"/>
          <w:szCs w:val="22"/>
          <w:lang w:eastAsia="en-US"/>
        </w:rPr>
        <w:t xml:space="preserve"> Persistindo a irregularidade, o contratante deverá adotar as medidas necessárias à rescisão contratual nos autos do processo administrativo correspondente, assegurada à Contratada a ampla defesa. </w:t>
      </w:r>
    </w:p>
    <w:p w14:paraId="50D3A2B9">
      <w:pPr>
        <w:pStyle w:val="34"/>
        <w:numPr>
          <w:ilvl w:val="0"/>
          <w:numId w:val="0"/>
        </w:numPr>
        <w:spacing w:before="0" w:after="0" w:line="360" w:lineRule="auto"/>
        <w:rPr>
          <w:sz w:val="22"/>
          <w:szCs w:val="22"/>
          <w:lang w:eastAsia="en-US"/>
        </w:rPr>
      </w:pPr>
      <w:r>
        <w:rPr>
          <w:b/>
          <w:bCs/>
          <w:sz w:val="22"/>
          <w:szCs w:val="22"/>
          <w:lang w:eastAsia="en-US"/>
        </w:rPr>
        <w:t xml:space="preserve">8.15. </w:t>
      </w:r>
      <w:r>
        <w:rPr>
          <w:sz w:val="22"/>
          <w:szCs w:val="22"/>
          <w:lang w:eastAsia="en-US"/>
        </w:rPr>
        <w:t xml:space="preserve">Havendo a efetiva execução do objeto, os pagamentos serão realizados normalmente, até que se decida pela rescisão do Contrato ou da Ata de Registro de Preços, caso a Contratada não regularize sua situação.  </w:t>
      </w:r>
    </w:p>
    <w:p w14:paraId="62168194">
      <w:pPr>
        <w:pStyle w:val="34"/>
        <w:numPr>
          <w:ilvl w:val="0"/>
          <w:numId w:val="0"/>
        </w:numPr>
        <w:spacing w:before="0" w:after="0" w:line="360" w:lineRule="auto"/>
        <w:rPr>
          <w:sz w:val="22"/>
          <w:szCs w:val="22"/>
        </w:rPr>
      </w:pPr>
      <w:r>
        <w:rPr>
          <w:b/>
          <w:bCs/>
          <w:sz w:val="22"/>
          <w:szCs w:val="22"/>
        </w:rPr>
        <w:t>8.16.</w:t>
      </w:r>
      <w:r>
        <w:rPr>
          <w:sz w:val="22"/>
          <w:szCs w:val="22"/>
        </w:rPr>
        <w:t xml:space="preserve"> O pagamento será efetuado no prazo de até 30 (trinta) dias contados da finalização da liquidação da despesa.</w:t>
      </w:r>
    </w:p>
    <w:p w14:paraId="1475EA9A">
      <w:pPr>
        <w:pStyle w:val="34"/>
        <w:numPr>
          <w:ilvl w:val="0"/>
          <w:numId w:val="0"/>
        </w:numPr>
        <w:spacing w:before="0" w:after="0" w:line="360" w:lineRule="auto"/>
        <w:rPr>
          <w:sz w:val="22"/>
          <w:szCs w:val="22"/>
          <w:lang w:eastAsia="en-US"/>
        </w:rPr>
      </w:pPr>
      <w:r>
        <w:rPr>
          <w:b/>
          <w:bCs/>
          <w:sz w:val="22"/>
          <w:szCs w:val="22"/>
          <w:lang w:eastAsia="en-US"/>
        </w:rPr>
        <w:t>8.17.</w:t>
      </w:r>
      <w:r>
        <w:rPr>
          <w:sz w:val="22"/>
          <w:szCs w:val="22"/>
          <w:lang w:eastAsia="en-US"/>
        </w:rPr>
        <w:t xml:space="preserve"> O pagamento será realizado por meio de ordem bancária, para crédito em banco, agência e conta corrente indicados pela Contratada.</w:t>
      </w:r>
    </w:p>
    <w:p w14:paraId="0AB5D5A3">
      <w:pPr>
        <w:pStyle w:val="34"/>
        <w:numPr>
          <w:ilvl w:val="0"/>
          <w:numId w:val="0"/>
        </w:numPr>
        <w:spacing w:before="0" w:after="0" w:line="360" w:lineRule="auto"/>
        <w:rPr>
          <w:sz w:val="22"/>
          <w:szCs w:val="22"/>
          <w:lang w:eastAsia="en-US"/>
        </w:rPr>
      </w:pPr>
      <w:r>
        <w:rPr>
          <w:b/>
          <w:bCs/>
          <w:sz w:val="22"/>
          <w:szCs w:val="22"/>
          <w:lang w:eastAsia="en-US"/>
        </w:rPr>
        <w:t xml:space="preserve">8.18. </w:t>
      </w:r>
      <w:r>
        <w:rPr>
          <w:sz w:val="22"/>
          <w:szCs w:val="22"/>
          <w:lang w:eastAsia="en-US"/>
        </w:rPr>
        <w:t>Será considerada data do pagamento o dia em que constar como emitida a ordem bancária para pagamento.</w:t>
      </w:r>
    </w:p>
    <w:p w14:paraId="7CD190D3">
      <w:pPr>
        <w:pStyle w:val="34"/>
        <w:numPr>
          <w:ilvl w:val="0"/>
          <w:numId w:val="0"/>
        </w:numPr>
        <w:spacing w:before="0" w:after="0" w:line="360" w:lineRule="auto"/>
        <w:rPr>
          <w:sz w:val="22"/>
          <w:szCs w:val="22"/>
          <w:lang w:eastAsia="en-US"/>
        </w:rPr>
      </w:pPr>
      <w:r>
        <w:rPr>
          <w:b/>
          <w:bCs/>
          <w:sz w:val="22"/>
          <w:szCs w:val="22"/>
          <w:lang w:eastAsia="en-US"/>
        </w:rPr>
        <w:t>8.19.</w:t>
      </w:r>
      <w:r>
        <w:rPr>
          <w:sz w:val="22"/>
          <w:szCs w:val="22"/>
          <w:lang w:eastAsia="en-US"/>
        </w:rPr>
        <w:t xml:space="preserve"> Quando do pagamento, será efetuada a retenção tributária prevista na legislação aplicável.</w:t>
      </w:r>
    </w:p>
    <w:p w14:paraId="0EADDADA">
      <w:pPr>
        <w:pStyle w:val="39"/>
        <w:numPr>
          <w:ilvl w:val="0"/>
          <w:numId w:val="0"/>
        </w:numPr>
        <w:spacing w:before="0" w:after="0" w:line="360" w:lineRule="auto"/>
        <w:rPr>
          <w:sz w:val="22"/>
          <w:szCs w:val="22"/>
          <w:lang w:eastAsia="en-US"/>
        </w:rPr>
      </w:pPr>
      <w:r>
        <w:rPr>
          <w:b/>
          <w:bCs/>
          <w:sz w:val="22"/>
          <w:szCs w:val="22"/>
          <w:lang w:eastAsia="en-US"/>
        </w:rPr>
        <w:t>8.20.</w:t>
      </w:r>
      <w:r>
        <w:rPr>
          <w:sz w:val="22"/>
          <w:szCs w:val="22"/>
          <w:lang w:eastAsia="en-US"/>
        </w:rPr>
        <w:t xml:space="preserve"> Independentemente do percentual de tributo inserido na planilha, quando houver, serão retidos na fonte, quando da realização do pagamento, os percentuais estabelecidos na legislação vigente.</w:t>
      </w:r>
    </w:p>
    <w:p w14:paraId="3EB19BC3">
      <w:pPr>
        <w:pStyle w:val="34"/>
        <w:numPr>
          <w:ilvl w:val="0"/>
          <w:numId w:val="0"/>
        </w:numPr>
        <w:spacing w:before="0" w:after="0" w:line="360" w:lineRule="auto"/>
        <w:rPr>
          <w:sz w:val="22"/>
          <w:szCs w:val="22"/>
          <w:lang w:eastAsia="en-US"/>
        </w:rPr>
      </w:pPr>
      <w:r>
        <w:rPr>
          <w:b/>
          <w:bCs/>
          <w:sz w:val="22"/>
          <w:szCs w:val="22"/>
          <w:lang w:eastAsia="en-US"/>
        </w:rPr>
        <w:t>8.21.</w:t>
      </w:r>
      <w:r>
        <w:rPr>
          <w:sz w:val="22"/>
          <w:szCs w:val="22"/>
          <w:lang w:eastAsia="en-US"/>
        </w:rPr>
        <w:t xml:space="preserve"> A Contratada regularmente optante pelo Simples Nacional, nos termos da </w:t>
      </w:r>
      <w:r>
        <w:fldChar w:fldCharType="begin"/>
      </w:r>
      <w:r>
        <w:instrText xml:space="preserve"> HYPERLINK "https://www.planalto.gov.br/ccivil_03/leis/lcp/lcp123.htm" \h </w:instrText>
      </w:r>
      <w:r>
        <w:fldChar w:fldCharType="separate"/>
      </w:r>
      <w:r>
        <w:rPr>
          <w:rStyle w:val="8"/>
          <w:color w:val="auto"/>
          <w:sz w:val="22"/>
          <w:szCs w:val="22"/>
          <w:u w:val="none"/>
          <w:lang w:eastAsia="en-US"/>
        </w:rPr>
        <w:t>Lei Complementar nº 123/2006</w:t>
      </w:r>
      <w:r>
        <w:rPr>
          <w:rStyle w:val="8"/>
          <w:color w:val="auto"/>
          <w:sz w:val="22"/>
          <w:szCs w:val="22"/>
          <w:u w:val="none"/>
          <w:lang w:eastAsia="en-US"/>
        </w:rPr>
        <w:fldChar w:fldCharType="end"/>
      </w:r>
      <w:r>
        <w:rPr>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EB15504">
      <w:pPr>
        <w:pStyle w:val="34"/>
        <w:numPr>
          <w:ilvl w:val="0"/>
          <w:numId w:val="0"/>
        </w:numPr>
        <w:spacing w:before="0" w:after="0" w:line="360" w:lineRule="auto"/>
        <w:rPr>
          <w:sz w:val="22"/>
          <w:szCs w:val="22"/>
          <w:lang w:eastAsia="en-US"/>
        </w:rPr>
      </w:pPr>
    </w:p>
    <w:p w14:paraId="341757BD">
      <w:pPr>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1260"/>
        </w:tabs>
        <w:spacing w:line="360" w:lineRule="auto"/>
        <w:jc w:val="center"/>
        <w:rPr>
          <w:rFonts w:ascii="Arial" w:hAnsi="Arial" w:cs="Arial"/>
          <w:b/>
          <w:bCs/>
          <w:color w:val="000000"/>
          <w:sz w:val="22"/>
          <w:szCs w:val="22"/>
        </w:rPr>
      </w:pPr>
      <w:r>
        <w:rPr>
          <w:rFonts w:ascii="Arial" w:hAnsi="Arial" w:cs="Arial"/>
          <w:b/>
          <w:sz w:val="22"/>
          <w:szCs w:val="22"/>
        </w:rPr>
        <w:t>9.FORMA E CRITÉRIOS DE SELEÇÃO DO FORNECEDOR:</w:t>
      </w:r>
    </w:p>
    <w:p w14:paraId="7E8DCCF7">
      <w:pPr>
        <w:widowControl/>
        <w:adjustRightInd/>
        <w:spacing w:line="360" w:lineRule="auto"/>
        <w:contextualSpacing/>
        <w:textAlignment w:val="auto"/>
        <w:rPr>
          <w:rFonts w:ascii="Arial" w:hAnsi="Arial" w:cs="Arial"/>
          <w:b/>
          <w:bCs/>
          <w:color w:val="000000"/>
          <w:sz w:val="22"/>
          <w:szCs w:val="22"/>
        </w:rPr>
      </w:pPr>
    </w:p>
    <w:p w14:paraId="20FD21BC">
      <w:pPr>
        <w:widowControl/>
        <w:adjustRightInd/>
        <w:spacing w:line="360" w:lineRule="auto"/>
        <w:contextualSpacing/>
        <w:textAlignment w:val="auto"/>
        <w:rPr>
          <w:rFonts w:ascii="Arial" w:hAnsi="Arial" w:cs="Arial"/>
          <w:color w:val="000000"/>
          <w:sz w:val="22"/>
          <w:szCs w:val="22"/>
        </w:rPr>
      </w:pPr>
      <w:r>
        <w:rPr>
          <w:rFonts w:ascii="Arial" w:hAnsi="Arial" w:cs="Arial"/>
          <w:b/>
          <w:bCs/>
          <w:color w:val="000000"/>
          <w:sz w:val="22"/>
          <w:szCs w:val="22"/>
        </w:rPr>
        <w:t>9.1</w:t>
      </w:r>
      <w:r>
        <w:rPr>
          <w:rFonts w:ascii="Arial" w:hAnsi="Arial" w:cs="Arial"/>
          <w:color w:val="000000"/>
          <w:sz w:val="22"/>
          <w:szCs w:val="22"/>
        </w:rPr>
        <w:t>. A referida licitação trata - se de bens comuns e será realizado de forma eletrônica no critério por menor preço, de acordo com a Lei n° 14.133/2021, Art. 6. no Inciso XIII, XLI.</w:t>
      </w:r>
    </w:p>
    <w:p w14:paraId="2A03E278">
      <w:pPr>
        <w:widowControl/>
        <w:adjustRightInd/>
        <w:spacing w:line="360" w:lineRule="auto"/>
        <w:contextualSpacing/>
        <w:textAlignment w:val="auto"/>
        <w:rPr>
          <w:rFonts w:ascii="Arial" w:hAnsi="Arial" w:cs="Arial"/>
          <w:color w:val="000000"/>
          <w:sz w:val="22"/>
          <w:szCs w:val="22"/>
        </w:rPr>
      </w:pPr>
      <w:r>
        <w:rPr>
          <w:rFonts w:ascii="Arial" w:hAnsi="Arial" w:cs="Arial"/>
          <w:b/>
          <w:bCs/>
          <w:color w:val="000000"/>
          <w:sz w:val="22"/>
          <w:szCs w:val="22"/>
        </w:rPr>
        <w:t>9.2</w:t>
      </w:r>
      <w:r>
        <w:rPr>
          <w:rFonts w:ascii="Arial" w:hAnsi="Arial" w:cs="Arial"/>
          <w:color w:val="000000"/>
          <w:sz w:val="22"/>
          <w:szCs w:val="22"/>
        </w:rPr>
        <w:t xml:space="preserve">. E será realizada preferencialmente sob a forma eletrônica conforme Art. 17  do § 2º da Lei n° 14.133/2021. </w:t>
      </w:r>
    </w:p>
    <w:p w14:paraId="7213DFC5">
      <w:pPr>
        <w:widowControl/>
        <w:adjustRightInd/>
        <w:spacing w:line="360" w:lineRule="auto"/>
        <w:contextualSpacing/>
        <w:textAlignment w:val="auto"/>
        <w:rPr>
          <w:rFonts w:ascii="Arial" w:hAnsi="Arial" w:cs="Arial"/>
          <w:color w:val="000000"/>
          <w:sz w:val="22"/>
          <w:szCs w:val="22"/>
        </w:rPr>
      </w:pPr>
      <w:r>
        <w:rPr>
          <w:rFonts w:ascii="Arial" w:hAnsi="Arial" w:cs="Arial"/>
          <w:b/>
          <w:bCs/>
          <w:color w:val="000000"/>
          <w:sz w:val="22"/>
          <w:szCs w:val="22"/>
        </w:rPr>
        <w:t>9.3</w:t>
      </w:r>
      <w:r>
        <w:rPr>
          <w:rFonts w:ascii="Arial" w:hAnsi="Arial" w:cs="Arial"/>
          <w:color w:val="000000"/>
          <w:sz w:val="22"/>
          <w:szCs w:val="22"/>
        </w:rPr>
        <w:t xml:space="preserve">. A modalidade de licitação está regida no Art. 28, Inciso I, e trata-se da modalidade de pregão. </w:t>
      </w:r>
    </w:p>
    <w:p w14:paraId="7F7C8206">
      <w:pPr>
        <w:widowControl/>
        <w:adjustRightInd/>
        <w:spacing w:line="360" w:lineRule="auto"/>
        <w:contextualSpacing/>
        <w:textAlignment w:val="auto"/>
        <w:rPr>
          <w:rFonts w:ascii="Arial" w:hAnsi="Arial" w:cs="Arial"/>
          <w:sz w:val="22"/>
          <w:szCs w:val="22"/>
        </w:rPr>
      </w:pPr>
      <w:r>
        <w:rPr>
          <w:rFonts w:ascii="Arial" w:hAnsi="Arial" w:cs="Arial"/>
          <w:b/>
          <w:bCs/>
          <w:sz w:val="22"/>
          <w:szCs w:val="22"/>
        </w:rPr>
        <w:t>9.4.</w:t>
      </w:r>
      <w:r>
        <w:rPr>
          <w:rFonts w:ascii="Arial" w:hAnsi="Arial" w:cs="Arial"/>
          <w:sz w:val="22"/>
          <w:szCs w:val="22"/>
        </w:rPr>
        <w:t xml:space="preserve"> Para fins de habilitação, deverá o licitante comprovar os seguintes requisitos:</w:t>
      </w:r>
    </w:p>
    <w:p w14:paraId="618510F6">
      <w:pPr>
        <w:widowControl/>
        <w:adjustRightInd/>
        <w:spacing w:line="360" w:lineRule="auto"/>
        <w:contextualSpacing/>
        <w:textAlignment w:val="auto"/>
        <w:rPr>
          <w:rFonts w:ascii="Arial" w:hAnsi="Arial" w:cs="Arial"/>
          <w:color w:val="000000"/>
          <w:sz w:val="22"/>
          <w:szCs w:val="22"/>
        </w:rPr>
      </w:pPr>
    </w:p>
    <w:p w14:paraId="66950AF3">
      <w:pPr>
        <w:widowControl/>
        <w:adjustRightInd/>
        <w:spacing w:line="360" w:lineRule="auto"/>
        <w:contextualSpacing/>
        <w:textAlignment w:val="auto"/>
        <w:rPr>
          <w:rFonts w:ascii="Arial" w:hAnsi="Arial" w:cs="Arial"/>
          <w:b/>
          <w:bCs/>
          <w:color w:val="000000"/>
          <w:sz w:val="22"/>
          <w:szCs w:val="22"/>
        </w:rPr>
      </w:pPr>
      <w:r>
        <w:rPr>
          <w:rFonts w:ascii="Arial" w:hAnsi="Arial" w:cs="Arial"/>
          <w:b/>
          <w:bCs/>
          <w:color w:val="000000"/>
          <w:sz w:val="22"/>
          <w:szCs w:val="22"/>
        </w:rPr>
        <w:t>9.4.1Habilitação jurídica:</w:t>
      </w:r>
    </w:p>
    <w:p w14:paraId="7ED20655">
      <w:pPr>
        <w:widowControl/>
        <w:adjustRightInd/>
        <w:spacing w:line="360" w:lineRule="auto"/>
        <w:contextualSpacing/>
        <w:textAlignment w:val="auto"/>
        <w:rPr>
          <w:rFonts w:ascii="Arial" w:hAnsi="Arial" w:cs="Arial"/>
          <w:color w:val="000000"/>
          <w:sz w:val="22"/>
          <w:szCs w:val="22"/>
        </w:rPr>
      </w:pPr>
      <w:r>
        <w:rPr>
          <w:rFonts w:ascii="Arial" w:hAnsi="Arial" w:cs="Arial"/>
          <w:b/>
          <w:bCs/>
          <w:color w:val="000000"/>
          <w:sz w:val="22"/>
          <w:szCs w:val="22"/>
        </w:rPr>
        <w:t>9.4.1.1.</w:t>
      </w:r>
      <w:r>
        <w:rPr>
          <w:rFonts w:ascii="Arial" w:hAnsi="Arial" w:cs="Arial"/>
          <w:color w:val="000000"/>
          <w:sz w:val="22"/>
          <w:szCs w:val="22"/>
        </w:rPr>
        <w:t xml:space="preserve"> Empresário individual: inscrição no Registro Público de Empresas Mercantis, a cargo da Junta Comercial da respectiva sede; </w:t>
      </w:r>
    </w:p>
    <w:p w14:paraId="5A49E6F5">
      <w:pPr>
        <w:widowControl/>
        <w:adjustRightInd/>
        <w:spacing w:line="360" w:lineRule="auto"/>
        <w:contextualSpacing/>
        <w:textAlignment w:val="auto"/>
        <w:rPr>
          <w:rFonts w:ascii="Arial" w:hAnsi="Arial" w:cs="Arial"/>
          <w:color w:val="000000"/>
          <w:sz w:val="22"/>
          <w:szCs w:val="22"/>
        </w:rPr>
      </w:pPr>
      <w:r>
        <w:rPr>
          <w:rFonts w:ascii="Arial" w:hAnsi="Arial" w:cs="Arial"/>
          <w:b/>
          <w:bCs/>
          <w:color w:val="000000"/>
          <w:sz w:val="22"/>
          <w:szCs w:val="22"/>
        </w:rPr>
        <w:t xml:space="preserve">9.4.1.2. </w:t>
      </w:r>
      <w:r>
        <w:rPr>
          <w:rFonts w:ascii="Arial" w:hAnsi="Arial" w:cs="Arial"/>
          <w:color w:val="000000"/>
          <w:sz w:val="22"/>
          <w:szCs w:val="22"/>
        </w:rPr>
        <w:t xml:space="preserve">Microempreendedor Individual - MEI: Certificado da Condição de Microempreendedor Individual - CCMEI, cuja aceitação ficará condicionada à verificação da autenticidade no sítio </w:t>
      </w:r>
      <w:r>
        <w:fldChar w:fldCharType="begin"/>
      </w:r>
      <w:r>
        <w:instrText xml:space="preserve"> HYPERLINK "https://www.gov.br/empresas-e-negocios/pt-br/empreendedor;" </w:instrText>
      </w:r>
      <w:r>
        <w:fldChar w:fldCharType="separate"/>
      </w:r>
      <w:r>
        <w:rPr>
          <w:rStyle w:val="8"/>
          <w:rFonts w:ascii="Arial" w:hAnsi="Arial" w:cs="Arial"/>
          <w:color w:val="000000"/>
          <w:sz w:val="22"/>
          <w:szCs w:val="22"/>
        </w:rPr>
        <w:t>https://www.gov.br/empresas-e-negocios/pt-br/empreendedor;</w:t>
      </w:r>
      <w:r>
        <w:rPr>
          <w:rStyle w:val="8"/>
          <w:rFonts w:ascii="Arial" w:hAnsi="Arial" w:cs="Arial"/>
          <w:color w:val="000000"/>
          <w:sz w:val="22"/>
          <w:szCs w:val="22"/>
        </w:rPr>
        <w:fldChar w:fldCharType="end"/>
      </w:r>
    </w:p>
    <w:p w14:paraId="602E3D69">
      <w:pPr>
        <w:widowControl/>
        <w:adjustRightInd/>
        <w:spacing w:line="360" w:lineRule="auto"/>
        <w:contextualSpacing/>
        <w:textAlignment w:val="auto"/>
        <w:rPr>
          <w:rFonts w:ascii="Arial" w:hAnsi="Arial" w:cs="Arial"/>
          <w:color w:val="000000"/>
          <w:sz w:val="22"/>
          <w:szCs w:val="22"/>
        </w:rPr>
      </w:pPr>
      <w:r>
        <w:rPr>
          <w:rFonts w:ascii="Arial" w:hAnsi="Arial" w:cs="Arial"/>
          <w:b/>
          <w:bCs/>
          <w:color w:val="000000"/>
          <w:sz w:val="22"/>
          <w:szCs w:val="22"/>
        </w:rPr>
        <w:t xml:space="preserve">9.4.1.3. </w:t>
      </w:r>
      <w:r>
        <w:rPr>
          <w:rFonts w:ascii="Arial" w:hAnsi="Arial" w:cs="Arial"/>
          <w:color w:val="000000"/>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8F6E160">
      <w:pPr>
        <w:widowControl/>
        <w:adjustRightInd/>
        <w:spacing w:line="360" w:lineRule="auto"/>
        <w:contextualSpacing/>
        <w:textAlignment w:val="auto"/>
        <w:rPr>
          <w:rFonts w:ascii="Arial" w:hAnsi="Arial" w:cs="Arial"/>
          <w:color w:val="000000"/>
          <w:sz w:val="22"/>
          <w:szCs w:val="22"/>
        </w:rPr>
      </w:pPr>
      <w:r>
        <w:rPr>
          <w:rFonts w:ascii="Arial" w:hAnsi="Arial" w:cs="Arial"/>
          <w:b/>
          <w:bCs/>
          <w:color w:val="000000"/>
          <w:sz w:val="22"/>
          <w:szCs w:val="22"/>
        </w:rPr>
        <w:t xml:space="preserve">9.4.1.4. </w:t>
      </w:r>
      <w:r>
        <w:rPr>
          <w:rFonts w:ascii="Arial" w:hAnsi="Arial" w:cs="Arial"/>
          <w:color w:val="000000"/>
          <w:sz w:val="22"/>
          <w:szCs w:val="22"/>
        </w:rPr>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230FFDB">
      <w:pPr>
        <w:widowControl/>
        <w:adjustRightInd/>
        <w:spacing w:line="360" w:lineRule="auto"/>
        <w:contextualSpacing/>
        <w:textAlignment w:val="auto"/>
        <w:rPr>
          <w:rFonts w:ascii="Arial" w:hAnsi="Arial" w:cs="Arial"/>
          <w:color w:val="000000"/>
          <w:sz w:val="22"/>
          <w:szCs w:val="22"/>
        </w:rPr>
      </w:pPr>
      <w:r>
        <w:rPr>
          <w:rFonts w:ascii="Arial" w:hAnsi="Arial" w:cs="Arial"/>
          <w:b/>
          <w:bCs/>
          <w:color w:val="000000"/>
          <w:sz w:val="22"/>
          <w:szCs w:val="22"/>
        </w:rPr>
        <w:t xml:space="preserve">9.4.1.5. </w:t>
      </w:r>
      <w:r>
        <w:rPr>
          <w:rFonts w:ascii="Arial" w:hAnsi="Arial" w:cs="Arial"/>
          <w:color w:val="000000"/>
          <w:sz w:val="22"/>
          <w:szCs w:val="22"/>
        </w:rPr>
        <w:t>Sociedade simples: inscrição do ato constitutivo no Registro Civil de Pessoas Jurídicas do local de sua sede, acompanhada de documento comprobatório de seus administradores;</w:t>
      </w:r>
    </w:p>
    <w:p w14:paraId="0CD4688D">
      <w:pPr>
        <w:widowControl/>
        <w:adjustRightInd/>
        <w:spacing w:line="360" w:lineRule="auto"/>
        <w:contextualSpacing/>
        <w:textAlignment w:val="auto"/>
        <w:rPr>
          <w:rFonts w:ascii="Arial" w:hAnsi="Arial" w:cs="Arial"/>
          <w:color w:val="000000"/>
          <w:sz w:val="22"/>
          <w:szCs w:val="22"/>
        </w:rPr>
      </w:pPr>
      <w:r>
        <w:rPr>
          <w:rFonts w:ascii="Arial" w:hAnsi="Arial" w:cs="Arial"/>
          <w:b/>
          <w:bCs/>
          <w:color w:val="000000"/>
          <w:sz w:val="22"/>
          <w:szCs w:val="22"/>
        </w:rPr>
        <w:t xml:space="preserve">9.4.1.6. </w:t>
      </w:r>
      <w:r>
        <w:rPr>
          <w:rFonts w:ascii="Arial" w:hAnsi="Arial" w:cs="Arial"/>
          <w:color w:val="000000"/>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BBBA397">
      <w:pPr>
        <w:widowControl/>
        <w:adjustRightInd/>
        <w:spacing w:line="360" w:lineRule="auto"/>
        <w:contextualSpacing/>
        <w:textAlignment w:val="auto"/>
        <w:rPr>
          <w:rFonts w:ascii="Arial" w:hAnsi="Arial" w:cs="Arial"/>
          <w:color w:val="000000"/>
          <w:sz w:val="22"/>
          <w:szCs w:val="22"/>
        </w:rPr>
      </w:pPr>
      <w:r>
        <w:rPr>
          <w:rFonts w:ascii="Arial" w:hAnsi="Arial" w:cs="Arial"/>
          <w:b/>
          <w:bCs/>
          <w:color w:val="000000"/>
          <w:sz w:val="22"/>
          <w:szCs w:val="22"/>
        </w:rPr>
        <w:t>9.4.1.7</w:t>
      </w:r>
      <w:r>
        <w:rPr>
          <w:rFonts w:ascii="Arial" w:hAnsi="Arial" w:cs="Arial"/>
          <w:color w:val="000000"/>
          <w:sz w:val="22"/>
          <w:szCs w:val="22"/>
        </w:rPr>
        <w:t xml:space="preserve"> No caso do item 9.2.3.,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787FC4CC">
      <w:pPr>
        <w:widowControl/>
        <w:adjustRightInd/>
        <w:spacing w:line="360" w:lineRule="auto"/>
        <w:contextualSpacing/>
        <w:textAlignment w:val="auto"/>
        <w:rPr>
          <w:rFonts w:ascii="Arial" w:hAnsi="Arial" w:cs="Arial"/>
          <w:color w:val="000000"/>
          <w:sz w:val="22"/>
          <w:szCs w:val="22"/>
        </w:rPr>
      </w:pPr>
      <w:r>
        <w:rPr>
          <w:rFonts w:ascii="Arial" w:hAnsi="Arial" w:cs="Arial"/>
          <w:b/>
          <w:bCs/>
          <w:color w:val="000000"/>
          <w:sz w:val="22"/>
          <w:szCs w:val="22"/>
        </w:rPr>
        <w:t xml:space="preserve">9.4.1.8. </w:t>
      </w:r>
      <w:r>
        <w:rPr>
          <w:rFonts w:ascii="Arial" w:hAnsi="Arial" w:cs="Arial"/>
          <w:color w:val="000000"/>
          <w:sz w:val="22"/>
          <w:szCs w:val="22"/>
        </w:rPr>
        <w:t xml:space="preserve">Quaisquer atos constitutivos elencados acima deverão ser apresentados juntamente com a Consulta ao Quadro de Sócios e Administradores – QSA; </w:t>
      </w:r>
    </w:p>
    <w:p w14:paraId="58ADCA5B">
      <w:pPr>
        <w:widowControl/>
        <w:adjustRightInd/>
        <w:spacing w:line="360" w:lineRule="auto"/>
        <w:contextualSpacing/>
        <w:textAlignment w:val="auto"/>
        <w:rPr>
          <w:rFonts w:ascii="Arial" w:hAnsi="Arial" w:cs="Arial"/>
          <w:color w:val="000000"/>
          <w:sz w:val="22"/>
          <w:szCs w:val="22"/>
        </w:rPr>
      </w:pPr>
      <w:r>
        <w:rPr>
          <w:rFonts w:ascii="Arial" w:hAnsi="Arial" w:cs="Arial"/>
          <w:b/>
          <w:bCs/>
          <w:color w:val="000000"/>
          <w:sz w:val="22"/>
          <w:szCs w:val="22"/>
        </w:rPr>
        <w:t xml:space="preserve">9.4.1.9. </w:t>
      </w:r>
      <w:r>
        <w:rPr>
          <w:rFonts w:ascii="Arial" w:hAnsi="Arial" w:cs="Arial"/>
          <w:color w:val="000000"/>
          <w:sz w:val="22"/>
          <w:szCs w:val="22"/>
        </w:rPr>
        <w:t>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5EA71104">
      <w:pPr>
        <w:widowControl/>
        <w:adjustRightInd/>
        <w:spacing w:line="360" w:lineRule="auto"/>
        <w:contextualSpacing/>
        <w:textAlignment w:val="auto"/>
        <w:rPr>
          <w:rFonts w:ascii="Arial" w:hAnsi="Arial" w:cs="Arial"/>
          <w:b/>
          <w:bCs/>
          <w:sz w:val="22"/>
          <w:szCs w:val="22"/>
        </w:rPr>
      </w:pPr>
    </w:p>
    <w:p w14:paraId="1E38F5D4">
      <w:pPr>
        <w:widowControl/>
        <w:adjustRightInd/>
        <w:spacing w:line="360" w:lineRule="auto"/>
        <w:contextualSpacing/>
        <w:textAlignment w:val="auto"/>
        <w:rPr>
          <w:rFonts w:ascii="Arial" w:hAnsi="Arial" w:cs="Arial"/>
          <w:b/>
          <w:bCs/>
          <w:sz w:val="22"/>
          <w:szCs w:val="22"/>
        </w:rPr>
      </w:pPr>
      <w:r>
        <w:rPr>
          <w:rFonts w:ascii="Arial" w:hAnsi="Arial" w:cs="Arial"/>
          <w:b/>
          <w:bCs/>
          <w:sz w:val="22"/>
          <w:szCs w:val="22"/>
        </w:rPr>
        <w:t>9.5. Regularidade fiscal, social e trabalhista:</w:t>
      </w:r>
    </w:p>
    <w:p w14:paraId="0A3B87A8">
      <w:pPr>
        <w:widowControl/>
        <w:adjustRightInd/>
        <w:spacing w:line="360" w:lineRule="auto"/>
        <w:contextualSpacing/>
        <w:textAlignment w:val="auto"/>
        <w:rPr>
          <w:rFonts w:ascii="Arial" w:hAnsi="Arial" w:cs="Arial"/>
          <w:sz w:val="22"/>
          <w:szCs w:val="22"/>
        </w:rPr>
      </w:pPr>
      <w:r>
        <w:rPr>
          <w:rFonts w:ascii="Arial" w:hAnsi="Arial" w:cs="Arial"/>
          <w:b/>
          <w:bCs/>
          <w:sz w:val="22"/>
          <w:szCs w:val="22"/>
        </w:rPr>
        <w:t xml:space="preserve">9.5.1. </w:t>
      </w:r>
      <w:r>
        <w:rPr>
          <w:rFonts w:ascii="Arial" w:hAnsi="Arial" w:cs="Arial"/>
          <w:sz w:val="22"/>
          <w:szCs w:val="22"/>
        </w:rPr>
        <w:t>Inscrição no Cadastro Nacional de Pessoas Jurídicas (CNPJ);</w:t>
      </w:r>
    </w:p>
    <w:p w14:paraId="28CFF001">
      <w:pPr>
        <w:widowControl/>
        <w:adjustRightInd/>
        <w:spacing w:line="360" w:lineRule="auto"/>
        <w:contextualSpacing/>
        <w:textAlignment w:val="auto"/>
        <w:rPr>
          <w:rFonts w:ascii="Arial" w:hAnsi="Arial" w:cs="Arial"/>
          <w:sz w:val="22"/>
          <w:szCs w:val="22"/>
        </w:rPr>
      </w:pPr>
      <w:r>
        <w:rPr>
          <w:rFonts w:ascii="Arial" w:hAnsi="Arial" w:cs="Arial"/>
          <w:b/>
          <w:bCs/>
          <w:sz w:val="22"/>
          <w:szCs w:val="22"/>
        </w:rPr>
        <w:t xml:space="preserve">9.5.2. </w:t>
      </w:r>
      <w:r>
        <w:rPr>
          <w:rFonts w:ascii="Arial" w:hAnsi="Arial" w:cs="Arial"/>
          <w:sz w:val="22"/>
          <w:szCs w:val="22"/>
        </w:rPr>
        <w:t>Inscrição no cadastro de contribuintes estadual ou municipal, relativo ao domicilio ou sede do licitante, pertinente ao seu ramo de atividade e compatível com o objeto contratual;</w:t>
      </w:r>
    </w:p>
    <w:p w14:paraId="4C372423">
      <w:pPr>
        <w:widowControl/>
        <w:adjustRightInd/>
        <w:spacing w:line="360" w:lineRule="auto"/>
        <w:contextualSpacing/>
        <w:textAlignment w:val="auto"/>
        <w:rPr>
          <w:rFonts w:ascii="Arial" w:hAnsi="Arial" w:cs="Arial"/>
          <w:sz w:val="22"/>
          <w:szCs w:val="22"/>
        </w:rPr>
      </w:pPr>
      <w:r>
        <w:rPr>
          <w:rFonts w:ascii="Arial" w:hAnsi="Arial" w:cs="Arial"/>
          <w:b/>
          <w:bCs/>
          <w:sz w:val="22"/>
          <w:szCs w:val="22"/>
        </w:rPr>
        <w:t>9.5.3.</w:t>
      </w:r>
      <w:r>
        <w:rPr>
          <w:rFonts w:ascii="Arial" w:hAnsi="Arial" w:cs="Arial"/>
          <w:sz w:val="22"/>
          <w:szCs w:val="22"/>
        </w:rPr>
        <w:t xml:space="preserve"> Regularidade perante a Fazenda Federal (incluindo Seguridade Social), Estadual e Municipal do domicílio ou sede do licitante, ou outra equivalente, na forma da lei;</w:t>
      </w:r>
    </w:p>
    <w:p w14:paraId="7A724161">
      <w:pPr>
        <w:widowControl/>
        <w:adjustRightInd/>
        <w:spacing w:line="360" w:lineRule="auto"/>
        <w:contextualSpacing/>
        <w:textAlignment w:val="auto"/>
        <w:rPr>
          <w:rFonts w:ascii="Arial" w:hAnsi="Arial" w:cs="Arial"/>
          <w:sz w:val="22"/>
          <w:szCs w:val="22"/>
        </w:rPr>
      </w:pPr>
      <w:r>
        <w:rPr>
          <w:rFonts w:ascii="Arial" w:hAnsi="Arial" w:cs="Arial"/>
          <w:b/>
          <w:bCs/>
          <w:sz w:val="22"/>
          <w:szCs w:val="22"/>
        </w:rPr>
        <w:t xml:space="preserve">9.5.4. </w:t>
      </w:r>
      <w:r>
        <w:rPr>
          <w:rFonts w:ascii="Arial" w:hAnsi="Arial" w:cs="Arial"/>
          <w:sz w:val="22"/>
          <w:szCs w:val="22"/>
        </w:rPr>
        <w:t>Regularidade relativa ao Fundo de Garantia por Tempo de Serviço (FGTS), que demonstre cumprimento dos encargos sociais instituídos por lei;</w:t>
      </w:r>
    </w:p>
    <w:p w14:paraId="0C43314F">
      <w:pPr>
        <w:widowControl/>
        <w:adjustRightInd/>
        <w:spacing w:line="360" w:lineRule="auto"/>
        <w:contextualSpacing/>
        <w:textAlignment w:val="auto"/>
        <w:rPr>
          <w:rFonts w:ascii="Arial" w:hAnsi="Arial" w:cs="Arial"/>
          <w:sz w:val="22"/>
          <w:szCs w:val="22"/>
        </w:rPr>
      </w:pPr>
      <w:r>
        <w:rPr>
          <w:rFonts w:ascii="Arial" w:hAnsi="Arial" w:cs="Arial"/>
          <w:b/>
          <w:bCs/>
          <w:sz w:val="22"/>
          <w:szCs w:val="22"/>
        </w:rPr>
        <w:t xml:space="preserve">9.5.5. </w:t>
      </w:r>
      <w:r>
        <w:rPr>
          <w:rFonts w:ascii="Arial" w:hAnsi="Arial" w:cs="Arial"/>
          <w:sz w:val="22"/>
          <w:szCs w:val="22"/>
        </w:rPr>
        <w:t xml:space="preserve">Regularidade perante a Justiça do Trabalho, mediante a apresentação de Certidão Negativa de Débitos Trabalhistas (CNDT); </w:t>
      </w:r>
    </w:p>
    <w:p w14:paraId="148ECE90">
      <w:pPr>
        <w:widowControl/>
        <w:adjustRightInd/>
        <w:spacing w:line="360" w:lineRule="auto"/>
        <w:contextualSpacing/>
        <w:textAlignment w:val="auto"/>
        <w:rPr>
          <w:rFonts w:ascii="Arial" w:hAnsi="Arial" w:cs="Arial"/>
          <w:b/>
          <w:bCs/>
          <w:sz w:val="22"/>
          <w:szCs w:val="22"/>
        </w:rPr>
      </w:pPr>
      <w:r>
        <w:rPr>
          <w:rFonts w:ascii="Arial" w:hAnsi="Arial" w:cs="Arial"/>
          <w:b/>
          <w:bCs/>
          <w:sz w:val="22"/>
          <w:szCs w:val="22"/>
        </w:rPr>
        <w:t xml:space="preserve">9.5.6. </w:t>
      </w:r>
      <w:r>
        <w:rPr>
          <w:rFonts w:ascii="Arial" w:hAnsi="Arial" w:cs="Arial"/>
          <w:sz w:val="22"/>
          <w:szCs w:val="22"/>
        </w:rPr>
        <w:t>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632022BE">
      <w:pPr>
        <w:widowControl/>
        <w:adjustRightInd/>
        <w:spacing w:line="360" w:lineRule="auto"/>
        <w:contextualSpacing/>
        <w:textAlignment w:val="auto"/>
        <w:rPr>
          <w:rFonts w:ascii="Arial" w:hAnsi="Arial" w:cs="Arial"/>
          <w:b/>
          <w:bCs/>
          <w:sz w:val="22"/>
          <w:szCs w:val="22"/>
        </w:rPr>
      </w:pPr>
      <w:r>
        <w:rPr>
          <w:rFonts w:ascii="Arial" w:hAnsi="Arial" w:cs="Arial"/>
          <w:b/>
          <w:bCs/>
          <w:sz w:val="22"/>
          <w:szCs w:val="22"/>
        </w:rPr>
        <w:t>9.6. Qualificação Econômico-Financeira:</w:t>
      </w:r>
    </w:p>
    <w:p w14:paraId="62E1B135">
      <w:pPr>
        <w:tabs>
          <w:tab w:val="left" w:pos="480"/>
        </w:tabs>
        <w:adjustRightInd/>
        <w:spacing w:line="360" w:lineRule="auto"/>
        <w:contextualSpacing/>
        <w:textAlignment w:val="auto"/>
        <w:rPr>
          <w:rFonts w:ascii="Arial" w:hAnsi="Arial" w:cs="Arial"/>
          <w:color w:val="000000"/>
          <w:sz w:val="22"/>
          <w:szCs w:val="22"/>
        </w:rPr>
      </w:pPr>
      <w:r>
        <w:rPr>
          <w:rFonts w:ascii="Arial" w:hAnsi="Arial" w:cs="Arial"/>
          <w:b/>
          <w:bCs/>
          <w:color w:val="000000"/>
          <w:sz w:val="22"/>
          <w:szCs w:val="22"/>
        </w:rPr>
        <w:t>9.6.1</w:t>
      </w:r>
      <w:r>
        <w:rPr>
          <w:rFonts w:ascii="Arial" w:hAnsi="Arial" w:cs="Arial"/>
          <w:color w:val="000000"/>
          <w:sz w:val="22"/>
          <w:szCs w:val="22"/>
        </w:rPr>
        <w:t>. Balanço patrimonial, demonstração de resultado de exercício e demais demonstrações contábeis dos 2 (dois) últimos exercícios sociais, exigidos na forma da lei;</w:t>
      </w:r>
    </w:p>
    <w:p w14:paraId="334FE7EF">
      <w:pPr>
        <w:numPr>
          <w:ilvl w:val="0"/>
          <w:numId w:val="6"/>
        </w:numPr>
        <w:tabs>
          <w:tab w:val="left" w:pos="480"/>
        </w:tabs>
        <w:adjustRightInd/>
        <w:spacing w:line="360" w:lineRule="auto"/>
        <w:contextualSpacing/>
        <w:textAlignment w:val="auto"/>
        <w:rPr>
          <w:rFonts w:ascii="Arial" w:hAnsi="Arial" w:cs="Arial"/>
          <w:color w:val="000000"/>
          <w:sz w:val="22"/>
          <w:szCs w:val="22"/>
        </w:rPr>
      </w:pPr>
      <w:r>
        <w:rPr>
          <w:rFonts w:ascii="Arial" w:hAnsi="Arial" w:cs="Arial"/>
          <w:color w:val="000000"/>
          <w:sz w:val="22"/>
          <w:szCs w:val="22"/>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5B7B6D0D">
      <w:pPr>
        <w:widowControl/>
        <w:adjustRightInd/>
        <w:spacing w:line="360" w:lineRule="auto"/>
        <w:contextualSpacing/>
        <w:textAlignment w:val="auto"/>
        <w:rPr>
          <w:rFonts w:ascii="Arial" w:hAnsi="Arial" w:cs="Arial"/>
          <w:color w:val="000000"/>
          <w:sz w:val="22"/>
          <w:szCs w:val="22"/>
        </w:rPr>
      </w:pPr>
      <w:r>
        <w:rPr>
          <w:rFonts w:ascii="Arial" w:hAnsi="Arial" w:cs="Arial"/>
          <w:b/>
          <w:bCs/>
          <w:color w:val="000000"/>
          <w:sz w:val="22"/>
          <w:szCs w:val="22"/>
        </w:rPr>
        <w:t xml:space="preserve">Liquidez Geral (LG) =   </w:t>
      </w:r>
      <w:r>
        <w:rPr>
          <w:rFonts w:ascii="Arial" w:hAnsi="Arial" w:cs="Arial"/>
          <w:i/>
          <w:iCs/>
          <w:color w:val="000000"/>
          <w:sz w:val="22"/>
          <w:szCs w:val="22"/>
        </w:rPr>
        <w:t>Ativo Circulante + Realizavél a Longo Prazo</w:t>
      </w:r>
    </w:p>
    <w:p w14:paraId="29136FAE">
      <w:pPr>
        <w:adjustRightInd/>
        <w:spacing w:line="360" w:lineRule="auto"/>
        <w:contextualSpacing/>
        <w:jc w:val="center"/>
        <w:textAlignment w:val="auto"/>
        <w:rPr>
          <w:rFonts w:ascii="Arial" w:hAnsi="Arial" w:cs="Arial"/>
          <w:i/>
          <w:iCs/>
          <w:color w:val="000000"/>
          <w:sz w:val="22"/>
          <w:szCs w:val="22"/>
        </w:rPr>
      </w:pPr>
      <w:r>
        <w:rPr>
          <w:rFonts w:ascii="Arial" w:hAnsi="Arial" w:cs="Arial"/>
          <w:i/>
          <w:iCs/>
          <w:color w:val="000000"/>
          <w:sz w:val="22"/>
          <w:szCs w:val="22"/>
        </w:rPr>
        <w:t>___________________________________</w:t>
      </w:r>
    </w:p>
    <w:p w14:paraId="69B02586">
      <w:pPr>
        <w:adjustRightInd/>
        <w:spacing w:line="360" w:lineRule="auto"/>
        <w:contextualSpacing/>
        <w:jc w:val="center"/>
        <w:textAlignment w:val="auto"/>
        <w:rPr>
          <w:rFonts w:ascii="Arial" w:hAnsi="Arial" w:cs="Arial"/>
          <w:i/>
          <w:iCs/>
          <w:color w:val="000000"/>
          <w:sz w:val="22"/>
          <w:szCs w:val="22"/>
        </w:rPr>
      </w:pPr>
      <w:r>
        <w:rPr>
          <w:rFonts w:ascii="Arial" w:hAnsi="Arial" w:cs="Arial"/>
          <w:i/>
          <w:iCs/>
          <w:color w:val="000000"/>
          <w:sz w:val="22"/>
          <w:szCs w:val="22"/>
        </w:rPr>
        <w:t>Passivo Circulante + Exigível a Longo Prazo</w:t>
      </w:r>
    </w:p>
    <w:p w14:paraId="259C722E">
      <w:pPr>
        <w:widowControl/>
        <w:adjustRightInd/>
        <w:spacing w:line="360" w:lineRule="auto"/>
        <w:contextualSpacing/>
        <w:jc w:val="center"/>
        <w:textAlignment w:val="auto"/>
        <w:rPr>
          <w:rFonts w:ascii="Arial" w:hAnsi="Arial" w:cs="Arial"/>
          <w:i/>
          <w:iCs/>
          <w:color w:val="000000"/>
          <w:sz w:val="22"/>
          <w:szCs w:val="22"/>
        </w:rPr>
      </w:pPr>
      <w:r>
        <w:rPr>
          <w:rFonts w:ascii="Arial" w:hAnsi="Arial" w:cs="Arial"/>
          <w:color w:val="000000"/>
          <w:sz w:val="22"/>
          <w:szCs w:val="22"/>
        </w:rPr>
        <w:t xml:space="preserve">Solvência Geral (SG) = </w:t>
      </w:r>
      <w:r>
        <w:rPr>
          <w:rFonts w:ascii="Arial" w:hAnsi="Arial" w:cs="Arial"/>
          <w:color w:val="000000"/>
          <w:sz w:val="22"/>
          <w:szCs w:val="22"/>
        </w:rPr>
        <w:tab/>
      </w:r>
      <w:r>
        <w:rPr>
          <w:rFonts w:ascii="Arial" w:hAnsi="Arial" w:cs="Arial"/>
          <w:i/>
          <w:iCs/>
          <w:color w:val="000000"/>
          <w:sz w:val="22"/>
          <w:szCs w:val="22"/>
        </w:rPr>
        <w:t>Ativo Total</w:t>
      </w:r>
    </w:p>
    <w:p w14:paraId="7DD502C8">
      <w:pPr>
        <w:adjustRightInd/>
        <w:spacing w:line="360" w:lineRule="auto"/>
        <w:contextualSpacing/>
        <w:jc w:val="center"/>
        <w:textAlignment w:val="auto"/>
        <w:rPr>
          <w:rFonts w:ascii="Arial" w:hAnsi="Arial" w:cs="Arial"/>
          <w:i/>
          <w:iCs/>
          <w:color w:val="000000"/>
          <w:sz w:val="22"/>
          <w:szCs w:val="22"/>
        </w:rPr>
      </w:pPr>
      <w:r>
        <w:rPr>
          <w:rFonts w:ascii="Arial" w:hAnsi="Arial" w:cs="Arial"/>
          <w:i/>
          <w:iCs/>
          <w:color w:val="000000"/>
          <w:sz w:val="22"/>
          <w:szCs w:val="22"/>
        </w:rPr>
        <w:t>_________________________________</w:t>
      </w:r>
    </w:p>
    <w:p w14:paraId="6FD8BC12">
      <w:pPr>
        <w:adjustRightInd/>
        <w:spacing w:line="360" w:lineRule="auto"/>
        <w:contextualSpacing/>
        <w:jc w:val="center"/>
        <w:textAlignment w:val="auto"/>
        <w:rPr>
          <w:rFonts w:ascii="Arial" w:hAnsi="Arial" w:cs="Arial"/>
          <w:i/>
          <w:iCs/>
          <w:color w:val="000000"/>
          <w:sz w:val="22"/>
          <w:szCs w:val="22"/>
        </w:rPr>
      </w:pPr>
      <w:r>
        <w:rPr>
          <w:rFonts w:ascii="Arial" w:hAnsi="Arial" w:cs="Arial"/>
          <w:i/>
          <w:iCs/>
          <w:color w:val="000000"/>
          <w:sz w:val="22"/>
          <w:szCs w:val="22"/>
        </w:rPr>
        <w:t>Passivo Circulante + Exigível a Longo Prazo</w:t>
      </w:r>
    </w:p>
    <w:p w14:paraId="68B403D6">
      <w:pPr>
        <w:adjustRightInd/>
        <w:spacing w:line="360" w:lineRule="auto"/>
        <w:contextualSpacing/>
        <w:jc w:val="center"/>
        <w:textAlignment w:val="auto"/>
        <w:rPr>
          <w:rFonts w:ascii="Arial" w:hAnsi="Arial" w:cs="Arial"/>
          <w:i/>
          <w:iCs/>
          <w:color w:val="000000"/>
          <w:sz w:val="22"/>
          <w:szCs w:val="22"/>
        </w:rPr>
      </w:pPr>
      <w:r>
        <w:rPr>
          <w:rFonts w:ascii="Arial" w:hAnsi="Arial" w:cs="Arial"/>
          <w:color w:val="000000" w:themeColor="text1"/>
          <w:sz w:val="22"/>
          <w:szCs w:val="22"/>
          <w14:textFill>
            <w14:solidFill>
              <w14:schemeClr w14:val="tx1"/>
            </w14:solidFill>
          </w14:textFill>
        </w:rPr>
        <w:t>Liquidez Corrente (LC)</w:t>
      </w:r>
      <w:r>
        <w:rPr>
          <w:rFonts w:ascii="Arial" w:hAnsi="Arial" w:cs="Arial"/>
          <w:color w:val="000000"/>
          <w:sz w:val="22"/>
          <w:szCs w:val="22"/>
        </w:rPr>
        <w:t xml:space="preserve"> =  </w:t>
      </w:r>
      <w:r>
        <w:rPr>
          <w:rFonts w:ascii="Arial" w:hAnsi="Arial" w:cs="Arial"/>
          <w:color w:val="000000"/>
          <w:sz w:val="22"/>
          <w:szCs w:val="22"/>
        </w:rPr>
        <w:tab/>
      </w:r>
      <w:r>
        <w:rPr>
          <w:rFonts w:ascii="Arial" w:hAnsi="Arial" w:cs="Arial"/>
          <w:i/>
          <w:iCs/>
          <w:color w:val="000000"/>
          <w:sz w:val="22"/>
          <w:szCs w:val="22"/>
        </w:rPr>
        <w:t>Ativo Circulante</w:t>
      </w:r>
    </w:p>
    <w:p w14:paraId="5D0407F9">
      <w:pPr>
        <w:adjustRightInd/>
        <w:spacing w:line="360" w:lineRule="auto"/>
        <w:contextualSpacing/>
        <w:jc w:val="center"/>
        <w:textAlignment w:val="auto"/>
        <w:rPr>
          <w:rFonts w:ascii="Arial" w:hAnsi="Arial" w:cs="Arial"/>
          <w:i/>
          <w:iCs/>
          <w:color w:val="000000"/>
          <w:sz w:val="22"/>
          <w:szCs w:val="22"/>
        </w:rPr>
      </w:pPr>
      <w:r>
        <w:rPr>
          <w:rFonts w:ascii="Arial" w:hAnsi="Arial" w:cs="Arial"/>
          <w:i/>
          <w:iCs/>
          <w:color w:val="000000"/>
          <w:sz w:val="22"/>
          <w:szCs w:val="22"/>
        </w:rPr>
        <w:t>__________________________</w:t>
      </w:r>
    </w:p>
    <w:p w14:paraId="5534EDFB">
      <w:pPr>
        <w:adjustRightInd/>
        <w:spacing w:line="360" w:lineRule="auto"/>
        <w:contextualSpacing/>
        <w:jc w:val="center"/>
        <w:textAlignment w:val="auto"/>
        <w:rPr>
          <w:rFonts w:ascii="Arial" w:hAnsi="Arial" w:cs="Arial"/>
          <w:b/>
          <w:bCs/>
          <w:color w:val="000000"/>
          <w:sz w:val="22"/>
          <w:szCs w:val="22"/>
        </w:rPr>
      </w:pPr>
      <w:r>
        <w:rPr>
          <w:rFonts w:ascii="Arial" w:hAnsi="Arial" w:cs="Arial"/>
          <w:i/>
          <w:iCs/>
          <w:color w:val="000000"/>
          <w:sz w:val="22"/>
          <w:szCs w:val="22"/>
        </w:rPr>
        <w:t>Passivo Circulante</w:t>
      </w:r>
    </w:p>
    <w:p w14:paraId="2DDB5CFE">
      <w:pPr>
        <w:pStyle w:val="24"/>
      </w:pPr>
      <w:r>
        <w:rPr>
          <w:b/>
          <w:color w:val="000000"/>
        </w:rPr>
        <w:t>b)</w:t>
      </w:r>
      <w:r>
        <w:rPr>
          <w:color w:val="000000"/>
        </w:rPr>
        <w:t xml:space="preserve"> </w:t>
      </w:r>
      <w:r>
        <w:rPr>
          <w:rFonts w:eastAsia="SimSun"/>
        </w:rPr>
        <w:t>Caso a empresa licitante apresente resultado inferior ou igual a 1 (um) em qualquer dos índices de Liquidez Geral (LG), Solvência Geral (SG) e Liquidez Corrente (LC), será exigido para fins de habilitação capital mínimo de 5,0% (cinco por cento) do valor total estimado para o item da contratação.</w:t>
      </w:r>
      <w:r>
        <w:t xml:space="preserve"> (Lei</w:t>
      </w:r>
      <w:r>
        <w:rPr>
          <w:spacing w:val="-1"/>
        </w:rPr>
        <w:t xml:space="preserve"> </w:t>
      </w:r>
      <w:r>
        <w:t>nº</w:t>
      </w:r>
      <w:r>
        <w:rPr>
          <w:spacing w:val="-2"/>
        </w:rPr>
        <w:t xml:space="preserve"> </w:t>
      </w:r>
      <w:r>
        <w:t>14.133,</w:t>
      </w:r>
      <w:r>
        <w:rPr>
          <w:spacing w:val="-1"/>
        </w:rPr>
        <w:t xml:space="preserve"> </w:t>
      </w:r>
      <w:r>
        <w:t>de</w:t>
      </w:r>
      <w:r>
        <w:rPr>
          <w:spacing w:val="-1"/>
        </w:rPr>
        <w:t xml:space="preserve"> </w:t>
      </w:r>
      <w:r>
        <w:t>2021,</w:t>
      </w:r>
      <w:r>
        <w:rPr>
          <w:spacing w:val="-2"/>
        </w:rPr>
        <w:t xml:space="preserve"> </w:t>
      </w:r>
      <w:r>
        <w:t>art.</w:t>
      </w:r>
      <w:r>
        <w:rPr>
          <w:spacing w:val="-3"/>
        </w:rPr>
        <w:t xml:space="preserve"> </w:t>
      </w:r>
      <w:r>
        <w:t>69,</w:t>
      </w:r>
      <w:r>
        <w:rPr>
          <w:spacing w:val="-4"/>
        </w:rPr>
        <w:t xml:space="preserve"> </w:t>
      </w:r>
      <w:r>
        <w:t>§4º)</w:t>
      </w:r>
    </w:p>
    <w:p w14:paraId="538B3F2F">
      <w:pPr>
        <w:adjustRightInd/>
        <w:spacing w:line="360" w:lineRule="auto"/>
        <w:contextualSpacing/>
        <w:textAlignment w:val="auto"/>
        <w:rPr>
          <w:rFonts w:ascii="Arial" w:hAnsi="Arial" w:cs="Arial"/>
          <w:color w:val="000000"/>
          <w:sz w:val="22"/>
          <w:szCs w:val="22"/>
        </w:rPr>
      </w:pPr>
      <w:r>
        <w:rPr>
          <w:rFonts w:ascii="Arial" w:hAnsi="Arial" w:cs="Arial"/>
          <w:b/>
          <w:bCs/>
          <w:color w:val="000000"/>
          <w:sz w:val="22"/>
          <w:szCs w:val="22"/>
        </w:rPr>
        <w:t>c)</w:t>
      </w:r>
      <w:r>
        <w:rPr>
          <w:rFonts w:ascii="Arial" w:hAnsi="Arial" w:cs="Arial"/>
          <w:color w:val="000000"/>
          <w:sz w:val="22"/>
          <w:szCs w:val="22"/>
        </w:rPr>
        <w:t xml:space="preserve"> As empresas criadas no exercício financeiro da licitação deverão atender a todas as exigências da habilitação e poderão substituir os demonstrativos contábeis pelo balanço de abertura. (Lei nº 14.133, de 2021, art. 65, §1º).</w:t>
      </w:r>
    </w:p>
    <w:p w14:paraId="2003CFC8">
      <w:pPr>
        <w:adjustRightInd/>
        <w:spacing w:line="360" w:lineRule="auto"/>
        <w:contextualSpacing/>
        <w:textAlignment w:val="auto"/>
        <w:rPr>
          <w:rFonts w:ascii="Arial" w:hAnsi="Arial" w:cs="Arial"/>
          <w:color w:val="000000"/>
          <w:sz w:val="22"/>
          <w:szCs w:val="22"/>
        </w:rPr>
      </w:pPr>
      <w:r>
        <w:rPr>
          <w:rFonts w:ascii="Arial" w:hAnsi="Arial" w:cs="Arial"/>
          <w:b/>
          <w:bCs/>
          <w:color w:val="000000"/>
          <w:sz w:val="22"/>
          <w:szCs w:val="22"/>
        </w:rPr>
        <w:t>d)</w:t>
      </w:r>
      <w:r>
        <w:rPr>
          <w:rFonts w:ascii="Arial" w:hAnsi="Arial" w:cs="Arial"/>
          <w:color w:val="000000"/>
          <w:sz w:val="22"/>
          <w:szCs w:val="22"/>
        </w:rPr>
        <w:t xml:space="preserve"> Os documentos referidos acima limitar-se-ão ao último exercício no caso de a pessoa jurídica ter sido constituída há menos de 2 (dois) anos.</w:t>
      </w:r>
    </w:p>
    <w:p w14:paraId="4D47001A">
      <w:pPr>
        <w:widowControl/>
        <w:adjustRightInd/>
        <w:spacing w:line="360" w:lineRule="auto"/>
        <w:contextualSpacing/>
        <w:textAlignment w:val="auto"/>
        <w:rPr>
          <w:rFonts w:ascii="Arial" w:hAnsi="Arial" w:cs="Arial"/>
          <w:color w:val="000000"/>
          <w:sz w:val="22"/>
          <w:szCs w:val="22"/>
        </w:rPr>
      </w:pPr>
      <w:r>
        <w:rPr>
          <w:rFonts w:ascii="Arial" w:hAnsi="Arial" w:cs="Arial"/>
          <w:b/>
          <w:bCs/>
          <w:color w:val="000000"/>
          <w:sz w:val="22"/>
          <w:szCs w:val="22"/>
        </w:rPr>
        <w:t>e)</w:t>
      </w:r>
      <w:r>
        <w:rPr>
          <w:rFonts w:ascii="Arial" w:hAnsi="Arial" w:cs="Arial"/>
          <w:color w:val="000000"/>
          <w:sz w:val="22"/>
          <w:szCs w:val="22"/>
        </w:rPr>
        <w:t xml:space="preserve"> Os documentos referidos acima deverão ser exigidos com base no limite definido pela Receita Federal do Brasil para transmissão da Escrituração Contábil Digital - ECD ao Sped.</w:t>
      </w:r>
    </w:p>
    <w:p w14:paraId="37DBB41F">
      <w:pPr>
        <w:pStyle w:val="24"/>
      </w:pPr>
      <w:r>
        <w:rPr>
          <w:b/>
        </w:rPr>
        <w:t>F)</w:t>
      </w:r>
      <w:r>
        <w:t xml:space="preserve"> </w:t>
      </w:r>
      <w:r>
        <w:rPr>
          <w:rFonts w:hint="default"/>
          <w:lang w:val="pt-BR"/>
        </w:rPr>
        <w:t xml:space="preserve"> </w:t>
      </w:r>
      <w:r>
        <w:t>O Balanço Patrimonial físico na forma da lei deve conter os seguintes elementos:</w:t>
      </w:r>
    </w:p>
    <w:p w14:paraId="0299D877">
      <w:pPr>
        <w:numPr>
          <w:ilvl w:val="0"/>
          <w:numId w:val="7"/>
        </w:numPr>
        <w:tabs>
          <w:tab w:val="left" w:pos="400"/>
          <w:tab w:val="clear" w:pos="420"/>
        </w:tabs>
        <w:spacing w:line="360" w:lineRule="auto"/>
        <w:ind w:left="0" w:firstLine="0"/>
        <w:rPr>
          <w:rFonts w:ascii="Arial" w:hAnsi="Arial" w:cs="Arial"/>
          <w:sz w:val="22"/>
          <w:szCs w:val="22"/>
        </w:rPr>
      </w:pPr>
      <w:r>
        <w:rPr>
          <w:rFonts w:ascii="Arial" w:hAnsi="Arial" w:cs="Arial"/>
          <w:sz w:val="22"/>
          <w:szCs w:val="22"/>
        </w:rPr>
        <w:t>Balanço Patrimonial;</w:t>
      </w:r>
    </w:p>
    <w:p w14:paraId="6312007B">
      <w:pPr>
        <w:numPr>
          <w:ilvl w:val="0"/>
          <w:numId w:val="7"/>
        </w:numPr>
        <w:tabs>
          <w:tab w:val="left" w:pos="400"/>
          <w:tab w:val="clear" w:pos="420"/>
        </w:tabs>
        <w:spacing w:line="360" w:lineRule="auto"/>
        <w:ind w:left="0" w:firstLine="0"/>
        <w:rPr>
          <w:rFonts w:ascii="Arial" w:hAnsi="Arial" w:cs="Arial"/>
          <w:sz w:val="22"/>
          <w:szCs w:val="22"/>
        </w:rPr>
      </w:pPr>
      <w:r>
        <w:rPr>
          <w:rFonts w:ascii="Arial" w:hAnsi="Arial" w:cs="Arial"/>
          <w:sz w:val="22"/>
          <w:szCs w:val="22"/>
        </w:rPr>
        <w:t>Demonstração de Resultado do Exercício;</w:t>
      </w:r>
    </w:p>
    <w:p w14:paraId="44A951D1">
      <w:pPr>
        <w:numPr>
          <w:ilvl w:val="0"/>
          <w:numId w:val="7"/>
        </w:numPr>
        <w:tabs>
          <w:tab w:val="left" w:pos="400"/>
          <w:tab w:val="clear" w:pos="420"/>
        </w:tabs>
        <w:spacing w:line="360" w:lineRule="auto"/>
        <w:ind w:left="0" w:firstLine="0"/>
        <w:rPr>
          <w:rFonts w:ascii="Arial" w:hAnsi="Arial" w:cs="Arial"/>
          <w:sz w:val="22"/>
          <w:szCs w:val="22"/>
        </w:rPr>
      </w:pPr>
      <w:r>
        <w:rPr>
          <w:rFonts w:ascii="Arial" w:hAnsi="Arial" w:cs="Arial"/>
          <w:sz w:val="22"/>
          <w:szCs w:val="22"/>
        </w:rPr>
        <w:t>Assinado pelo contador e representante legal da empresa;</w:t>
      </w:r>
    </w:p>
    <w:p w14:paraId="2EB49552">
      <w:pPr>
        <w:numPr>
          <w:ilvl w:val="0"/>
          <w:numId w:val="7"/>
        </w:numPr>
        <w:tabs>
          <w:tab w:val="left" w:pos="400"/>
          <w:tab w:val="clear" w:pos="420"/>
        </w:tabs>
        <w:spacing w:line="360" w:lineRule="auto"/>
        <w:ind w:left="0" w:firstLine="0"/>
        <w:rPr>
          <w:rFonts w:ascii="Arial" w:hAnsi="Arial" w:cs="Arial"/>
          <w:sz w:val="22"/>
          <w:szCs w:val="22"/>
        </w:rPr>
      </w:pPr>
      <w:r>
        <w:rPr>
          <w:rFonts w:ascii="Arial" w:hAnsi="Arial" w:cs="Arial"/>
          <w:sz w:val="22"/>
          <w:szCs w:val="22"/>
        </w:rPr>
        <w:t>Termo de Abertura e Termo de Encerramento do Livro Diário;</w:t>
      </w:r>
    </w:p>
    <w:p w14:paraId="347BDE21">
      <w:pPr>
        <w:numPr>
          <w:ilvl w:val="0"/>
          <w:numId w:val="7"/>
        </w:numPr>
        <w:tabs>
          <w:tab w:val="left" w:pos="400"/>
          <w:tab w:val="clear" w:pos="420"/>
        </w:tabs>
        <w:spacing w:line="360" w:lineRule="auto"/>
        <w:ind w:left="0" w:firstLine="0"/>
        <w:rPr>
          <w:rFonts w:ascii="Arial" w:hAnsi="Arial" w:cs="Arial"/>
          <w:sz w:val="22"/>
          <w:szCs w:val="22"/>
        </w:rPr>
      </w:pPr>
      <w:r>
        <w:rPr>
          <w:rFonts w:ascii="Arial" w:hAnsi="Arial" w:cs="Arial"/>
          <w:sz w:val="22"/>
          <w:szCs w:val="22"/>
        </w:rPr>
        <w:t>Registrado na Junta Comercial, no Cartório De Registros De Pessoa Jurídica ou OAB.</w:t>
      </w:r>
    </w:p>
    <w:p w14:paraId="53FE2BCB">
      <w:pPr>
        <w:tabs>
          <w:tab w:val="left" w:pos="400"/>
        </w:tabs>
        <w:spacing w:line="360" w:lineRule="auto"/>
        <w:rPr>
          <w:rFonts w:ascii="Arial" w:hAnsi="Arial" w:cs="Arial"/>
          <w:sz w:val="22"/>
          <w:szCs w:val="22"/>
        </w:rPr>
      </w:pPr>
      <w:r>
        <w:rPr>
          <w:rFonts w:ascii="Arial" w:hAnsi="Arial" w:cs="Arial"/>
          <w:b/>
          <w:bCs/>
          <w:sz w:val="22"/>
          <w:szCs w:val="22"/>
        </w:rPr>
        <w:t>g)</w:t>
      </w:r>
      <w:r>
        <w:rPr>
          <w:rFonts w:hint="default" w:ascii="Arial" w:hAnsi="Arial" w:cs="Arial"/>
          <w:b/>
          <w:bCs/>
          <w:sz w:val="22"/>
          <w:szCs w:val="22"/>
          <w:lang w:val="pt-BR"/>
        </w:rPr>
        <w:t xml:space="preserve"> </w:t>
      </w:r>
      <w:r>
        <w:rPr>
          <w:rFonts w:ascii="Arial" w:hAnsi="Arial" w:cs="Arial"/>
          <w:sz w:val="22"/>
          <w:szCs w:val="22"/>
        </w:rPr>
        <w:t xml:space="preserve"> O Balanço Patrimonial digital na forma da lei deve conter os seguintes elementos:</w:t>
      </w:r>
    </w:p>
    <w:p w14:paraId="58E2EE1A">
      <w:pPr>
        <w:numPr>
          <w:ilvl w:val="0"/>
          <w:numId w:val="7"/>
        </w:numPr>
        <w:tabs>
          <w:tab w:val="left" w:pos="400"/>
          <w:tab w:val="clear" w:pos="420"/>
        </w:tabs>
        <w:spacing w:line="360" w:lineRule="auto"/>
        <w:ind w:left="0" w:firstLine="0"/>
        <w:rPr>
          <w:rFonts w:ascii="Arial" w:hAnsi="Arial" w:cs="Arial"/>
          <w:sz w:val="22"/>
          <w:szCs w:val="22"/>
        </w:rPr>
      </w:pPr>
      <w:r>
        <w:rPr>
          <w:rFonts w:ascii="Arial" w:hAnsi="Arial" w:cs="Arial"/>
          <w:sz w:val="22"/>
          <w:szCs w:val="22"/>
        </w:rPr>
        <w:t>Balanço Patrimonial;</w:t>
      </w:r>
    </w:p>
    <w:p w14:paraId="14D52FBE">
      <w:pPr>
        <w:numPr>
          <w:ilvl w:val="0"/>
          <w:numId w:val="7"/>
        </w:numPr>
        <w:tabs>
          <w:tab w:val="left" w:pos="400"/>
          <w:tab w:val="clear" w:pos="420"/>
        </w:tabs>
        <w:spacing w:line="360" w:lineRule="auto"/>
        <w:ind w:left="0" w:firstLine="0"/>
        <w:rPr>
          <w:rFonts w:ascii="Arial" w:hAnsi="Arial" w:cs="Arial"/>
          <w:sz w:val="22"/>
          <w:szCs w:val="22"/>
        </w:rPr>
      </w:pPr>
      <w:r>
        <w:rPr>
          <w:rFonts w:ascii="Arial" w:hAnsi="Arial" w:cs="Arial"/>
          <w:sz w:val="22"/>
          <w:szCs w:val="22"/>
        </w:rPr>
        <w:t>Demonstração de Resultado do Exercício;</w:t>
      </w:r>
    </w:p>
    <w:p w14:paraId="51954CC3">
      <w:pPr>
        <w:numPr>
          <w:ilvl w:val="0"/>
          <w:numId w:val="7"/>
        </w:numPr>
        <w:tabs>
          <w:tab w:val="left" w:pos="400"/>
          <w:tab w:val="clear" w:pos="420"/>
        </w:tabs>
        <w:spacing w:line="360" w:lineRule="auto"/>
        <w:ind w:left="0" w:firstLine="0"/>
        <w:rPr>
          <w:rFonts w:ascii="Arial" w:hAnsi="Arial" w:cs="Arial"/>
          <w:sz w:val="22"/>
          <w:szCs w:val="22"/>
        </w:rPr>
      </w:pPr>
      <w:r>
        <w:rPr>
          <w:rFonts w:ascii="Arial" w:hAnsi="Arial" w:cs="Arial"/>
          <w:sz w:val="22"/>
          <w:szCs w:val="22"/>
        </w:rPr>
        <w:t>Assinado digitalmente pelo contador e representante legal da empresa;</w:t>
      </w:r>
    </w:p>
    <w:p w14:paraId="67AEAC47">
      <w:pPr>
        <w:numPr>
          <w:ilvl w:val="0"/>
          <w:numId w:val="7"/>
        </w:numPr>
        <w:tabs>
          <w:tab w:val="left" w:pos="400"/>
          <w:tab w:val="clear" w:pos="420"/>
        </w:tabs>
        <w:spacing w:line="360" w:lineRule="auto"/>
        <w:ind w:left="0" w:firstLine="0"/>
        <w:rPr>
          <w:rFonts w:ascii="Arial" w:hAnsi="Arial" w:cs="Arial"/>
          <w:sz w:val="22"/>
          <w:szCs w:val="22"/>
        </w:rPr>
      </w:pPr>
      <w:r>
        <w:rPr>
          <w:rFonts w:ascii="Arial" w:hAnsi="Arial" w:cs="Arial"/>
          <w:sz w:val="22"/>
          <w:szCs w:val="22"/>
        </w:rPr>
        <w:t>Termo de Abertura e Termo de Encerramento do Livro Diário;</w:t>
      </w:r>
    </w:p>
    <w:p w14:paraId="245629C8">
      <w:pPr>
        <w:numPr>
          <w:ilvl w:val="0"/>
          <w:numId w:val="7"/>
        </w:numPr>
        <w:tabs>
          <w:tab w:val="left" w:pos="400"/>
          <w:tab w:val="clear" w:pos="420"/>
        </w:tabs>
        <w:spacing w:line="360" w:lineRule="auto"/>
        <w:ind w:left="0" w:firstLine="0"/>
        <w:rPr>
          <w:rFonts w:ascii="Arial" w:hAnsi="Arial" w:cs="Arial"/>
          <w:color w:val="000000"/>
          <w:sz w:val="22"/>
          <w:szCs w:val="22"/>
        </w:rPr>
      </w:pPr>
      <w:r>
        <w:rPr>
          <w:rFonts w:ascii="Arial" w:hAnsi="Arial" w:cs="Arial"/>
          <w:sz w:val="22"/>
          <w:szCs w:val="22"/>
        </w:rPr>
        <w:t>Recibo emitido pelo sistema público.</w:t>
      </w:r>
    </w:p>
    <w:p w14:paraId="25F6ECFE">
      <w:pPr>
        <w:widowControl/>
        <w:adjustRightInd/>
        <w:spacing w:line="360" w:lineRule="auto"/>
        <w:contextualSpacing/>
        <w:textAlignment w:val="auto"/>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9.4.3.2. </w:t>
      </w:r>
      <w:r>
        <w:rPr>
          <w:rFonts w:ascii="Arial" w:hAnsi="Arial" w:cs="Arial"/>
          <w:color w:val="000000" w:themeColor="text1"/>
          <w:sz w:val="22"/>
          <w:szCs w:val="22"/>
          <w14:textFill>
            <w14:solidFill>
              <w14:schemeClr w14:val="tx1"/>
            </w14:solidFill>
          </w14:textFill>
        </w:rPr>
        <w:t>Certidão negativa de feitos sobre falência e recuperação judicial expedida pelo distribuidor da sede do licitante.</w:t>
      </w:r>
    </w:p>
    <w:p w14:paraId="0CEE8E83">
      <w:pPr>
        <w:tabs>
          <w:tab w:val="left" w:pos="1985"/>
        </w:tabs>
        <w:adjustRightInd/>
        <w:spacing w:line="360" w:lineRule="auto"/>
        <w:textAlignment w:val="auto"/>
        <w:rPr>
          <w:rFonts w:ascii="Arial" w:hAnsi="Arial" w:cs="Arial"/>
          <w:color w:val="000000"/>
          <w:sz w:val="22"/>
          <w:szCs w:val="22"/>
        </w:rPr>
      </w:pPr>
      <w:r>
        <w:rPr>
          <w:rFonts w:ascii="Arial" w:hAnsi="Arial" w:cs="Arial"/>
          <w:b/>
          <w:bCs/>
          <w:color w:val="000000"/>
          <w:sz w:val="22"/>
          <w:szCs w:val="22"/>
        </w:rPr>
        <w:t>9.4.3.3.</w:t>
      </w:r>
      <w:r>
        <w:rPr>
          <w:rFonts w:ascii="Arial" w:hAnsi="Arial" w:cs="Arial"/>
          <w:color w:val="000000"/>
          <w:sz w:val="22"/>
          <w:szCs w:val="22"/>
        </w:rPr>
        <w:t xml:space="preserve"> A iniciativa de exigir qualificação econômico-financeira, sobretudo, no caso concreto, que se trata de entregas futuras, embasa-se, outrossim, no artigo 69 da Lei 14.133/2021, que no seu caput já descreve: </w:t>
      </w:r>
    </w:p>
    <w:p w14:paraId="36DE00F2">
      <w:pPr>
        <w:spacing w:line="360" w:lineRule="auto"/>
        <w:rPr>
          <w:rFonts w:ascii="Arial" w:hAnsi="Arial" w:cs="Arial"/>
          <w:color w:val="000000"/>
          <w:sz w:val="22"/>
          <w:szCs w:val="22"/>
        </w:rPr>
      </w:pPr>
      <w:r>
        <w:rPr>
          <w:rFonts w:ascii="Arial" w:hAnsi="Arial" w:cs="Arial"/>
          <w:b/>
          <w:bCs/>
          <w:color w:val="000000"/>
          <w:sz w:val="22"/>
          <w:szCs w:val="22"/>
        </w:rPr>
        <w:t>9.4.3.4.</w:t>
      </w:r>
      <w:r>
        <w:rPr>
          <w:rFonts w:ascii="Arial" w:hAnsi="Arial" w:cs="Arial"/>
          <w:color w:val="000000"/>
          <w:sz w:val="22"/>
          <w:szCs w:val="22"/>
        </w:rPr>
        <w:t xml:space="preserve"> A habilitação econômico-financeira visa demonstrar a aptidão econômica do licitante para cumprir as obrigações decorrentes do futuro contrato, devendo ser comprovada de forma objetiva, por coeficientes e índices econômicos previstos no edital.</w:t>
      </w:r>
    </w:p>
    <w:p w14:paraId="02D6144F">
      <w:pPr>
        <w:widowControl/>
        <w:adjustRightInd/>
        <w:spacing w:line="360" w:lineRule="auto"/>
        <w:contextualSpacing/>
        <w:textAlignment w:val="auto"/>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JUSTIFICA-SE</w:t>
      </w:r>
      <w:r>
        <w:rPr>
          <w:rFonts w:ascii="Arial" w:hAnsi="Arial" w:cs="Arial"/>
          <w:color w:val="000000" w:themeColor="text1"/>
          <w:sz w:val="22"/>
          <w:szCs w:val="22"/>
          <w14:textFill>
            <w14:solidFill>
              <w14:schemeClr w14:val="tx1"/>
            </w14:solidFill>
          </w14:textFill>
        </w:rPr>
        <w:t>, portanto a exigência de qualificação econômico-financeira, considerando que o intuito é que seja demonstrada a saúde financeira, ou seja, que a empresa mostre-se apta que possui disponibilidade de recursos para executar o objeto contratado com base na necessidade concreta do produto contratado e o seu valor estimado para a contratação.</w:t>
      </w:r>
    </w:p>
    <w:p w14:paraId="342A78CD">
      <w:pPr>
        <w:pStyle w:val="24"/>
        <w:numPr>
          <w:ilvl w:val="1"/>
          <w:numId w:val="8"/>
        </w:numPr>
        <w:ind w:left="0" w:firstLine="0"/>
        <w:rPr>
          <w:i/>
          <w:iCs/>
        </w:rPr>
      </w:pPr>
      <w:r>
        <w:rPr>
          <w:b/>
          <w:bCs w:val="0"/>
        </w:rPr>
        <w:t>TRATAMENTO DIFERENCIADO PARA MICROEMPRESAS E EMPRESAS DE PEQUENO PORTE</w:t>
      </w:r>
      <w:r>
        <w:rPr>
          <w:i/>
          <w:iCs/>
        </w:rPr>
        <w:t>.</w:t>
      </w:r>
    </w:p>
    <w:p w14:paraId="3CA757AC">
      <w:pPr>
        <w:pStyle w:val="24"/>
        <w:numPr>
          <w:ilvl w:val="2"/>
          <w:numId w:val="8"/>
        </w:numPr>
        <w:ind w:left="0" w:firstLine="0"/>
        <w:rPr>
          <w:i/>
          <w:iCs/>
        </w:rPr>
      </w:pPr>
      <w:r>
        <w:t>Nos termos da Lei Municipal nº 3.503/2025, que regulamenta, no âmbito do Município de Sinop-MT, o tratamento favorecido, diferenciado e simplificado previsto nos arts. 42 a 49 da Lei Complementar Federal nº 123/2006, com as alterações da LC nº 147/2014, este processo licitatório adotará, sempre que tecnicamente viável e vantajoso à Administração Pública, as medidas que promovam o desenvolvimento econômico local e regional, ampliem a eficiência das políticas públicas e incentivem a competitividade e a inovação.</w:t>
      </w:r>
    </w:p>
    <w:p w14:paraId="49EDAC35">
      <w:pPr>
        <w:widowControl/>
        <w:numPr>
          <w:ilvl w:val="2"/>
          <w:numId w:val="8"/>
        </w:numPr>
        <w:tabs>
          <w:tab w:val="left" w:pos="400"/>
          <w:tab w:val="left" w:pos="600"/>
        </w:tabs>
        <w:adjustRightInd/>
        <w:spacing w:line="360" w:lineRule="auto"/>
        <w:ind w:hanging="2160"/>
        <w:contextualSpacing/>
        <w:textAlignment w:val="auto"/>
        <w:rPr>
          <w:rFonts w:ascii="Arial" w:hAnsi="Arial" w:cs="Arial"/>
          <w:sz w:val="22"/>
          <w:szCs w:val="22"/>
        </w:rPr>
      </w:pPr>
      <w:r>
        <w:rPr>
          <w:rFonts w:ascii="Arial" w:hAnsi="Arial" w:cs="Arial"/>
          <w:sz w:val="22"/>
          <w:szCs w:val="22"/>
        </w:rPr>
        <w:t>Para os fins da aplicação das preferências legais, observa-se que:</w:t>
      </w:r>
    </w:p>
    <w:p w14:paraId="3DF44FDC">
      <w:pPr>
        <w:widowControl/>
        <w:numPr>
          <w:ilvl w:val="0"/>
          <w:numId w:val="9"/>
        </w:numPr>
        <w:tabs>
          <w:tab w:val="left" w:pos="0"/>
          <w:tab w:val="left" w:pos="400"/>
          <w:tab w:val="left" w:pos="600"/>
          <w:tab w:val="clear" w:pos="420"/>
        </w:tabs>
        <w:adjustRightInd/>
        <w:spacing w:line="360" w:lineRule="auto"/>
        <w:ind w:left="0" w:firstLine="0"/>
        <w:contextualSpacing/>
        <w:textAlignment w:val="auto"/>
        <w:rPr>
          <w:rFonts w:ascii="Arial" w:hAnsi="Arial" w:cs="Arial"/>
          <w:sz w:val="22"/>
          <w:szCs w:val="22"/>
        </w:rPr>
      </w:pPr>
      <w:r>
        <w:rPr>
          <w:rFonts w:ascii="Arial" w:hAnsi="Arial" w:cs="Arial"/>
          <w:sz w:val="22"/>
          <w:szCs w:val="22"/>
        </w:rPr>
        <w:t>Será considerada empresa local aquela com sede ou filial efetivamente estabelecida no Município de Sinop-MT;</w:t>
      </w:r>
    </w:p>
    <w:p w14:paraId="60A88642">
      <w:pPr>
        <w:widowControl/>
        <w:numPr>
          <w:ilvl w:val="0"/>
          <w:numId w:val="9"/>
        </w:numPr>
        <w:tabs>
          <w:tab w:val="left" w:pos="0"/>
          <w:tab w:val="left" w:pos="400"/>
          <w:tab w:val="left" w:pos="600"/>
          <w:tab w:val="clear" w:pos="420"/>
        </w:tabs>
        <w:adjustRightInd/>
        <w:spacing w:line="360" w:lineRule="auto"/>
        <w:ind w:left="0" w:firstLine="0"/>
        <w:contextualSpacing/>
        <w:textAlignment w:val="auto"/>
        <w:rPr>
          <w:rFonts w:ascii="Arial" w:hAnsi="Arial" w:cs="Arial"/>
          <w:sz w:val="22"/>
          <w:szCs w:val="22"/>
        </w:rPr>
      </w:pPr>
      <w:r>
        <w:rPr>
          <w:rFonts w:ascii="Arial" w:hAnsi="Arial" w:cs="Arial"/>
          <w:sz w:val="22"/>
          <w:szCs w:val="22"/>
        </w:rPr>
        <w:t>Será considerada empresa regional Empresa regional: a pessoa jurídica de direito privado estabelecida em qualquer cidade localizada na Microrregião do Alto Teles Pires, a qual compreende, nos termos da Lei Municipal nº 3.503/2025, os seguintes municípios: Cláudia, Feliz Natal, Ipiranga do Norte, Itanhangá, Lucas do Rio Verde, Nova Mutum, Nova Ubiratã, Santa Carmem, Sinop, Sorriso, Tapurah, União do Sul, Santa Rita do Trivelato e São José do Rio Claro.</w:t>
      </w:r>
    </w:p>
    <w:p w14:paraId="3C337BED">
      <w:pPr>
        <w:widowControl/>
        <w:numPr>
          <w:ilvl w:val="2"/>
          <w:numId w:val="8"/>
        </w:numPr>
        <w:adjustRightInd/>
        <w:spacing w:line="360" w:lineRule="auto"/>
        <w:ind w:left="0" w:firstLine="0"/>
        <w:contextualSpacing/>
        <w:textAlignment w:val="auto"/>
        <w:rPr>
          <w:rFonts w:ascii="Arial" w:hAnsi="Arial" w:cs="Arial"/>
          <w:sz w:val="22"/>
          <w:szCs w:val="22"/>
        </w:rPr>
      </w:pPr>
      <w:r>
        <w:rPr>
          <w:rFonts w:ascii="Arial" w:hAnsi="Arial" w:cs="Arial"/>
          <w:sz w:val="22"/>
          <w:szCs w:val="22"/>
        </w:rPr>
        <w:t>As empresas licitantes interessadas em usufruir do tratamento diferenciado deverão apresentar declaração expressa de enquadramento como Microempresa (ME) ou Empresa de Pequeno Porte (EPP), sob as penas da lei, bem como comprovação de sua condição mediante consulta à Receita Federal quanto à opção pelo Simples Nacional. O fornecimento de informações falsas ensejará responsabilização nas esferas administrativa, civil e penal, conforme legislação vigente.</w:t>
      </w:r>
    </w:p>
    <w:p w14:paraId="33DF6F77">
      <w:pPr>
        <w:widowControl/>
        <w:numPr>
          <w:ilvl w:val="2"/>
          <w:numId w:val="8"/>
        </w:numPr>
        <w:adjustRightInd/>
        <w:spacing w:line="360" w:lineRule="auto"/>
        <w:ind w:left="0" w:firstLine="0"/>
        <w:contextualSpacing/>
        <w:textAlignment w:val="auto"/>
        <w:rPr>
          <w:rFonts w:ascii="Arial" w:hAnsi="Arial" w:cs="Arial"/>
          <w:sz w:val="22"/>
          <w:szCs w:val="22"/>
        </w:rPr>
      </w:pPr>
      <w:r>
        <w:rPr>
          <w:rFonts w:ascii="Arial" w:hAnsi="Arial" w:cs="Arial"/>
          <w:sz w:val="22"/>
          <w:szCs w:val="22"/>
        </w:rPr>
        <w:t>Diante da análise técnica da natureza do objeto deste Termo de Referência, verificou-se a viabilidade e vantajosidade da aplicação dos dispositivos legais referentes ao tratamento diferenciado, sendo adotadas as seguintes medidas conforme Lei Municipal nº 3.503/2025:</w:t>
      </w:r>
    </w:p>
    <w:p w14:paraId="1DC3FA48">
      <w:pPr>
        <w:widowControl/>
        <w:numPr>
          <w:ilvl w:val="0"/>
          <w:numId w:val="10"/>
        </w:numPr>
        <w:tabs>
          <w:tab w:val="left" w:pos="200"/>
          <w:tab w:val="left" w:pos="400"/>
          <w:tab w:val="left" w:pos="567"/>
          <w:tab w:val="clear" w:pos="425"/>
        </w:tabs>
        <w:adjustRightInd/>
        <w:spacing w:line="360" w:lineRule="auto"/>
        <w:ind w:left="0" w:firstLine="0"/>
        <w:contextualSpacing/>
        <w:textAlignment w:val="auto"/>
        <w:rPr>
          <w:rFonts w:ascii="Arial" w:hAnsi="Arial" w:cs="Arial"/>
          <w:sz w:val="22"/>
          <w:szCs w:val="22"/>
        </w:rPr>
      </w:pPr>
      <w:r>
        <w:rPr>
          <w:rFonts w:ascii="Arial" w:hAnsi="Arial" w:cs="Arial"/>
          <w:sz w:val="22"/>
          <w:szCs w:val="22"/>
        </w:rPr>
        <w:t>Itens cujo valor estimado seja de até R$ 80.000,00 serão destinados exclusivamente a ME/EPP (art. 8º, I);</w:t>
      </w:r>
    </w:p>
    <w:p w14:paraId="02654BAA">
      <w:pPr>
        <w:widowControl/>
        <w:numPr>
          <w:ilvl w:val="0"/>
          <w:numId w:val="10"/>
        </w:numPr>
        <w:tabs>
          <w:tab w:val="left" w:pos="200"/>
          <w:tab w:val="clear" w:pos="425"/>
        </w:tabs>
        <w:adjustRightInd/>
        <w:spacing w:line="360" w:lineRule="auto"/>
        <w:ind w:left="5" w:leftChars="0" w:hanging="5" w:firstLineChars="0"/>
        <w:contextualSpacing/>
        <w:textAlignment w:val="auto"/>
        <w:rPr>
          <w:rFonts w:ascii="Arial" w:hAnsi="Arial" w:cs="Arial"/>
          <w:sz w:val="22"/>
          <w:szCs w:val="22"/>
        </w:rPr>
      </w:pPr>
      <w:r>
        <w:rPr>
          <w:rFonts w:hint="default" w:ascii="Arial" w:hAnsi="Arial" w:cs="Arial"/>
          <w:sz w:val="22"/>
          <w:szCs w:val="22"/>
          <w:lang w:val="pt-BR"/>
        </w:rPr>
        <w:t xml:space="preserve"> </w:t>
      </w:r>
      <w:r>
        <w:rPr>
          <w:rFonts w:ascii="Arial" w:hAnsi="Arial" w:cs="Arial"/>
          <w:sz w:val="22"/>
          <w:szCs w:val="22"/>
        </w:rPr>
        <w:t>Itens de natureza divisível terão reserva de cota de até 25% para participação exclusiva de ME/EPP (art. 8º, II);</w:t>
      </w:r>
    </w:p>
    <w:p w14:paraId="03147262">
      <w:pPr>
        <w:widowControl/>
        <w:numPr>
          <w:ilvl w:val="0"/>
          <w:numId w:val="10"/>
        </w:numPr>
        <w:tabs>
          <w:tab w:val="left" w:pos="200"/>
          <w:tab w:val="left" w:pos="400"/>
          <w:tab w:val="clear" w:pos="425"/>
        </w:tabs>
        <w:adjustRightInd/>
        <w:spacing w:line="360" w:lineRule="auto"/>
        <w:ind w:left="0" w:leftChars="0" w:firstLine="0" w:firstLineChars="0"/>
        <w:contextualSpacing/>
        <w:textAlignment w:val="auto"/>
        <w:rPr>
          <w:rFonts w:ascii="Arial" w:hAnsi="Arial" w:cs="Arial"/>
          <w:sz w:val="22"/>
          <w:szCs w:val="22"/>
        </w:rPr>
      </w:pPr>
      <w:r>
        <w:rPr>
          <w:rFonts w:ascii="Arial" w:hAnsi="Arial" w:cs="Arial"/>
          <w:sz w:val="22"/>
          <w:szCs w:val="22"/>
        </w:rPr>
        <w:t>Nos critérios de julgamento, aplicar-se-á desempate em favor de ME/EPP, conforme previsto nos arts. 5º e 6º, respeitando os limites legais de 10% (regra geral) ou 5% (no pregão);</w:t>
      </w:r>
    </w:p>
    <w:p w14:paraId="1417D605">
      <w:pPr>
        <w:widowControl/>
        <w:numPr>
          <w:ilvl w:val="0"/>
          <w:numId w:val="10"/>
        </w:numPr>
        <w:tabs>
          <w:tab w:val="left" w:pos="200"/>
          <w:tab w:val="left" w:pos="400"/>
          <w:tab w:val="clear" w:pos="425"/>
        </w:tabs>
        <w:adjustRightInd/>
        <w:spacing w:line="360" w:lineRule="auto"/>
        <w:ind w:left="5" w:leftChars="0" w:hanging="5" w:firstLineChars="0"/>
        <w:contextualSpacing/>
        <w:textAlignment w:val="auto"/>
        <w:rPr>
          <w:rFonts w:ascii="Arial" w:hAnsi="Arial" w:cs="Arial"/>
          <w:sz w:val="22"/>
          <w:szCs w:val="22"/>
        </w:rPr>
      </w:pPr>
      <w:r>
        <w:rPr>
          <w:rFonts w:ascii="Arial" w:hAnsi="Arial" w:cs="Arial"/>
          <w:sz w:val="22"/>
          <w:szCs w:val="22"/>
        </w:rPr>
        <w:t>Haverá preferência de contratação para empresas sediadas em Sinop-MT e, subsidiariamente, na microrregião Alto do Teles Pires (arts. 2º e 7º).</w:t>
      </w:r>
    </w:p>
    <w:p w14:paraId="717A33B0">
      <w:pPr>
        <w:pStyle w:val="24"/>
        <w:numPr>
          <w:ilvl w:val="1"/>
          <w:numId w:val="8"/>
        </w:numPr>
        <w:ind w:left="0" w:firstLine="0"/>
        <w:rPr>
          <w:b/>
          <w:bCs w:val="0"/>
        </w:rPr>
      </w:pPr>
      <w:r>
        <w:rPr>
          <w:b/>
          <w:bCs w:val="0"/>
        </w:rPr>
        <w:t>COM RELAÇÃO À POSSIBILIDADE DE OFERTAR PROPOSTA EM QUANTITATIVOS INFERIORES</w:t>
      </w:r>
    </w:p>
    <w:p w14:paraId="2BEBDC6A">
      <w:pPr>
        <w:pStyle w:val="24"/>
        <w:numPr>
          <w:ilvl w:val="2"/>
          <w:numId w:val="8"/>
        </w:numPr>
        <w:ind w:left="0" w:firstLine="0"/>
        <w:rPr>
          <w:rFonts w:ascii="Arial" w:hAnsi="Arial" w:cs="Arial"/>
          <w:sz w:val="22"/>
          <w:szCs w:val="22"/>
        </w:rPr>
      </w:pPr>
      <w:r>
        <w:t>No presente certame não é possível o licitante oferecer proposta de preços em quantitativo inferior ao máximo previsto no Termo de Referência, obrigando-se aos limites lá informados, bem como não poderá apresentar proposta de preços com descrição do item diferente da registrada no Termo de Referência, seja com descrição com menos ou mais informações do que lá estabelecidas.</w:t>
      </w:r>
    </w:p>
    <w:p w14:paraId="1273905F">
      <w:pPr>
        <w:pStyle w:val="24"/>
        <w:numPr>
          <w:ilvl w:val="1"/>
          <w:numId w:val="8"/>
        </w:numPr>
        <w:ind w:left="0" w:firstLine="0"/>
      </w:pPr>
      <w:r>
        <w:rPr>
          <w:b/>
          <w:bCs w:val="0"/>
        </w:rPr>
        <w:t>COM RELAÇÃO À POSSIBILIDADE DE PREVER PREÇOS DIFERENTES</w:t>
      </w:r>
    </w:p>
    <w:p w14:paraId="31CD90FC">
      <w:pPr>
        <w:widowControl/>
        <w:adjustRightInd/>
        <w:spacing w:line="360" w:lineRule="auto"/>
        <w:contextualSpacing/>
        <w:textAlignment w:val="auto"/>
        <w:rPr>
          <w:rFonts w:ascii="Arial" w:hAnsi="Arial" w:cs="Arial"/>
          <w:color w:val="000000" w:themeColor="text1"/>
          <w:sz w:val="22"/>
          <w:szCs w:val="22"/>
          <w14:textFill>
            <w14:solidFill>
              <w14:schemeClr w14:val="tx1"/>
            </w14:solidFill>
          </w14:textFill>
        </w:rPr>
      </w:pPr>
      <w:r>
        <w:rPr>
          <w:rFonts w:ascii="Arial" w:hAnsi="Arial" w:cs="Arial"/>
          <w:sz w:val="22"/>
          <w:szCs w:val="22"/>
        </w:rPr>
        <w:t>Em consonância com os princípios da eficiência, da economicidade e da padronização administrativa, esta Administração opta pela não aplicação da faculdade de prever preços diferentes prevista no art. 82, III, da Lei Federal nº 14.133/2021 e no art. 471, VIII, do Decreto Municipal 359/2023</w:t>
      </w:r>
      <w:r>
        <w:rPr>
          <w:rFonts w:ascii="Arial" w:hAnsi="Arial" w:cs="Arial"/>
          <w:color w:val="00B050"/>
          <w:sz w:val="22"/>
          <w:szCs w:val="22"/>
        </w:rPr>
        <w:t>.</w:t>
      </w:r>
    </w:p>
    <w:p w14:paraId="3F9D724C">
      <w:pPr>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1260"/>
        </w:tabs>
        <w:spacing w:line="360" w:lineRule="auto"/>
        <w:jc w:val="center"/>
        <w:rPr>
          <w:rFonts w:ascii="Arial" w:hAnsi="Arial" w:cs="Arial"/>
          <w:b/>
          <w:sz w:val="22"/>
          <w:szCs w:val="22"/>
        </w:rPr>
      </w:pPr>
      <w:r>
        <w:rPr>
          <w:rFonts w:ascii="Arial" w:hAnsi="Arial" w:cs="Arial"/>
          <w:b/>
          <w:sz w:val="22"/>
          <w:szCs w:val="22"/>
        </w:rPr>
        <w:t>10.</w:t>
      </w:r>
      <w:r>
        <w:rPr>
          <w:rFonts w:hint="default" w:ascii="Arial" w:hAnsi="Arial" w:cs="Arial"/>
          <w:b/>
          <w:sz w:val="22"/>
          <w:szCs w:val="22"/>
          <w:lang w:val="pt-BR"/>
        </w:rPr>
        <w:t xml:space="preserve"> </w:t>
      </w:r>
      <w:bookmarkStart w:id="13" w:name="_GoBack"/>
      <w:bookmarkEnd w:id="13"/>
      <w:r>
        <w:rPr>
          <w:rFonts w:ascii="Arial" w:hAnsi="Arial" w:cs="Arial"/>
          <w:b/>
          <w:sz w:val="22"/>
          <w:szCs w:val="22"/>
        </w:rPr>
        <w:t>CUSTO ESTIMADO DO VALOR DA CONTRATAÇÃO/PREÇO DE REFERÊNCIA:</w:t>
      </w:r>
    </w:p>
    <w:p w14:paraId="16369638">
      <w:pPr>
        <w:pStyle w:val="24"/>
      </w:pPr>
    </w:p>
    <w:p w14:paraId="472D9632">
      <w:pPr>
        <w:pStyle w:val="24"/>
      </w:pPr>
      <w:r>
        <w:t xml:space="preserve">10.1. O valor total da contratação pretendida é de </w:t>
      </w:r>
      <w:r>
        <w:rPr>
          <w:b/>
        </w:rPr>
        <w:t xml:space="preserve">1.294.466,01 (um milhão Duzentos e Noventa e </w:t>
      </w:r>
      <w:r>
        <w:rPr>
          <w:b/>
          <w:bCs w:val="0"/>
        </w:rPr>
        <w:t>quatro</w:t>
      </w:r>
      <w:r>
        <w:rPr>
          <w:b/>
        </w:rPr>
        <w:t xml:space="preserve"> mil </w:t>
      </w:r>
      <w:r>
        <w:rPr>
          <w:b/>
          <w:bCs w:val="0"/>
        </w:rPr>
        <w:t>quatro</w:t>
      </w:r>
      <w:r>
        <w:rPr>
          <w:b/>
        </w:rPr>
        <w:t>centos e sessenta e seis reais e um centavos)</w:t>
      </w:r>
      <w:r>
        <w:t>.</w:t>
      </w:r>
    </w:p>
    <w:p w14:paraId="6C2370EE">
      <w:pPr>
        <w:pStyle w:val="24"/>
        <w:rPr>
          <w:b/>
        </w:rPr>
      </w:pPr>
      <w:r>
        <w:rPr>
          <w:b/>
        </w:rPr>
        <w:t>10.2.</w:t>
      </w:r>
      <w:r>
        <w:t xml:space="preserve"> No valor proposto está incluso todos os custos operacionais, insumos, encargos previdenciários, trabalhistas, tributários e comerciais, e quaisquer outros que incidam diretamente ou indiretamente sobre o valor do contrato.</w:t>
      </w:r>
    </w:p>
    <w:p w14:paraId="3BB0C9B7">
      <w:pPr>
        <w:pStyle w:val="24"/>
      </w:pPr>
      <w:r>
        <w:rPr>
          <w:b/>
        </w:rPr>
        <w:t>10.3.</w:t>
      </w:r>
      <w:r>
        <w:t xml:space="preserve"> Com relação à justificativa do preço, em atendimento ao que preconiza o Art. 23, da Lei nº 14.133/2021, informamos que os custos unitários foram baseados em cotações em empresa do ramo local e atas vigentes, onde demonstra que o preço praticado com a Prefeitura Municipal de Sinop/MT, é o mesmo praticado no mercado atual.</w:t>
      </w:r>
    </w:p>
    <w:p w14:paraId="585DE0D1">
      <w:pPr>
        <w:numPr>
          <w:ilvl w:val="0"/>
          <w:numId w:val="11"/>
        </w:numPr>
        <w:pBdr>
          <w:top w:val="double" w:color="auto" w:sz="4" w:space="1"/>
          <w:left w:val="double" w:color="auto" w:sz="4" w:space="4"/>
          <w:bottom w:val="double" w:color="auto" w:sz="4" w:space="1"/>
          <w:right w:val="double" w:color="auto" w:sz="4" w:space="4"/>
          <w:between w:val="double" w:color="auto" w:sz="4" w:space="1"/>
        </w:pBdr>
        <w:shd w:val="clear" w:color="auto" w:fill="D9D9D9"/>
        <w:spacing w:line="240" w:lineRule="auto"/>
        <w:jc w:val="center"/>
        <w:rPr>
          <w:rFonts w:ascii="Arial" w:hAnsi="Arial" w:cs="Arial"/>
          <w:sz w:val="22"/>
          <w:szCs w:val="22"/>
        </w:rPr>
      </w:pPr>
      <w:r>
        <w:rPr>
          <w:rFonts w:ascii="Arial" w:hAnsi="Arial" w:cs="Arial"/>
          <w:b/>
          <w:sz w:val="22"/>
          <w:szCs w:val="22"/>
        </w:rPr>
        <w:t>DOTAÇÕES ORÇAMENTÁRIAS/ SECRETARIAS</w:t>
      </w:r>
      <w:r>
        <w:rPr>
          <w:rFonts w:hint="default" w:ascii="Arial" w:hAnsi="Arial" w:cs="Arial"/>
          <w:b/>
          <w:sz w:val="22"/>
          <w:szCs w:val="22"/>
          <w:lang w:val="pt-BR"/>
        </w:rPr>
        <w:t>:</w:t>
      </w:r>
    </w:p>
    <w:tbl>
      <w:tblPr>
        <w:tblStyle w:val="21"/>
        <w:tblW w:w="0" w:type="auto"/>
        <w:tblInd w:w="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6"/>
        <w:gridCol w:w="1064"/>
        <w:gridCol w:w="3612"/>
      </w:tblGrid>
      <w:tr w14:paraId="11808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6" w:type="dxa"/>
            <w:vAlign w:val="center"/>
          </w:tcPr>
          <w:p w14:paraId="6857B8A7">
            <w:pPr>
              <w:widowControl/>
              <w:tabs>
                <w:tab w:val="left" w:pos="220"/>
              </w:tabs>
              <w:adjustRightInd/>
              <w:spacing w:line="240" w:lineRule="auto"/>
              <w:contextualSpacing/>
              <w:jc w:val="center"/>
              <w:textAlignment w:val="auto"/>
              <w:rPr>
                <w:rFonts w:ascii="Arial" w:hAnsi="Arial" w:cs="Arial"/>
                <w:sz w:val="22"/>
                <w:szCs w:val="22"/>
              </w:rPr>
            </w:pPr>
            <w:r>
              <w:rPr>
                <w:rFonts w:ascii="Arial" w:hAnsi="Arial" w:eastAsia="Arial Unicode MS" w:cs="Arial"/>
                <w:b/>
                <w:color w:val="000000"/>
                <w:sz w:val="22"/>
                <w:szCs w:val="22"/>
              </w:rPr>
              <w:t>DOTAÇÃO</w:t>
            </w:r>
          </w:p>
        </w:tc>
        <w:tc>
          <w:tcPr>
            <w:tcW w:w="4676" w:type="dxa"/>
            <w:gridSpan w:val="2"/>
            <w:vAlign w:val="center"/>
          </w:tcPr>
          <w:p w14:paraId="0853CA32">
            <w:pPr>
              <w:widowControl/>
              <w:tabs>
                <w:tab w:val="left" w:pos="220"/>
              </w:tabs>
              <w:adjustRightInd/>
              <w:spacing w:line="240" w:lineRule="auto"/>
              <w:contextualSpacing/>
              <w:jc w:val="center"/>
              <w:textAlignment w:val="auto"/>
              <w:rPr>
                <w:rFonts w:ascii="Arial" w:hAnsi="Arial" w:cs="Arial"/>
                <w:sz w:val="22"/>
                <w:szCs w:val="22"/>
              </w:rPr>
            </w:pPr>
            <w:r>
              <w:rPr>
                <w:rFonts w:ascii="Arial" w:hAnsi="Arial" w:eastAsia="Arial Unicode MS" w:cs="Arial"/>
                <w:b/>
                <w:sz w:val="22"/>
                <w:szCs w:val="22"/>
              </w:rPr>
              <w:t>RECURSO</w:t>
            </w:r>
          </w:p>
        </w:tc>
      </w:tr>
      <w:tr w14:paraId="3970C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9352" w:type="dxa"/>
            <w:gridSpan w:val="3"/>
            <w:vAlign w:val="center"/>
          </w:tcPr>
          <w:p w14:paraId="1D7555FF">
            <w:pPr>
              <w:widowControl/>
              <w:tabs>
                <w:tab w:val="left" w:pos="220"/>
              </w:tabs>
              <w:adjustRightInd/>
              <w:spacing w:line="240" w:lineRule="auto"/>
              <w:contextualSpacing/>
              <w:jc w:val="center"/>
              <w:textAlignment w:val="auto"/>
              <w:rPr>
                <w:rFonts w:ascii="Arial" w:hAnsi="Arial" w:cs="Arial"/>
                <w:sz w:val="22"/>
                <w:szCs w:val="22"/>
              </w:rPr>
            </w:pPr>
            <w:r>
              <w:rPr>
                <w:rFonts w:ascii="Arial" w:hAnsi="Arial" w:eastAsia="Arial Unicode MS" w:cs="Arial"/>
                <w:b/>
                <w:bCs/>
                <w:color w:val="000000"/>
                <w:sz w:val="22"/>
                <w:szCs w:val="22"/>
              </w:rPr>
              <w:t>SECRETARIA DE OBRAS E SERVIÇOS URBANOS</w:t>
            </w:r>
          </w:p>
        </w:tc>
      </w:tr>
      <w:tr w14:paraId="2431D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5740" w:type="dxa"/>
            <w:gridSpan w:val="2"/>
            <w:vAlign w:val="center"/>
          </w:tcPr>
          <w:p w14:paraId="36FEEB47">
            <w:pPr>
              <w:widowControl/>
              <w:tabs>
                <w:tab w:val="left" w:pos="220"/>
              </w:tabs>
              <w:adjustRightInd/>
              <w:spacing w:line="240" w:lineRule="auto"/>
              <w:contextualSpacing/>
              <w:jc w:val="center"/>
              <w:textAlignment w:val="auto"/>
              <w:rPr>
                <w:rFonts w:ascii="Arial" w:hAnsi="Arial" w:cs="Arial"/>
                <w:sz w:val="22"/>
                <w:szCs w:val="22"/>
              </w:rPr>
            </w:pPr>
            <w:r>
              <w:rPr>
                <w:rFonts w:ascii="Arial" w:hAnsi="Arial" w:cs="Arial"/>
                <w:sz w:val="22"/>
                <w:szCs w:val="22"/>
              </w:rPr>
              <w:t>2030.339030.0000.15000000000</w:t>
            </w:r>
          </w:p>
        </w:tc>
        <w:tc>
          <w:tcPr>
            <w:tcW w:w="3612" w:type="dxa"/>
            <w:vMerge w:val="restart"/>
            <w:vAlign w:val="center"/>
          </w:tcPr>
          <w:p w14:paraId="6C94D164">
            <w:pPr>
              <w:widowControl/>
              <w:tabs>
                <w:tab w:val="left" w:pos="220"/>
              </w:tabs>
              <w:adjustRightInd/>
              <w:spacing w:line="240" w:lineRule="auto"/>
              <w:contextualSpacing/>
              <w:jc w:val="center"/>
              <w:textAlignment w:val="auto"/>
              <w:rPr>
                <w:rFonts w:ascii="Arial" w:hAnsi="Arial" w:cs="Arial"/>
                <w:sz w:val="22"/>
                <w:szCs w:val="22"/>
              </w:rPr>
            </w:pPr>
            <w:r>
              <w:rPr>
                <w:rFonts w:ascii="Arial" w:hAnsi="Arial" w:eastAsia="Arial Unicode MS" w:cs="Arial"/>
                <w:color w:val="000000"/>
                <w:sz w:val="22"/>
                <w:szCs w:val="22"/>
              </w:rPr>
              <w:t>Recursos Próprios</w:t>
            </w:r>
          </w:p>
        </w:tc>
      </w:tr>
      <w:tr w14:paraId="5DA36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40" w:type="dxa"/>
            <w:gridSpan w:val="2"/>
            <w:vAlign w:val="center"/>
          </w:tcPr>
          <w:p w14:paraId="27355679">
            <w:pPr>
              <w:widowControl/>
              <w:tabs>
                <w:tab w:val="left" w:pos="220"/>
              </w:tabs>
              <w:adjustRightInd/>
              <w:spacing w:line="240" w:lineRule="auto"/>
              <w:contextualSpacing/>
              <w:jc w:val="center"/>
              <w:textAlignment w:val="auto"/>
              <w:rPr>
                <w:rFonts w:ascii="Arial" w:hAnsi="Arial" w:cs="Arial"/>
                <w:sz w:val="22"/>
                <w:szCs w:val="22"/>
              </w:rPr>
            </w:pPr>
            <w:r>
              <w:rPr>
                <w:rFonts w:ascii="Arial" w:hAnsi="Arial" w:cs="Arial"/>
                <w:sz w:val="22"/>
                <w:szCs w:val="22"/>
              </w:rPr>
              <w:t>2038.339030.0000.15000000000</w:t>
            </w:r>
          </w:p>
        </w:tc>
        <w:tc>
          <w:tcPr>
            <w:tcW w:w="3612" w:type="dxa"/>
            <w:vMerge w:val="continue"/>
            <w:vAlign w:val="center"/>
          </w:tcPr>
          <w:p w14:paraId="44431C59">
            <w:pPr>
              <w:widowControl/>
              <w:tabs>
                <w:tab w:val="left" w:pos="220"/>
              </w:tabs>
              <w:adjustRightInd/>
              <w:spacing w:line="240" w:lineRule="auto"/>
              <w:contextualSpacing/>
              <w:textAlignment w:val="auto"/>
              <w:rPr>
                <w:rFonts w:ascii="Arial" w:hAnsi="Arial" w:cs="Arial"/>
                <w:sz w:val="22"/>
                <w:szCs w:val="22"/>
              </w:rPr>
            </w:pPr>
          </w:p>
        </w:tc>
      </w:tr>
      <w:tr w14:paraId="7A0CF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40" w:type="dxa"/>
            <w:gridSpan w:val="2"/>
            <w:vAlign w:val="center"/>
          </w:tcPr>
          <w:p w14:paraId="6163FB03">
            <w:pPr>
              <w:widowControl/>
              <w:tabs>
                <w:tab w:val="left" w:pos="220"/>
              </w:tabs>
              <w:adjustRightInd/>
              <w:spacing w:line="240" w:lineRule="auto"/>
              <w:contextualSpacing/>
              <w:jc w:val="center"/>
              <w:textAlignment w:val="auto"/>
              <w:rPr>
                <w:rFonts w:ascii="Arial" w:hAnsi="Arial" w:cs="Arial"/>
                <w:sz w:val="22"/>
                <w:szCs w:val="22"/>
              </w:rPr>
            </w:pPr>
            <w:r>
              <w:rPr>
                <w:rFonts w:ascii="Arial" w:hAnsi="Arial" w:cs="Arial"/>
                <w:sz w:val="22"/>
                <w:szCs w:val="22"/>
              </w:rPr>
              <w:t>2030.449052.0000.15000000000</w:t>
            </w:r>
          </w:p>
        </w:tc>
        <w:tc>
          <w:tcPr>
            <w:tcW w:w="3612" w:type="dxa"/>
            <w:vMerge w:val="continue"/>
            <w:vAlign w:val="center"/>
          </w:tcPr>
          <w:p w14:paraId="53A19CE5">
            <w:pPr>
              <w:widowControl/>
              <w:tabs>
                <w:tab w:val="left" w:pos="220"/>
              </w:tabs>
              <w:adjustRightInd/>
              <w:spacing w:line="240" w:lineRule="auto"/>
              <w:contextualSpacing/>
              <w:textAlignment w:val="auto"/>
              <w:rPr>
                <w:rFonts w:ascii="Arial" w:hAnsi="Arial" w:cs="Arial"/>
                <w:sz w:val="22"/>
                <w:szCs w:val="22"/>
              </w:rPr>
            </w:pPr>
          </w:p>
        </w:tc>
      </w:tr>
      <w:tr w14:paraId="093C4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2" w:type="dxa"/>
            <w:gridSpan w:val="3"/>
            <w:vAlign w:val="center"/>
          </w:tcPr>
          <w:p w14:paraId="197A708B">
            <w:pPr>
              <w:widowControl/>
              <w:tabs>
                <w:tab w:val="left" w:pos="220"/>
              </w:tabs>
              <w:adjustRightInd/>
              <w:spacing w:line="240" w:lineRule="auto"/>
              <w:contextualSpacing/>
              <w:jc w:val="center"/>
              <w:textAlignment w:val="auto"/>
              <w:rPr>
                <w:rFonts w:ascii="Arial" w:hAnsi="Arial" w:cs="Arial"/>
                <w:sz w:val="22"/>
                <w:szCs w:val="22"/>
              </w:rPr>
            </w:pPr>
            <w:r>
              <w:rPr>
                <w:rFonts w:ascii="Arial" w:hAnsi="Arial" w:eastAsia="Arial Unicode MS" w:cs="Arial"/>
                <w:b/>
                <w:bCs/>
                <w:color w:val="000000"/>
                <w:sz w:val="22"/>
                <w:szCs w:val="22"/>
              </w:rPr>
              <w:t>SECRETARIA DE SAÚDE</w:t>
            </w:r>
          </w:p>
        </w:tc>
      </w:tr>
      <w:tr w14:paraId="29FFD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40" w:type="dxa"/>
            <w:gridSpan w:val="2"/>
            <w:vAlign w:val="center"/>
          </w:tcPr>
          <w:p w14:paraId="68ABE110">
            <w:pPr>
              <w:widowControl/>
              <w:tabs>
                <w:tab w:val="left" w:pos="220"/>
              </w:tabs>
              <w:adjustRightInd/>
              <w:spacing w:line="240" w:lineRule="auto"/>
              <w:contextualSpacing/>
              <w:jc w:val="center"/>
              <w:textAlignment w:val="auto"/>
              <w:rPr>
                <w:rFonts w:ascii="Arial" w:hAnsi="Arial" w:cs="Arial"/>
                <w:sz w:val="22"/>
                <w:szCs w:val="22"/>
              </w:rPr>
            </w:pPr>
            <w:r>
              <w:rPr>
                <w:rFonts w:ascii="Arial" w:hAnsi="Arial" w:cs="Arial"/>
                <w:sz w:val="22"/>
                <w:szCs w:val="22"/>
              </w:rPr>
              <w:t>1046.339030.15.001.002.000</w:t>
            </w:r>
          </w:p>
        </w:tc>
        <w:tc>
          <w:tcPr>
            <w:tcW w:w="3612" w:type="dxa"/>
            <w:vAlign w:val="center"/>
          </w:tcPr>
          <w:p w14:paraId="24E616A7">
            <w:pPr>
              <w:widowControl/>
              <w:tabs>
                <w:tab w:val="left" w:pos="220"/>
              </w:tabs>
              <w:adjustRightInd/>
              <w:spacing w:line="240" w:lineRule="auto"/>
              <w:contextualSpacing/>
              <w:jc w:val="center"/>
              <w:textAlignment w:val="auto"/>
              <w:rPr>
                <w:rFonts w:ascii="Arial" w:hAnsi="Arial" w:cs="Arial"/>
                <w:sz w:val="22"/>
                <w:szCs w:val="22"/>
              </w:rPr>
            </w:pPr>
            <w:r>
              <w:rPr>
                <w:rFonts w:ascii="Arial" w:hAnsi="Arial" w:eastAsia="Arial Unicode MS" w:cs="Arial"/>
                <w:color w:val="000000"/>
                <w:sz w:val="22"/>
                <w:szCs w:val="22"/>
              </w:rPr>
              <w:t>Recursos Próprios</w:t>
            </w:r>
          </w:p>
        </w:tc>
      </w:tr>
      <w:tr w14:paraId="5522B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40" w:type="dxa"/>
            <w:gridSpan w:val="2"/>
            <w:vAlign w:val="center"/>
          </w:tcPr>
          <w:p w14:paraId="56F9BF0E">
            <w:pPr>
              <w:widowControl/>
              <w:tabs>
                <w:tab w:val="left" w:pos="220"/>
              </w:tabs>
              <w:adjustRightInd/>
              <w:spacing w:line="240" w:lineRule="auto"/>
              <w:contextualSpacing/>
              <w:jc w:val="center"/>
              <w:textAlignment w:val="auto"/>
              <w:rPr>
                <w:rFonts w:ascii="Arial" w:hAnsi="Arial" w:cs="Arial"/>
                <w:sz w:val="22"/>
                <w:szCs w:val="22"/>
              </w:rPr>
            </w:pPr>
            <w:r>
              <w:rPr>
                <w:rFonts w:ascii="Arial" w:hAnsi="Arial" w:cs="Arial"/>
                <w:sz w:val="22"/>
                <w:szCs w:val="22"/>
              </w:rPr>
              <w:t>2104.339030.16.000.000.000</w:t>
            </w:r>
          </w:p>
        </w:tc>
        <w:tc>
          <w:tcPr>
            <w:tcW w:w="3612" w:type="dxa"/>
            <w:vAlign w:val="center"/>
          </w:tcPr>
          <w:p w14:paraId="46235939">
            <w:pPr>
              <w:widowControl/>
              <w:tabs>
                <w:tab w:val="left" w:pos="220"/>
              </w:tabs>
              <w:adjustRightInd/>
              <w:spacing w:line="240" w:lineRule="auto"/>
              <w:contextualSpacing/>
              <w:jc w:val="center"/>
              <w:textAlignment w:val="auto"/>
              <w:rPr>
                <w:rFonts w:ascii="Arial" w:hAnsi="Arial" w:cs="Arial"/>
                <w:sz w:val="22"/>
                <w:szCs w:val="22"/>
              </w:rPr>
            </w:pPr>
            <w:r>
              <w:rPr>
                <w:rFonts w:ascii="Arial" w:hAnsi="Arial" w:eastAsia="Arial Unicode MS" w:cs="Arial"/>
                <w:bCs/>
                <w:color w:val="000000"/>
                <w:sz w:val="22"/>
                <w:szCs w:val="22"/>
              </w:rPr>
              <w:t>Custeio Sus União</w:t>
            </w:r>
          </w:p>
        </w:tc>
      </w:tr>
      <w:tr w14:paraId="2A84D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40" w:type="dxa"/>
            <w:gridSpan w:val="2"/>
            <w:vAlign w:val="center"/>
          </w:tcPr>
          <w:p w14:paraId="2EF03025">
            <w:pPr>
              <w:widowControl/>
              <w:tabs>
                <w:tab w:val="left" w:pos="220"/>
              </w:tabs>
              <w:adjustRightInd/>
              <w:spacing w:line="240" w:lineRule="auto"/>
              <w:contextualSpacing/>
              <w:jc w:val="center"/>
              <w:textAlignment w:val="auto"/>
              <w:rPr>
                <w:rFonts w:ascii="Arial" w:hAnsi="Arial" w:cs="Arial"/>
                <w:sz w:val="22"/>
                <w:szCs w:val="22"/>
              </w:rPr>
            </w:pPr>
            <w:r>
              <w:rPr>
                <w:rFonts w:ascii="Arial" w:hAnsi="Arial" w:cs="Arial"/>
                <w:sz w:val="22"/>
                <w:szCs w:val="22"/>
              </w:rPr>
              <w:t>2104.449052.15.001.002.000</w:t>
            </w:r>
          </w:p>
        </w:tc>
        <w:tc>
          <w:tcPr>
            <w:tcW w:w="3612" w:type="dxa"/>
            <w:vAlign w:val="center"/>
          </w:tcPr>
          <w:p w14:paraId="4F73DA26">
            <w:pPr>
              <w:widowControl/>
              <w:tabs>
                <w:tab w:val="left" w:pos="220"/>
              </w:tabs>
              <w:adjustRightInd/>
              <w:spacing w:line="240" w:lineRule="auto"/>
              <w:contextualSpacing/>
              <w:jc w:val="center"/>
              <w:textAlignment w:val="auto"/>
              <w:rPr>
                <w:rFonts w:ascii="Arial" w:hAnsi="Arial" w:cs="Arial"/>
                <w:sz w:val="22"/>
                <w:szCs w:val="22"/>
              </w:rPr>
            </w:pPr>
            <w:r>
              <w:rPr>
                <w:rFonts w:ascii="Arial" w:hAnsi="Arial" w:eastAsia="Arial Unicode MS" w:cs="Arial"/>
                <w:color w:val="000000"/>
                <w:sz w:val="22"/>
                <w:szCs w:val="22"/>
              </w:rPr>
              <w:t>Recursos Próprios</w:t>
            </w:r>
          </w:p>
        </w:tc>
      </w:tr>
    </w:tbl>
    <w:p w14:paraId="175EB99D">
      <w:pPr>
        <w:widowControl/>
        <w:tabs>
          <w:tab w:val="left" w:pos="220"/>
        </w:tabs>
        <w:adjustRightInd/>
        <w:spacing w:line="240" w:lineRule="auto"/>
        <w:contextualSpacing/>
        <w:textAlignment w:val="auto"/>
        <w:rPr>
          <w:rFonts w:ascii="Arial" w:hAnsi="Arial" w:cs="Arial"/>
          <w:sz w:val="22"/>
          <w:szCs w:val="22"/>
        </w:rPr>
      </w:pPr>
    </w:p>
    <w:p w14:paraId="7077897F">
      <w:pPr>
        <w:widowControl/>
        <w:tabs>
          <w:tab w:val="left" w:pos="220"/>
        </w:tabs>
        <w:adjustRightInd/>
        <w:spacing w:line="240" w:lineRule="auto"/>
        <w:contextualSpacing/>
        <w:textAlignment w:val="auto"/>
        <w:rPr>
          <w:rFonts w:ascii="Arial" w:hAnsi="Arial" w:cs="Arial"/>
          <w:sz w:val="22"/>
          <w:szCs w:val="22"/>
        </w:rPr>
      </w:pPr>
    </w:p>
    <w:p w14:paraId="75C45C15">
      <w:pPr>
        <w:widowControl/>
        <w:tabs>
          <w:tab w:val="left" w:pos="220"/>
        </w:tabs>
        <w:adjustRightInd/>
        <w:spacing w:line="240" w:lineRule="auto"/>
        <w:contextualSpacing/>
        <w:textAlignment w:val="auto"/>
        <w:rPr>
          <w:rFonts w:ascii="Arial" w:hAnsi="Arial" w:cs="Arial"/>
          <w:sz w:val="22"/>
          <w:szCs w:val="22"/>
        </w:rPr>
      </w:pPr>
    </w:p>
    <w:p w14:paraId="00E35221">
      <w:pPr>
        <w:widowControl/>
        <w:tabs>
          <w:tab w:val="left" w:pos="220"/>
        </w:tabs>
        <w:adjustRightInd/>
        <w:spacing w:line="240" w:lineRule="auto"/>
        <w:contextualSpacing/>
        <w:textAlignment w:val="auto"/>
        <w:rPr>
          <w:rFonts w:ascii="Arial" w:hAnsi="Arial" w:cs="Arial"/>
          <w:sz w:val="22"/>
          <w:szCs w:val="22"/>
        </w:rPr>
      </w:pPr>
    </w:p>
    <w:p w14:paraId="2B997E9A">
      <w:pPr>
        <w:widowControl/>
        <w:tabs>
          <w:tab w:val="left" w:pos="220"/>
        </w:tabs>
        <w:adjustRightInd/>
        <w:spacing w:line="240" w:lineRule="auto"/>
        <w:contextualSpacing/>
        <w:textAlignment w:val="auto"/>
        <w:rPr>
          <w:rFonts w:ascii="Arial" w:hAnsi="Arial" w:cs="Arial"/>
          <w:sz w:val="22"/>
          <w:szCs w:val="22"/>
        </w:rPr>
      </w:pPr>
    </w:p>
    <w:tbl>
      <w:tblPr>
        <w:tblStyle w:val="21"/>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64"/>
      </w:tblGrid>
      <w:tr w14:paraId="51624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464" w:type="dxa"/>
            <w:shd w:val="clear" w:color="auto" w:fill="D7D7D7" w:themeFill="background1" w:themeFillShade="D8"/>
            <w:vAlign w:val="center"/>
          </w:tcPr>
          <w:p w14:paraId="70463B6A">
            <w:pPr>
              <w:numPr>
                <w:ilvl w:val="0"/>
                <w:numId w:val="12"/>
              </w:numPr>
              <w:spacing w:line="360" w:lineRule="auto"/>
              <w:jc w:val="center"/>
              <w:rPr>
                <w:rFonts w:ascii="Arial" w:hAnsi="Arial" w:cs="Arial"/>
                <w:b/>
                <w:sz w:val="22"/>
                <w:szCs w:val="22"/>
              </w:rPr>
            </w:pPr>
            <w:r>
              <w:rPr>
                <w:rFonts w:ascii="Arial" w:hAnsi="Arial" w:cs="Arial"/>
                <w:b/>
                <w:sz w:val="22"/>
                <w:szCs w:val="22"/>
              </w:rPr>
              <w:t>DEMAIS</w:t>
            </w:r>
            <w:r>
              <w:rPr>
                <w:rFonts w:ascii="Arial" w:hAnsi="Arial" w:cs="Arial"/>
                <w:b/>
                <w:spacing w:val="-1"/>
                <w:sz w:val="22"/>
                <w:szCs w:val="22"/>
              </w:rPr>
              <w:t xml:space="preserve"> </w:t>
            </w:r>
            <w:r>
              <w:rPr>
                <w:rFonts w:ascii="Arial" w:hAnsi="Arial" w:cs="Arial"/>
                <w:b/>
                <w:sz w:val="22"/>
                <w:szCs w:val="22"/>
              </w:rPr>
              <w:t>INFORMAÇÕES</w:t>
            </w:r>
            <w:r>
              <w:rPr>
                <w:rFonts w:ascii="Arial" w:hAnsi="Arial" w:cs="Arial"/>
                <w:b/>
                <w:spacing w:val="-1"/>
                <w:sz w:val="22"/>
                <w:szCs w:val="22"/>
              </w:rPr>
              <w:t xml:space="preserve"> </w:t>
            </w:r>
            <w:r>
              <w:rPr>
                <w:rFonts w:ascii="Arial" w:hAnsi="Arial" w:cs="Arial"/>
                <w:b/>
                <w:sz w:val="22"/>
                <w:szCs w:val="22"/>
              </w:rPr>
              <w:t>ESPECÍFICAS</w:t>
            </w:r>
            <w:r>
              <w:rPr>
                <w:rFonts w:ascii="Arial" w:hAnsi="Arial" w:cs="Arial"/>
                <w:b/>
                <w:spacing w:val="-1"/>
                <w:sz w:val="22"/>
                <w:szCs w:val="22"/>
              </w:rPr>
              <w:t xml:space="preserve"> </w:t>
            </w:r>
            <w:r>
              <w:rPr>
                <w:rFonts w:ascii="Arial" w:hAnsi="Arial" w:cs="Arial"/>
                <w:b/>
                <w:sz w:val="22"/>
                <w:szCs w:val="22"/>
              </w:rPr>
              <w:t>DO</w:t>
            </w:r>
            <w:r>
              <w:rPr>
                <w:rFonts w:ascii="Arial" w:hAnsi="Arial" w:cs="Arial"/>
                <w:b/>
                <w:spacing w:val="-1"/>
                <w:sz w:val="22"/>
                <w:szCs w:val="22"/>
              </w:rPr>
              <w:t xml:space="preserve"> </w:t>
            </w:r>
            <w:r>
              <w:rPr>
                <w:rFonts w:ascii="Arial" w:hAnsi="Arial" w:cs="Arial"/>
                <w:b/>
                <w:sz w:val="22"/>
                <w:szCs w:val="22"/>
              </w:rPr>
              <w:t>TERMO DE REFERENCIA</w:t>
            </w:r>
          </w:p>
        </w:tc>
      </w:tr>
    </w:tbl>
    <w:p w14:paraId="2DE673AC">
      <w:pPr>
        <w:widowControl/>
        <w:tabs>
          <w:tab w:val="left" w:pos="220"/>
        </w:tabs>
        <w:adjustRightInd/>
        <w:spacing w:line="360" w:lineRule="auto"/>
        <w:contextualSpacing/>
        <w:textAlignment w:val="auto"/>
        <w:rPr>
          <w:rFonts w:ascii="Arial" w:hAnsi="Arial" w:cs="Arial"/>
          <w:sz w:val="22"/>
          <w:szCs w:val="22"/>
        </w:rPr>
      </w:pPr>
    </w:p>
    <w:p w14:paraId="43C7928E">
      <w:pPr>
        <w:numPr>
          <w:ilvl w:val="1"/>
          <w:numId w:val="12"/>
        </w:numPr>
        <w:spacing w:line="360" w:lineRule="auto"/>
        <w:contextualSpacing/>
        <w:rPr>
          <w:rFonts w:ascii="Arial" w:hAnsi="Arial" w:cs="Arial"/>
          <w:bCs/>
          <w:sz w:val="22"/>
          <w:szCs w:val="22"/>
        </w:rPr>
      </w:pPr>
      <w:r>
        <w:rPr>
          <w:rFonts w:ascii="Arial" w:hAnsi="Arial" w:cs="Arial"/>
          <w:b/>
          <w:sz w:val="22"/>
          <w:szCs w:val="22"/>
        </w:rPr>
        <w:t>DAS RESPONSABILIDADES EM RELAÇÃO ÀS ESPECIFICAÇÕES TÉCNICAS DOS ITENS</w:t>
      </w:r>
      <w:r>
        <w:rPr>
          <w:rFonts w:ascii="Arial" w:hAnsi="Arial" w:cs="Arial"/>
          <w:bCs/>
          <w:sz w:val="22"/>
          <w:szCs w:val="22"/>
        </w:rPr>
        <w:t>:</w:t>
      </w:r>
    </w:p>
    <w:p w14:paraId="5A4E267A">
      <w:pPr>
        <w:numPr>
          <w:ilvl w:val="2"/>
          <w:numId w:val="12"/>
        </w:numPr>
        <w:spacing w:line="360" w:lineRule="auto"/>
        <w:contextualSpacing/>
        <w:rPr>
          <w:rFonts w:ascii="Arial" w:hAnsi="Arial" w:cs="Arial"/>
          <w:bCs/>
          <w:color w:val="000000"/>
          <w:sz w:val="22"/>
          <w:szCs w:val="22"/>
        </w:rPr>
      </w:pPr>
      <w:r>
        <w:rPr>
          <w:rFonts w:ascii="Arial" w:hAnsi="Arial" w:cs="Arial"/>
          <w:sz w:val="22"/>
          <w:szCs w:val="22"/>
        </w:rPr>
        <w:t xml:space="preserve">Os itens do processo foram compostos em conjunto com as </w:t>
      </w:r>
      <w:r>
        <w:rPr>
          <w:rFonts w:ascii="Arial" w:hAnsi="Arial" w:cs="Arial"/>
          <w:bCs/>
          <w:color w:val="000000"/>
          <w:sz w:val="22"/>
          <w:szCs w:val="22"/>
        </w:rPr>
        <w:t>Secretarias, sendo assim o mesmo se responsabilizamos pela conferência de suas descrições.</w:t>
      </w:r>
    </w:p>
    <w:p w14:paraId="52DDD67C">
      <w:pPr>
        <w:spacing w:line="360" w:lineRule="auto"/>
        <w:contextualSpacing/>
        <w:rPr>
          <w:rFonts w:ascii="Arial" w:hAnsi="Arial" w:cs="Arial"/>
          <w:bCs/>
          <w:color w:val="000000"/>
          <w:sz w:val="22"/>
          <w:szCs w:val="22"/>
        </w:rPr>
      </w:pPr>
    </w:p>
    <w:p w14:paraId="7F0A556A">
      <w:pPr>
        <w:spacing w:line="360" w:lineRule="auto"/>
        <w:contextualSpacing/>
        <w:rPr>
          <w:rFonts w:ascii="Arial" w:hAnsi="Arial" w:cs="Arial"/>
          <w:bCs/>
          <w:color w:val="000000"/>
          <w:sz w:val="22"/>
          <w:szCs w:val="22"/>
        </w:rPr>
      </w:pPr>
      <w:r>
        <w:rPr>
          <w:rFonts w:ascii="Arial" w:hAnsi="Arial" w:cs="Arial"/>
          <w:bCs/>
          <w:color w:val="000000"/>
          <w:sz w:val="22"/>
          <w:szCs w:val="22"/>
        </w:rPr>
        <w:t>Sinop/MT, 07 de agosto de 2026.</w:t>
      </w:r>
    </w:p>
    <w:p w14:paraId="03270ECF">
      <w:pPr>
        <w:spacing w:line="360" w:lineRule="auto"/>
        <w:contextualSpacing/>
        <w:rPr>
          <w:rFonts w:ascii="Arial" w:hAnsi="Arial" w:cs="Arial"/>
          <w:bCs/>
          <w:color w:val="000000"/>
          <w:sz w:val="22"/>
          <w:szCs w:val="22"/>
        </w:rPr>
      </w:pPr>
    </w:p>
    <w:p w14:paraId="49959C90">
      <w:pPr>
        <w:pStyle w:val="9"/>
        <w:jc w:val="center"/>
        <w:rPr>
          <w:b/>
          <w:bCs/>
        </w:rPr>
      </w:pPr>
      <w:r>
        <w:rPr>
          <w:b/>
          <w:bCs/>
        </w:rPr>
        <w:t>SIDELINA RODRIGUES DOS SANTOS</w:t>
      </w:r>
    </w:p>
    <w:p w14:paraId="0BA427CB">
      <w:pPr>
        <w:pStyle w:val="9"/>
        <w:jc w:val="center"/>
        <w:rPr>
          <w:b/>
          <w:bCs/>
        </w:rPr>
      </w:pPr>
      <w:r>
        <w:rPr>
          <w:b/>
          <w:bCs/>
        </w:rPr>
        <w:t>Matricula 2404</w:t>
      </w:r>
    </w:p>
    <w:p w14:paraId="3397444E">
      <w:pPr>
        <w:pStyle w:val="9"/>
        <w:jc w:val="center"/>
        <w:rPr>
          <w:b/>
          <w:bCs/>
        </w:rPr>
      </w:pPr>
      <w:r>
        <w:rPr>
          <w:b/>
          <w:bCs/>
        </w:rPr>
        <w:t>Portaria 0571/2026</w:t>
      </w:r>
    </w:p>
    <w:p w14:paraId="2DF8E7CF">
      <w:pPr>
        <w:pStyle w:val="9"/>
        <w:jc w:val="center"/>
        <w:rPr>
          <w:rFonts w:eastAsia="Arial Narrow"/>
          <w:b/>
          <w:bCs/>
          <w:color w:val="000000"/>
        </w:rPr>
      </w:pPr>
      <w:r>
        <w:rPr>
          <w:b/>
          <w:bCs/>
        </w:rPr>
        <w:t>(Equipe de Planejamento das Contratações)</w:t>
      </w:r>
    </w:p>
    <w:p w14:paraId="303BFCE0">
      <w:pPr>
        <w:pStyle w:val="9"/>
      </w:pPr>
    </w:p>
    <w:tbl>
      <w:tblPr>
        <w:tblStyle w:val="21"/>
        <w:tblW w:w="94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6"/>
      </w:tblGrid>
      <w:tr w14:paraId="0A9CC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436" w:type="dxa"/>
            <w:shd w:val="clear" w:color="auto" w:fill="D7D7D7" w:themeFill="background1" w:themeFillShade="D8"/>
            <w:vAlign w:val="center"/>
          </w:tcPr>
          <w:p w14:paraId="0860F4D2">
            <w:pPr>
              <w:spacing w:line="240" w:lineRule="auto"/>
              <w:ind w:firstLine="1651" w:firstLineChars="750"/>
              <w:rPr>
                <w:rFonts w:ascii="Arial" w:hAnsi="Arial" w:cs="Arial"/>
                <w:b/>
                <w:sz w:val="22"/>
                <w:szCs w:val="22"/>
              </w:rPr>
            </w:pPr>
            <w:r>
              <w:rPr>
                <w:rFonts w:ascii="Arial" w:hAnsi="Arial" w:cs="Arial"/>
                <w:b/>
                <w:sz w:val="22"/>
                <w:szCs w:val="22"/>
              </w:rPr>
              <w:t>13.CIÊNCIA</w:t>
            </w:r>
            <w:r>
              <w:rPr>
                <w:rFonts w:ascii="Arial" w:hAnsi="Arial" w:cs="Arial"/>
                <w:b/>
                <w:spacing w:val="-1"/>
                <w:sz w:val="22"/>
                <w:szCs w:val="22"/>
              </w:rPr>
              <w:t xml:space="preserve"> </w:t>
            </w:r>
            <w:r>
              <w:rPr>
                <w:rFonts w:ascii="Arial" w:hAnsi="Arial" w:cs="Arial"/>
                <w:b/>
                <w:sz w:val="22"/>
                <w:szCs w:val="22"/>
              </w:rPr>
              <w:t>DA</w:t>
            </w:r>
            <w:r>
              <w:rPr>
                <w:rFonts w:ascii="Arial" w:hAnsi="Arial" w:cs="Arial"/>
                <w:b/>
                <w:spacing w:val="-1"/>
                <w:sz w:val="22"/>
                <w:szCs w:val="22"/>
              </w:rPr>
              <w:t xml:space="preserve"> </w:t>
            </w:r>
            <w:r>
              <w:rPr>
                <w:rFonts w:ascii="Arial" w:hAnsi="Arial" w:cs="Arial"/>
                <w:b/>
                <w:sz w:val="22"/>
                <w:szCs w:val="22"/>
              </w:rPr>
              <w:t xml:space="preserve">AUTORIDADE </w:t>
            </w:r>
            <w:r>
              <w:rPr>
                <w:rFonts w:ascii="Arial" w:hAnsi="Arial" w:cs="Arial"/>
                <w:b/>
                <w:spacing w:val="-2"/>
                <w:sz w:val="22"/>
                <w:szCs w:val="22"/>
              </w:rPr>
              <w:t>COMPETENTE</w:t>
            </w:r>
          </w:p>
        </w:tc>
      </w:tr>
    </w:tbl>
    <w:p w14:paraId="3CB6058F">
      <w:pPr>
        <w:pStyle w:val="9"/>
      </w:pPr>
    </w:p>
    <w:p w14:paraId="2E000130">
      <w:pPr>
        <w:pStyle w:val="28"/>
        <w:tabs>
          <w:tab w:val="left" w:pos="407"/>
        </w:tabs>
        <w:spacing w:line="240" w:lineRule="auto"/>
        <w:rPr>
          <w:rFonts w:ascii="Arial" w:hAnsi="Arial" w:cs="Arial"/>
          <w:sz w:val="22"/>
          <w:szCs w:val="22"/>
          <w:lang w:val="pt-BR"/>
        </w:rPr>
      </w:pPr>
      <w:r>
        <w:rPr>
          <w:rFonts w:ascii="Arial" w:hAnsi="Arial" w:cs="Arial"/>
          <w:spacing w:val="-10"/>
          <w:sz w:val="22"/>
          <w:szCs w:val="22"/>
          <w:lang w:val="pt-BR"/>
        </w:rPr>
        <w:t>( X</w:t>
      </w:r>
      <w:r>
        <w:rPr>
          <w:rFonts w:ascii="Arial" w:hAnsi="Arial" w:cs="Arial"/>
          <w:sz w:val="22"/>
          <w:szCs w:val="22"/>
          <w:lang w:val="pt-BR"/>
        </w:rPr>
        <w:tab/>
      </w:r>
      <w:r>
        <w:rPr>
          <w:rFonts w:ascii="Arial" w:hAnsi="Arial" w:cs="Arial"/>
          <w:sz w:val="22"/>
          <w:szCs w:val="22"/>
          <w:lang w:val="pt-BR"/>
        </w:rPr>
        <w:t>)</w:t>
      </w:r>
      <w:r>
        <w:rPr>
          <w:rFonts w:ascii="Arial" w:hAnsi="Arial" w:cs="Arial"/>
          <w:spacing w:val="-10"/>
          <w:sz w:val="22"/>
          <w:szCs w:val="22"/>
          <w:lang w:val="pt-BR"/>
        </w:rPr>
        <w:t xml:space="preserve"> </w:t>
      </w:r>
      <w:r>
        <w:rPr>
          <w:rFonts w:ascii="Arial" w:hAnsi="Arial" w:cs="Arial"/>
          <w:sz w:val="22"/>
          <w:szCs w:val="22"/>
          <w:lang w:val="pt-BR"/>
        </w:rPr>
        <w:t>Concordo</w:t>
      </w:r>
      <w:r>
        <w:rPr>
          <w:rFonts w:ascii="Arial" w:hAnsi="Arial" w:cs="Arial"/>
          <w:spacing w:val="-10"/>
          <w:sz w:val="22"/>
          <w:szCs w:val="22"/>
          <w:lang w:val="pt-BR"/>
        </w:rPr>
        <w:t xml:space="preserve"> </w:t>
      </w:r>
      <w:r>
        <w:rPr>
          <w:rFonts w:ascii="Arial" w:hAnsi="Arial" w:cs="Arial"/>
          <w:sz w:val="22"/>
          <w:szCs w:val="22"/>
          <w:lang w:val="pt-BR"/>
        </w:rPr>
        <w:t>com</w:t>
      </w:r>
      <w:r>
        <w:rPr>
          <w:rFonts w:ascii="Arial" w:hAnsi="Arial" w:cs="Arial"/>
          <w:spacing w:val="-9"/>
          <w:sz w:val="22"/>
          <w:szCs w:val="22"/>
          <w:lang w:val="pt-BR"/>
        </w:rPr>
        <w:t xml:space="preserve"> </w:t>
      </w:r>
      <w:r>
        <w:rPr>
          <w:rFonts w:ascii="Arial" w:hAnsi="Arial" w:cs="Arial"/>
          <w:sz w:val="22"/>
          <w:szCs w:val="22"/>
          <w:lang w:val="pt-BR"/>
        </w:rPr>
        <w:t>o</w:t>
      </w:r>
      <w:r>
        <w:rPr>
          <w:rFonts w:ascii="Arial" w:hAnsi="Arial" w:cs="Arial"/>
          <w:spacing w:val="-9"/>
          <w:sz w:val="22"/>
          <w:szCs w:val="22"/>
          <w:lang w:val="pt-BR"/>
        </w:rPr>
        <w:t xml:space="preserve"> </w:t>
      </w:r>
      <w:r>
        <w:rPr>
          <w:rFonts w:ascii="Arial" w:hAnsi="Arial" w:cs="Arial"/>
          <w:sz w:val="22"/>
          <w:szCs w:val="22"/>
          <w:lang w:val="pt-BR"/>
        </w:rPr>
        <w:t>Termo</w:t>
      </w:r>
      <w:r>
        <w:rPr>
          <w:rFonts w:ascii="Arial" w:hAnsi="Arial" w:cs="Arial"/>
          <w:spacing w:val="-9"/>
          <w:sz w:val="22"/>
          <w:szCs w:val="22"/>
          <w:lang w:val="pt-BR"/>
        </w:rPr>
        <w:t xml:space="preserve"> </w:t>
      </w:r>
      <w:r>
        <w:rPr>
          <w:rFonts w:ascii="Arial" w:hAnsi="Arial" w:cs="Arial"/>
          <w:sz w:val="22"/>
          <w:szCs w:val="22"/>
          <w:lang w:val="pt-BR"/>
        </w:rPr>
        <w:t>de</w:t>
      </w:r>
      <w:r>
        <w:rPr>
          <w:rFonts w:ascii="Arial" w:hAnsi="Arial" w:cs="Arial"/>
          <w:spacing w:val="-10"/>
          <w:sz w:val="22"/>
          <w:szCs w:val="22"/>
          <w:lang w:val="pt-BR"/>
        </w:rPr>
        <w:t xml:space="preserve"> </w:t>
      </w:r>
      <w:r>
        <w:rPr>
          <w:rFonts w:ascii="Arial" w:hAnsi="Arial" w:cs="Arial"/>
          <w:sz w:val="22"/>
          <w:szCs w:val="22"/>
          <w:lang w:val="pt-BR"/>
        </w:rPr>
        <w:t>Referência</w:t>
      </w:r>
      <w:r>
        <w:rPr>
          <w:rFonts w:ascii="Arial" w:hAnsi="Arial" w:cs="Arial"/>
          <w:spacing w:val="-10"/>
          <w:sz w:val="22"/>
          <w:szCs w:val="22"/>
          <w:lang w:val="pt-BR"/>
        </w:rPr>
        <w:t xml:space="preserve"> </w:t>
      </w:r>
      <w:r>
        <w:rPr>
          <w:rFonts w:ascii="Arial" w:hAnsi="Arial" w:cs="Arial"/>
          <w:sz w:val="22"/>
          <w:szCs w:val="22"/>
          <w:lang w:val="pt-BR"/>
        </w:rPr>
        <w:t>realizado</w:t>
      </w:r>
      <w:r>
        <w:rPr>
          <w:rFonts w:ascii="Arial" w:hAnsi="Arial" w:cs="Arial"/>
          <w:spacing w:val="-7"/>
          <w:sz w:val="22"/>
          <w:szCs w:val="22"/>
          <w:lang w:val="pt-BR"/>
        </w:rPr>
        <w:t xml:space="preserve"> </w:t>
      </w:r>
      <w:r>
        <w:rPr>
          <w:rFonts w:ascii="Arial" w:hAnsi="Arial" w:cs="Arial"/>
          <w:sz w:val="22"/>
          <w:szCs w:val="22"/>
          <w:lang w:val="pt-BR"/>
        </w:rPr>
        <w:t>e</w:t>
      </w:r>
      <w:r>
        <w:rPr>
          <w:rFonts w:ascii="Arial" w:hAnsi="Arial" w:cs="Arial"/>
          <w:spacing w:val="-10"/>
          <w:sz w:val="22"/>
          <w:szCs w:val="22"/>
          <w:lang w:val="pt-BR"/>
        </w:rPr>
        <w:t xml:space="preserve"> </w:t>
      </w:r>
      <w:r>
        <w:rPr>
          <w:rFonts w:ascii="Arial" w:hAnsi="Arial" w:cs="Arial"/>
          <w:sz w:val="22"/>
          <w:szCs w:val="22"/>
          <w:lang w:val="pt-BR"/>
        </w:rPr>
        <w:t>autorizo</w:t>
      </w:r>
      <w:r>
        <w:rPr>
          <w:rFonts w:ascii="Arial" w:hAnsi="Arial" w:cs="Arial"/>
          <w:spacing w:val="-9"/>
          <w:sz w:val="22"/>
          <w:szCs w:val="22"/>
          <w:lang w:val="pt-BR"/>
        </w:rPr>
        <w:t xml:space="preserve"> </w:t>
      </w:r>
      <w:r>
        <w:rPr>
          <w:rFonts w:ascii="Arial" w:hAnsi="Arial" w:cs="Arial"/>
          <w:sz w:val="22"/>
          <w:szCs w:val="22"/>
          <w:lang w:val="pt-BR"/>
        </w:rPr>
        <w:t>a</w:t>
      </w:r>
      <w:r>
        <w:rPr>
          <w:rFonts w:ascii="Arial" w:hAnsi="Arial" w:cs="Arial"/>
          <w:spacing w:val="-10"/>
          <w:sz w:val="22"/>
          <w:szCs w:val="22"/>
          <w:lang w:val="pt-BR"/>
        </w:rPr>
        <w:t xml:space="preserve"> </w:t>
      </w:r>
      <w:r>
        <w:rPr>
          <w:rFonts w:ascii="Arial" w:hAnsi="Arial" w:cs="Arial"/>
          <w:sz w:val="22"/>
          <w:szCs w:val="22"/>
          <w:lang w:val="pt-BR"/>
        </w:rPr>
        <w:t>contratação nos termos da Lei 14.133/2021.</w:t>
      </w:r>
    </w:p>
    <w:p w14:paraId="513A57CB">
      <w:pPr>
        <w:pStyle w:val="28"/>
        <w:tabs>
          <w:tab w:val="left" w:pos="407"/>
        </w:tabs>
        <w:spacing w:line="240" w:lineRule="auto"/>
        <w:ind w:left="2400"/>
        <w:rPr>
          <w:rFonts w:ascii="Arial" w:hAnsi="Arial" w:cs="Arial"/>
          <w:sz w:val="22"/>
          <w:szCs w:val="22"/>
          <w:lang w:val="pt-BR"/>
        </w:rPr>
      </w:pPr>
    </w:p>
    <w:p w14:paraId="21B40B28">
      <w:pPr>
        <w:pStyle w:val="28"/>
        <w:tabs>
          <w:tab w:val="left" w:pos="407"/>
        </w:tabs>
        <w:spacing w:line="240" w:lineRule="auto"/>
        <w:ind w:left="2400"/>
        <w:rPr>
          <w:rFonts w:ascii="Arial" w:hAnsi="Arial" w:cs="Arial"/>
          <w:sz w:val="22"/>
          <w:szCs w:val="22"/>
          <w:lang w:val="pt-BR"/>
        </w:rPr>
      </w:pPr>
    </w:p>
    <w:p w14:paraId="4646D9EB">
      <w:pPr>
        <w:pStyle w:val="28"/>
        <w:spacing w:line="240" w:lineRule="auto"/>
        <w:rPr>
          <w:rFonts w:ascii="Arial" w:hAnsi="Arial" w:cs="Arial"/>
          <w:spacing w:val="-2"/>
          <w:sz w:val="22"/>
          <w:szCs w:val="22"/>
          <w:lang w:val="pt-BR"/>
        </w:rPr>
      </w:pPr>
      <w:r>
        <w:rPr>
          <w:rFonts w:ascii="Arial" w:hAnsi="Arial" w:cs="Arial"/>
          <w:sz w:val="22"/>
          <w:szCs w:val="22"/>
          <w:lang w:val="pt-BR"/>
        </w:rPr>
        <w:t xml:space="preserve">Sinop/MT, </w:t>
      </w:r>
      <w:r>
        <w:rPr>
          <w:rFonts w:ascii="Arial" w:hAnsi="Arial" w:cs="Arial"/>
          <w:bCs/>
          <w:color w:val="000000"/>
          <w:sz w:val="22"/>
          <w:szCs w:val="22"/>
        </w:rPr>
        <w:t>07 de agosto de 2026</w:t>
      </w:r>
      <w:r>
        <w:rPr>
          <w:rFonts w:ascii="Arial" w:hAnsi="Arial" w:cs="Arial"/>
          <w:spacing w:val="-2"/>
          <w:sz w:val="22"/>
          <w:szCs w:val="22"/>
          <w:lang w:val="pt-BR"/>
        </w:rPr>
        <w:t>.</w:t>
      </w:r>
    </w:p>
    <w:p w14:paraId="2722D7AD">
      <w:pPr>
        <w:pStyle w:val="28"/>
        <w:spacing w:line="240" w:lineRule="auto"/>
        <w:ind w:left="2400"/>
        <w:rPr>
          <w:rFonts w:ascii="Arial" w:hAnsi="Arial" w:cs="Arial"/>
          <w:spacing w:val="-2"/>
          <w:sz w:val="22"/>
          <w:szCs w:val="22"/>
          <w:lang w:val="pt-BR"/>
        </w:rPr>
      </w:pPr>
    </w:p>
    <w:p w14:paraId="7EB8D060">
      <w:pPr>
        <w:pStyle w:val="28"/>
        <w:spacing w:line="240" w:lineRule="auto"/>
        <w:rPr>
          <w:rFonts w:ascii="Arial" w:hAnsi="Arial" w:cs="Arial"/>
          <w:spacing w:val="-2"/>
          <w:sz w:val="22"/>
          <w:szCs w:val="22"/>
          <w:lang w:val="pt-BR"/>
        </w:rPr>
      </w:pPr>
    </w:p>
    <w:p w14:paraId="4BDCB6BD">
      <w:pPr>
        <w:pStyle w:val="28"/>
        <w:spacing w:line="240" w:lineRule="auto"/>
        <w:rPr>
          <w:rFonts w:ascii="Arial" w:hAnsi="Arial" w:cs="Arial"/>
          <w:spacing w:val="-2"/>
          <w:sz w:val="22"/>
          <w:szCs w:val="22"/>
          <w:lang w:val="pt-BR"/>
        </w:rPr>
      </w:pPr>
    </w:p>
    <w:p w14:paraId="1DA317B2">
      <w:pPr>
        <w:pStyle w:val="28"/>
        <w:spacing w:line="240" w:lineRule="auto"/>
        <w:rPr>
          <w:rFonts w:ascii="Arial" w:hAnsi="Arial" w:cs="Arial"/>
          <w:spacing w:val="-2"/>
          <w:sz w:val="22"/>
          <w:szCs w:val="22"/>
          <w:lang w:val="pt-BR"/>
        </w:rPr>
      </w:pPr>
    </w:p>
    <w:p w14:paraId="131EEC7D">
      <w:pPr>
        <w:pStyle w:val="28"/>
        <w:spacing w:line="240" w:lineRule="auto"/>
        <w:ind w:left="2400"/>
        <w:jc w:val="center"/>
        <w:rPr>
          <w:rFonts w:ascii="Arial" w:hAnsi="Arial" w:cs="Arial"/>
          <w:spacing w:val="-2"/>
          <w:sz w:val="22"/>
          <w:szCs w:val="22"/>
          <w:lang w:val="pt-BR"/>
        </w:rPr>
      </w:pPr>
    </w:p>
    <w:p w14:paraId="24632365">
      <w:pPr>
        <w:spacing w:line="240" w:lineRule="auto"/>
        <w:jc w:val="center"/>
        <w:rPr>
          <w:rFonts w:ascii="Arial" w:hAnsi="Arial" w:cs="Arial"/>
          <w:b/>
          <w:bCs/>
          <w:sz w:val="22"/>
          <w:szCs w:val="22"/>
        </w:rPr>
      </w:pPr>
      <w:r>
        <w:rPr>
          <w:rFonts w:ascii="Arial" w:hAnsi="Arial" w:cs="Arial"/>
          <w:b/>
          <w:bCs/>
          <w:sz w:val="22"/>
          <w:szCs w:val="22"/>
        </w:rPr>
        <w:t>ELIZABETE CILIÃO GUILHERME</w:t>
      </w:r>
    </w:p>
    <w:p w14:paraId="0A51A513">
      <w:pPr>
        <w:spacing w:line="240" w:lineRule="auto"/>
        <w:contextualSpacing/>
        <w:jc w:val="center"/>
        <w:rPr>
          <w:rFonts w:ascii="Arial" w:hAnsi="Arial" w:cs="Arial"/>
          <w:b/>
          <w:sz w:val="22"/>
          <w:szCs w:val="22"/>
        </w:rPr>
      </w:pPr>
      <w:r>
        <w:rPr>
          <w:rFonts w:ascii="Arial" w:hAnsi="Arial" w:cs="Arial"/>
          <w:b/>
          <w:sz w:val="22"/>
          <w:szCs w:val="22"/>
        </w:rPr>
        <w:t>Secretária Municipal de Administração e Modernização</w:t>
      </w:r>
    </w:p>
    <w:p w14:paraId="79367309">
      <w:pPr>
        <w:spacing w:line="240" w:lineRule="auto"/>
        <w:contextualSpacing/>
        <w:jc w:val="center"/>
        <w:rPr>
          <w:rFonts w:ascii="Arial" w:hAnsi="Arial" w:cs="Arial"/>
          <w:b/>
          <w:sz w:val="22"/>
          <w:szCs w:val="22"/>
        </w:rPr>
      </w:pPr>
    </w:p>
    <w:p w14:paraId="38E815C2">
      <w:pPr>
        <w:spacing w:line="240" w:lineRule="auto"/>
        <w:contextualSpacing/>
        <w:jc w:val="center"/>
        <w:rPr>
          <w:rFonts w:ascii="Arial" w:hAnsi="Arial" w:cs="Arial"/>
          <w:b/>
          <w:sz w:val="22"/>
          <w:szCs w:val="22"/>
        </w:rPr>
      </w:pPr>
    </w:p>
    <w:sectPr>
      <w:headerReference r:id="rId5" w:type="default"/>
      <w:footerReference r:id="rId6" w:type="default"/>
      <w:pgSz w:w="11906" w:h="16838"/>
      <w:pgMar w:top="1418" w:right="1276" w:bottom="1276" w:left="1418" w:header="284" w:footer="170"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Goudy Old Style">
    <w:altName w:val="PMingLiU-ExtB"/>
    <w:panose1 w:val="02020502050305020303"/>
    <w:charset w:val="00"/>
    <w:family w:val="roman"/>
    <w:pitch w:val="default"/>
    <w:sig w:usb0="00000000" w:usb1="00000000" w:usb2="00000000" w:usb3="00000000" w:csb0="00000001" w:csb1="00000000"/>
  </w:font>
  <w:font w:name="PMingLiU-ExtB">
    <w:panose1 w:val="02020500000000000000"/>
    <w:charset w:val="88"/>
    <w:family w:val="auto"/>
    <w:pitch w:val="default"/>
    <w:sig w:usb0="8000002F" w:usb1="02000008" w:usb2="00000000" w:usb3="00000000" w:csb0="0010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Garamond">
    <w:altName w:val="PMingLiU-ExtB"/>
    <w:panose1 w:val="02020404030301010803"/>
    <w:charset w:val="00"/>
    <w:family w:val="roman"/>
    <w:pitch w:val="default"/>
    <w:sig w:usb0="00000000" w:usb1="00000000" w:usb2="00000000" w:usb3="00000000" w:csb0="0000009F" w:csb1="00000000"/>
  </w:font>
  <w:font w:name="Wingdings">
    <w:panose1 w:val="05000000000000000000"/>
    <w:charset w:val="02"/>
    <w:family w:val="auto"/>
    <w:pitch w:val="default"/>
    <w:sig w:usb0="00000000" w:usb1="00000000" w:usb2="00000000" w:usb3="00000000" w:csb0="80000000" w:csb1="00000000"/>
  </w:font>
  <w:font w:name="Arial Unicode MS">
    <w:altName w:val="Yu Gothic"/>
    <w:panose1 w:val="020B0604020202020204"/>
    <w:charset w:val="80"/>
    <w:family w:val="swiss"/>
    <w:pitch w:val="default"/>
    <w:sig w:usb0="00000000" w:usb1="00000000" w:usb2="0000003F" w:usb3="00000000" w:csb0="003F01FF" w:csb1="00000000"/>
  </w:font>
  <w:font w:name="Yu Gothic">
    <w:panose1 w:val="020B0400000000000000"/>
    <w:charset w:val="80"/>
    <w:family w:val="auto"/>
    <w:pitch w:val="default"/>
    <w:sig w:usb0="E00002FF" w:usb1="2AC7FDFF" w:usb2="00000016" w:usb3="00000000" w:csb0="2002009F" w:csb1="00000000"/>
  </w:font>
  <w:font w:name="Arial Narrow">
    <w:altName w:val="Arial"/>
    <w:panose1 w:val="020B0606020202030204"/>
    <w:charset w:val="00"/>
    <w:family w:val="swiss"/>
    <w:pitch w:val="default"/>
    <w:sig w:usb0="00000000"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91833">
    <w:pPr>
      <w:pStyle w:val="9"/>
      <w:spacing w:line="240" w:lineRule="auto"/>
      <w:jc w:val="center"/>
      <w:rPr>
        <w:b/>
        <w:bCs/>
        <w:sz w:val="20"/>
        <w:szCs w:val="20"/>
      </w:rPr>
    </w:pPr>
    <w:r>
      <w:rPr>
        <w:b/>
        <w:bCs/>
        <w:sz w:val="20"/>
        <w:szCs w:val="20"/>
      </w:rPr>
      <w:t>Av. das Embaúbas, nº 1386, Setor Comercial, Sinop/MT, CEP 78550-206, Caixa Postal 500</w:t>
    </w:r>
    <w:r>
      <w:rPr>
        <w:b/>
        <w:bCs/>
        <w:spacing w:val="-52"/>
        <w:sz w:val="20"/>
        <w:szCs w:val="20"/>
      </w:rPr>
      <w:t xml:space="preserve"> </w:t>
    </w:r>
    <w:r>
      <w:rPr>
        <w:b/>
        <w:bCs/>
        <w:sz w:val="20"/>
        <w:szCs w:val="20"/>
      </w:rPr>
      <w:t>Telefones:</w:t>
    </w:r>
    <w:r>
      <w:rPr>
        <w:b/>
        <w:bCs/>
        <w:spacing w:val="-2"/>
        <w:sz w:val="20"/>
        <w:szCs w:val="20"/>
      </w:rPr>
      <w:t xml:space="preserve"> </w:t>
    </w:r>
    <w:r>
      <w:rPr>
        <w:b/>
        <w:bCs/>
        <w:sz w:val="20"/>
        <w:szCs w:val="20"/>
      </w:rPr>
      <w:t>(066)3520-7298</w:t>
    </w:r>
  </w:p>
  <w:p w14:paraId="3B0F88F8">
    <w:pPr>
      <w:pStyle w:val="16"/>
      <w:tabs>
        <w:tab w:val="right" w:pos="9212"/>
        <w:tab w:val="clear" w:pos="4252"/>
        <w:tab w:val="clear" w:pos="8504"/>
      </w:tabs>
      <w:jc w:val="center"/>
    </w:pPr>
    <w:r>
      <w:rPr>
        <w:rFonts w:ascii="Arial" w:hAnsi="Arial" w:cs="Arial"/>
        <w:b/>
        <w:bCs/>
        <w:sz w:val="20"/>
        <w:szCs w:val="20"/>
      </w:rPr>
      <w:tab/>
    </w:r>
    <w:r>
      <w:rPr>
        <w:rFonts w:hint="default" w:ascii="Arial" w:hAnsi="Arial" w:cs="Arial"/>
        <w:b/>
        <w:bCs/>
        <w:sz w:val="20"/>
        <w:szCs w:val="20"/>
        <w:lang w:val="pt-BR"/>
      </w:rPr>
      <w:t xml:space="preserve">                              </w:t>
    </w:r>
    <w:r>
      <w:rPr>
        <w:rFonts w:ascii="Arial" w:hAnsi="Arial" w:cs="Arial"/>
        <w:b/>
        <w:bCs/>
        <w:sz w:val="20"/>
        <w:szCs w:val="20"/>
      </w:rPr>
      <w:t>E-mail:</w:t>
    </w:r>
    <w:r>
      <w:rPr>
        <w:rFonts w:ascii="Arial" w:hAnsi="Arial" w:cs="Arial"/>
        <w:b/>
        <w:bCs/>
        <w:spacing w:val="-5"/>
        <w:sz w:val="20"/>
        <w:szCs w:val="20"/>
      </w:rPr>
      <w:t xml:space="preserve"> </w:t>
    </w:r>
    <w:r>
      <w:rPr>
        <w:sz w:val="20"/>
        <w:szCs w:val="20"/>
      </w:rPr>
      <w:fldChar w:fldCharType="begin"/>
    </w:r>
    <w:r>
      <w:rPr>
        <w:sz w:val="20"/>
        <w:szCs w:val="20"/>
      </w:rPr>
      <w:instrText xml:space="preserve"> HYPERLINK "mailto:licitacao@sinop.mt.gov.br" \h </w:instrText>
    </w:r>
    <w:r>
      <w:rPr>
        <w:sz w:val="20"/>
        <w:szCs w:val="20"/>
      </w:rPr>
      <w:fldChar w:fldCharType="separate"/>
    </w:r>
    <w:r>
      <w:rPr>
        <w:rFonts w:ascii="Arial" w:hAnsi="Arial" w:cs="Arial"/>
        <w:b/>
        <w:bCs/>
        <w:color w:val="0000FF"/>
        <w:sz w:val="20"/>
        <w:szCs w:val="20"/>
      </w:rPr>
      <w:t>licitacao@sinop.mt.gov.br</w:t>
    </w:r>
    <w:r>
      <w:rPr>
        <w:rFonts w:ascii="Arial" w:hAnsi="Arial" w:cs="Arial"/>
        <w:b/>
        <w:bCs/>
        <w:color w:val="0000FF"/>
        <w:sz w:val="20"/>
        <w:szCs w:val="20"/>
      </w:rPr>
      <w:fldChar w:fldCharType="end"/>
    </w:r>
    <w:r>
      <w:rPr>
        <w:sz w:val="20"/>
        <w:szCs w:val="20"/>
      </w:rPr>
      <w:t xml:space="preserve">  </w:t>
    </w:r>
    <w:r>
      <w:t xml:space="preserve">                                  </w:t>
    </w: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2F645">
    <w:pPr>
      <w:pStyle w:val="14"/>
      <w:jc w:val="center"/>
    </w:pPr>
    <w:r>
      <w:drawing>
        <wp:inline distT="0" distB="0" distL="0" distR="0">
          <wp:extent cx="942340" cy="786765"/>
          <wp:effectExtent l="0" t="0" r="0" b="0"/>
          <wp:docPr id="1430064218"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064218" name="Imagem 1" descr="logo2"/>
                  <pic:cNvPicPr>
                    <a:picLocks noChangeAspect="1" noChangeArrowheads="1"/>
                  </pic:cNvPicPr>
                </pic:nvPicPr>
                <pic:blipFill>
                  <a:blip r:embed="rId1"/>
                  <a:srcRect/>
                  <a:stretch>
                    <a:fillRect/>
                  </a:stretch>
                </pic:blipFill>
                <pic:spPr>
                  <a:xfrm>
                    <a:off x="0" y="0"/>
                    <a:ext cx="947798" cy="791602"/>
                  </a:xfrm>
                  <a:prstGeom prst="rect">
                    <a:avLst/>
                  </a:prstGeom>
                  <a:noFill/>
                  <a:ln w="9525">
                    <a:noFill/>
                    <a:miter lim="800000"/>
                    <a:headEnd/>
                    <a:tailEnd/>
                  </a:ln>
                </pic:spPr>
              </pic:pic>
            </a:graphicData>
          </a:graphic>
        </wp:inline>
      </w:drawing>
    </w:r>
  </w:p>
  <w:p w14:paraId="734B746A">
    <w:pPr>
      <w:pStyle w:val="14"/>
      <w:jc w:val="center"/>
    </w:pPr>
    <w:r>
      <w:pict>
        <v:shape id="PowerPlusWaterMarkObject69264" o:spid="_x0000_s3073" o:spt="136" type="#_x0000_t136" style="position:absolute;left:0pt;margin-left:0pt;margin-top:0pt;height:0pt;width:0pt;mso-position-horizontal-relative:margin;mso-position-vertical-relative:margin;z-index:-251657216;mso-width-relative:page;mso-height-relative:page;" fillcolor="#000000" filled="t" stroked="f" coordsize="21600,21600">
          <v:path/>
          <v:fill on="t" opacity="58982f" focussize="0,0"/>
          <v:stroke on="f"/>
          <v:imagedata o:title=""/>
          <o:lock v:ext="edit" aspectratio="t"/>
          <v:textpath on="t" fitshape="t" fitpath="t" trim="t" xscale="f" string="CPL&#10;Proc nº _____&#10;Fls nº ______&#10;Visto ______" style="font-family:Arial;font-size:60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368CB4"/>
    <w:multiLevelType w:val="singleLevel"/>
    <w:tmpl w:val="BB368CB4"/>
    <w:lvl w:ilvl="0" w:tentative="0">
      <w:start w:val="1"/>
      <w:numFmt w:val="upperRoman"/>
      <w:lvlText w:val="%1."/>
      <w:lvlJc w:val="left"/>
      <w:pPr>
        <w:tabs>
          <w:tab w:val="left" w:pos="425"/>
        </w:tabs>
        <w:ind w:left="425" w:hanging="425"/>
      </w:pPr>
      <w:rPr>
        <w:b/>
        <w:bCs/>
      </w:rPr>
    </w:lvl>
  </w:abstractNum>
  <w:abstractNum w:abstractNumId="1">
    <w:nsid w:val="C3666B13"/>
    <w:multiLevelType w:val="singleLevel"/>
    <w:tmpl w:val="C3666B13"/>
    <w:lvl w:ilvl="0" w:tentative="0">
      <w:start w:val="11"/>
      <w:numFmt w:val="decimal"/>
      <w:suff w:val="space"/>
      <w:lvlText w:val="%1."/>
      <w:lvlJc w:val="left"/>
      <w:rPr>
        <w:rFonts w:hint="default"/>
        <w:b/>
        <w:bCs/>
      </w:rPr>
    </w:lvl>
  </w:abstractNum>
  <w:abstractNum w:abstractNumId="2">
    <w:nsid w:val="CD5739A3"/>
    <w:multiLevelType w:val="singleLevel"/>
    <w:tmpl w:val="CD5739A3"/>
    <w:lvl w:ilvl="0" w:tentative="0">
      <w:start w:val="1"/>
      <w:numFmt w:val="lowerLetter"/>
      <w:suff w:val="space"/>
      <w:lvlText w:val="%1)"/>
      <w:lvlJc w:val="left"/>
      <w:rPr>
        <w:rFonts w:hint="default" w:ascii="Arial" w:hAnsi="Arial" w:cs="Arial"/>
        <w:b/>
        <w:bCs/>
        <w:sz w:val="22"/>
        <w:szCs w:val="22"/>
      </w:rPr>
    </w:lvl>
  </w:abstractNum>
  <w:abstractNum w:abstractNumId="3">
    <w:nsid w:val="D9DE0074"/>
    <w:multiLevelType w:val="singleLevel"/>
    <w:tmpl w:val="D9DE0074"/>
    <w:lvl w:ilvl="0" w:tentative="0">
      <w:start w:val="1"/>
      <w:numFmt w:val="bullet"/>
      <w:lvlText w:val=""/>
      <w:lvlJc w:val="left"/>
      <w:pPr>
        <w:tabs>
          <w:tab w:val="left" w:pos="420"/>
        </w:tabs>
        <w:ind w:left="420" w:hanging="420"/>
      </w:pPr>
      <w:rPr>
        <w:rFonts w:hint="default" w:ascii="Wingdings" w:hAnsi="Wingdings"/>
      </w:rPr>
    </w:lvl>
  </w:abstractNum>
  <w:abstractNum w:abstractNumId="4">
    <w:nsid w:val="E0E2787F"/>
    <w:multiLevelType w:val="singleLevel"/>
    <w:tmpl w:val="E0E2787F"/>
    <w:lvl w:ilvl="0" w:tentative="0">
      <w:start w:val="1"/>
      <w:numFmt w:val="bullet"/>
      <w:lvlText w:val=""/>
      <w:lvlJc w:val="left"/>
      <w:pPr>
        <w:tabs>
          <w:tab w:val="left" w:pos="420"/>
        </w:tabs>
        <w:ind w:left="420" w:hanging="420"/>
      </w:pPr>
      <w:rPr>
        <w:rFonts w:hint="default" w:ascii="Wingdings" w:hAnsi="Wingdings"/>
      </w:rPr>
    </w:lvl>
  </w:abstractNum>
  <w:abstractNum w:abstractNumId="5">
    <w:nsid w:val="13AC5F97"/>
    <w:multiLevelType w:val="multilevel"/>
    <w:tmpl w:val="13AC5F9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1D5C100D"/>
    <w:multiLevelType w:val="multilevel"/>
    <w:tmpl w:val="1D5C100D"/>
    <w:lvl w:ilvl="0" w:tentative="0">
      <w:start w:val="1"/>
      <w:numFmt w:val="decimal"/>
      <w:pStyle w:val="38"/>
      <w:lvlText w:val="%1."/>
      <w:lvlJc w:val="left"/>
      <w:pPr>
        <w:ind w:left="360" w:hanging="360"/>
      </w:pPr>
      <w:rPr>
        <w:b/>
      </w:rPr>
    </w:lvl>
    <w:lvl w:ilvl="1" w:tentative="0">
      <w:start w:val="1"/>
      <w:numFmt w:val="decimal"/>
      <w:pStyle w:val="34"/>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39"/>
      <w:lvlText w:val="%1.%2.%3."/>
      <w:lvlJc w:val="left"/>
      <w:pPr>
        <w:ind w:left="1550" w:hanging="504"/>
      </w:pPr>
      <w:rPr>
        <w:rFonts w:hint="default" w:ascii="Arial" w:hAnsi="Arial"/>
        <w:b w:val="0"/>
        <w:i w:val="0"/>
        <w:strike w:val="0"/>
        <w:color w:val="auto"/>
        <w:sz w:val="20"/>
        <w:szCs w:val="20"/>
      </w:rPr>
    </w:lvl>
    <w:lvl w:ilvl="3" w:tentative="0">
      <w:start w:val="1"/>
      <w:numFmt w:val="decimal"/>
      <w:pStyle w:val="40"/>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7">
    <w:nsid w:val="2A2F0A66"/>
    <w:multiLevelType w:val="multilevel"/>
    <w:tmpl w:val="2A2F0A66"/>
    <w:lvl w:ilvl="0" w:tentative="0">
      <w:start w:val="9"/>
      <w:numFmt w:val="decimal"/>
      <w:lvlText w:val="%1."/>
      <w:lvlJc w:val="left"/>
      <w:pPr>
        <w:ind w:left="360" w:hanging="360"/>
      </w:pPr>
      <w:rPr>
        <w:rFonts w:hint="default"/>
        <w:b/>
        <w:i w:val="0"/>
      </w:rPr>
    </w:lvl>
    <w:lvl w:ilvl="1" w:tentative="0">
      <w:start w:val="6"/>
      <w:numFmt w:val="decimal"/>
      <w:lvlText w:val="%1.%2."/>
      <w:lvlJc w:val="left"/>
      <w:pPr>
        <w:ind w:left="1440" w:hanging="720"/>
      </w:pPr>
      <w:rPr>
        <w:rFonts w:hint="default"/>
        <w:b/>
        <w:i w:val="0"/>
      </w:rPr>
    </w:lvl>
    <w:lvl w:ilvl="2" w:tentative="0">
      <w:start w:val="1"/>
      <w:numFmt w:val="decimal"/>
      <w:lvlText w:val="%1.%2.%3."/>
      <w:lvlJc w:val="left"/>
      <w:pPr>
        <w:ind w:left="2160" w:hanging="720"/>
      </w:pPr>
      <w:rPr>
        <w:rFonts w:hint="default"/>
        <w:b/>
        <w:i w:val="0"/>
      </w:rPr>
    </w:lvl>
    <w:lvl w:ilvl="3" w:tentative="0">
      <w:start w:val="1"/>
      <w:numFmt w:val="decimal"/>
      <w:lvlText w:val="%1.%2.%3.%4."/>
      <w:lvlJc w:val="left"/>
      <w:pPr>
        <w:ind w:left="3240" w:hanging="1080"/>
      </w:pPr>
      <w:rPr>
        <w:rFonts w:hint="default"/>
        <w:b/>
        <w:i w:val="0"/>
      </w:rPr>
    </w:lvl>
    <w:lvl w:ilvl="4" w:tentative="0">
      <w:start w:val="1"/>
      <w:numFmt w:val="upperLetter"/>
      <w:lvlText w:val="%1.%2.%3.%4.%5."/>
      <w:lvlJc w:val="left"/>
      <w:pPr>
        <w:ind w:left="3960" w:hanging="1080"/>
      </w:pPr>
      <w:rPr>
        <w:rFonts w:hint="default"/>
        <w:b/>
        <w:i w:val="0"/>
      </w:rPr>
    </w:lvl>
    <w:lvl w:ilvl="5" w:tentative="0">
      <w:start w:val="1"/>
      <w:numFmt w:val="decimal"/>
      <w:lvlText w:val="%1.%2.%3.%4.%5.%6."/>
      <w:lvlJc w:val="left"/>
      <w:pPr>
        <w:ind w:left="5040" w:hanging="1440"/>
      </w:pPr>
      <w:rPr>
        <w:rFonts w:hint="default"/>
        <w:b/>
        <w:i w:val="0"/>
      </w:rPr>
    </w:lvl>
    <w:lvl w:ilvl="6" w:tentative="0">
      <w:start w:val="1"/>
      <w:numFmt w:val="decimal"/>
      <w:lvlText w:val="%1.%2.%3.%4.%5.%6.%7."/>
      <w:lvlJc w:val="left"/>
      <w:pPr>
        <w:ind w:left="5760" w:hanging="1440"/>
      </w:pPr>
      <w:rPr>
        <w:rFonts w:hint="default"/>
        <w:b/>
        <w:i w:val="0"/>
      </w:rPr>
    </w:lvl>
    <w:lvl w:ilvl="7" w:tentative="0">
      <w:start w:val="1"/>
      <w:numFmt w:val="decimal"/>
      <w:lvlText w:val="%1.%2.%3.%4.%5.%6.%7.%8."/>
      <w:lvlJc w:val="left"/>
      <w:pPr>
        <w:ind w:left="6840" w:hanging="1800"/>
      </w:pPr>
      <w:rPr>
        <w:rFonts w:hint="default"/>
        <w:b/>
        <w:i w:val="0"/>
      </w:rPr>
    </w:lvl>
    <w:lvl w:ilvl="8" w:tentative="0">
      <w:start w:val="1"/>
      <w:numFmt w:val="decimal"/>
      <w:lvlText w:val="%1.%2.%3.%4.%5.%6.%7.%8.%9."/>
      <w:lvlJc w:val="left"/>
      <w:pPr>
        <w:ind w:left="7560" w:hanging="1800"/>
      </w:pPr>
      <w:rPr>
        <w:rFonts w:hint="default"/>
        <w:b/>
        <w:i w:val="0"/>
      </w:rPr>
    </w:lvl>
  </w:abstractNum>
  <w:abstractNum w:abstractNumId="8">
    <w:nsid w:val="35CC025F"/>
    <w:multiLevelType w:val="multilevel"/>
    <w:tmpl w:val="35CC025F"/>
    <w:lvl w:ilvl="0" w:tentative="0">
      <w:start w:val="12"/>
      <w:numFmt w:val="decimal"/>
      <w:suff w:val="space"/>
      <w:lvlText w:val="%1."/>
      <w:lvlJc w:val="left"/>
    </w:lvl>
    <w:lvl w:ilvl="1" w:tentative="0">
      <w:start w:val="1"/>
      <w:numFmt w:val="decimal"/>
      <w:suff w:val="space"/>
      <w:lvlText w:val="%1.%2."/>
      <w:lvlJc w:val="left"/>
      <w:pPr>
        <w:ind w:left="0" w:firstLine="0"/>
      </w:pPr>
      <w:rPr>
        <w:rFonts w:hint="default"/>
        <w:b/>
        <w:bCs/>
      </w:rPr>
    </w:lvl>
    <w:lvl w:ilvl="2" w:tentative="0">
      <w:start w:val="1"/>
      <w:numFmt w:val="decimal"/>
      <w:suff w:val="space"/>
      <w:lvlText w:val="%1.%2.%3."/>
      <w:lvlJc w:val="left"/>
      <w:pPr>
        <w:ind w:left="0" w:firstLine="0"/>
      </w:pPr>
      <w:rPr>
        <w:rFonts w:hint="default"/>
        <w:b/>
        <w:bCs/>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9">
    <w:nsid w:val="4467E0CF"/>
    <w:multiLevelType w:val="singleLevel"/>
    <w:tmpl w:val="4467E0CF"/>
    <w:lvl w:ilvl="0" w:tentative="0">
      <w:start w:val="4"/>
      <w:numFmt w:val="decimal"/>
      <w:lvlText w:val="%1."/>
      <w:lvlJc w:val="left"/>
      <w:pPr>
        <w:tabs>
          <w:tab w:val="left" w:pos="312"/>
        </w:tabs>
      </w:pPr>
    </w:lvl>
  </w:abstractNum>
  <w:abstractNum w:abstractNumId="10">
    <w:nsid w:val="4D32F7BA"/>
    <w:multiLevelType w:val="multilevel"/>
    <w:tmpl w:val="4D32F7BA"/>
    <w:lvl w:ilvl="0" w:tentative="0">
      <w:start w:val="6"/>
      <w:numFmt w:val="decimal"/>
      <w:suff w:val="space"/>
      <w:lvlText w:val="%1."/>
      <w:lvlJc w:val="left"/>
      <w:rPr>
        <w:rFonts w:hint="default"/>
        <w:b/>
        <w:bCs/>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b/>
        <w:bCs/>
      </w:rPr>
    </w:lvl>
    <w:lvl w:ilvl="3" w:tentative="0">
      <w:start w:val="1"/>
      <w:numFmt w:val="decimal"/>
      <w:suff w:val="space"/>
      <w:lvlText w:val="%1.%2.%3.%4."/>
      <w:lvlJc w:val="left"/>
      <w:pPr>
        <w:ind w:left="0" w:firstLine="0"/>
      </w:pPr>
      <w:rPr>
        <w:rFonts w:hint="default"/>
        <w:b/>
        <w:bCs/>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1">
    <w:nsid w:val="5F021C2D"/>
    <w:multiLevelType w:val="multilevel"/>
    <w:tmpl w:val="5F021C2D"/>
    <w:lvl w:ilvl="0" w:tentative="0">
      <w:start w:val="1"/>
      <w:numFmt w:val="decimal"/>
      <w:lvlText w:val="%1."/>
      <w:lvlJc w:val="left"/>
      <w:pPr>
        <w:tabs>
          <w:tab w:val="left" w:pos="567"/>
        </w:tabs>
        <w:ind w:left="0" w:firstLine="0"/>
      </w:pPr>
      <w:rPr>
        <w:rFonts w:hint="default"/>
        <w:b/>
        <w:bCs/>
      </w:rPr>
    </w:lvl>
    <w:lvl w:ilvl="1" w:tentative="0">
      <w:start w:val="1"/>
      <w:numFmt w:val="decimal"/>
      <w:isLgl/>
      <w:lvlText w:val="%1.%2."/>
      <w:lvlJc w:val="left"/>
      <w:pPr>
        <w:ind w:left="720" w:hanging="720"/>
      </w:pPr>
      <w:rPr>
        <w:rFonts w:hint="default"/>
        <w:b/>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440" w:hanging="144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800" w:hanging="1800"/>
      </w:pPr>
      <w:rPr>
        <w:rFonts w:hint="default"/>
      </w:rPr>
    </w:lvl>
    <w:lvl w:ilvl="8" w:tentative="0">
      <w:start w:val="1"/>
      <w:numFmt w:val="decimal"/>
      <w:isLgl/>
      <w:lvlText w:val="%1.%2.%3.%4.%5.%6.%7.%8.%9."/>
      <w:lvlJc w:val="left"/>
      <w:pPr>
        <w:ind w:left="1800" w:hanging="1800"/>
      </w:pPr>
      <w:rPr>
        <w:rFonts w:hint="default"/>
      </w:rPr>
    </w:lvl>
  </w:abstractNum>
  <w:num w:numId="1">
    <w:abstractNumId w:val="6"/>
  </w:num>
  <w:num w:numId="2">
    <w:abstractNumId w:val="11"/>
  </w:num>
  <w:num w:numId="3">
    <w:abstractNumId w:val="5"/>
  </w:num>
  <w:num w:numId="4">
    <w:abstractNumId w:val="9"/>
  </w:num>
  <w:num w:numId="5">
    <w:abstractNumId w:val="10"/>
  </w:num>
  <w:num w:numId="6">
    <w:abstractNumId w:val="2"/>
  </w:num>
  <w:num w:numId="7">
    <w:abstractNumId w:val="3"/>
  </w:num>
  <w:num w:numId="8">
    <w:abstractNumId w:val="7"/>
  </w:num>
  <w:num w:numId="9">
    <w:abstractNumId w:val="4"/>
  </w:num>
  <w:num w:numId="10">
    <w:abstractNumId w:val="0"/>
    <w:lvlOverride w:ilvl="0">
      <w:startOverride w:val="1"/>
    </w:lvlOverride>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1,3"/>
    </o:shapelayout>
  </w:hdrShapeDefaults>
  <w:footnotePr>
    <w:footnote w:id="0"/>
    <w:footnote w:id="1"/>
  </w:footnotePr>
  <w:endnotePr>
    <w:endnote w:id="0"/>
    <w:endnote w:id="1"/>
  </w:endnotePr>
  <w:compat>
    <w:balanceSingleByteDoubleByteWidth/>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7378"/>
    <w:rsid w:val="00002DA7"/>
    <w:rsid w:val="00013A22"/>
    <w:rsid w:val="00016953"/>
    <w:rsid w:val="000250E9"/>
    <w:rsid w:val="00035F83"/>
    <w:rsid w:val="00040839"/>
    <w:rsid w:val="00046494"/>
    <w:rsid w:val="00053C87"/>
    <w:rsid w:val="0005657D"/>
    <w:rsid w:val="00060754"/>
    <w:rsid w:val="0007575C"/>
    <w:rsid w:val="000843AC"/>
    <w:rsid w:val="000955AE"/>
    <w:rsid w:val="000961EB"/>
    <w:rsid w:val="000A4A4E"/>
    <w:rsid w:val="000A54BA"/>
    <w:rsid w:val="000B34FD"/>
    <w:rsid w:val="000B37D6"/>
    <w:rsid w:val="000B4163"/>
    <w:rsid w:val="000B4EA6"/>
    <w:rsid w:val="000C2ECE"/>
    <w:rsid w:val="000C2FA5"/>
    <w:rsid w:val="000D2E6E"/>
    <w:rsid w:val="0010715A"/>
    <w:rsid w:val="00110F86"/>
    <w:rsid w:val="00111B69"/>
    <w:rsid w:val="001256FD"/>
    <w:rsid w:val="00131850"/>
    <w:rsid w:val="0014177E"/>
    <w:rsid w:val="001477D5"/>
    <w:rsid w:val="001506B5"/>
    <w:rsid w:val="00160259"/>
    <w:rsid w:val="0016498B"/>
    <w:rsid w:val="00165928"/>
    <w:rsid w:val="0017721B"/>
    <w:rsid w:val="00180526"/>
    <w:rsid w:val="001816D5"/>
    <w:rsid w:val="00185EB0"/>
    <w:rsid w:val="00186330"/>
    <w:rsid w:val="0018670F"/>
    <w:rsid w:val="001B1203"/>
    <w:rsid w:val="001B6E79"/>
    <w:rsid w:val="001D0432"/>
    <w:rsid w:val="001D4CB1"/>
    <w:rsid w:val="001D50BC"/>
    <w:rsid w:val="001E71EC"/>
    <w:rsid w:val="001F08DB"/>
    <w:rsid w:val="001F70BB"/>
    <w:rsid w:val="001F7FF4"/>
    <w:rsid w:val="00200211"/>
    <w:rsid w:val="00207906"/>
    <w:rsid w:val="00207E91"/>
    <w:rsid w:val="00213DB6"/>
    <w:rsid w:val="002202E6"/>
    <w:rsid w:val="00225159"/>
    <w:rsid w:val="00225A17"/>
    <w:rsid w:val="0023106F"/>
    <w:rsid w:val="00243C01"/>
    <w:rsid w:val="00250BF1"/>
    <w:rsid w:val="00256D16"/>
    <w:rsid w:val="00260CF8"/>
    <w:rsid w:val="00272153"/>
    <w:rsid w:val="00273477"/>
    <w:rsid w:val="00275464"/>
    <w:rsid w:val="00283889"/>
    <w:rsid w:val="00283C5A"/>
    <w:rsid w:val="002A5A30"/>
    <w:rsid w:val="002B08C0"/>
    <w:rsid w:val="002B5831"/>
    <w:rsid w:val="002D2979"/>
    <w:rsid w:val="002D35EB"/>
    <w:rsid w:val="00302BCE"/>
    <w:rsid w:val="00317FE8"/>
    <w:rsid w:val="00336076"/>
    <w:rsid w:val="003408B6"/>
    <w:rsid w:val="003431AF"/>
    <w:rsid w:val="00356B77"/>
    <w:rsid w:val="0037045B"/>
    <w:rsid w:val="00373742"/>
    <w:rsid w:val="00380A14"/>
    <w:rsid w:val="00382F7F"/>
    <w:rsid w:val="00392C64"/>
    <w:rsid w:val="00397E70"/>
    <w:rsid w:val="003A0A07"/>
    <w:rsid w:val="003A66BB"/>
    <w:rsid w:val="003B3BB3"/>
    <w:rsid w:val="003C4263"/>
    <w:rsid w:val="003D2263"/>
    <w:rsid w:val="003D2663"/>
    <w:rsid w:val="003E036D"/>
    <w:rsid w:val="003E0E24"/>
    <w:rsid w:val="003E2954"/>
    <w:rsid w:val="003F1567"/>
    <w:rsid w:val="003F3042"/>
    <w:rsid w:val="003F305A"/>
    <w:rsid w:val="003F33FC"/>
    <w:rsid w:val="00400E22"/>
    <w:rsid w:val="0040100A"/>
    <w:rsid w:val="0040384B"/>
    <w:rsid w:val="00404723"/>
    <w:rsid w:val="00406E07"/>
    <w:rsid w:val="004130A5"/>
    <w:rsid w:val="0041712F"/>
    <w:rsid w:val="0042000B"/>
    <w:rsid w:val="00436066"/>
    <w:rsid w:val="0044188B"/>
    <w:rsid w:val="00442639"/>
    <w:rsid w:val="004537B2"/>
    <w:rsid w:val="00457325"/>
    <w:rsid w:val="00457836"/>
    <w:rsid w:val="00466065"/>
    <w:rsid w:val="00473D63"/>
    <w:rsid w:val="004760A3"/>
    <w:rsid w:val="00481821"/>
    <w:rsid w:val="00483212"/>
    <w:rsid w:val="00483280"/>
    <w:rsid w:val="00483DA0"/>
    <w:rsid w:val="00487321"/>
    <w:rsid w:val="0049136D"/>
    <w:rsid w:val="004A427A"/>
    <w:rsid w:val="004A5ACC"/>
    <w:rsid w:val="004B1BC8"/>
    <w:rsid w:val="004B3C8B"/>
    <w:rsid w:val="004B4800"/>
    <w:rsid w:val="004C51EE"/>
    <w:rsid w:val="004D5B42"/>
    <w:rsid w:val="004D75AD"/>
    <w:rsid w:val="004F24FF"/>
    <w:rsid w:val="004F3CE8"/>
    <w:rsid w:val="005102DE"/>
    <w:rsid w:val="005103EE"/>
    <w:rsid w:val="005341B8"/>
    <w:rsid w:val="005351FA"/>
    <w:rsid w:val="00541539"/>
    <w:rsid w:val="00542022"/>
    <w:rsid w:val="00547661"/>
    <w:rsid w:val="0055292D"/>
    <w:rsid w:val="00552E3E"/>
    <w:rsid w:val="0056454E"/>
    <w:rsid w:val="00570BF7"/>
    <w:rsid w:val="00571D1B"/>
    <w:rsid w:val="00580537"/>
    <w:rsid w:val="00581926"/>
    <w:rsid w:val="00586D0C"/>
    <w:rsid w:val="00594E79"/>
    <w:rsid w:val="005A1CB0"/>
    <w:rsid w:val="005A2EA3"/>
    <w:rsid w:val="005B42CD"/>
    <w:rsid w:val="005C5A62"/>
    <w:rsid w:val="005D237E"/>
    <w:rsid w:val="005D7378"/>
    <w:rsid w:val="005D74DA"/>
    <w:rsid w:val="005E4980"/>
    <w:rsid w:val="005F00BE"/>
    <w:rsid w:val="005F1D02"/>
    <w:rsid w:val="005F3850"/>
    <w:rsid w:val="005F3B83"/>
    <w:rsid w:val="00601573"/>
    <w:rsid w:val="0060344F"/>
    <w:rsid w:val="006045D8"/>
    <w:rsid w:val="0060796A"/>
    <w:rsid w:val="00612F1C"/>
    <w:rsid w:val="00614123"/>
    <w:rsid w:val="006200BD"/>
    <w:rsid w:val="00624CCE"/>
    <w:rsid w:val="00626245"/>
    <w:rsid w:val="006361F9"/>
    <w:rsid w:val="00641030"/>
    <w:rsid w:val="00643747"/>
    <w:rsid w:val="006470B6"/>
    <w:rsid w:val="00656DCD"/>
    <w:rsid w:val="006638C1"/>
    <w:rsid w:val="00663D59"/>
    <w:rsid w:val="0067546F"/>
    <w:rsid w:val="0067603E"/>
    <w:rsid w:val="00682584"/>
    <w:rsid w:val="00693137"/>
    <w:rsid w:val="006A0CDB"/>
    <w:rsid w:val="006C726A"/>
    <w:rsid w:val="006D287C"/>
    <w:rsid w:val="006E5B5D"/>
    <w:rsid w:val="006F1C30"/>
    <w:rsid w:val="006F6A35"/>
    <w:rsid w:val="0070230D"/>
    <w:rsid w:val="00704B9C"/>
    <w:rsid w:val="007137FE"/>
    <w:rsid w:val="00714804"/>
    <w:rsid w:val="00732636"/>
    <w:rsid w:val="00733F0A"/>
    <w:rsid w:val="00743C10"/>
    <w:rsid w:val="0075075E"/>
    <w:rsid w:val="00753647"/>
    <w:rsid w:val="007541F7"/>
    <w:rsid w:val="00760B98"/>
    <w:rsid w:val="00760E46"/>
    <w:rsid w:val="00760F8C"/>
    <w:rsid w:val="00761371"/>
    <w:rsid w:val="00776C46"/>
    <w:rsid w:val="007817B0"/>
    <w:rsid w:val="007B0EA2"/>
    <w:rsid w:val="007B2E51"/>
    <w:rsid w:val="007B300C"/>
    <w:rsid w:val="007B4E19"/>
    <w:rsid w:val="007C1320"/>
    <w:rsid w:val="007C26D3"/>
    <w:rsid w:val="007E20CB"/>
    <w:rsid w:val="007E3146"/>
    <w:rsid w:val="007F0373"/>
    <w:rsid w:val="007F5410"/>
    <w:rsid w:val="00802840"/>
    <w:rsid w:val="00805DEA"/>
    <w:rsid w:val="008115EE"/>
    <w:rsid w:val="00820828"/>
    <w:rsid w:val="008311B0"/>
    <w:rsid w:val="00833ED1"/>
    <w:rsid w:val="00844D44"/>
    <w:rsid w:val="00850E1E"/>
    <w:rsid w:val="00851083"/>
    <w:rsid w:val="00855CFA"/>
    <w:rsid w:val="008564C6"/>
    <w:rsid w:val="00867F6E"/>
    <w:rsid w:val="00892052"/>
    <w:rsid w:val="008A0532"/>
    <w:rsid w:val="008A256F"/>
    <w:rsid w:val="008B6316"/>
    <w:rsid w:val="008C699C"/>
    <w:rsid w:val="008D592A"/>
    <w:rsid w:val="008E045A"/>
    <w:rsid w:val="008E04B2"/>
    <w:rsid w:val="008E65D4"/>
    <w:rsid w:val="008E6F0C"/>
    <w:rsid w:val="008E7A3E"/>
    <w:rsid w:val="00901977"/>
    <w:rsid w:val="00910F08"/>
    <w:rsid w:val="009129C5"/>
    <w:rsid w:val="009151E8"/>
    <w:rsid w:val="00925176"/>
    <w:rsid w:val="00926B8B"/>
    <w:rsid w:val="00932D2A"/>
    <w:rsid w:val="00955982"/>
    <w:rsid w:val="00956F81"/>
    <w:rsid w:val="00964BB7"/>
    <w:rsid w:val="0096579C"/>
    <w:rsid w:val="00987BC3"/>
    <w:rsid w:val="009B05F9"/>
    <w:rsid w:val="009B1166"/>
    <w:rsid w:val="009B5475"/>
    <w:rsid w:val="009B7E95"/>
    <w:rsid w:val="009C05D3"/>
    <w:rsid w:val="009C2D39"/>
    <w:rsid w:val="009C6F04"/>
    <w:rsid w:val="009D4BA2"/>
    <w:rsid w:val="009E3457"/>
    <w:rsid w:val="009E4C17"/>
    <w:rsid w:val="00A01652"/>
    <w:rsid w:val="00A06A49"/>
    <w:rsid w:val="00A20631"/>
    <w:rsid w:val="00A237C7"/>
    <w:rsid w:val="00A32342"/>
    <w:rsid w:val="00A33CBF"/>
    <w:rsid w:val="00A350B4"/>
    <w:rsid w:val="00A427C0"/>
    <w:rsid w:val="00A4368A"/>
    <w:rsid w:val="00A47355"/>
    <w:rsid w:val="00A52BBD"/>
    <w:rsid w:val="00A53C29"/>
    <w:rsid w:val="00A710E6"/>
    <w:rsid w:val="00A73821"/>
    <w:rsid w:val="00A83B56"/>
    <w:rsid w:val="00A859AD"/>
    <w:rsid w:val="00A916D4"/>
    <w:rsid w:val="00A93DBC"/>
    <w:rsid w:val="00A94324"/>
    <w:rsid w:val="00AA5C06"/>
    <w:rsid w:val="00AB2F44"/>
    <w:rsid w:val="00AB3328"/>
    <w:rsid w:val="00AB6DA8"/>
    <w:rsid w:val="00AB7C16"/>
    <w:rsid w:val="00AC6459"/>
    <w:rsid w:val="00AD3FBB"/>
    <w:rsid w:val="00AD4B37"/>
    <w:rsid w:val="00AE7FA6"/>
    <w:rsid w:val="00AF06A7"/>
    <w:rsid w:val="00B12AF4"/>
    <w:rsid w:val="00B23AD0"/>
    <w:rsid w:val="00B33E5D"/>
    <w:rsid w:val="00B550B6"/>
    <w:rsid w:val="00B74723"/>
    <w:rsid w:val="00B7602C"/>
    <w:rsid w:val="00B92B10"/>
    <w:rsid w:val="00B93072"/>
    <w:rsid w:val="00B94BD0"/>
    <w:rsid w:val="00BB73C3"/>
    <w:rsid w:val="00BD32DF"/>
    <w:rsid w:val="00BD550E"/>
    <w:rsid w:val="00BE3937"/>
    <w:rsid w:val="00BE6D83"/>
    <w:rsid w:val="00BF355F"/>
    <w:rsid w:val="00BF35DC"/>
    <w:rsid w:val="00BF4A7C"/>
    <w:rsid w:val="00C02BF1"/>
    <w:rsid w:val="00C04EFC"/>
    <w:rsid w:val="00C05DE2"/>
    <w:rsid w:val="00C2072D"/>
    <w:rsid w:val="00C43DD7"/>
    <w:rsid w:val="00C47DA6"/>
    <w:rsid w:val="00C5626C"/>
    <w:rsid w:val="00C62867"/>
    <w:rsid w:val="00C822BA"/>
    <w:rsid w:val="00C837E3"/>
    <w:rsid w:val="00C83C3C"/>
    <w:rsid w:val="00C86908"/>
    <w:rsid w:val="00C97631"/>
    <w:rsid w:val="00CA0744"/>
    <w:rsid w:val="00CC74EB"/>
    <w:rsid w:val="00CD7DA6"/>
    <w:rsid w:val="00CE2534"/>
    <w:rsid w:val="00D06F85"/>
    <w:rsid w:val="00D23C0F"/>
    <w:rsid w:val="00D27B53"/>
    <w:rsid w:val="00D302DB"/>
    <w:rsid w:val="00D47A3C"/>
    <w:rsid w:val="00D55E6C"/>
    <w:rsid w:val="00D61DA4"/>
    <w:rsid w:val="00D63D4E"/>
    <w:rsid w:val="00D66AE3"/>
    <w:rsid w:val="00D823A7"/>
    <w:rsid w:val="00D874D7"/>
    <w:rsid w:val="00D9010B"/>
    <w:rsid w:val="00D94932"/>
    <w:rsid w:val="00DA6271"/>
    <w:rsid w:val="00DA761E"/>
    <w:rsid w:val="00DB0D03"/>
    <w:rsid w:val="00DB0E26"/>
    <w:rsid w:val="00DB5950"/>
    <w:rsid w:val="00DB5B25"/>
    <w:rsid w:val="00DC1EB1"/>
    <w:rsid w:val="00DD0129"/>
    <w:rsid w:val="00DF1014"/>
    <w:rsid w:val="00E054D5"/>
    <w:rsid w:val="00E0596C"/>
    <w:rsid w:val="00E07553"/>
    <w:rsid w:val="00E0761E"/>
    <w:rsid w:val="00E10E9B"/>
    <w:rsid w:val="00E201EA"/>
    <w:rsid w:val="00E215AA"/>
    <w:rsid w:val="00E21C7A"/>
    <w:rsid w:val="00E23EAC"/>
    <w:rsid w:val="00E24334"/>
    <w:rsid w:val="00E24A2F"/>
    <w:rsid w:val="00E2628D"/>
    <w:rsid w:val="00E31537"/>
    <w:rsid w:val="00E35894"/>
    <w:rsid w:val="00E659E9"/>
    <w:rsid w:val="00E7444E"/>
    <w:rsid w:val="00EA2B26"/>
    <w:rsid w:val="00EA6E47"/>
    <w:rsid w:val="00EB5088"/>
    <w:rsid w:val="00EB7475"/>
    <w:rsid w:val="00EB781A"/>
    <w:rsid w:val="00EC1DDF"/>
    <w:rsid w:val="00EF3FE8"/>
    <w:rsid w:val="00F01C55"/>
    <w:rsid w:val="00F11392"/>
    <w:rsid w:val="00F13346"/>
    <w:rsid w:val="00F15E67"/>
    <w:rsid w:val="00F17DED"/>
    <w:rsid w:val="00F237D6"/>
    <w:rsid w:val="00F26798"/>
    <w:rsid w:val="00F3541C"/>
    <w:rsid w:val="00F47A6C"/>
    <w:rsid w:val="00F560F1"/>
    <w:rsid w:val="00F565A2"/>
    <w:rsid w:val="00F56EF1"/>
    <w:rsid w:val="00F71974"/>
    <w:rsid w:val="00F77152"/>
    <w:rsid w:val="00F87128"/>
    <w:rsid w:val="00F908B7"/>
    <w:rsid w:val="00F96F95"/>
    <w:rsid w:val="00FA71FB"/>
    <w:rsid w:val="00FC15AA"/>
    <w:rsid w:val="00FC7C0D"/>
    <w:rsid w:val="00FC7F7D"/>
    <w:rsid w:val="010E5119"/>
    <w:rsid w:val="01370A76"/>
    <w:rsid w:val="01557A3F"/>
    <w:rsid w:val="01996A66"/>
    <w:rsid w:val="01F034BA"/>
    <w:rsid w:val="01FF0DD2"/>
    <w:rsid w:val="0220183C"/>
    <w:rsid w:val="02217D7C"/>
    <w:rsid w:val="0224659E"/>
    <w:rsid w:val="02462652"/>
    <w:rsid w:val="02BA4D88"/>
    <w:rsid w:val="02C72207"/>
    <w:rsid w:val="031E5D07"/>
    <w:rsid w:val="037607B4"/>
    <w:rsid w:val="03790F7F"/>
    <w:rsid w:val="03957F6E"/>
    <w:rsid w:val="03B5220B"/>
    <w:rsid w:val="03DA5B74"/>
    <w:rsid w:val="04016D59"/>
    <w:rsid w:val="04351FAF"/>
    <w:rsid w:val="0491110B"/>
    <w:rsid w:val="04961654"/>
    <w:rsid w:val="04A148E5"/>
    <w:rsid w:val="04A3012C"/>
    <w:rsid w:val="04B638C9"/>
    <w:rsid w:val="04BB5D0F"/>
    <w:rsid w:val="04DB0285"/>
    <w:rsid w:val="04E65FEE"/>
    <w:rsid w:val="05135000"/>
    <w:rsid w:val="051C69C7"/>
    <w:rsid w:val="05201F9D"/>
    <w:rsid w:val="053C7025"/>
    <w:rsid w:val="056611A2"/>
    <w:rsid w:val="0574717F"/>
    <w:rsid w:val="05D66F7F"/>
    <w:rsid w:val="05FD48BE"/>
    <w:rsid w:val="05FE4926"/>
    <w:rsid w:val="06045D04"/>
    <w:rsid w:val="06182B58"/>
    <w:rsid w:val="061B3C89"/>
    <w:rsid w:val="06A6224E"/>
    <w:rsid w:val="06ED64DB"/>
    <w:rsid w:val="06F4628E"/>
    <w:rsid w:val="06FD4A88"/>
    <w:rsid w:val="075B2C2F"/>
    <w:rsid w:val="079542D1"/>
    <w:rsid w:val="07A369F2"/>
    <w:rsid w:val="07D009B9"/>
    <w:rsid w:val="07F24F95"/>
    <w:rsid w:val="07FC1127"/>
    <w:rsid w:val="081F25E1"/>
    <w:rsid w:val="08360008"/>
    <w:rsid w:val="08397C0C"/>
    <w:rsid w:val="083D47A8"/>
    <w:rsid w:val="08976DA7"/>
    <w:rsid w:val="08BD2ED0"/>
    <w:rsid w:val="09136AA0"/>
    <w:rsid w:val="097658C7"/>
    <w:rsid w:val="099077E8"/>
    <w:rsid w:val="09F419BD"/>
    <w:rsid w:val="09F90A42"/>
    <w:rsid w:val="09FF175A"/>
    <w:rsid w:val="0A04733C"/>
    <w:rsid w:val="0A3E25DB"/>
    <w:rsid w:val="0ABB7EA6"/>
    <w:rsid w:val="0AC9001A"/>
    <w:rsid w:val="0ACB4625"/>
    <w:rsid w:val="0B007EF4"/>
    <w:rsid w:val="0B332E62"/>
    <w:rsid w:val="0B3C67F5"/>
    <w:rsid w:val="0B522F8C"/>
    <w:rsid w:val="0B7C0647"/>
    <w:rsid w:val="0BAB2C0C"/>
    <w:rsid w:val="0BAE140D"/>
    <w:rsid w:val="0BC00A3E"/>
    <w:rsid w:val="0BCF6DEE"/>
    <w:rsid w:val="0C150C17"/>
    <w:rsid w:val="0C365921"/>
    <w:rsid w:val="0CBB296F"/>
    <w:rsid w:val="0CBD16F5"/>
    <w:rsid w:val="0CCB0A0B"/>
    <w:rsid w:val="0CE360B2"/>
    <w:rsid w:val="0CFE7F60"/>
    <w:rsid w:val="0D0550DE"/>
    <w:rsid w:val="0D1F2693"/>
    <w:rsid w:val="0D3C7A45"/>
    <w:rsid w:val="0D411279"/>
    <w:rsid w:val="0D564DC3"/>
    <w:rsid w:val="0D5A2878"/>
    <w:rsid w:val="0DC36AF0"/>
    <w:rsid w:val="0E0258EE"/>
    <w:rsid w:val="0E31591A"/>
    <w:rsid w:val="0E991F00"/>
    <w:rsid w:val="0F920CB2"/>
    <w:rsid w:val="0FA120D4"/>
    <w:rsid w:val="0FB06CA4"/>
    <w:rsid w:val="0FBD2063"/>
    <w:rsid w:val="0FDE6D14"/>
    <w:rsid w:val="0FDF0277"/>
    <w:rsid w:val="100047F5"/>
    <w:rsid w:val="100449D5"/>
    <w:rsid w:val="10130B2C"/>
    <w:rsid w:val="101E557F"/>
    <w:rsid w:val="102C355B"/>
    <w:rsid w:val="10A4325A"/>
    <w:rsid w:val="10B35A73"/>
    <w:rsid w:val="10BE7687"/>
    <w:rsid w:val="10C15382"/>
    <w:rsid w:val="10D8654F"/>
    <w:rsid w:val="10DA7B9E"/>
    <w:rsid w:val="10F442DE"/>
    <w:rsid w:val="11256311"/>
    <w:rsid w:val="11566A60"/>
    <w:rsid w:val="116F5DB4"/>
    <w:rsid w:val="117748B7"/>
    <w:rsid w:val="118734E2"/>
    <w:rsid w:val="11BD6E8F"/>
    <w:rsid w:val="11DE2B19"/>
    <w:rsid w:val="121C1D25"/>
    <w:rsid w:val="12271D87"/>
    <w:rsid w:val="125B548D"/>
    <w:rsid w:val="12645616"/>
    <w:rsid w:val="129C1D6E"/>
    <w:rsid w:val="12BE59DD"/>
    <w:rsid w:val="12E50BB3"/>
    <w:rsid w:val="13450EB9"/>
    <w:rsid w:val="1358716F"/>
    <w:rsid w:val="135E3453"/>
    <w:rsid w:val="13847F91"/>
    <w:rsid w:val="13BA2358"/>
    <w:rsid w:val="13D54396"/>
    <w:rsid w:val="13F06245"/>
    <w:rsid w:val="13FA6766"/>
    <w:rsid w:val="140C7A20"/>
    <w:rsid w:val="143B2E41"/>
    <w:rsid w:val="14891FCE"/>
    <w:rsid w:val="1532274D"/>
    <w:rsid w:val="15433520"/>
    <w:rsid w:val="15545B0C"/>
    <w:rsid w:val="15BF08F9"/>
    <w:rsid w:val="15E248D7"/>
    <w:rsid w:val="161404C8"/>
    <w:rsid w:val="16385D45"/>
    <w:rsid w:val="16752211"/>
    <w:rsid w:val="167C4E25"/>
    <w:rsid w:val="168023D3"/>
    <w:rsid w:val="16FF05DD"/>
    <w:rsid w:val="170E31E4"/>
    <w:rsid w:val="17180C70"/>
    <w:rsid w:val="172944AC"/>
    <w:rsid w:val="172C3E85"/>
    <w:rsid w:val="17313DFF"/>
    <w:rsid w:val="17D14663"/>
    <w:rsid w:val="17D96A93"/>
    <w:rsid w:val="181B2E1C"/>
    <w:rsid w:val="18204281"/>
    <w:rsid w:val="185C3885"/>
    <w:rsid w:val="188B4361"/>
    <w:rsid w:val="1890085C"/>
    <w:rsid w:val="189467DC"/>
    <w:rsid w:val="18A81010"/>
    <w:rsid w:val="18D80D9D"/>
    <w:rsid w:val="193009F6"/>
    <w:rsid w:val="196E2AEE"/>
    <w:rsid w:val="1986206E"/>
    <w:rsid w:val="19AE2CE2"/>
    <w:rsid w:val="19D70B73"/>
    <w:rsid w:val="1A187838"/>
    <w:rsid w:val="1A22449B"/>
    <w:rsid w:val="1ABA082F"/>
    <w:rsid w:val="1AC35837"/>
    <w:rsid w:val="1ACB4904"/>
    <w:rsid w:val="1AD270F3"/>
    <w:rsid w:val="1AF53D73"/>
    <w:rsid w:val="1B4B026E"/>
    <w:rsid w:val="1B714E12"/>
    <w:rsid w:val="1B776F9B"/>
    <w:rsid w:val="1BE870EB"/>
    <w:rsid w:val="1C274222"/>
    <w:rsid w:val="1C760D28"/>
    <w:rsid w:val="1C7F30F2"/>
    <w:rsid w:val="1C89547F"/>
    <w:rsid w:val="1CBB2318"/>
    <w:rsid w:val="1CCF5863"/>
    <w:rsid w:val="1CE66B61"/>
    <w:rsid w:val="1CED1570"/>
    <w:rsid w:val="1CFD5E09"/>
    <w:rsid w:val="1D1207F7"/>
    <w:rsid w:val="1D8F4C66"/>
    <w:rsid w:val="1DAC38DE"/>
    <w:rsid w:val="1DDB4727"/>
    <w:rsid w:val="1DE7378C"/>
    <w:rsid w:val="1E0009A4"/>
    <w:rsid w:val="1E077654"/>
    <w:rsid w:val="1E123D9F"/>
    <w:rsid w:val="1ECD43B9"/>
    <w:rsid w:val="1EE64989"/>
    <w:rsid w:val="1F0B5DC3"/>
    <w:rsid w:val="1F102085"/>
    <w:rsid w:val="1F1C0096"/>
    <w:rsid w:val="1F8016FE"/>
    <w:rsid w:val="1F983395"/>
    <w:rsid w:val="1FC24863"/>
    <w:rsid w:val="1FD552C6"/>
    <w:rsid w:val="204F1298"/>
    <w:rsid w:val="207D4AB1"/>
    <w:rsid w:val="20937640"/>
    <w:rsid w:val="20E7359E"/>
    <w:rsid w:val="20F91BA5"/>
    <w:rsid w:val="21536DBC"/>
    <w:rsid w:val="21557E5C"/>
    <w:rsid w:val="215A23F0"/>
    <w:rsid w:val="21820804"/>
    <w:rsid w:val="21860DD7"/>
    <w:rsid w:val="21873AA8"/>
    <w:rsid w:val="21A13E3E"/>
    <w:rsid w:val="21BF3A00"/>
    <w:rsid w:val="21C24E71"/>
    <w:rsid w:val="21DA4645"/>
    <w:rsid w:val="221541D5"/>
    <w:rsid w:val="221B3FBF"/>
    <w:rsid w:val="2245333E"/>
    <w:rsid w:val="22A14216"/>
    <w:rsid w:val="22D64DC1"/>
    <w:rsid w:val="22DE0FDF"/>
    <w:rsid w:val="22F77E40"/>
    <w:rsid w:val="22FB528E"/>
    <w:rsid w:val="2348181B"/>
    <w:rsid w:val="235A6B73"/>
    <w:rsid w:val="23967053"/>
    <w:rsid w:val="239827E6"/>
    <w:rsid w:val="23A70EAC"/>
    <w:rsid w:val="23AB2A44"/>
    <w:rsid w:val="23C977C5"/>
    <w:rsid w:val="23D97DF1"/>
    <w:rsid w:val="2409164D"/>
    <w:rsid w:val="243173F7"/>
    <w:rsid w:val="24533A21"/>
    <w:rsid w:val="24635ED2"/>
    <w:rsid w:val="24641BC2"/>
    <w:rsid w:val="24813D4D"/>
    <w:rsid w:val="24A63ECF"/>
    <w:rsid w:val="24CE1682"/>
    <w:rsid w:val="24F87EB7"/>
    <w:rsid w:val="24FD433F"/>
    <w:rsid w:val="254215B0"/>
    <w:rsid w:val="25525887"/>
    <w:rsid w:val="256839EE"/>
    <w:rsid w:val="25A01B67"/>
    <w:rsid w:val="25A71967"/>
    <w:rsid w:val="25D140C5"/>
    <w:rsid w:val="25E7364B"/>
    <w:rsid w:val="260A3379"/>
    <w:rsid w:val="26567DF3"/>
    <w:rsid w:val="267F1878"/>
    <w:rsid w:val="268B4EE1"/>
    <w:rsid w:val="268E7115"/>
    <w:rsid w:val="268F456F"/>
    <w:rsid w:val="269B7263"/>
    <w:rsid w:val="26F23EFF"/>
    <w:rsid w:val="26F73CEB"/>
    <w:rsid w:val="277272C6"/>
    <w:rsid w:val="2794224F"/>
    <w:rsid w:val="27972A2C"/>
    <w:rsid w:val="28277217"/>
    <w:rsid w:val="285D2747"/>
    <w:rsid w:val="286F2940"/>
    <w:rsid w:val="287B19E5"/>
    <w:rsid w:val="28AB79AA"/>
    <w:rsid w:val="28C17158"/>
    <w:rsid w:val="28D97B12"/>
    <w:rsid w:val="28DC5218"/>
    <w:rsid w:val="28F01EE7"/>
    <w:rsid w:val="2915423D"/>
    <w:rsid w:val="29394DA8"/>
    <w:rsid w:val="29621FF4"/>
    <w:rsid w:val="297C222F"/>
    <w:rsid w:val="29FE5309"/>
    <w:rsid w:val="2A797175"/>
    <w:rsid w:val="2AFA300F"/>
    <w:rsid w:val="2B642529"/>
    <w:rsid w:val="2BAC0743"/>
    <w:rsid w:val="2C07681F"/>
    <w:rsid w:val="2C4E043E"/>
    <w:rsid w:val="2C6538E6"/>
    <w:rsid w:val="2C9640B5"/>
    <w:rsid w:val="2CFD4352"/>
    <w:rsid w:val="2D3551C5"/>
    <w:rsid w:val="2D510578"/>
    <w:rsid w:val="2D8873CB"/>
    <w:rsid w:val="2D9F2926"/>
    <w:rsid w:val="2DA07DEB"/>
    <w:rsid w:val="2DD75F3D"/>
    <w:rsid w:val="2DE6065A"/>
    <w:rsid w:val="2E487079"/>
    <w:rsid w:val="2E9101EC"/>
    <w:rsid w:val="2EA61897"/>
    <w:rsid w:val="2EA73A95"/>
    <w:rsid w:val="2ECE6317"/>
    <w:rsid w:val="2F0363AD"/>
    <w:rsid w:val="2F0D1C2B"/>
    <w:rsid w:val="2F533943"/>
    <w:rsid w:val="2F5B483E"/>
    <w:rsid w:val="2F633134"/>
    <w:rsid w:val="2F7708EA"/>
    <w:rsid w:val="2F9F274E"/>
    <w:rsid w:val="2FAA7E40"/>
    <w:rsid w:val="2FD42CAD"/>
    <w:rsid w:val="2FDC212D"/>
    <w:rsid w:val="303B192D"/>
    <w:rsid w:val="30430B8A"/>
    <w:rsid w:val="3080245E"/>
    <w:rsid w:val="30956B44"/>
    <w:rsid w:val="30E07EBD"/>
    <w:rsid w:val="30E15D13"/>
    <w:rsid w:val="30E965CE"/>
    <w:rsid w:val="30F545DF"/>
    <w:rsid w:val="30FC2CDC"/>
    <w:rsid w:val="31066777"/>
    <w:rsid w:val="31526EF7"/>
    <w:rsid w:val="31754CB0"/>
    <w:rsid w:val="318E66B2"/>
    <w:rsid w:val="319779EB"/>
    <w:rsid w:val="32070FA4"/>
    <w:rsid w:val="321B285E"/>
    <w:rsid w:val="323E3F0B"/>
    <w:rsid w:val="32402714"/>
    <w:rsid w:val="3265133D"/>
    <w:rsid w:val="328B5B85"/>
    <w:rsid w:val="32E52114"/>
    <w:rsid w:val="330907C6"/>
    <w:rsid w:val="33376E36"/>
    <w:rsid w:val="33604A58"/>
    <w:rsid w:val="337F13E6"/>
    <w:rsid w:val="338C5166"/>
    <w:rsid w:val="340D2710"/>
    <w:rsid w:val="3427692F"/>
    <w:rsid w:val="34604A4A"/>
    <w:rsid w:val="346C040E"/>
    <w:rsid w:val="34774220"/>
    <w:rsid w:val="34785525"/>
    <w:rsid w:val="347A2C24"/>
    <w:rsid w:val="34A672EE"/>
    <w:rsid w:val="34C55ADD"/>
    <w:rsid w:val="34C60DB0"/>
    <w:rsid w:val="34CE04B2"/>
    <w:rsid w:val="34E148FB"/>
    <w:rsid w:val="34F33B45"/>
    <w:rsid w:val="35006703"/>
    <w:rsid w:val="35096E87"/>
    <w:rsid w:val="3538471B"/>
    <w:rsid w:val="354B3BD7"/>
    <w:rsid w:val="3554618D"/>
    <w:rsid w:val="357369C6"/>
    <w:rsid w:val="35A27DCC"/>
    <w:rsid w:val="35FF04BD"/>
    <w:rsid w:val="360766D3"/>
    <w:rsid w:val="361E1416"/>
    <w:rsid w:val="365F7F0A"/>
    <w:rsid w:val="368750E7"/>
    <w:rsid w:val="36915B95"/>
    <w:rsid w:val="36BC25D9"/>
    <w:rsid w:val="36C97F2A"/>
    <w:rsid w:val="36FC2D67"/>
    <w:rsid w:val="372876A0"/>
    <w:rsid w:val="372D74E0"/>
    <w:rsid w:val="37836018"/>
    <w:rsid w:val="37851573"/>
    <w:rsid w:val="37CD7B1B"/>
    <w:rsid w:val="37F93E62"/>
    <w:rsid w:val="37FA3F83"/>
    <w:rsid w:val="37FC4421"/>
    <w:rsid w:val="37FE0F0B"/>
    <w:rsid w:val="38161214"/>
    <w:rsid w:val="382736AC"/>
    <w:rsid w:val="38A02574"/>
    <w:rsid w:val="38D8589D"/>
    <w:rsid w:val="38DA69D3"/>
    <w:rsid w:val="38FA36A4"/>
    <w:rsid w:val="38FA4D0A"/>
    <w:rsid w:val="3941547E"/>
    <w:rsid w:val="395D152B"/>
    <w:rsid w:val="3965548A"/>
    <w:rsid w:val="398C4798"/>
    <w:rsid w:val="39BE02CB"/>
    <w:rsid w:val="39C159CC"/>
    <w:rsid w:val="39C421D4"/>
    <w:rsid w:val="39CF5FE7"/>
    <w:rsid w:val="39EC7B15"/>
    <w:rsid w:val="3A34625B"/>
    <w:rsid w:val="3A852292"/>
    <w:rsid w:val="3AD33CAD"/>
    <w:rsid w:val="3AE442C1"/>
    <w:rsid w:val="3B0E61AE"/>
    <w:rsid w:val="3B261A90"/>
    <w:rsid w:val="3B456E4D"/>
    <w:rsid w:val="3B7905A1"/>
    <w:rsid w:val="3B7D3613"/>
    <w:rsid w:val="3BA21765"/>
    <w:rsid w:val="3BCB0A5C"/>
    <w:rsid w:val="3BFE6019"/>
    <w:rsid w:val="3C1958CB"/>
    <w:rsid w:val="3C28163E"/>
    <w:rsid w:val="3C2B16FA"/>
    <w:rsid w:val="3C3A7B84"/>
    <w:rsid w:val="3C52085B"/>
    <w:rsid w:val="3C5250A5"/>
    <w:rsid w:val="3C627392"/>
    <w:rsid w:val="3C685CAB"/>
    <w:rsid w:val="3CCE0205"/>
    <w:rsid w:val="3CDF5FCE"/>
    <w:rsid w:val="3CE62D95"/>
    <w:rsid w:val="3D7670E2"/>
    <w:rsid w:val="3D7C133E"/>
    <w:rsid w:val="3DC11699"/>
    <w:rsid w:val="3E8E79F6"/>
    <w:rsid w:val="3EF768EB"/>
    <w:rsid w:val="3F68498B"/>
    <w:rsid w:val="3FAF543D"/>
    <w:rsid w:val="3FB70595"/>
    <w:rsid w:val="3FF67181"/>
    <w:rsid w:val="3FFD3E3E"/>
    <w:rsid w:val="40317C03"/>
    <w:rsid w:val="40360E64"/>
    <w:rsid w:val="405F49D6"/>
    <w:rsid w:val="40E32281"/>
    <w:rsid w:val="410528E5"/>
    <w:rsid w:val="412D13FC"/>
    <w:rsid w:val="412D71FD"/>
    <w:rsid w:val="41471FA6"/>
    <w:rsid w:val="417C2C74"/>
    <w:rsid w:val="419D542C"/>
    <w:rsid w:val="41AC774B"/>
    <w:rsid w:val="42213A90"/>
    <w:rsid w:val="424853CC"/>
    <w:rsid w:val="425F59DD"/>
    <w:rsid w:val="426F6D7F"/>
    <w:rsid w:val="42735026"/>
    <w:rsid w:val="428A38B6"/>
    <w:rsid w:val="429D2271"/>
    <w:rsid w:val="42DA1A2E"/>
    <w:rsid w:val="43691BC9"/>
    <w:rsid w:val="437C3AD0"/>
    <w:rsid w:val="43932939"/>
    <w:rsid w:val="43B73A0D"/>
    <w:rsid w:val="43C0709A"/>
    <w:rsid w:val="43D736F8"/>
    <w:rsid w:val="442F19E9"/>
    <w:rsid w:val="44652B98"/>
    <w:rsid w:val="44980715"/>
    <w:rsid w:val="44C22B81"/>
    <w:rsid w:val="44D84400"/>
    <w:rsid w:val="44DA5705"/>
    <w:rsid w:val="44F71432"/>
    <w:rsid w:val="452F5D1D"/>
    <w:rsid w:val="45512DC5"/>
    <w:rsid w:val="45C21DFF"/>
    <w:rsid w:val="461F4717"/>
    <w:rsid w:val="465F2685"/>
    <w:rsid w:val="4664270C"/>
    <w:rsid w:val="469F2EE7"/>
    <w:rsid w:val="46C04C25"/>
    <w:rsid w:val="46E619D2"/>
    <w:rsid w:val="473A3F6A"/>
    <w:rsid w:val="474B50C7"/>
    <w:rsid w:val="478464D1"/>
    <w:rsid w:val="47FE172A"/>
    <w:rsid w:val="480305B0"/>
    <w:rsid w:val="483047DF"/>
    <w:rsid w:val="483C0BFF"/>
    <w:rsid w:val="48C83651"/>
    <w:rsid w:val="49012F10"/>
    <w:rsid w:val="49197710"/>
    <w:rsid w:val="49441A41"/>
    <w:rsid w:val="49604530"/>
    <w:rsid w:val="496368CC"/>
    <w:rsid w:val="49750012"/>
    <w:rsid w:val="49822BAA"/>
    <w:rsid w:val="49825526"/>
    <w:rsid w:val="499917D4"/>
    <w:rsid w:val="499C3754"/>
    <w:rsid w:val="49BD53EE"/>
    <w:rsid w:val="49CB3B7E"/>
    <w:rsid w:val="49F7454F"/>
    <w:rsid w:val="49F75E46"/>
    <w:rsid w:val="4A0E278E"/>
    <w:rsid w:val="4A105C92"/>
    <w:rsid w:val="4A2C3F3D"/>
    <w:rsid w:val="4A49386D"/>
    <w:rsid w:val="4A5E3853"/>
    <w:rsid w:val="4AAA5CD3"/>
    <w:rsid w:val="4ADB784D"/>
    <w:rsid w:val="4B1653A3"/>
    <w:rsid w:val="4B1679D7"/>
    <w:rsid w:val="4B8D35BB"/>
    <w:rsid w:val="4BA2243F"/>
    <w:rsid w:val="4BC127F3"/>
    <w:rsid w:val="4BDD1D80"/>
    <w:rsid w:val="4BF52689"/>
    <w:rsid w:val="4BF54BAD"/>
    <w:rsid w:val="4C1A22AE"/>
    <w:rsid w:val="4C52002C"/>
    <w:rsid w:val="4C6547CF"/>
    <w:rsid w:val="4C673DD7"/>
    <w:rsid w:val="4CC17779"/>
    <w:rsid w:val="4CEE5446"/>
    <w:rsid w:val="4D3267B3"/>
    <w:rsid w:val="4D5A2386"/>
    <w:rsid w:val="4D6D3115"/>
    <w:rsid w:val="4DB077E7"/>
    <w:rsid w:val="4DB56D8D"/>
    <w:rsid w:val="4DFD7181"/>
    <w:rsid w:val="4E1103A0"/>
    <w:rsid w:val="4E2A6D4B"/>
    <w:rsid w:val="4E607225"/>
    <w:rsid w:val="4E621C84"/>
    <w:rsid w:val="4E684632"/>
    <w:rsid w:val="4F316279"/>
    <w:rsid w:val="4F443C6F"/>
    <w:rsid w:val="4F447BCB"/>
    <w:rsid w:val="4F495255"/>
    <w:rsid w:val="4F6C2BDB"/>
    <w:rsid w:val="4F701032"/>
    <w:rsid w:val="4F716D4F"/>
    <w:rsid w:val="4F92089C"/>
    <w:rsid w:val="4F9F2BE9"/>
    <w:rsid w:val="4FA077A2"/>
    <w:rsid w:val="4FA07BB2"/>
    <w:rsid w:val="4FE55A96"/>
    <w:rsid w:val="501223CC"/>
    <w:rsid w:val="50257E0B"/>
    <w:rsid w:val="50766910"/>
    <w:rsid w:val="50B75C7E"/>
    <w:rsid w:val="50C31265"/>
    <w:rsid w:val="50D17F23"/>
    <w:rsid w:val="50F46AC0"/>
    <w:rsid w:val="50F70163"/>
    <w:rsid w:val="50FF41E6"/>
    <w:rsid w:val="510D1493"/>
    <w:rsid w:val="511C4900"/>
    <w:rsid w:val="512344AA"/>
    <w:rsid w:val="5128629A"/>
    <w:rsid w:val="5177792D"/>
    <w:rsid w:val="51821659"/>
    <w:rsid w:val="518E1EB1"/>
    <w:rsid w:val="51A227FA"/>
    <w:rsid w:val="51A87F87"/>
    <w:rsid w:val="51F34B83"/>
    <w:rsid w:val="520A75BB"/>
    <w:rsid w:val="522B5A1C"/>
    <w:rsid w:val="523F397D"/>
    <w:rsid w:val="524C3272"/>
    <w:rsid w:val="52515138"/>
    <w:rsid w:val="52586AA6"/>
    <w:rsid w:val="52596E6B"/>
    <w:rsid w:val="52873D72"/>
    <w:rsid w:val="52C164D5"/>
    <w:rsid w:val="52DB707F"/>
    <w:rsid w:val="52F30EA2"/>
    <w:rsid w:val="537961F8"/>
    <w:rsid w:val="538F760C"/>
    <w:rsid w:val="53A07872"/>
    <w:rsid w:val="53A439A9"/>
    <w:rsid w:val="53A61FCB"/>
    <w:rsid w:val="53D27167"/>
    <w:rsid w:val="53E45333"/>
    <w:rsid w:val="53E6477C"/>
    <w:rsid w:val="53F26847"/>
    <w:rsid w:val="5407537E"/>
    <w:rsid w:val="541467D7"/>
    <w:rsid w:val="54317214"/>
    <w:rsid w:val="544721B3"/>
    <w:rsid w:val="54A81AE8"/>
    <w:rsid w:val="551A121A"/>
    <w:rsid w:val="552E0425"/>
    <w:rsid w:val="55606B93"/>
    <w:rsid w:val="558D1E6B"/>
    <w:rsid w:val="558F1AC0"/>
    <w:rsid w:val="55A44A45"/>
    <w:rsid w:val="55EF668D"/>
    <w:rsid w:val="55F80DD3"/>
    <w:rsid w:val="561F7F47"/>
    <w:rsid w:val="56464A92"/>
    <w:rsid w:val="564D5532"/>
    <w:rsid w:val="565871DF"/>
    <w:rsid w:val="569D042A"/>
    <w:rsid w:val="56AB4841"/>
    <w:rsid w:val="56B92241"/>
    <w:rsid w:val="56CB3AE3"/>
    <w:rsid w:val="56D2727D"/>
    <w:rsid w:val="56DB758F"/>
    <w:rsid w:val="56DE4CCA"/>
    <w:rsid w:val="570C7D5E"/>
    <w:rsid w:val="57235785"/>
    <w:rsid w:val="573001A6"/>
    <w:rsid w:val="57497C04"/>
    <w:rsid w:val="5750542E"/>
    <w:rsid w:val="57776ECD"/>
    <w:rsid w:val="577C1460"/>
    <w:rsid w:val="578E5AF6"/>
    <w:rsid w:val="57E237C5"/>
    <w:rsid w:val="57F31F5A"/>
    <w:rsid w:val="584A3692"/>
    <w:rsid w:val="584C3E7F"/>
    <w:rsid w:val="585C1DFE"/>
    <w:rsid w:val="58A61818"/>
    <w:rsid w:val="58C02E24"/>
    <w:rsid w:val="58CF069B"/>
    <w:rsid w:val="59024996"/>
    <w:rsid w:val="591A45D9"/>
    <w:rsid w:val="597168D6"/>
    <w:rsid w:val="598B7C50"/>
    <w:rsid w:val="59BF05CC"/>
    <w:rsid w:val="5A227E30"/>
    <w:rsid w:val="5A4B3A33"/>
    <w:rsid w:val="5A685562"/>
    <w:rsid w:val="5AA47895"/>
    <w:rsid w:val="5AC82FFD"/>
    <w:rsid w:val="5ADF6FCD"/>
    <w:rsid w:val="5B004B65"/>
    <w:rsid w:val="5B0349D4"/>
    <w:rsid w:val="5B0E233C"/>
    <w:rsid w:val="5B486DCE"/>
    <w:rsid w:val="5B7A1C33"/>
    <w:rsid w:val="5B944D01"/>
    <w:rsid w:val="5B9601D2"/>
    <w:rsid w:val="5B9C715C"/>
    <w:rsid w:val="5BA20925"/>
    <w:rsid w:val="5BFF5932"/>
    <w:rsid w:val="5C037DB0"/>
    <w:rsid w:val="5C4437EE"/>
    <w:rsid w:val="5C692729"/>
    <w:rsid w:val="5CA946C8"/>
    <w:rsid w:val="5CD71DAF"/>
    <w:rsid w:val="5D41020E"/>
    <w:rsid w:val="5D8E6D53"/>
    <w:rsid w:val="5DBB013C"/>
    <w:rsid w:val="5DD6184D"/>
    <w:rsid w:val="5DD7329A"/>
    <w:rsid w:val="5DE520E6"/>
    <w:rsid w:val="5DE62F1A"/>
    <w:rsid w:val="5DFF7926"/>
    <w:rsid w:val="5E1075E1"/>
    <w:rsid w:val="5E115063"/>
    <w:rsid w:val="5E6A0D35"/>
    <w:rsid w:val="5E6F1E87"/>
    <w:rsid w:val="5E9E4667"/>
    <w:rsid w:val="5EA26B50"/>
    <w:rsid w:val="5EBA64BA"/>
    <w:rsid w:val="5EC95FE2"/>
    <w:rsid w:val="5EFF2EC1"/>
    <w:rsid w:val="5F6B46AB"/>
    <w:rsid w:val="5F857EC6"/>
    <w:rsid w:val="5F93686E"/>
    <w:rsid w:val="5FD170F9"/>
    <w:rsid w:val="5FF93C1C"/>
    <w:rsid w:val="60386DDE"/>
    <w:rsid w:val="606514BC"/>
    <w:rsid w:val="60AB6F25"/>
    <w:rsid w:val="60BB3E94"/>
    <w:rsid w:val="60C40B10"/>
    <w:rsid w:val="610B7052"/>
    <w:rsid w:val="615275C6"/>
    <w:rsid w:val="6159789F"/>
    <w:rsid w:val="6189678A"/>
    <w:rsid w:val="619E25BF"/>
    <w:rsid w:val="61A44D62"/>
    <w:rsid w:val="61B416FF"/>
    <w:rsid w:val="623D6E71"/>
    <w:rsid w:val="62900328"/>
    <w:rsid w:val="62B94A87"/>
    <w:rsid w:val="62CD0DE8"/>
    <w:rsid w:val="633C50AF"/>
    <w:rsid w:val="63403BAA"/>
    <w:rsid w:val="63557582"/>
    <w:rsid w:val="638918DC"/>
    <w:rsid w:val="639B17F6"/>
    <w:rsid w:val="641E513F"/>
    <w:rsid w:val="646953C8"/>
    <w:rsid w:val="647D1DE9"/>
    <w:rsid w:val="64925389"/>
    <w:rsid w:val="64A04C0A"/>
    <w:rsid w:val="64A93F32"/>
    <w:rsid w:val="64B03E04"/>
    <w:rsid w:val="64D811FE"/>
    <w:rsid w:val="64E175D0"/>
    <w:rsid w:val="65163ADE"/>
    <w:rsid w:val="653B6D24"/>
    <w:rsid w:val="6586009D"/>
    <w:rsid w:val="658C6CE8"/>
    <w:rsid w:val="658F64DB"/>
    <w:rsid w:val="65E75F35"/>
    <w:rsid w:val="66024223"/>
    <w:rsid w:val="665264EC"/>
    <w:rsid w:val="66882A3A"/>
    <w:rsid w:val="66912156"/>
    <w:rsid w:val="66C04F72"/>
    <w:rsid w:val="671432B0"/>
    <w:rsid w:val="672422F9"/>
    <w:rsid w:val="672F4716"/>
    <w:rsid w:val="67515045"/>
    <w:rsid w:val="677B2AD6"/>
    <w:rsid w:val="67E97887"/>
    <w:rsid w:val="689C00CC"/>
    <w:rsid w:val="68B55CD6"/>
    <w:rsid w:val="68D4658B"/>
    <w:rsid w:val="68F335BD"/>
    <w:rsid w:val="69147CC5"/>
    <w:rsid w:val="69536C25"/>
    <w:rsid w:val="69BD6509"/>
    <w:rsid w:val="69D9744A"/>
    <w:rsid w:val="69F61ED3"/>
    <w:rsid w:val="69F76790"/>
    <w:rsid w:val="6A565402"/>
    <w:rsid w:val="6A7172B1"/>
    <w:rsid w:val="6AB25B1C"/>
    <w:rsid w:val="6AD524AA"/>
    <w:rsid w:val="6ADA6029"/>
    <w:rsid w:val="6ADB4837"/>
    <w:rsid w:val="6B126A5E"/>
    <w:rsid w:val="6B15745B"/>
    <w:rsid w:val="6B1C691D"/>
    <w:rsid w:val="6B3C43FB"/>
    <w:rsid w:val="6B763865"/>
    <w:rsid w:val="6B7F19ED"/>
    <w:rsid w:val="6BC73B27"/>
    <w:rsid w:val="6BD36DDE"/>
    <w:rsid w:val="6BDA180A"/>
    <w:rsid w:val="6C0028EB"/>
    <w:rsid w:val="6C3635B7"/>
    <w:rsid w:val="6C4F1FCB"/>
    <w:rsid w:val="6C8B53A2"/>
    <w:rsid w:val="6CB22C23"/>
    <w:rsid w:val="6CB53E1C"/>
    <w:rsid w:val="6CDA76F6"/>
    <w:rsid w:val="6CE1113E"/>
    <w:rsid w:val="6CF77DA4"/>
    <w:rsid w:val="6D5B3F76"/>
    <w:rsid w:val="6D681C47"/>
    <w:rsid w:val="6D7640A6"/>
    <w:rsid w:val="6DA01667"/>
    <w:rsid w:val="6DED1305"/>
    <w:rsid w:val="6E020C56"/>
    <w:rsid w:val="6E260819"/>
    <w:rsid w:val="6E3034D4"/>
    <w:rsid w:val="6E4E65A9"/>
    <w:rsid w:val="6E917941"/>
    <w:rsid w:val="6EBD64D4"/>
    <w:rsid w:val="6ED03C91"/>
    <w:rsid w:val="6EE96FEE"/>
    <w:rsid w:val="6F512906"/>
    <w:rsid w:val="6F584CAC"/>
    <w:rsid w:val="6F5F1EC5"/>
    <w:rsid w:val="6F7A6A14"/>
    <w:rsid w:val="6F9D5C29"/>
    <w:rsid w:val="6FDC0576"/>
    <w:rsid w:val="6FE82005"/>
    <w:rsid w:val="6FFF516A"/>
    <w:rsid w:val="704E5A4D"/>
    <w:rsid w:val="706A1AFA"/>
    <w:rsid w:val="707D659C"/>
    <w:rsid w:val="70E73A7D"/>
    <w:rsid w:val="70FA71EB"/>
    <w:rsid w:val="71016B75"/>
    <w:rsid w:val="7131173E"/>
    <w:rsid w:val="713E12A9"/>
    <w:rsid w:val="717C7CDE"/>
    <w:rsid w:val="71AF2191"/>
    <w:rsid w:val="71AF2302"/>
    <w:rsid w:val="71C74C2F"/>
    <w:rsid w:val="71ED6B06"/>
    <w:rsid w:val="72565DB1"/>
    <w:rsid w:val="72663EBE"/>
    <w:rsid w:val="727603A8"/>
    <w:rsid w:val="72D42C20"/>
    <w:rsid w:val="72D77675"/>
    <w:rsid w:val="72E470BD"/>
    <w:rsid w:val="73193962"/>
    <w:rsid w:val="73892D1C"/>
    <w:rsid w:val="73F747EE"/>
    <w:rsid w:val="74237697"/>
    <w:rsid w:val="743608B6"/>
    <w:rsid w:val="7481459E"/>
    <w:rsid w:val="748E7C56"/>
    <w:rsid w:val="74B95C51"/>
    <w:rsid w:val="74F05C4D"/>
    <w:rsid w:val="75026D05"/>
    <w:rsid w:val="752949C6"/>
    <w:rsid w:val="75700C4F"/>
    <w:rsid w:val="75956A44"/>
    <w:rsid w:val="759B3A01"/>
    <w:rsid w:val="75F0310B"/>
    <w:rsid w:val="75FA0418"/>
    <w:rsid w:val="766A2DD4"/>
    <w:rsid w:val="76993924"/>
    <w:rsid w:val="76A209B0"/>
    <w:rsid w:val="76B111B0"/>
    <w:rsid w:val="76DD32F0"/>
    <w:rsid w:val="76DD5312"/>
    <w:rsid w:val="770551D1"/>
    <w:rsid w:val="77255706"/>
    <w:rsid w:val="775B103F"/>
    <w:rsid w:val="77764653"/>
    <w:rsid w:val="777D7419"/>
    <w:rsid w:val="77843521"/>
    <w:rsid w:val="77935D3A"/>
    <w:rsid w:val="77E500C2"/>
    <w:rsid w:val="784E5906"/>
    <w:rsid w:val="785B7D01"/>
    <w:rsid w:val="787056F8"/>
    <w:rsid w:val="787A2EB6"/>
    <w:rsid w:val="78BC6AA1"/>
    <w:rsid w:val="78DA3AAE"/>
    <w:rsid w:val="78F550AF"/>
    <w:rsid w:val="79011794"/>
    <w:rsid w:val="790F39D8"/>
    <w:rsid w:val="79224674"/>
    <w:rsid w:val="79497822"/>
    <w:rsid w:val="797B1AA7"/>
    <w:rsid w:val="79C313BC"/>
    <w:rsid w:val="79DD5076"/>
    <w:rsid w:val="7A0E124C"/>
    <w:rsid w:val="7A5A0ACB"/>
    <w:rsid w:val="7AAE0556"/>
    <w:rsid w:val="7AB34F90"/>
    <w:rsid w:val="7ABA6115"/>
    <w:rsid w:val="7ABC7582"/>
    <w:rsid w:val="7ABD5784"/>
    <w:rsid w:val="7AD17CA2"/>
    <w:rsid w:val="7ADF0456"/>
    <w:rsid w:val="7B263697"/>
    <w:rsid w:val="7BC446C4"/>
    <w:rsid w:val="7BDA59F3"/>
    <w:rsid w:val="7C1A7CA3"/>
    <w:rsid w:val="7C2A00C2"/>
    <w:rsid w:val="7C347C44"/>
    <w:rsid w:val="7C3678A1"/>
    <w:rsid w:val="7C454A58"/>
    <w:rsid w:val="7C9E5802"/>
    <w:rsid w:val="7CC20B79"/>
    <w:rsid w:val="7CDD7EDB"/>
    <w:rsid w:val="7CDF626C"/>
    <w:rsid w:val="7D021B97"/>
    <w:rsid w:val="7D09416D"/>
    <w:rsid w:val="7D7F057D"/>
    <w:rsid w:val="7D7F4DFF"/>
    <w:rsid w:val="7D94014D"/>
    <w:rsid w:val="7DBB3574"/>
    <w:rsid w:val="7DD62B3E"/>
    <w:rsid w:val="7E041156"/>
    <w:rsid w:val="7E292D8B"/>
    <w:rsid w:val="7E335899"/>
    <w:rsid w:val="7E9A0BFB"/>
    <w:rsid w:val="7EBF2EFE"/>
    <w:rsid w:val="7F04016F"/>
    <w:rsid w:val="7F052AB1"/>
    <w:rsid w:val="7F167495"/>
    <w:rsid w:val="7F2D3532"/>
    <w:rsid w:val="7FDC5C54"/>
    <w:rsid w:val="7FDD36D6"/>
    <w:rsid w:val="7FE6754D"/>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autoRedefine/>
    <w:qFormat/>
    <w:uiPriority w:val="0"/>
    <w:pPr>
      <w:widowControl w:val="0"/>
      <w:adjustRightInd w:val="0"/>
      <w:spacing w:line="360" w:lineRule="atLeast"/>
      <w:jc w:val="both"/>
      <w:textAlignment w:val="baseline"/>
    </w:pPr>
    <w:rPr>
      <w:rFonts w:ascii="Times New Roman" w:hAnsi="Times New Roman" w:eastAsia="Times New Roman" w:cs="Times New Roman"/>
      <w:lang w:val="pt-BR" w:eastAsia="pt-BR" w:bidi="ar-SA"/>
    </w:rPr>
  </w:style>
  <w:style w:type="paragraph" w:styleId="2">
    <w:name w:val="heading 1"/>
    <w:basedOn w:val="1"/>
    <w:next w:val="1"/>
    <w:qFormat/>
    <w:uiPriority w:val="9"/>
    <w:pPr>
      <w:keepNext/>
      <w:jc w:val="center"/>
      <w:outlineLvl w:val="0"/>
    </w:pPr>
    <w:rPr>
      <w:rFonts w:ascii="Arial" w:hAnsi="Arial"/>
      <w:color w:val="000080"/>
      <w:sz w:val="28"/>
    </w:rPr>
  </w:style>
  <w:style w:type="paragraph" w:styleId="3">
    <w:name w:val="heading 2"/>
    <w:basedOn w:val="1"/>
    <w:next w:val="1"/>
    <w:link w:val="22"/>
    <w:autoRedefine/>
    <w:qFormat/>
    <w:uiPriority w:val="0"/>
    <w:pPr>
      <w:keepNext/>
      <w:jc w:val="center"/>
      <w:outlineLvl w:val="1"/>
    </w:pPr>
    <w:rPr>
      <w:sz w:val="36"/>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Strong"/>
    <w:basedOn w:val="4"/>
    <w:qFormat/>
    <w:uiPriority w:val="0"/>
    <w:rPr>
      <w:b/>
      <w:bCs/>
    </w:rPr>
  </w:style>
  <w:style w:type="character" w:styleId="7">
    <w:name w:val="annotation reference"/>
    <w:basedOn w:val="4"/>
    <w:semiHidden/>
    <w:unhideWhenUsed/>
    <w:qFormat/>
    <w:uiPriority w:val="99"/>
    <w:rPr>
      <w:sz w:val="16"/>
      <w:szCs w:val="16"/>
    </w:rPr>
  </w:style>
  <w:style w:type="character" w:styleId="8">
    <w:name w:val="Hyperlink"/>
    <w:basedOn w:val="4"/>
    <w:autoRedefine/>
    <w:qFormat/>
    <w:uiPriority w:val="99"/>
    <w:rPr>
      <w:color w:val="0000FF"/>
      <w:u w:val="single"/>
    </w:rPr>
  </w:style>
  <w:style w:type="paragraph" w:styleId="9">
    <w:name w:val="Body Text"/>
    <w:basedOn w:val="1"/>
    <w:link w:val="23"/>
    <w:autoRedefine/>
    <w:qFormat/>
    <w:uiPriority w:val="0"/>
    <w:pPr>
      <w:spacing w:line="360" w:lineRule="auto"/>
      <w:ind w:right="17"/>
    </w:pPr>
    <w:rPr>
      <w:rFonts w:ascii="Arial" w:hAnsi="Arial" w:cs="Arial"/>
      <w:color w:val="000000" w:themeColor="text1"/>
      <w:sz w:val="22"/>
      <w:szCs w:val="22"/>
      <w14:textFill>
        <w14:solidFill>
          <w14:schemeClr w14:val="tx1"/>
        </w14:solidFill>
      </w14:textFill>
    </w:rPr>
  </w:style>
  <w:style w:type="paragraph" w:styleId="10">
    <w:name w:val="annotation text"/>
    <w:basedOn w:val="1"/>
    <w:link w:val="51"/>
    <w:semiHidden/>
    <w:unhideWhenUsed/>
    <w:qFormat/>
    <w:uiPriority w:val="99"/>
    <w:pPr>
      <w:spacing w:line="240" w:lineRule="auto"/>
    </w:pPr>
  </w:style>
  <w:style w:type="paragraph" w:styleId="11">
    <w:name w:val="Normal (Web)"/>
    <w:basedOn w:val="1"/>
    <w:qFormat/>
    <w:uiPriority w:val="99"/>
    <w:pPr>
      <w:spacing w:beforeAutospacing="1" w:afterAutospacing="1"/>
      <w:jc w:val="left"/>
    </w:pPr>
    <w:rPr>
      <w:rFonts w:eastAsia="SimSun"/>
      <w:szCs w:val="24"/>
      <w:lang w:val="en-US" w:eastAsia="zh-CN"/>
    </w:rPr>
  </w:style>
  <w:style w:type="paragraph" w:styleId="12">
    <w:name w:val="Body Text 3"/>
    <w:basedOn w:val="1"/>
    <w:qFormat/>
    <w:uiPriority w:val="0"/>
    <w:rPr>
      <w:rFonts w:ascii="Arial" w:hAnsi="Arial" w:cs="Arial"/>
    </w:rPr>
  </w:style>
  <w:style w:type="paragraph" w:styleId="13">
    <w:name w:val="Body Text 2"/>
    <w:basedOn w:val="1"/>
    <w:autoRedefine/>
    <w:qFormat/>
    <w:uiPriority w:val="0"/>
    <w:pPr>
      <w:autoSpaceDE w:val="0"/>
      <w:autoSpaceDN w:val="0"/>
      <w:spacing w:line="240" w:lineRule="auto"/>
    </w:pPr>
    <w:rPr>
      <w:rFonts w:ascii="Courier New" w:hAnsi="Courier New" w:cs="Goudy Old Style"/>
      <w:snapToGrid w:val="0"/>
      <w:color w:val="000000"/>
    </w:rPr>
  </w:style>
  <w:style w:type="paragraph" w:styleId="14">
    <w:name w:val="header"/>
    <w:basedOn w:val="1"/>
    <w:link w:val="25"/>
    <w:autoRedefine/>
    <w:unhideWhenUsed/>
    <w:qFormat/>
    <w:uiPriority w:val="0"/>
    <w:pPr>
      <w:tabs>
        <w:tab w:val="center" w:pos="4252"/>
        <w:tab w:val="right" w:pos="8504"/>
      </w:tabs>
      <w:spacing w:line="240" w:lineRule="auto"/>
    </w:pPr>
  </w:style>
  <w:style w:type="paragraph" w:styleId="15">
    <w:name w:val="annotation subject"/>
    <w:basedOn w:val="10"/>
    <w:next w:val="10"/>
    <w:link w:val="52"/>
    <w:semiHidden/>
    <w:unhideWhenUsed/>
    <w:qFormat/>
    <w:uiPriority w:val="99"/>
    <w:rPr>
      <w:b/>
      <w:bCs/>
    </w:rPr>
  </w:style>
  <w:style w:type="paragraph" w:styleId="16">
    <w:name w:val="footer"/>
    <w:basedOn w:val="1"/>
    <w:link w:val="26"/>
    <w:autoRedefine/>
    <w:unhideWhenUsed/>
    <w:qFormat/>
    <w:uiPriority w:val="99"/>
    <w:pPr>
      <w:tabs>
        <w:tab w:val="center" w:pos="4252"/>
        <w:tab w:val="right" w:pos="8504"/>
      </w:tabs>
      <w:spacing w:line="240" w:lineRule="auto"/>
      <w:jc w:val="right"/>
    </w:pPr>
  </w:style>
  <w:style w:type="paragraph" w:styleId="17">
    <w:name w:val="Body Text Indent 3"/>
    <w:basedOn w:val="1"/>
    <w:autoRedefine/>
    <w:qFormat/>
    <w:uiPriority w:val="0"/>
    <w:pPr>
      <w:ind w:firstLine="2835"/>
    </w:pPr>
    <w:rPr>
      <w:sz w:val="24"/>
    </w:rPr>
  </w:style>
  <w:style w:type="paragraph" w:styleId="18">
    <w:name w:val="Balloon Text"/>
    <w:basedOn w:val="1"/>
    <w:link w:val="27"/>
    <w:autoRedefine/>
    <w:semiHidden/>
    <w:unhideWhenUsed/>
    <w:qFormat/>
    <w:uiPriority w:val="99"/>
    <w:pPr>
      <w:spacing w:line="240" w:lineRule="auto"/>
    </w:pPr>
    <w:rPr>
      <w:rFonts w:ascii="Tahoma" w:hAnsi="Tahoma" w:cs="Tahoma"/>
      <w:sz w:val="16"/>
      <w:szCs w:val="16"/>
    </w:rPr>
  </w:style>
  <w:style w:type="paragraph" w:styleId="19">
    <w:name w:val="toc 1"/>
    <w:basedOn w:val="1"/>
    <w:autoRedefine/>
    <w:qFormat/>
    <w:uiPriority w:val="1"/>
    <w:pPr>
      <w:spacing w:before="101"/>
      <w:ind w:left="501"/>
    </w:pPr>
    <w:rPr>
      <w:sz w:val="24"/>
      <w:szCs w:val="24"/>
    </w:rPr>
  </w:style>
  <w:style w:type="paragraph" w:styleId="20">
    <w:name w:val="Body Text Indent"/>
    <w:basedOn w:val="1"/>
    <w:qFormat/>
    <w:uiPriority w:val="99"/>
    <w:pPr>
      <w:ind w:left="708"/>
    </w:pPr>
    <w:rPr>
      <w:sz w:val="22"/>
    </w:rPr>
  </w:style>
  <w:style w:type="table" w:styleId="21">
    <w:name w:val="Table Grid"/>
    <w:basedOn w:val="5"/>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2">
    <w:name w:val="Título 2 Char"/>
    <w:basedOn w:val="4"/>
    <w:link w:val="3"/>
    <w:autoRedefine/>
    <w:qFormat/>
    <w:uiPriority w:val="0"/>
    <w:rPr>
      <w:rFonts w:ascii="Times New Roman" w:hAnsi="Times New Roman" w:eastAsia="Times New Roman" w:cs="Times New Roman"/>
      <w:sz w:val="36"/>
      <w:szCs w:val="20"/>
      <w:lang w:eastAsia="pt-BR"/>
    </w:rPr>
  </w:style>
  <w:style w:type="character" w:customStyle="1" w:styleId="23">
    <w:name w:val="Corpo de texto Char"/>
    <w:basedOn w:val="4"/>
    <w:link w:val="9"/>
    <w:autoRedefine/>
    <w:qFormat/>
    <w:uiPriority w:val="0"/>
    <w:rPr>
      <w:rFonts w:ascii="Arial" w:hAnsi="Arial" w:eastAsia="Times New Roman" w:cs="Arial"/>
      <w:color w:val="000000" w:themeColor="text1"/>
      <w:sz w:val="22"/>
      <w:szCs w:val="22"/>
      <w14:textFill>
        <w14:solidFill>
          <w14:schemeClr w14:val="tx1"/>
        </w14:solidFill>
      </w14:textFill>
    </w:rPr>
  </w:style>
  <w:style w:type="paragraph" w:styleId="24">
    <w:name w:val="List Paragraph"/>
    <w:basedOn w:val="1"/>
    <w:autoRedefine/>
    <w:qFormat/>
    <w:uiPriority w:val="34"/>
    <w:pPr>
      <w:tabs>
        <w:tab w:val="left" w:pos="426"/>
      </w:tabs>
      <w:spacing w:line="360" w:lineRule="auto"/>
    </w:pPr>
    <w:rPr>
      <w:rFonts w:ascii="Arial" w:hAnsi="Arial" w:cs="Arial"/>
      <w:bCs/>
      <w:sz w:val="22"/>
      <w:szCs w:val="22"/>
    </w:rPr>
  </w:style>
  <w:style w:type="character" w:customStyle="1" w:styleId="25">
    <w:name w:val="Cabeçalho Char"/>
    <w:basedOn w:val="4"/>
    <w:link w:val="14"/>
    <w:autoRedefine/>
    <w:qFormat/>
    <w:uiPriority w:val="0"/>
    <w:rPr>
      <w:rFonts w:ascii="Times New Roman" w:hAnsi="Times New Roman" w:eastAsia="Times New Roman" w:cs="Times New Roman"/>
      <w:sz w:val="20"/>
      <w:szCs w:val="20"/>
      <w:lang w:eastAsia="pt-BR"/>
    </w:rPr>
  </w:style>
  <w:style w:type="character" w:customStyle="1" w:styleId="26">
    <w:name w:val="Rodapé Char"/>
    <w:basedOn w:val="4"/>
    <w:link w:val="16"/>
    <w:autoRedefine/>
    <w:qFormat/>
    <w:uiPriority w:val="99"/>
    <w:rPr>
      <w:rFonts w:eastAsia="Times New Roman"/>
    </w:rPr>
  </w:style>
  <w:style w:type="character" w:customStyle="1" w:styleId="27">
    <w:name w:val="Texto de balão Char"/>
    <w:basedOn w:val="4"/>
    <w:link w:val="18"/>
    <w:autoRedefine/>
    <w:semiHidden/>
    <w:qFormat/>
    <w:uiPriority w:val="99"/>
    <w:rPr>
      <w:rFonts w:ascii="Tahoma" w:hAnsi="Tahoma" w:eastAsia="Times New Roman" w:cs="Tahoma"/>
      <w:sz w:val="16"/>
      <w:szCs w:val="16"/>
      <w:lang w:eastAsia="pt-BR"/>
    </w:rPr>
  </w:style>
  <w:style w:type="paragraph" w:customStyle="1" w:styleId="28">
    <w:name w:val="Table Paragraph"/>
    <w:basedOn w:val="1"/>
    <w:autoRedefine/>
    <w:qFormat/>
    <w:uiPriority w:val="1"/>
    <w:rPr>
      <w:lang w:val="pt-PT" w:eastAsia="en-US"/>
    </w:rPr>
  </w:style>
  <w:style w:type="character" w:customStyle="1" w:styleId="29">
    <w:name w:val="Fonte parág. padrão6"/>
    <w:autoRedefine/>
    <w:qFormat/>
    <w:uiPriority w:val="0"/>
  </w:style>
  <w:style w:type="paragraph" w:customStyle="1" w:styleId="30">
    <w:name w:val="Corpo de texto1"/>
    <w:basedOn w:val="1"/>
    <w:autoRedefine/>
    <w:qFormat/>
    <w:uiPriority w:val="0"/>
    <w:pPr>
      <w:spacing w:line="240" w:lineRule="auto"/>
    </w:pPr>
  </w:style>
  <w:style w:type="paragraph" w:styleId="31">
    <w:name w:val="No Spacing"/>
    <w:autoRedefine/>
    <w:qFormat/>
    <w:uiPriority w:val="1"/>
    <w:rPr>
      <w:rFonts w:asciiTheme="minorHAnsi" w:hAnsiTheme="minorHAnsi" w:eastAsiaTheme="minorHAnsi" w:cstheme="minorBidi"/>
      <w:sz w:val="22"/>
      <w:szCs w:val="22"/>
      <w:lang w:val="pt-BR" w:eastAsia="en-US" w:bidi="ar-SA"/>
    </w:rPr>
  </w:style>
  <w:style w:type="character" w:customStyle="1" w:styleId="32">
    <w:name w:val="font31"/>
    <w:qFormat/>
    <w:uiPriority w:val="0"/>
    <w:rPr>
      <w:rFonts w:hint="default" w:ascii="Times New Roman" w:hAnsi="Times New Roman" w:cs="Times New Roman"/>
      <w:b/>
      <w:bCs/>
      <w:color w:val="000000"/>
      <w:u w:val="none"/>
    </w:rPr>
  </w:style>
  <w:style w:type="character" w:customStyle="1" w:styleId="33">
    <w:name w:val="font21"/>
    <w:qFormat/>
    <w:uiPriority w:val="0"/>
    <w:rPr>
      <w:rFonts w:hint="default" w:ascii="Times New Roman" w:hAnsi="Times New Roman" w:cs="Times New Roman"/>
      <w:color w:val="000000"/>
      <w:u w:val="none"/>
    </w:rPr>
  </w:style>
  <w:style w:type="paragraph" w:customStyle="1" w:styleId="34">
    <w:name w:val="Nivel 2"/>
    <w:basedOn w:val="1"/>
    <w:qFormat/>
    <w:uiPriority w:val="0"/>
    <w:pPr>
      <w:numPr>
        <w:ilvl w:val="1"/>
        <w:numId w:val="1"/>
      </w:numPr>
      <w:spacing w:before="120" w:after="120" w:line="276" w:lineRule="auto"/>
      <w:ind w:left="0" w:firstLine="0"/>
    </w:pPr>
    <w:rPr>
      <w:rFonts w:ascii="Arial" w:hAnsi="Arial" w:cs="Arial"/>
      <w:color w:val="000000"/>
    </w:rPr>
  </w:style>
  <w:style w:type="paragraph" w:customStyle="1" w:styleId="35">
    <w:name w:val="Nível 2 -Red"/>
    <w:basedOn w:val="34"/>
    <w:qFormat/>
    <w:uiPriority w:val="0"/>
    <w:rPr>
      <w:i/>
      <w:iCs/>
      <w:color w:val="FF0000"/>
    </w:rPr>
  </w:style>
  <w:style w:type="paragraph" w:customStyle="1" w:styleId="36">
    <w:name w:val="Nível 1-Sem Num Preto"/>
    <w:basedOn w:val="37"/>
    <w:qFormat/>
    <w:uiPriority w:val="0"/>
    <w:pPr>
      <w:tabs>
        <w:tab w:val="left" w:pos="567"/>
      </w:tabs>
    </w:pPr>
    <w:rPr>
      <w:color w:val="auto"/>
      <w:lang w:eastAsia="zh-CN" w:bidi="hi-IN"/>
    </w:rPr>
  </w:style>
  <w:style w:type="paragraph" w:customStyle="1" w:styleId="37">
    <w:name w:val="Nível 1-Sem Num"/>
    <w:basedOn w:val="38"/>
    <w:qFormat/>
    <w:uiPriority w:val="0"/>
    <w:pPr>
      <w:numPr>
        <w:numId w:val="0"/>
      </w:numPr>
      <w:tabs>
        <w:tab w:val="left" w:pos="567"/>
      </w:tabs>
      <w:outlineLvl w:val="1"/>
    </w:pPr>
    <w:rPr>
      <w:color w:val="FF0000"/>
    </w:rPr>
  </w:style>
  <w:style w:type="paragraph" w:customStyle="1" w:styleId="38">
    <w:name w:val="Nivel 01"/>
    <w:basedOn w:val="2"/>
    <w:next w:val="1"/>
    <w:qFormat/>
    <w:uiPriority w:val="0"/>
    <w:pPr>
      <w:numPr>
        <w:ilvl w:val="0"/>
        <w:numId w:val="1"/>
      </w:numPr>
      <w:tabs>
        <w:tab w:val="left" w:pos="567"/>
      </w:tabs>
      <w:spacing w:before="288" w:beforeLines="120" w:after="288" w:afterLines="120" w:line="312" w:lineRule="auto"/>
      <w:jc w:val="both"/>
    </w:pPr>
    <w:rPr>
      <w:rFonts w:cs="Arial"/>
      <w:color w:val="auto"/>
      <w:sz w:val="20"/>
    </w:rPr>
  </w:style>
  <w:style w:type="paragraph" w:customStyle="1" w:styleId="39">
    <w:name w:val="Nivel 3"/>
    <w:basedOn w:val="1"/>
    <w:qFormat/>
    <w:uiPriority w:val="0"/>
    <w:pPr>
      <w:numPr>
        <w:ilvl w:val="2"/>
        <w:numId w:val="1"/>
      </w:numPr>
      <w:spacing w:before="120" w:after="120" w:line="276" w:lineRule="auto"/>
      <w:ind w:left="284" w:firstLine="0"/>
    </w:pPr>
    <w:rPr>
      <w:rFonts w:ascii="Arial" w:hAnsi="Arial" w:cs="Arial"/>
      <w:color w:val="000000"/>
    </w:rPr>
  </w:style>
  <w:style w:type="paragraph" w:customStyle="1" w:styleId="40">
    <w:name w:val="Nivel 4"/>
    <w:basedOn w:val="39"/>
    <w:qFormat/>
    <w:uiPriority w:val="0"/>
    <w:pPr>
      <w:numPr>
        <w:ilvl w:val="3"/>
      </w:numPr>
      <w:ind w:left="567" w:firstLine="0"/>
    </w:pPr>
    <w:rPr>
      <w:color w:val="auto"/>
    </w:rPr>
  </w:style>
  <w:style w:type="character" w:customStyle="1" w:styleId="41">
    <w:name w:val="normaltextrun"/>
    <w:basedOn w:val="4"/>
    <w:qFormat/>
    <w:uiPriority w:val="0"/>
  </w:style>
  <w:style w:type="character" w:customStyle="1" w:styleId="42">
    <w:name w:val="findhit"/>
    <w:basedOn w:val="4"/>
    <w:qFormat/>
    <w:uiPriority w:val="0"/>
  </w:style>
  <w:style w:type="paragraph" w:customStyle="1" w:styleId="43">
    <w:name w:val="Nível 3-R"/>
    <w:basedOn w:val="39"/>
    <w:qFormat/>
    <w:uiPriority w:val="0"/>
    <w:rPr>
      <w:i/>
      <w:iCs/>
      <w:color w:val="FF0000"/>
    </w:rPr>
  </w:style>
  <w:style w:type="paragraph" w:customStyle="1" w:styleId="44">
    <w:name w:val="ou"/>
    <w:basedOn w:val="24"/>
    <w:qFormat/>
    <w:uiPriority w:val="0"/>
    <w:pPr>
      <w:spacing w:before="60" w:after="60" w:line="259" w:lineRule="auto"/>
      <w:jc w:val="center"/>
    </w:pPr>
    <w:rPr>
      <w:rFonts w:eastAsia="Cambria"/>
      <w:b/>
      <w:bCs w:val="0"/>
      <w:i/>
      <w:iCs/>
      <w:color w:val="FF0000"/>
      <w:u w:val="single"/>
    </w:rPr>
  </w:style>
  <w:style w:type="table" w:customStyle="1" w:styleId="45">
    <w:name w:val="Table Normal"/>
    <w:semiHidden/>
    <w:unhideWhenUsed/>
    <w:qFormat/>
    <w:uiPriority w:val="2"/>
    <w:tblPr>
      <w:tblCellMar>
        <w:top w:w="0" w:type="dxa"/>
        <w:left w:w="0" w:type="dxa"/>
        <w:bottom w:w="0" w:type="dxa"/>
        <w:right w:w="0" w:type="dxa"/>
      </w:tblCellMar>
    </w:tblPr>
  </w:style>
  <w:style w:type="paragraph" w:customStyle="1" w:styleId="46">
    <w:name w:val="Default"/>
    <w:qFormat/>
    <w:uiPriority w:val="0"/>
    <w:pPr>
      <w:widowControl w:val="0"/>
      <w:autoSpaceDE w:val="0"/>
      <w:autoSpaceDN w:val="0"/>
      <w:adjustRightInd w:val="0"/>
    </w:pPr>
    <w:rPr>
      <w:rFonts w:ascii="Garamond" w:hAnsi="Garamond" w:eastAsia="Times New Roman" w:cs="Garamond"/>
      <w:color w:val="000000"/>
      <w:sz w:val="24"/>
      <w:szCs w:val="24"/>
      <w:lang w:val="pt-BR" w:eastAsia="pt-BR" w:bidi="ar-SA"/>
    </w:rPr>
  </w:style>
  <w:style w:type="paragraph" w:customStyle="1" w:styleId="47">
    <w:name w:val="Conteúdo da tabela"/>
    <w:basedOn w:val="9"/>
    <w:qFormat/>
    <w:uiPriority w:val="0"/>
    <w:pPr>
      <w:suppressLineNumbers/>
      <w:suppressAutoHyphens/>
    </w:pPr>
  </w:style>
  <w:style w:type="character" w:customStyle="1" w:styleId="48">
    <w:name w:val="10"/>
    <w:qFormat/>
    <w:uiPriority w:val="0"/>
    <w:rPr>
      <w:rFonts w:hint="default" w:ascii="Times New Roman" w:hAnsi="Times New Roman" w:cs="Times New Roman"/>
    </w:rPr>
  </w:style>
  <w:style w:type="character" w:customStyle="1" w:styleId="49">
    <w:name w:val="15"/>
    <w:qFormat/>
    <w:uiPriority w:val="0"/>
    <w:rPr>
      <w:rFonts w:hint="default" w:ascii="Times New Roman" w:hAnsi="Times New Roman" w:cs="Times New Roman"/>
      <w:color w:val="0563C1"/>
      <w:u w:val="single"/>
    </w:rPr>
  </w:style>
  <w:style w:type="character" w:customStyle="1" w:styleId="50">
    <w:name w:val="markedcontent"/>
    <w:basedOn w:val="4"/>
    <w:autoRedefine/>
    <w:qFormat/>
    <w:uiPriority w:val="0"/>
  </w:style>
  <w:style w:type="character" w:customStyle="1" w:styleId="51">
    <w:name w:val="Texto de comentário Char"/>
    <w:basedOn w:val="4"/>
    <w:link w:val="10"/>
    <w:semiHidden/>
    <w:qFormat/>
    <w:uiPriority w:val="99"/>
    <w:rPr>
      <w:rFonts w:eastAsia="Times New Roman"/>
    </w:rPr>
  </w:style>
  <w:style w:type="character" w:customStyle="1" w:styleId="52">
    <w:name w:val="Assunto do comentário Char"/>
    <w:basedOn w:val="51"/>
    <w:link w:val="15"/>
    <w:semiHidden/>
    <w:qFormat/>
    <w:uiPriority w:val="99"/>
    <w:rPr>
      <w:rFonts w:eastAsia="Times New Roman"/>
      <w:b/>
      <w:bC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3073"/>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37FC305-A4DB-4040-86E9-B58BEF3A0EC2}">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38</Pages>
  <Words>13274</Words>
  <Characters>76400</Characters>
  <Lines>644</Lines>
  <Paragraphs>182</Paragraphs>
  <TotalTime>712</TotalTime>
  <ScaleCrop>false</ScaleCrop>
  <LinksUpToDate>false</LinksUpToDate>
  <CharactersWithSpaces>89085</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2022-01-11T12:24:00Z</dcterms:created>
  <dc:creator>debora.strack</dc:creator>
  <cp:lastModifiedBy>Marcello Pavan</cp:lastModifiedBy>
  <cp:lastPrinted>2026-08-10T15:12:00Z</cp:lastPrinted>
  <dcterms:modified xsi:type="dcterms:W3CDTF">2026-08-10T15:34:42Z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1046-12.1.0.28032</vt:lpwstr>
  </property>
  <property fmtid="{D5CDD505-2E9C-101B-9397-08002B2CF9AE}" pid="3" name="ICV">
    <vt:lpwstr>E10CD36F66A64DB0B13F4910C7F67334_13</vt:lpwstr>
  </property>
  <property fmtid="{D5CDD505-2E9C-101B-9397-08002B2CF9AE}" pid="4" name="KSOTemplateDocerSaveRecord">
    <vt:lpwstr>eyJoZGlkIjoiMDg0OGNmYThlMmQzNTRjZTBmZjMyMWRkYTIzNjZmZDYiLCJ1c2VySWQiOiIxMjM2OTUxMDYzMzM3In0=</vt:lpwstr>
  </property>
</Properties>
</file>