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63889A1E">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1A8075A3">
      <w:pPr>
        <w:pBdr/>
        <w:spacing w:after="0" w:line="240" w:lineRule="auto"/>
        <w:ind/>
        <w:jc w:val="center"/>
        <w:rPr>
          <w:rFonts w:hint="default" w:ascii="Arial" w:hAnsi="Arial" w:cs="Arial"/>
          <w:b/>
          <w:bCs/>
          <w:sz w:val="22"/>
          <w:szCs w:val="22"/>
          <w:lang w:val="pt-BR"/>
        </w:rPr>
      </w:pPr>
      <w:r>
        <w:rPr>
          <w:rFonts w:hint="default" w:ascii="Arial" w:hAnsi="Arial" w:cs="Arial"/>
          <w:b/>
          <w:bCs/>
          <w:sz w:val="22"/>
          <w:szCs w:val="22"/>
        </w:rPr>
        <w:t xml:space="preserve"> </w:t>
      </w:r>
      <w:r>
        <w:rPr>
          <w:rFonts w:hint="default" w:ascii="Arial" w:hAnsi="Arial" w:cs="Arial"/>
          <w:b/>
          <w:bCs/>
          <w:sz w:val="22"/>
          <w:szCs w:val="22"/>
          <w:lang w:val="pt-BR"/>
        </w:rPr>
      </w:r>
      <w:r>
        <w:rPr>
          <w:rFonts w:hint="default" w:ascii="Arial" w:hAnsi="Arial" w:cs="Arial"/>
          <w:b/>
          <w:bCs/>
          <w:sz w:val="22"/>
          <w:szCs w:val="22"/>
          <w:lang w:val="pt-BR"/>
        </w:rPr>
      </w:r>
    </w:p>
    <w:p w14:paraId="29B8971F">
      <w:pPr>
        <w:pBdr/>
        <w:spacing/>
        <w:ind/>
        <w:jc w:val="center"/>
        <w:rPr>
          <w:rFonts w:ascii="Arial" w:hAnsi="Arial" w:cs="Arial"/>
          <w:b/>
          <w:bCs/>
          <w:sz w:val="22"/>
          <w:szCs w:val="22"/>
        </w:rPr>
      </w:pPr>
      <w:r>
        <w:rPr>
          <w:rFonts w:ascii="Arial" w:hAnsi="Arial" w:cs="Arial"/>
          <w:b/>
          <w:bCs/>
          <w:sz w:val="22"/>
          <w:szCs w:val="22"/>
        </w:rPr>
        <w:t xml:space="preserve">ANEXO VII</w:t>
      </w:r>
      <w:r>
        <w:rPr>
          <w:rFonts w:ascii="Arial" w:hAnsi="Arial" w:cs="Arial"/>
          <w:b/>
          <w:bCs/>
          <w:sz w:val="22"/>
          <w:szCs w:val="22"/>
        </w:rPr>
      </w:r>
      <w:r>
        <w:rPr>
          <w:rFonts w:ascii="Arial" w:hAnsi="Arial" w:cs="Arial"/>
          <w:b/>
          <w:bCs/>
          <w:sz w:val="22"/>
          <w:szCs w:val="22"/>
        </w:rPr>
      </w:r>
    </w:p>
    <w:p w14:paraId="298A542F">
      <w:pPr>
        <w:pStyle w:val="85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Cs/>
          <w:sz w:val="22"/>
          <w:szCs w:val="22"/>
          <w:u w:val="none"/>
        </w:rPr>
      </w:pPr>
      <w:r>
        <w:rPr>
          <w:rFonts w:ascii="Arial" w:hAnsi="Arial" w:cs="Arial"/>
          <w:bCs/>
          <w:sz w:val="22"/>
          <w:szCs w:val="22"/>
          <w:u w:val="none"/>
        </w:rPr>
        <w:t xml:space="preserve"> MINUTA DA ATA DE REGISTRO DE PREÇOS</w:t>
      </w:r>
      <w:r>
        <w:rPr>
          <w:rFonts w:ascii="Arial" w:hAnsi="Arial" w:cs="Arial"/>
          <w:bCs/>
          <w:sz w:val="22"/>
          <w:szCs w:val="22"/>
          <w:u w:val="none"/>
        </w:rPr>
      </w:r>
      <w:r>
        <w:rPr>
          <w:rFonts w:ascii="Arial" w:hAnsi="Arial" w:cs="Arial"/>
          <w:bCs/>
          <w:sz w:val="22"/>
          <w:szCs w:val="22"/>
          <w:u w:val="none"/>
        </w:rPr>
      </w:r>
    </w:p>
    <w:p w14:paraId="3ACC5356">
      <w:pPr>
        <w:pStyle w:val="857"/>
        <w:pBdr/>
        <w:spacing w:line="360" w:lineRule="auto"/>
        <w:ind/>
        <w:jc w:val="center"/>
        <w:rPr>
          <w:rFonts w:ascii="Arial" w:hAnsi="Arial" w:cs="Arial"/>
          <w:sz w:val="22"/>
          <w:szCs w:val="22"/>
          <w:u w:val="none"/>
        </w:rPr>
      </w:pPr>
      <w:r>
        <w:rPr>
          <w:rFonts w:ascii="Arial" w:hAnsi="Arial" w:cs="Arial"/>
          <w:sz w:val="22"/>
          <w:szCs w:val="22"/>
          <w:u w:val="none"/>
        </w:rPr>
      </w:r>
      <w:r>
        <w:rPr>
          <w:rFonts w:ascii="Arial" w:hAnsi="Arial" w:cs="Arial"/>
          <w:sz w:val="22"/>
          <w:szCs w:val="22"/>
          <w:u w:val="none"/>
        </w:rPr>
      </w:r>
      <w:r>
        <w:rPr>
          <w:rFonts w:ascii="Arial" w:hAnsi="Arial" w:cs="Arial"/>
          <w:sz w:val="22"/>
          <w:szCs w:val="22"/>
          <w:u w:val="none"/>
        </w:rPr>
      </w:r>
    </w:p>
    <w:p w14:paraId="4BA5CFED">
      <w:pPr>
        <w:pStyle w:val="857"/>
        <w:pBdr/>
        <w:spacing w:line="276" w:lineRule="auto"/>
        <w:ind/>
        <w:jc w:val="center"/>
        <w:rPr>
          <w:rFonts w:ascii="Arial" w:hAnsi="Arial" w:cs="Arial"/>
          <w:sz w:val="22"/>
          <w:szCs w:val="22"/>
          <w:u w:val="none"/>
        </w:rPr>
      </w:pPr>
      <w:r>
        <w:rPr>
          <w:rFonts w:ascii="Arial" w:hAnsi="Arial" w:cs="Arial"/>
          <w:sz w:val="22"/>
          <w:szCs w:val="22"/>
          <w:u w:val="none"/>
        </w:rPr>
        <w:t xml:space="preserve">CONCORRÊNCIA ELETRÔNICA Nº 11/2026</w:t>
      </w:r>
      <w:r>
        <w:rPr>
          <w:rFonts w:ascii="Arial" w:hAnsi="Arial" w:cs="Arial"/>
          <w:sz w:val="22"/>
          <w:szCs w:val="22"/>
          <w:u w:val="none"/>
        </w:rPr>
      </w:r>
      <w:r>
        <w:rPr>
          <w:rFonts w:ascii="Arial" w:hAnsi="Arial" w:cs="Arial"/>
          <w:sz w:val="22"/>
          <w:szCs w:val="22"/>
          <w:u w:val="none"/>
        </w:rPr>
      </w:r>
    </w:p>
    <w:p w14:paraId="33268E17">
      <w:pPr>
        <w:pBdr/>
        <w:spacing w:line="276" w:lineRule="auto"/>
        <w:ind/>
        <w:jc w:val="center"/>
        <w:rPr>
          <w:rFonts w:ascii="Arial" w:hAnsi="Arial" w:cs="Arial"/>
          <w:sz w:val="22"/>
          <w:szCs w:val="22"/>
          <w:highlight w:val="none"/>
        </w:rPr>
      </w:pPr>
      <w:r>
        <w:rPr>
          <w:rFonts w:ascii="Arial" w:hAnsi="Arial" w:cs="Arial"/>
          <w:b/>
          <w:sz w:val="22"/>
          <w:szCs w:val="22"/>
        </w:rPr>
        <w:t xml:space="preserve">ATA DE REGISTRO DE PREÇOS Nº ..../2026 </w:t>
      </w:r>
      <w:r>
        <w:rPr>
          <w:rFonts w:ascii="Arial" w:hAnsi="Arial" w:cs="Arial"/>
          <w:sz w:val="22"/>
          <w:szCs w:val="22"/>
        </w:rPr>
      </w:r>
      <w:r>
        <w:rPr>
          <w:rFonts w:ascii="Arial" w:hAnsi="Arial" w:cs="Arial"/>
          <w:sz w:val="22"/>
          <w:szCs w:val="22"/>
          <w:highlight w:val="none"/>
        </w:rPr>
      </w:r>
    </w:p>
    <w:p w14:paraId="14FDAB05">
      <w:pPr>
        <w:pBdr/>
        <w:spacing w:line="276" w:lineRule="auto"/>
        <w:ind/>
        <w:jc w:val="center"/>
        <w:rPr>
          <w:rFonts w:ascii="Arial" w:hAnsi="Arial" w:cs="Arial"/>
          <w:sz w:val="22"/>
          <w:szCs w:val="22"/>
        </w:rPr>
      </w:pPr>
      <w:r>
        <w:rPr>
          <w:rFonts w:ascii="Arial" w:hAnsi="Arial" w:cs="Arial"/>
          <w:sz w:val="22"/>
          <w:szCs w:val="22"/>
          <w:highlight w:val="none"/>
        </w:rPr>
      </w:r>
      <w:r>
        <w:rPr>
          <w:rFonts w:ascii="Arial" w:hAnsi="Arial" w:cs="Arial"/>
          <w:sz w:val="22"/>
          <w:szCs w:val="22"/>
          <w:highlight w:val="none"/>
        </w:rPr>
      </w:r>
      <w:r>
        <w:rPr>
          <w:rFonts w:ascii="Arial" w:hAnsi="Arial" w:cs="Arial"/>
          <w:sz w:val="22"/>
          <w:szCs w:val="22"/>
        </w:rPr>
      </w:r>
    </w:p>
    <w:p w14:paraId="6925DDC6">
      <w:pPr>
        <w:pStyle w:val="894"/>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Preâmbulo</w:t>
      </w:r>
      <w:r>
        <w:rPr>
          <w:rFonts w:ascii="Arial" w:hAnsi="Arial" w:cs="Arial"/>
          <w:b/>
          <w:sz w:val="22"/>
          <w:szCs w:val="22"/>
        </w:rPr>
      </w:r>
      <w:r>
        <w:rPr>
          <w:rFonts w:ascii="Arial" w:hAnsi="Arial" w:cs="Arial"/>
          <w:b/>
          <w:sz w:val="22"/>
          <w:szCs w:val="22"/>
        </w:rPr>
      </w:r>
    </w:p>
    <w:p w14:paraId="6CB9D177">
      <w:pPr>
        <w:widowControl w:val="false"/>
        <w:pBdr/>
        <w:tabs>
          <w:tab w:val="center" w:leader="none" w:pos="4779"/>
          <w:tab w:val="right" w:leader="none" w:pos="9198"/>
        </w:tabs>
        <w:spacing/>
        <w:ind w:right="-28"/>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FA5A895">
      <w:pPr>
        <w:widowControl w:val="false"/>
        <w:pBdr/>
        <w:tabs>
          <w:tab w:val="center" w:leader="none" w:pos="4779"/>
          <w:tab w:val="right" w:leader="none" w:pos="9198"/>
        </w:tabs>
        <w:spacing w:after="120" w:before="120" w:line="360" w:lineRule="auto"/>
        <w:ind w:right="-28"/>
        <w:jc w:val="both"/>
        <w:rPr>
          <w:rFonts w:ascii="Arial" w:hAnsi="Arial" w:cs="Arial"/>
          <w:sz w:val="22"/>
          <w:szCs w:val="22"/>
        </w:rPr>
      </w:pPr>
      <w:r>
        <w:rPr>
          <w:rFonts w:ascii="Arial" w:hAnsi="Arial" w:cs="Arial"/>
          <w:sz w:val="22"/>
          <w:szCs w:val="22"/>
        </w:rPr>
        <w:t xml:space="preserve">O </w:t>
      </w:r>
      <w:r>
        <w:rPr>
          <w:rFonts w:ascii="Arial" w:hAnsi="Arial" w:cs="Arial"/>
          <w:b/>
          <w:bCs/>
          <w:sz w:val="22"/>
          <w:szCs w:val="22"/>
        </w:rPr>
        <w:t xml:space="preserve">MUNICÍPIO DE </w:t>
      </w:r>
      <w:r>
        <w:rPr>
          <w:rFonts w:ascii="Arial" w:hAnsi="Arial" w:cs="Arial"/>
          <w:b/>
          <w:sz w:val="22"/>
          <w:szCs w:val="22"/>
        </w:rPr>
        <w:t xml:space="preserve">SINOP</w:t>
      </w:r>
      <w:r>
        <w:rPr>
          <w:rFonts w:ascii="Arial" w:hAnsi="Arial" w:cs="Arial"/>
          <w:sz w:val="22"/>
          <w:szCs w:val="22"/>
        </w:rPr>
        <w:t xml:space="preserve">, pessoa </w:t>
      </w:r>
      <w:r>
        <w:rPr>
          <w:rFonts w:ascii="Arial" w:hAnsi="Arial" w:cs="Arial"/>
          <w:sz w:val="22"/>
          <w:szCs w:val="22"/>
        </w:rPr>
        <w:t xml:space="preserve">jurídica de direito público interno, inscrito no CNPJ/MF sob o número 15.024.003/0001-32, com sede administrativa na Avenida das Embaúbas, n° 1386, Setor Comercial, na cidade de Sinop/MT, CEP 78.550-206, neste ato representado pelo Prefeito Municipal, Sr. </w:t>
      </w:r>
      <w:r>
        <w:rPr>
          <w:rFonts w:ascii="Arial" w:hAnsi="Arial" w:cs="Arial"/>
          <w:bCs/>
          <w:sz w:val="22"/>
          <w:szCs w:val="22"/>
        </w:rPr>
        <w:t xml:space="preserve">Roberto Dorner</w:t>
      </w:r>
      <w:r>
        <w:rPr>
          <w:rFonts w:ascii="Arial" w:hAnsi="Arial" w:cs="Arial"/>
          <w:sz w:val="22"/>
          <w:szCs w:val="22"/>
        </w:rPr>
        <w:t xml:space="preserve">, brasileiro, viúvo, empresário, residente </w:t>
      </w:r>
      <w:r>
        <w:rPr>
          <w:rFonts w:ascii="Arial" w:hAnsi="Arial" w:cs="Arial"/>
          <w:color w:val="000000"/>
          <w:sz w:val="22"/>
          <w:szCs w:val="22"/>
        </w:rPr>
        <w:t xml:space="preserve">e domiciliado na Avenida dos Jacarandás, nº 3584, Setor Comercial</w:t>
      </w:r>
      <w:r>
        <w:rPr>
          <w:rFonts w:ascii="Arial" w:hAnsi="Arial" w:cs="Arial"/>
          <w:sz w:val="22"/>
          <w:szCs w:val="22"/>
        </w:rPr>
        <w:t xml:space="preserve">, CEP 78.550-248, na cidade de Sinop/MT, portador da CI/RG nº 0607820-6 SSP/MT e CPF/MF nº 127.091.159-72, doravante </w:t>
      </w:r>
      <w:r>
        <w:rPr>
          <w:rFonts w:ascii="Arial" w:hAnsi="Arial" w:cs="Arial"/>
          <w:color w:val="000000"/>
          <w:sz w:val="22"/>
          <w:szCs w:val="22"/>
        </w:rPr>
        <w:t xml:space="preserve">denominada</w:t>
      </w:r>
      <w:r>
        <w:rPr>
          <w:rFonts w:ascii="Arial" w:hAnsi="Arial" w:cs="Arial"/>
          <w:sz w:val="22"/>
          <w:szCs w:val="22"/>
        </w:rPr>
        <w:t xml:space="preserve"> </w:t>
      </w:r>
      <w:r>
        <w:rPr>
          <w:rFonts w:ascii="Arial" w:hAnsi="Arial" w:cs="Arial"/>
          <w:b/>
          <w:sz w:val="22"/>
          <w:szCs w:val="22"/>
        </w:rPr>
        <w:t xml:space="preserve">ÓRGÃO GERENCIADOR</w:t>
      </w:r>
      <w:r>
        <w:rPr>
          <w:rFonts w:ascii="Arial" w:hAnsi="Arial" w:cs="Arial"/>
          <w:bCs/>
          <w:sz w:val="22"/>
          <w:szCs w:val="22"/>
        </w:rPr>
        <w:t xml:space="preserve">,</w:t>
      </w:r>
      <w:r>
        <w:rPr>
          <w:rFonts w:ascii="Arial" w:hAnsi="Arial" w:cs="Arial"/>
          <w:sz w:val="22"/>
          <w:szCs w:val="22"/>
        </w:rPr>
        <w:t xml:space="preserve"> e a empresa ..............., pessoa jurídica  ........</w:t>
      </w:r>
      <w:r>
        <w:rPr>
          <w:rFonts w:ascii="Arial" w:hAnsi="Arial" w:cs="Arial"/>
          <w:sz w:val="22"/>
          <w:szCs w:val="22"/>
        </w:rPr>
        <w:t xml:space="preserve">........., inscrita no CNPJ/MF sob o nº ............, com sede na ......., ............., ........, na cidade de .................., Estado ........................., neste ato representada pelo(a) sócio(a) proprietário(a) senhor(a), ..............., brasi</w:t>
      </w:r>
      <w:r>
        <w:rPr>
          <w:rFonts w:ascii="Arial" w:hAnsi="Arial" w:cs="Arial"/>
          <w:sz w:val="22"/>
          <w:szCs w:val="22"/>
        </w:rPr>
        <w:t xml:space="preserve">leiro(a), ..............., ........., residente e domiciliado(a) na ........., ........, ........., na cidade de ................, Estado ................, portador da CI/RG nº ............... SSP ......... e CPF/MF n.º .............., doravante denominada</w:t>
      </w:r>
      <w:r>
        <w:rPr>
          <w:rFonts w:ascii="Arial" w:hAnsi="Arial" w:cs="Arial"/>
          <w:b/>
          <w:sz w:val="22"/>
          <w:szCs w:val="22"/>
        </w:rPr>
        <w:t xml:space="preserve"> “PROMITENTE FORNECEDORA”</w:t>
      </w:r>
      <w:r>
        <w:rPr>
          <w:rFonts w:ascii="Arial" w:hAnsi="Arial" w:cs="Arial"/>
          <w:bCs/>
          <w:sz w:val="22"/>
          <w:szCs w:val="22"/>
        </w:rPr>
        <w:t xml:space="preserve">,</w:t>
      </w:r>
      <w:r>
        <w:rPr>
          <w:rFonts w:ascii="Arial" w:hAnsi="Arial" w:cs="Arial"/>
          <w:b/>
          <w:sz w:val="22"/>
          <w:szCs w:val="22"/>
        </w:rPr>
        <w:t xml:space="preserve"> </w:t>
      </w:r>
      <w:r>
        <w:rPr>
          <w:rFonts w:ascii="Arial" w:hAnsi="Arial" w:cs="Arial"/>
          <w:sz w:val="22"/>
          <w:szCs w:val="22"/>
        </w:rPr>
        <w:t xml:space="preserve">considerando o julgamento da licitação na modalidade de Concorrência, na forma Eletrônica, para Registro de Preços, resolve registrar os preços da(s)  empresa(s) indicada(s) e qualificada(s) nesta Ata de acordo com a classificação por ela(s) a</w:t>
      </w:r>
      <w:r>
        <w:rPr>
          <w:rFonts w:ascii="Arial" w:hAnsi="Arial" w:cs="Arial"/>
          <w:sz w:val="22"/>
          <w:szCs w:val="22"/>
        </w:rPr>
        <w:t xml:space="preserve">lcançada(s) e na(s)  quantidade(s)  cotada(s), atendendo as condições previstas no Edital de licitação, sujeitando-se as partes às normas constantes na Lei Federal nº 14.133/2021, no Decreto Municipal 359/2023 e em conformidade com as disposições a seguir.</w:t>
      </w:r>
      <w:r>
        <w:rPr>
          <w:rFonts w:ascii="Arial" w:hAnsi="Arial" w:cs="Arial"/>
          <w:sz w:val="22"/>
          <w:szCs w:val="22"/>
        </w:rPr>
      </w:r>
      <w:r>
        <w:rPr>
          <w:rFonts w:ascii="Arial" w:hAnsi="Arial" w:cs="Arial"/>
          <w:sz w:val="22"/>
          <w:szCs w:val="22"/>
        </w:rPr>
      </w:r>
    </w:p>
    <w:p w14:paraId="01413AC4">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Primeira</w:t>
      </w:r>
      <w:r>
        <w:rPr>
          <w:rFonts w:ascii="Arial" w:hAnsi="Arial" w:cs="Arial"/>
          <w:b/>
          <w:bCs/>
          <w:szCs w:val="22"/>
        </w:rPr>
      </w:r>
      <w:r>
        <w:rPr>
          <w:rFonts w:ascii="Arial" w:hAnsi="Arial" w:cs="Arial"/>
          <w:b/>
          <w:bCs/>
          <w:szCs w:val="22"/>
        </w:rPr>
      </w:r>
    </w:p>
    <w:p w14:paraId="3E78347D">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DO OBJETO</w:t>
      </w:r>
      <w:r>
        <w:rPr>
          <w:rFonts w:ascii="Arial" w:hAnsi="Arial" w:cs="Arial"/>
          <w:szCs w:val="22"/>
        </w:rPr>
      </w:r>
      <w:r>
        <w:rPr>
          <w:rFonts w:ascii="Arial" w:hAnsi="Arial" w:cs="Arial"/>
          <w:szCs w:val="22"/>
        </w:rPr>
      </w:r>
    </w:p>
    <w:p w14:paraId="24827D99">
      <w:pPr>
        <w:numPr>
          <w:ilvl w:val="1"/>
          <w:numId w:val="15"/>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Através da presente Ata ficam registrados os preços para</w:t>
      </w:r>
      <w:r>
        <w:rPr>
          <w:rFonts w:ascii="Arial" w:hAnsi="Arial" w:cs="Arial"/>
          <w:bCs/>
          <w:sz w:val="22"/>
          <w:szCs w:val="22"/>
        </w:rPr>
        <w:t xml:space="preserve"> “</w:t>
      </w:r>
      <w:r>
        <w:rPr>
          <w:rFonts w:hint="default" w:ascii="Arial" w:hAnsi="Arial" w:eastAsia="Arial" w:cs="Arial"/>
          <w:color w:val="0d0d0d"/>
          <w:sz w:val="22"/>
          <w:szCs w:val="22"/>
          <w:shd w:val="clear" w:color="auto" w:fill="ffffff"/>
          <w:lang w:val="pt-BR"/>
        </w:rPr>
        <w:t xml:space="preserve">CONCORRÊNCIA </w:t>
      </w:r>
      <w:r>
        <w:rPr>
          <w:rFonts w:ascii="Arial" w:hAnsi="Arial" w:eastAsia="Arial" w:cs="Arial"/>
          <w:color w:val="0d0d0d"/>
          <w:sz w:val="22"/>
          <w:szCs w:val="22"/>
          <w:shd w:val="clear" w:color="auto" w:fill="ffffff"/>
        </w:rPr>
        <w:t xml:space="preserve">PARA FUTURA E EVENTUAL CONTRATAÇÃO DE EMPRESA ESPECIALIZADA NA EXECUÇÃO DE OBRAS DE INFRAESTRUTURA URBANA</w:t>
      </w:r>
      <w:r>
        <w:rPr>
          <w:rFonts w:ascii="Arial" w:hAnsi="Arial" w:eastAsia="Arial" w:cs="Arial"/>
          <w:color w:val="0d0d0d"/>
          <w:sz w:val="22"/>
          <w:szCs w:val="22"/>
          <w:shd w:val="clear" w:color="auto" w:fill="ffffff"/>
          <w:lang w:val="pt-BR"/>
        </w:rPr>
        <w:t xml:space="preserve"> E</w:t>
      </w:r>
      <w:r>
        <w:rPr>
          <w:rFonts w:ascii="Arial" w:hAnsi="Arial" w:eastAsia="Arial" w:cs="Arial"/>
          <w:color w:val="0d0d0d"/>
          <w:sz w:val="22"/>
          <w:szCs w:val="22"/>
          <w:shd w:val="clear" w:color="auto" w:fill="ffffff"/>
        </w:rPr>
        <w:t xml:space="preserve"> ACESSIBILIDADE NO MUNICÍPIO DE SINOP - MT</w:t>
      </w:r>
      <w:r>
        <w:rPr>
          <w:rFonts w:hint="default" w:ascii="Arial" w:hAnsi="Arial" w:eastAsia="SimSun" w:cs="Arial"/>
          <w:b w:val="0"/>
          <w:bCs w:val="0"/>
          <w:i w:val="0"/>
          <w:iCs w:val="0"/>
          <w:color w:val="000000"/>
          <w:sz w:val="22"/>
          <w:szCs w:val="22"/>
          <w:highlight w:val="none"/>
          <w:u w:val="none"/>
          <w:lang w:val="en-US" w:eastAsia="zh-CN" w:bidi="ar"/>
        </w:rPr>
        <w:t xml:space="preserve">,</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de acordo com os termos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especificações</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w:t>
      </w:r>
      <w:r>
        <w:rPr>
          <w:rFonts w:hint="default" w:ascii="Arial" w:hAnsi="Arial" w:cs="Arial"/>
          <w:b w:val="0"/>
          <w:bCs w:val="0"/>
          <w:sz w:val="22"/>
          <w:szCs w:val="22"/>
          <w:lang w:val="pt-BR"/>
        </w:rPr>
        <w:t xml:space="preserve">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edital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seus anexos,</w:t>
      </w:r>
      <w:r>
        <w:rPr>
          <w:rFonts w:ascii="Arial" w:hAnsi="Arial" w:cs="Arial"/>
          <w:bCs/>
          <w:sz w:val="22"/>
          <w:szCs w:val="22"/>
        </w:rPr>
        <w:t xml:space="preserve"> </w:t>
      </w:r>
      <w:r>
        <w:rPr>
          <w:rFonts w:ascii="Arial" w:hAnsi="Arial" w:cs="Arial"/>
          <w:sz w:val="22"/>
          <w:szCs w:val="22"/>
        </w:rPr>
        <w:t xml:space="preserve">que é parte integrante desta Ata, bem como as propostas cujos preços tenham sido registrados, independente da transcrição, abaixo especificados.</w:t>
      </w:r>
      <w:r>
        <w:rPr>
          <w:rFonts w:ascii="Arial" w:hAnsi="Arial" w:cs="Arial"/>
          <w:sz w:val="22"/>
          <w:szCs w:val="22"/>
        </w:rPr>
      </w:r>
      <w:r>
        <w:rPr>
          <w:rFonts w:ascii="Arial" w:hAnsi="Arial" w:cs="Arial"/>
          <w:sz w:val="22"/>
          <w:szCs w:val="22"/>
        </w:rPr>
      </w:r>
    </w:p>
    <w:p w14:paraId="3D1921E3">
      <w:pPr>
        <w:widowControl w:val="false"/>
        <w:pBdr/>
        <w:spacing w:line="360" w:lineRule="auto"/>
        <w:ind/>
        <w:jc w:val="both"/>
        <w:rPr>
          <w:rFonts w:ascii="Arial" w:hAnsi="Arial" w:cs="Arial"/>
          <w:sz w:val="22"/>
          <w:szCs w:val="22"/>
        </w:rPr>
      </w:pPr>
      <w:r>
        <w:rPr>
          <w:rFonts w:ascii="Arial" w:hAnsi="Arial" w:cs="Arial"/>
          <w:b/>
          <w:bCs/>
          <w:sz w:val="22"/>
          <w:szCs w:val="22"/>
        </w:rPr>
        <w:t xml:space="preserve">1.2.</w:t>
      </w:r>
      <w:r>
        <w:rPr>
          <w:rFonts w:ascii="Arial" w:hAnsi="Arial" w:cs="Arial"/>
          <w:sz w:val="22"/>
          <w:szCs w:val="22"/>
        </w:rPr>
        <w:t xml:space="preserve"> O presente instrumento caracteriza-se como um </w:t>
      </w:r>
      <w:r>
        <w:rPr>
          <w:rFonts w:ascii="Arial" w:hAnsi="Arial" w:eastAsia="Calibri" w:cs="Arial"/>
          <w:color w:val="000000"/>
          <w:sz w:val="22"/>
          <w:szCs w:val="22"/>
        </w:rPr>
        <w:t xml:space="preserve">documento vinculativo e obrigacional, com característica de compromisso para futura contratação dos itens indicados na tabela do item 2.2.</w:t>
      </w:r>
      <w:r>
        <w:rPr>
          <w:rFonts w:ascii="Arial" w:hAnsi="Arial" w:cs="Arial"/>
          <w:color w:val="000000"/>
          <w:sz w:val="22"/>
          <w:szCs w:val="22"/>
        </w:rPr>
        <w:t xml:space="preserve">, do Termo de Referência,  </w:t>
      </w:r>
      <w:r>
        <w:rPr>
          <w:rFonts w:ascii="Arial" w:hAnsi="Arial" w:cs="Arial"/>
          <w:sz w:val="22"/>
          <w:szCs w:val="22"/>
        </w:rPr>
        <w:t xml:space="preserve">nas condições definidas no ato convocatório, seus anexos, propostas de preços e ata da Concorrência Eletrônica n.º 11/2026, que integram este instrumento independente de transcrição, pelo prazo de validade do registro.</w:t>
      </w:r>
      <w:r>
        <w:rPr>
          <w:rFonts w:ascii="Arial" w:hAnsi="Arial" w:cs="Arial"/>
          <w:sz w:val="22"/>
          <w:szCs w:val="22"/>
        </w:rPr>
      </w:r>
      <w:r>
        <w:rPr>
          <w:rFonts w:ascii="Arial" w:hAnsi="Arial" w:cs="Arial"/>
          <w:sz w:val="22"/>
          <w:szCs w:val="22"/>
        </w:rPr>
      </w:r>
    </w:p>
    <w:p w14:paraId="0835CA00">
      <w:pPr>
        <w:widowControl w:val="false"/>
        <w:pBdr/>
        <w:spacing w:line="360" w:lineRule="auto"/>
        <w:ind/>
        <w:jc w:val="both"/>
        <w:rPr>
          <w:rFonts w:ascii="Arial" w:hAnsi="Arial" w:eastAsia="Calibri" w:cs="Arial"/>
          <w:color w:val="000000"/>
          <w:sz w:val="22"/>
          <w:szCs w:val="22"/>
        </w:rPr>
      </w:pPr>
      <w:r>
        <w:rPr>
          <w:rFonts w:ascii="Arial" w:hAnsi="Arial" w:cs="Arial"/>
          <w:b/>
          <w:bCs/>
          <w:sz w:val="22"/>
          <w:szCs w:val="22"/>
        </w:rPr>
        <w:t xml:space="preserve">1.3.</w:t>
      </w:r>
      <w:r>
        <w:rPr>
          <w:rFonts w:ascii="Arial" w:hAnsi="Arial" w:cs="Arial"/>
          <w:sz w:val="22"/>
          <w:szCs w:val="22"/>
        </w:rPr>
        <w:t xml:space="preserve"> </w:t>
      </w:r>
      <w:r>
        <w:rPr>
          <w:rFonts w:ascii="Arial" w:hAnsi="Arial" w:eastAsia="Calibri" w:cs="Arial"/>
          <w:color w:val="000000"/>
          <w:sz w:val="22"/>
          <w:szCs w:val="22"/>
        </w:rPr>
        <w:t xml:space="preserve">A existência de preços</w:t>
      </w:r>
      <w:r>
        <w:rPr>
          <w:rFonts w:ascii="Arial" w:hAnsi="Arial" w:eastAsia="Calibri" w:cs="Arial"/>
          <w:color w:val="000000"/>
          <w:sz w:val="22"/>
          <w:szCs w:val="22"/>
        </w:rPr>
        <w:t xml:space="preserve"> registrados implicará no compromisso de fornecimento nas condições estabelecidas, mas não obrigará os órgãos e entidades participantes a contratar, facultada a realização de licitação específica para a aquisição pretendida, desde que devidamente motivada.</w:t>
      </w:r>
      <w:r>
        <w:rPr>
          <w:rFonts w:ascii="Arial" w:hAnsi="Arial" w:eastAsia="Calibri" w:cs="Arial"/>
          <w:color w:val="000000"/>
          <w:sz w:val="22"/>
          <w:szCs w:val="22"/>
        </w:rPr>
      </w:r>
      <w:r>
        <w:rPr>
          <w:rFonts w:ascii="Arial" w:hAnsi="Arial" w:eastAsia="Calibri" w:cs="Arial"/>
          <w:color w:val="000000"/>
          <w:sz w:val="22"/>
          <w:szCs w:val="22"/>
        </w:rPr>
      </w:r>
    </w:p>
    <w:p w14:paraId="12930EE3">
      <w:pPr>
        <w:widowControl w:val="false"/>
        <w:pBdr/>
        <w:spacing/>
        <w:ind/>
        <w:jc w:val="both"/>
        <w:rPr>
          <w:rFonts w:eastAsia="Calibri" w:asciiTheme="minorHAnsi" w:hAnsiTheme="minorHAnsi" w:cstheme="minorHAnsi"/>
          <w:color w:val="000000"/>
          <w:sz w:val="22"/>
          <w:szCs w:val="22"/>
        </w:rPr>
      </w:pP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p>
    <w:p w14:paraId="2EAEC660">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Segunda</w:t>
      </w:r>
      <w:r>
        <w:rPr>
          <w:rFonts w:ascii="Arial" w:hAnsi="Arial" w:cs="Arial"/>
          <w:b/>
          <w:bCs/>
          <w:szCs w:val="22"/>
        </w:rPr>
      </w:r>
      <w:r>
        <w:rPr>
          <w:rFonts w:ascii="Arial" w:hAnsi="Arial" w:cs="Arial"/>
          <w:b/>
          <w:bCs/>
          <w:szCs w:val="22"/>
        </w:rPr>
      </w:r>
    </w:p>
    <w:p w14:paraId="01FD154A">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DOS PREÇOS, ESPECIFICAÇÕES E QUANTITATIVOS</w:t>
      </w:r>
      <w:r>
        <w:rPr>
          <w:rFonts w:ascii="Arial" w:hAnsi="Arial" w:cs="Arial"/>
          <w:szCs w:val="22"/>
        </w:rPr>
      </w:r>
      <w:r>
        <w:rPr>
          <w:rFonts w:ascii="Arial" w:hAnsi="Arial" w:cs="Arial"/>
          <w:szCs w:val="22"/>
        </w:rPr>
      </w:r>
    </w:p>
    <w:p w14:paraId="65266523">
      <w:pPr>
        <w:pStyle w:val="1160"/>
        <w:numPr>
          <w:ilvl w:val="0"/>
          <w:numId w:val="0"/>
        </w:numPr>
        <w:pBdr/>
        <w:spacing w:line="360" w:lineRule="auto"/>
        <w:ind/>
        <w:rPr>
          <w:sz w:val="22"/>
          <w:szCs w:val="22"/>
        </w:rPr>
      </w:pPr>
      <w:r>
        <w:rPr>
          <w:b/>
          <w:bCs/>
          <w:sz w:val="22"/>
          <w:szCs w:val="22"/>
        </w:rPr>
        <w:t xml:space="preserve">2.1. </w:t>
      </w:r>
      <w:r>
        <w:rPr>
          <w:rFonts w:hint="default" w:ascii="Arial" w:hAnsi="Arial" w:eastAsia="SimSun" w:cs="Arial"/>
          <w:b w:val="0"/>
          <w:bCs w:val="0"/>
          <w:sz w:val="22"/>
          <w:szCs w:val="22"/>
        </w:rPr>
        <w:t xml:space="preserve">O valor total do presente instrumento é de R$ _________________________(______________________), compreendendo todas as despesas e custos diretos e indiretos necessários à perfeita execução desta Atao.</w:t>
      </w:r>
      <w:r>
        <w:rPr>
          <w:sz w:val="22"/>
          <w:szCs w:val="22"/>
        </w:rPr>
      </w:r>
      <w:r>
        <w:rPr>
          <w:sz w:val="22"/>
          <w:szCs w:val="22"/>
        </w:rPr>
      </w:r>
    </w:p>
    <w:p w14:paraId="447E7FF3">
      <w:pPr>
        <w:pStyle w:val="1160"/>
        <w:numPr>
          <w:ilvl w:val="0"/>
          <w:numId w:val="0"/>
        </w:numPr>
        <w:pBdr/>
        <w:tabs>
          <w:tab w:val="left" w:leader="none" w:pos="480"/>
        </w:tabs>
        <w:spacing w:line="360" w:lineRule="auto"/>
        <w:ind w:right="0" w:firstLine="0" w:left="0"/>
        <w:rPr>
          <w:sz w:val="22"/>
          <w:szCs w:val="22"/>
          <w:lang w:eastAsia="en-US"/>
        </w:rPr>
      </w:pPr>
      <w:r>
        <w:rPr>
          <w:b/>
          <w:bCs/>
          <w:sz w:val="22"/>
          <w:szCs w:val="22"/>
          <w:lang w:eastAsia="en-US"/>
        </w:rPr>
        <w:t xml:space="preserve">2.2. </w:t>
      </w:r>
      <w:r>
        <w:rPr>
          <w:sz w:val="22"/>
          <w:szCs w:val="22"/>
          <w:lang w:eastAsia="en-US"/>
        </w:rPr>
        <w:t xml:space="preserve">A listagem do cadastro de reserva referente ao presente registro de preços consta no Anexo VI.</w:t>
      </w:r>
      <w:r>
        <w:rPr>
          <w:sz w:val="22"/>
          <w:szCs w:val="22"/>
          <w:lang w:eastAsia="en-US"/>
        </w:rPr>
      </w:r>
      <w:r>
        <w:rPr>
          <w:sz w:val="22"/>
          <w:szCs w:val="22"/>
          <w:lang w:eastAsia="en-US"/>
        </w:rPr>
      </w:r>
    </w:p>
    <w:p w14:paraId="43FF5728">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Terceira</w:t>
      </w:r>
      <w:r>
        <w:rPr>
          <w:rFonts w:ascii="Arial" w:hAnsi="Arial" w:cs="Arial"/>
          <w:b/>
          <w:bCs/>
          <w:szCs w:val="22"/>
        </w:rPr>
      </w:r>
      <w:r>
        <w:rPr>
          <w:rFonts w:ascii="Arial" w:hAnsi="Arial" w:cs="Arial"/>
          <w:b/>
          <w:bCs/>
          <w:szCs w:val="22"/>
        </w:rPr>
      </w:r>
    </w:p>
    <w:p w14:paraId="35BF771E">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DO ÓRGÃO GERENCIADOR E PARTICIPANTE(S) E </w:t>
      </w:r>
      <w:r>
        <w:rPr>
          <w:rFonts w:ascii="Arial" w:hAnsi="Arial" w:cs="Arial"/>
          <w:b/>
          <w:bCs/>
          <w:szCs w:val="22"/>
        </w:rPr>
      </w:r>
      <w:r>
        <w:rPr>
          <w:rFonts w:ascii="Arial" w:hAnsi="Arial" w:cs="Arial"/>
          <w:b/>
          <w:bCs/>
          <w:szCs w:val="22"/>
        </w:rPr>
      </w:r>
    </w:p>
    <w:p w14:paraId="0D498EB8">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 GESTÃO E FISCALIZAÇÃO DA ATA DE REGISTRO DE PREÇOS</w:t>
      </w:r>
      <w:r>
        <w:rPr>
          <w:rFonts w:ascii="Arial" w:hAnsi="Arial" w:cs="Arial"/>
          <w:szCs w:val="22"/>
        </w:rPr>
      </w:r>
      <w:r>
        <w:rPr>
          <w:rFonts w:ascii="Arial" w:hAnsi="Arial" w:cs="Arial"/>
          <w:szCs w:val="22"/>
        </w:rPr>
      </w:r>
    </w:p>
    <w:p w14:paraId="059FFC73">
      <w:pPr>
        <w:pStyle w:val="1160"/>
        <w:numPr>
          <w:ilvl w:val="0"/>
          <w:numId w:val="0"/>
        </w:numPr>
        <w:pBdr/>
        <w:spacing w:line="360" w:lineRule="auto"/>
        <w:ind/>
        <w:rPr>
          <w:rFonts w:hint="default"/>
          <w:i w:val="0"/>
          <w:iCs w:val="0"/>
          <w:color w:val="auto"/>
          <w:sz w:val="22"/>
          <w:szCs w:val="22"/>
          <w:lang w:val="pt-BR"/>
        </w:rPr>
      </w:pPr>
      <w:r>
        <w:rPr>
          <w:rFonts w:hint="default"/>
          <w:b/>
          <w:bCs/>
          <w:i w:val="0"/>
          <w:iCs w:val="0"/>
          <w:color w:val="auto"/>
          <w:sz w:val="22"/>
          <w:szCs w:val="22"/>
          <w:lang w:val="pt-BR"/>
        </w:rPr>
        <w:t xml:space="preserve">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 xml:space="preserve">PREFEITURA MUNICIPAL DE SINOP</w:t>
      </w:r>
      <w:r>
        <w:rPr>
          <w:rFonts w:hint="default" w:cs="Arial"/>
          <w:b/>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65E05072">
      <w:pPr>
        <w:pStyle w:val="1162"/>
        <w:numPr>
          <w:ilvl w:val="0"/>
          <w:numId w:val="0"/>
        </w:numPr>
        <w:pBdr/>
        <w:spacing w:line="360" w:lineRule="auto"/>
        <w:ind/>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 xml:space="preserve">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 xml:space="preserve">G</w:t>
      </w:r>
      <w:r>
        <w:rPr>
          <w:i w:val="0"/>
          <w:iCs w:val="0"/>
          <w:color w:val="auto"/>
          <w:sz w:val="22"/>
          <w:szCs w:val="22"/>
        </w:rPr>
        <w:t xml:space="preserve">erenciador</w:t>
      </w:r>
      <w:r>
        <w:rPr>
          <w:rFonts w:hint="default"/>
          <w:i w:val="0"/>
          <w:iCs w:val="0"/>
          <w:color w:val="auto"/>
          <w:sz w:val="22"/>
          <w:szCs w:val="22"/>
          <w:lang w:val="pt-BR"/>
        </w:rPr>
        <w:t xml:space="preserve">,</w:t>
      </w:r>
      <w:r>
        <w:rPr>
          <w:i w:val="0"/>
          <w:iCs w:val="0"/>
          <w:color w:val="auto"/>
          <w:sz w:val="22"/>
          <w:szCs w:val="22"/>
        </w:rPr>
        <w:t xml:space="preserve"> não há órgãos e entidades públicas participantes do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rFonts w:hint="default"/>
          <w:i w:val="0"/>
          <w:iCs w:val="0"/>
          <w:color w:val="auto"/>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6D1DB31A">
      <w:pPr>
        <w:pStyle w:val="1164"/>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6DABCCCA">
      <w:pPr>
        <w:pStyle w:val="1164"/>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lang w:val="pt-BR"/>
        </w:rPr>
        <w:t xml:space="preserve">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7AD8E6F4">
      <w:pPr>
        <w:pStyle w:val="1164"/>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highlight w:val="none"/>
        </w:rPr>
      </w:pPr>
      <w:r>
        <w:rPr>
          <w:rFonts w:hint="default" w:ascii="Arial" w:hAnsi="Arial" w:cs="Arial"/>
          <w:b/>
          <w:bCs/>
          <w:color w:val="auto"/>
          <w:sz w:val="22"/>
          <w:szCs w:val="22"/>
          <w:lang w:val="pt-BR"/>
        </w:rPr>
        <w:t xml:space="preserve">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color w:val="auto"/>
          <w:sz w:val="22"/>
          <w:szCs w:val="22"/>
          <w:highlight w:val="none"/>
        </w:rPr>
      </w:r>
      <w:r>
        <w:rPr>
          <w:rFonts w:hint="default" w:ascii="Arial" w:hAnsi="Arial" w:cs="Arial"/>
          <w:color w:val="auto"/>
          <w:sz w:val="22"/>
          <w:szCs w:val="22"/>
          <w:highlight w:val="none"/>
        </w:rPr>
      </w:r>
    </w:p>
    <w:p w14:paraId="4BAFA1B9">
      <w:pPr>
        <w:pStyle w:val="1151"/>
        <w:pBdr/>
        <w:tabs>
          <w:tab w:val="left" w:leader="none" w:pos="426"/>
          <w:tab w:val="left" w:leader="none" w:pos="3120"/>
        </w:tabs>
        <w:spacing w:after="240" w:before="240" w:line="360" w:lineRule="auto"/>
        <w:ind w:left="0"/>
        <w:contextualSpacing w:val="false"/>
        <w:jc w:val="both"/>
        <w:rPr>
          <w:rFonts w:hint="default" w:ascii="Arial" w:hAnsi="Arial" w:cs="Arial"/>
          <w:b/>
          <w:bCs/>
          <w:sz w:val="22"/>
          <w:szCs w:val="22"/>
          <w:lang w:val="pt-BR"/>
        </w:rPr>
      </w:pPr>
      <w:r>
        <w:rPr>
          <w:rFonts w:hint="default" w:ascii="Arial" w:hAnsi="Arial" w:cs="Arial"/>
          <w:b/>
          <w:bCs/>
          <w:sz w:val="22"/>
          <w:szCs w:val="22"/>
          <w:lang w:val="pt-BR"/>
        </w:rPr>
        <w:t xml:space="preserve">3.6. Gestores da Ata de Registro de Preços:</w:t>
      </w:r>
      <w:r>
        <w:rPr>
          <w:rFonts w:hint="default" w:ascii="Arial" w:hAnsi="Arial" w:cs="Arial"/>
          <w:b/>
          <w:bCs/>
          <w:sz w:val="22"/>
          <w:szCs w:val="22"/>
          <w:lang w:val="pt-BR"/>
        </w:rPr>
      </w:r>
      <w:r>
        <w:rPr>
          <w:rFonts w:hint="default" w:ascii="Arial" w:hAnsi="Arial" w:cs="Arial"/>
          <w:b/>
          <w:bCs/>
          <w:sz w:val="22"/>
          <w:szCs w:val="22"/>
          <w:lang w:val="pt-BR"/>
        </w:rPr>
      </w:r>
    </w:p>
    <w:tbl>
      <w:tblPr>
        <w:tblStyle w:val="899"/>
        <w:tblInd w:w="356" w:type="dxa"/>
        <w:tblW w:w="8286"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3433"/>
        <w:gridCol w:w="3203"/>
      </w:tblGrid>
      <w:tr>
        <w:trPr>
          <w:trHeight w:val="581"/>
        </w:trPr>
        <w:tc>
          <w:tcPr>
            <w:tcBorders/>
            <w:tcW w:w="3433" w:type="dxa"/>
            <w:vAlign w:val="center"/>
          </w:tcPr>
          <w:p w14:paraId="77CB1F57">
            <w:pPr>
              <w:pBdr/>
              <w:spacing w:line="360" w:lineRule="auto"/>
              <w:ind/>
              <w:rPr>
                <w:rFonts w:ascii="Arial" w:hAnsi="Arial" w:cs="Arial"/>
                <w:b/>
                <w:bCs/>
                <w:color w:val="000000"/>
                <w:sz w:val="20"/>
                <w:szCs w:val="20"/>
              </w:rPr>
            </w:pPr>
            <w:r>
              <w:rPr>
                <w:rFonts w:ascii="Arial" w:hAnsi="Arial" w:eastAsia="Arial" w:cs="Arial"/>
                <w:b/>
                <w:bCs/>
                <w:color w:val="000000"/>
                <w:sz w:val="20"/>
                <w:szCs w:val="20"/>
                <w:lang w:val="pt-BR"/>
              </w:rPr>
              <w:t xml:space="preserve">           </w:t>
            </w:r>
            <w:r>
              <w:rPr>
                <w:rFonts w:ascii="Arial" w:hAnsi="Arial" w:eastAsia="Arial" w:cs="Arial"/>
                <w:b/>
                <w:bCs/>
                <w:color w:val="000000"/>
                <w:sz w:val="20"/>
                <w:szCs w:val="20"/>
              </w:rPr>
              <w:t xml:space="preserve">FISCAL DA ATA/CONTRATO</w:t>
            </w:r>
            <w:r>
              <w:rPr>
                <w:rFonts w:ascii="Arial" w:hAnsi="Arial" w:cs="Arial"/>
                <w:b/>
                <w:bCs/>
                <w:color w:val="000000"/>
                <w:sz w:val="20"/>
                <w:szCs w:val="20"/>
              </w:rPr>
            </w:r>
            <w:r>
              <w:rPr>
                <w:rFonts w:ascii="Arial" w:hAnsi="Arial" w:cs="Arial"/>
                <w:b/>
                <w:bCs/>
                <w:color w:val="000000"/>
                <w:sz w:val="20"/>
                <w:szCs w:val="20"/>
              </w:rPr>
            </w:r>
          </w:p>
        </w:tc>
        <w:tc>
          <w:tcPr>
            <w:tcBorders/>
            <w:tcW w:w="3203" w:type="dxa"/>
            <w:vAlign w:val="center"/>
          </w:tcPr>
          <w:p w14:paraId="4B050BAC">
            <w:pPr>
              <w:pBdr/>
              <w:spacing w:line="360" w:lineRule="auto"/>
              <w:ind/>
              <w:jc w:val="center"/>
              <w:rPr>
                <w:rFonts w:ascii="Arial" w:hAnsi="Arial" w:cs="Arial"/>
                <w:b/>
                <w:bCs/>
                <w:color w:val="000000"/>
                <w:sz w:val="20"/>
                <w:szCs w:val="20"/>
              </w:rPr>
            </w:pPr>
            <w:r>
              <w:rPr>
                <w:rFonts w:ascii="Arial" w:hAnsi="Arial" w:eastAsia="Arial" w:cs="Arial"/>
                <w:b/>
                <w:bCs/>
                <w:color w:val="000000"/>
                <w:sz w:val="20"/>
                <w:szCs w:val="20"/>
              </w:rPr>
              <w:t xml:space="preserve">SUPLENTE</w:t>
            </w:r>
            <w:r>
              <w:rPr>
                <w:rFonts w:ascii="Arial" w:hAnsi="Arial" w:cs="Arial"/>
                <w:b/>
                <w:bCs/>
                <w:color w:val="000000"/>
                <w:sz w:val="20"/>
                <w:szCs w:val="20"/>
              </w:rPr>
            </w:r>
            <w:r>
              <w:rPr>
                <w:rFonts w:ascii="Arial" w:hAnsi="Arial" w:cs="Arial"/>
                <w:b/>
                <w:bCs/>
                <w:color w:val="000000"/>
                <w:sz w:val="20"/>
                <w:szCs w:val="20"/>
              </w:rPr>
            </w:r>
          </w:p>
        </w:tc>
      </w:tr>
      <w:tr>
        <w:trPr>
          <w:trHeight w:val="1240"/>
        </w:trPr>
        <w:tc>
          <w:tcPr>
            <w:tcBorders/>
            <w:tcW w:w="3433" w:type="dxa"/>
            <w:vAlign w:val="center"/>
          </w:tcPr>
          <w:p w14:paraId="277E1B82">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Fiscal:</w:t>
            </w:r>
            <w:r>
              <w:rPr>
                <w:rFonts w:hint="default" w:ascii="Arial" w:hAnsi="Arial" w:eastAsia="Arial" w:cs="Arial"/>
                <w:bCs/>
                <w:color w:val="000000"/>
                <w:sz w:val="20"/>
                <w:szCs w:val="20"/>
                <w:lang w:val="pt-BR"/>
              </w:rPr>
              <w:t xml:space="preserve"> </w:t>
            </w:r>
            <w:r>
              <w:rPr>
                <w:rFonts w:ascii="Arial" w:hAnsi="Arial" w:eastAsia="Arial" w:cs="Arial"/>
                <w:bCs/>
                <w:color w:val="000000"/>
                <w:sz w:val="20"/>
                <w:szCs w:val="20"/>
              </w:rPr>
              <w:t xml:space="preserve">JAISON ANDREY SEGAT</w:t>
            </w:r>
            <w:r>
              <w:rPr>
                <w:rFonts w:ascii="Arial" w:hAnsi="Arial" w:cs="Arial"/>
                <w:bCs/>
                <w:color w:val="000000"/>
                <w:sz w:val="20"/>
                <w:szCs w:val="20"/>
              </w:rPr>
            </w:r>
            <w:r>
              <w:rPr>
                <w:rFonts w:ascii="Arial" w:hAnsi="Arial" w:cs="Arial"/>
                <w:bCs/>
                <w:color w:val="000000"/>
                <w:sz w:val="20"/>
                <w:szCs w:val="20"/>
              </w:rPr>
            </w:r>
          </w:p>
          <w:p w14:paraId="3E516E68">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Cargo: ACESSOR</w:t>
            </w:r>
            <w:r>
              <w:rPr>
                <w:rFonts w:ascii="Arial" w:hAnsi="Arial" w:cs="Arial"/>
                <w:bCs/>
                <w:color w:val="000000"/>
                <w:sz w:val="20"/>
                <w:szCs w:val="20"/>
              </w:rPr>
            </w:r>
            <w:r>
              <w:rPr>
                <w:rFonts w:ascii="Arial" w:hAnsi="Arial" w:cs="Arial"/>
                <w:bCs/>
                <w:color w:val="000000"/>
                <w:sz w:val="20"/>
                <w:szCs w:val="20"/>
              </w:rPr>
            </w:r>
          </w:p>
          <w:p w14:paraId="6B6ED3E4">
            <w:pPr>
              <w:pBdr/>
              <w:spacing w:line="276" w:lineRule="auto"/>
              <w:ind/>
              <w:rPr>
                <w:rFonts w:ascii="Arial" w:hAnsi="Arial" w:cs="Arial"/>
                <w:color w:val="000000"/>
                <w:sz w:val="20"/>
                <w:szCs w:val="20"/>
              </w:rPr>
            </w:pPr>
            <w:r>
              <w:rPr>
                <w:rFonts w:ascii="Arial" w:hAnsi="Arial" w:eastAsia="Arial" w:cs="Arial"/>
                <w:bCs/>
                <w:color w:val="000000"/>
                <w:sz w:val="20"/>
                <w:szCs w:val="20"/>
              </w:rPr>
              <w:t xml:space="preserve">Matrícula: 15428</w:t>
            </w:r>
            <w:r>
              <w:rPr>
                <w:rFonts w:ascii="Arial" w:hAnsi="Arial" w:cs="Arial"/>
                <w:color w:val="000000"/>
                <w:sz w:val="20"/>
                <w:szCs w:val="20"/>
              </w:rPr>
            </w:r>
            <w:r>
              <w:rPr>
                <w:rFonts w:ascii="Arial" w:hAnsi="Arial" w:cs="Arial"/>
                <w:color w:val="000000"/>
                <w:sz w:val="20"/>
                <w:szCs w:val="20"/>
              </w:rPr>
            </w:r>
          </w:p>
        </w:tc>
        <w:tc>
          <w:tcPr>
            <w:tcBorders/>
            <w:tcW w:w="3203" w:type="dxa"/>
            <w:vAlign w:val="center"/>
          </w:tcPr>
          <w:p w14:paraId="51DF4F52">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Suplente: ARIEL NIKOLAK CORREIA</w:t>
            </w:r>
            <w:r>
              <w:rPr>
                <w:rFonts w:ascii="Arial" w:hAnsi="Arial" w:cs="Arial"/>
                <w:bCs/>
                <w:color w:val="000000"/>
                <w:sz w:val="20"/>
                <w:szCs w:val="20"/>
              </w:rPr>
            </w:r>
            <w:r>
              <w:rPr>
                <w:rFonts w:ascii="Arial" w:hAnsi="Arial" w:cs="Arial"/>
                <w:bCs/>
                <w:color w:val="000000"/>
                <w:sz w:val="20"/>
                <w:szCs w:val="20"/>
              </w:rPr>
            </w:r>
          </w:p>
          <w:p w14:paraId="64CC884D">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Cargo: ACESSOR</w:t>
            </w:r>
            <w:r>
              <w:rPr>
                <w:rFonts w:ascii="Arial" w:hAnsi="Arial" w:cs="Arial"/>
                <w:bCs/>
                <w:color w:val="000000"/>
                <w:sz w:val="20"/>
                <w:szCs w:val="20"/>
              </w:rPr>
            </w:r>
            <w:r>
              <w:rPr>
                <w:rFonts w:ascii="Arial" w:hAnsi="Arial" w:cs="Arial"/>
                <w:bCs/>
                <w:color w:val="000000"/>
                <w:sz w:val="20"/>
                <w:szCs w:val="20"/>
              </w:rPr>
            </w:r>
          </w:p>
          <w:p w14:paraId="75C56981">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Matrícula: 17171</w:t>
            </w:r>
            <w:r>
              <w:rPr>
                <w:rFonts w:ascii="Arial" w:hAnsi="Arial" w:cs="Arial"/>
                <w:bCs/>
                <w:color w:val="000000"/>
                <w:sz w:val="20"/>
                <w:szCs w:val="20"/>
              </w:rPr>
            </w:r>
            <w:r>
              <w:rPr>
                <w:rFonts w:ascii="Arial" w:hAnsi="Arial" w:cs="Arial"/>
                <w:bCs/>
                <w:color w:val="000000"/>
                <w:sz w:val="20"/>
                <w:szCs w:val="20"/>
              </w:rPr>
            </w:r>
          </w:p>
        </w:tc>
      </w:tr>
    </w:tbl>
    <w:p w14:paraId="1A625AE4">
      <w:pPr>
        <w:keepNext w:val="false"/>
        <w:keepLines w:val="false"/>
        <w:pageBreakBefore w:val="false"/>
        <w:widowControl w:val="true"/>
        <w:pBdr/>
        <w:bidi w:val="false"/>
        <w:spacing w:line="240" w:lineRule="auto"/>
        <w:ind/>
        <w:jc w:val="both"/>
        <w:rPr>
          <w:rFonts w:hint="default" w:ascii="Arial" w:hAnsi="Arial" w:cs="Arial"/>
          <w:b/>
          <w:bCs/>
          <w:sz w:val="22"/>
          <w:szCs w:val="22"/>
          <w:lang w:val="pt-BR"/>
        </w:rPr>
      </w:pPr>
      <w:r>
        <w:rPr>
          <w:rFonts w:hint="default" w:ascii="Arial" w:hAnsi="Arial" w:cs="Arial"/>
          <w:b/>
          <w:bCs/>
          <w:sz w:val="22"/>
          <w:szCs w:val="22"/>
          <w:lang w:val="pt-BR"/>
        </w:rPr>
      </w:r>
      <w:r>
        <w:rPr>
          <w:rFonts w:hint="default" w:ascii="Arial" w:hAnsi="Arial" w:cs="Arial"/>
          <w:b/>
          <w:bCs/>
          <w:sz w:val="22"/>
          <w:szCs w:val="22"/>
          <w:lang w:val="pt-BR"/>
        </w:rPr>
      </w:r>
      <w:r>
        <w:rPr>
          <w:rFonts w:hint="default" w:ascii="Arial" w:hAnsi="Arial" w:cs="Arial"/>
          <w:b/>
          <w:bCs/>
          <w:sz w:val="22"/>
          <w:szCs w:val="22"/>
          <w:lang w:val="pt-BR"/>
        </w:rPr>
      </w:r>
    </w:p>
    <w:p w14:paraId="01AD020D">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auto"/>
          <w:sz w:val="22"/>
          <w:szCs w:val="22"/>
          <w:highlight w:val="none"/>
        </w:rPr>
      </w:pPr>
      <w:r>
        <w:rPr>
          <w:rFonts w:hint="default" w:ascii="Arial" w:hAnsi="Arial" w:cs="Arial"/>
          <w:b/>
          <w:bCs/>
          <w:sz w:val="22"/>
          <w:szCs w:val="22"/>
          <w:lang w:val="pt-BR"/>
        </w:rPr>
        <w:t xml:space="preserve">3.7.</w:t>
      </w:r>
      <w:r>
        <w:rPr>
          <w:rFonts w:hint="default" w:ascii="Arial" w:hAnsi="Arial" w:cs="Arial"/>
          <w:b/>
          <w:bCs/>
          <w:sz w:val="22"/>
          <w:szCs w:val="22"/>
        </w:rPr>
        <w:t xml:space="preserve"> </w:t>
      </w:r>
      <w:r>
        <w:rPr>
          <w:rFonts w:hint="default" w:ascii="Arial" w:hAnsi="Arial" w:cs="Arial"/>
          <w:sz w:val="22"/>
          <w:szCs w:val="22"/>
        </w:rPr>
        <w:t xml:space="preserve">Após a assinatura d</w:t>
      </w:r>
      <w:r>
        <w:rPr>
          <w:rFonts w:hint="default" w:ascii="Arial" w:hAnsi="Arial" w:cs="Arial"/>
          <w:sz w:val="22"/>
          <w:szCs w:val="22"/>
          <w:lang w:val="pt-BR"/>
        </w:rPr>
        <w:t xml:space="preserve">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41AD8EB4">
      <w:pPr>
        <w:pStyle w:val="1164"/>
        <w:keepNext w:val="false"/>
        <w:keepLines w:val="false"/>
        <w:pageBreakBefore w:val="false"/>
        <w:widowControl w:val="true"/>
        <w:pBdr/>
        <w:bidi w:val="false"/>
        <w:spacing w:after="181" w:afterLines="50" w:before="181" w:beforeLines="50" w:line="360" w:lineRule="auto"/>
        <w:ind/>
        <w:jc w:val="both"/>
        <w:rPr>
          <w:rStyle w:val="1165"/>
          <w:rFonts w:hint="default" w:ascii="Arial" w:hAnsi="Arial" w:cs="Arial"/>
          <w:color w:val="auto"/>
          <w:sz w:val="22"/>
          <w:szCs w:val="22"/>
        </w:rPr>
      </w:pPr>
      <w:r>
        <w:rPr>
          <w:rStyle w:val="1165"/>
          <w:rFonts w:hint="default" w:ascii="Arial" w:hAnsi="Arial" w:cs="Arial"/>
          <w:b/>
          <w:bCs/>
          <w:color w:val="auto"/>
          <w:sz w:val="22"/>
          <w:szCs w:val="22"/>
          <w:lang w:val="pt-BR"/>
        </w:rPr>
        <w:t xml:space="preserve">3.8.</w:t>
      </w:r>
      <w:r>
        <w:rPr>
          <w:rStyle w:val="1165"/>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5"/>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165"/>
          <w:rFonts w:hint="default" w:ascii="Arial" w:hAnsi="Arial" w:cs="Arial"/>
          <w:color w:val="auto"/>
          <w:sz w:val="22"/>
          <w:szCs w:val="22"/>
        </w:rPr>
      </w:r>
      <w:r>
        <w:rPr>
          <w:rStyle w:val="1165"/>
          <w:rFonts w:hint="default" w:ascii="Arial" w:hAnsi="Arial" w:cs="Arial"/>
          <w:color w:val="auto"/>
          <w:sz w:val="22"/>
          <w:szCs w:val="22"/>
        </w:rPr>
      </w:r>
    </w:p>
    <w:p w14:paraId="62A0BC45">
      <w:pPr>
        <w:pStyle w:val="1164"/>
        <w:keepNext w:val="false"/>
        <w:keepLines w:val="false"/>
        <w:pageBreakBefore w:val="false"/>
        <w:widowControl w:val="true"/>
        <w:pBdr/>
        <w:bidi w:val="false"/>
        <w:spacing w:after="181" w:afterLines="50" w:before="181" w:beforeLines="50" w:line="360" w:lineRule="auto"/>
        <w:ind w:firstLine="481" w:left="0"/>
        <w:jc w:val="both"/>
        <w:rPr>
          <w:rStyle w:val="1165"/>
          <w:rFonts w:hint="default" w:ascii="Arial" w:hAnsi="Arial" w:cs="Arial"/>
          <w:color w:val="auto"/>
          <w:sz w:val="22"/>
          <w:szCs w:val="22"/>
        </w:rPr>
      </w:pPr>
      <w:r>
        <w:rPr>
          <w:rStyle w:val="1165"/>
          <w:rFonts w:hint="default" w:ascii="Arial" w:hAnsi="Arial" w:cs="Arial"/>
          <w:b/>
          <w:bCs/>
          <w:color w:val="auto"/>
          <w:sz w:val="22"/>
          <w:szCs w:val="22"/>
        </w:rPr>
        <w:t xml:space="preserve">a) </w:t>
      </w:r>
      <w:r>
        <w:rPr>
          <w:rStyle w:val="1165"/>
          <w:rFonts w:hint="default" w:ascii="Arial" w:hAnsi="Arial" w:cs="Arial"/>
          <w:color w:val="auto"/>
          <w:sz w:val="22"/>
          <w:szCs w:val="22"/>
        </w:rPr>
        <w:t xml:space="preserve">os resultados alcançados em relação </w:t>
      </w:r>
      <w:r>
        <w:rPr>
          <w:rStyle w:val="1165"/>
          <w:rFonts w:hint="default" w:ascii="Arial" w:hAnsi="Arial" w:cs="Arial"/>
          <w:color w:val="auto"/>
          <w:sz w:val="22"/>
          <w:szCs w:val="22"/>
          <w:lang w:val="pt-BR"/>
        </w:rPr>
        <w:t xml:space="preserve">à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5"/>
          <w:rFonts w:hint="default" w:ascii="Arial" w:hAnsi="Arial" w:cs="Arial"/>
          <w:color w:val="auto"/>
          <w:sz w:val="22"/>
          <w:szCs w:val="22"/>
        </w:rPr>
        <w:t xml:space="preserve">, com a verificação dos prazos de execução e da qualidade demandada; </w:t>
      </w:r>
      <w:r>
        <w:rPr>
          <w:rStyle w:val="1165"/>
          <w:rFonts w:hint="default" w:ascii="Arial" w:hAnsi="Arial" w:cs="Arial"/>
          <w:color w:val="auto"/>
          <w:sz w:val="22"/>
          <w:szCs w:val="22"/>
        </w:rPr>
      </w:r>
      <w:r>
        <w:rPr>
          <w:rStyle w:val="1165"/>
          <w:rFonts w:hint="default" w:ascii="Arial" w:hAnsi="Arial" w:cs="Arial"/>
          <w:color w:val="auto"/>
          <w:sz w:val="22"/>
          <w:szCs w:val="22"/>
        </w:rPr>
      </w:r>
    </w:p>
    <w:p w14:paraId="6006F1A8">
      <w:pPr>
        <w:pStyle w:val="1164"/>
        <w:keepNext w:val="false"/>
        <w:keepLines w:val="false"/>
        <w:pageBreakBefore w:val="false"/>
        <w:widowControl w:val="true"/>
        <w:pBdr/>
        <w:bidi w:val="false"/>
        <w:spacing w:after="181" w:afterLines="50" w:before="181" w:beforeLines="50" w:line="360" w:lineRule="auto"/>
        <w:ind w:firstLine="481" w:left="0"/>
        <w:jc w:val="both"/>
        <w:rPr>
          <w:rStyle w:val="1165"/>
          <w:rFonts w:hint="default" w:ascii="Arial" w:hAnsi="Arial" w:cs="Arial"/>
          <w:color w:val="auto"/>
          <w:sz w:val="22"/>
          <w:szCs w:val="22"/>
        </w:rPr>
      </w:pPr>
      <w:r>
        <w:rPr>
          <w:rStyle w:val="1165"/>
          <w:rFonts w:hint="default" w:ascii="Arial" w:hAnsi="Arial" w:cs="Arial"/>
          <w:b/>
          <w:bCs/>
          <w:color w:val="auto"/>
          <w:sz w:val="22"/>
          <w:szCs w:val="22"/>
        </w:rPr>
        <w:t xml:space="preserve">b) </w:t>
      </w:r>
      <w:r>
        <w:rPr>
          <w:rStyle w:val="1165"/>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65"/>
          <w:rFonts w:hint="default" w:ascii="Arial" w:hAnsi="Arial" w:cs="Arial"/>
          <w:color w:val="auto"/>
          <w:sz w:val="22"/>
          <w:szCs w:val="22"/>
        </w:rPr>
      </w:r>
      <w:r>
        <w:rPr>
          <w:rStyle w:val="1165"/>
          <w:rFonts w:hint="default" w:ascii="Arial" w:hAnsi="Arial" w:cs="Arial"/>
          <w:color w:val="auto"/>
          <w:sz w:val="22"/>
          <w:szCs w:val="22"/>
        </w:rPr>
      </w:r>
    </w:p>
    <w:p w14:paraId="4D5D704B">
      <w:pPr>
        <w:pStyle w:val="1164"/>
        <w:keepNext w:val="false"/>
        <w:keepLines w:val="false"/>
        <w:pageBreakBefore w:val="false"/>
        <w:widowControl w:val="true"/>
        <w:pBdr/>
        <w:bidi w:val="false"/>
        <w:spacing w:after="181" w:afterLines="50" w:before="181" w:beforeLines="50" w:line="360" w:lineRule="auto"/>
        <w:ind w:firstLine="481" w:left="0"/>
        <w:jc w:val="both"/>
        <w:rPr>
          <w:rStyle w:val="1165"/>
          <w:rFonts w:hint="default" w:ascii="Arial" w:hAnsi="Arial" w:cs="Arial"/>
          <w:color w:val="auto"/>
          <w:sz w:val="22"/>
          <w:szCs w:val="22"/>
        </w:rPr>
      </w:pPr>
      <w:r>
        <w:rPr>
          <w:rStyle w:val="1165"/>
          <w:rFonts w:hint="default" w:ascii="Arial" w:hAnsi="Arial" w:cs="Arial"/>
          <w:b/>
          <w:bCs/>
          <w:color w:val="auto"/>
          <w:sz w:val="22"/>
          <w:szCs w:val="22"/>
        </w:rPr>
        <w:t xml:space="preserve">c) </w:t>
      </w:r>
      <w:r>
        <w:rPr>
          <w:rStyle w:val="1165"/>
          <w:rFonts w:hint="default" w:ascii="Arial" w:hAnsi="Arial" w:cs="Arial"/>
          <w:color w:val="auto"/>
          <w:sz w:val="22"/>
          <w:szCs w:val="22"/>
        </w:rPr>
        <w:t xml:space="preserve">a qualidade e quantidade dos recursos materiais utilizados;</w:t>
      </w:r>
      <w:r>
        <w:rPr>
          <w:rStyle w:val="1165"/>
          <w:rFonts w:hint="default" w:ascii="Arial" w:hAnsi="Arial" w:cs="Arial"/>
          <w:color w:val="auto"/>
          <w:sz w:val="22"/>
          <w:szCs w:val="22"/>
        </w:rPr>
      </w:r>
      <w:r>
        <w:rPr>
          <w:rStyle w:val="1165"/>
          <w:rFonts w:hint="default" w:ascii="Arial" w:hAnsi="Arial" w:cs="Arial"/>
          <w:color w:val="auto"/>
          <w:sz w:val="22"/>
          <w:szCs w:val="22"/>
        </w:rPr>
      </w:r>
    </w:p>
    <w:p w14:paraId="214EE718">
      <w:pPr>
        <w:pStyle w:val="1164"/>
        <w:keepNext w:val="false"/>
        <w:keepLines w:val="false"/>
        <w:pageBreakBefore w:val="false"/>
        <w:widowControl w:val="true"/>
        <w:pBdr/>
        <w:bidi w:val="false"/>
        <w:spacing w:after="181" w:afterLines="50" w:before="181" w:beforeLines="50" w:line="360" w:lineRule="auto"/>
        <w:ind w:firstLine="481" w:left="0"/>
        <w:jc w:val="both"/>
        <w:rPr>
          <w:rStyle w:val="1165"/>
          <w:rFonts w:hint="default" w:ascii="Arial" w:hAnsi="Arial" w:cs="Arial"/>
          <w:color w:val="auto"/>
          <w:sz w:val="22"/>
          <w:szCs w:val="22"/>
        </w:rPr>
      </w:pPr>
      <w:r>
        <w:rPr>
          <w:rStyle w:val="1165"/>
          <w:rFonts w:hint="default" w:ascii="Arial" w:hAnsi="Arial" w:cs="Arial"/>
          <w:b/>
          <w:bCs/>
          <w:color w:val="auto"/>
          <w:sz w:val="22"/>
          <w:szCs w:val="22"/>
        </w:rPr>
        <w:t xml:space="preserve">d) </w:t>
      </w:r>
      <w:r>
        <w:rPr>
          <w:rStyle w:val="1165"/>
          <w:rFonts w:hint="default" w:ascii="Arial" w:hAnsi="Arial" w:cs="Arial"/>
          <w:color w:val="auto"/>
          <w:sz w:val="22"/>
          <w:szCs w:val="22"/>
        </w:rPr>
        <w:t xml:space="preserve">a adequação dos serviços prestados à rotina de execução estabelecida;</w:t>
      </w:r>
      <w:r>
        <w:rPr>
          <w:rStyle w:val="1165"/>
          <w:rFonts w:hint="default" w:ascii="Arial" w:hAnsi="Arial" w:cs="Arial"/>
          <w:color w:val="auto"/>
          <w:sz w:val="22"/>
          <w:szCs w:val="22"/>
        </w:rPr>
      </w:r>
      <w:r>
        <w:rPr>
          <w:rStyle w:val="1165"/>
          <w:rFonts w:hint="default" w:ascii="Arial" w:hAnsi="Arial" w:cs="Arial"/>
          <w:color w:val="auto"/>
          <w:sz w:val="22"/>
          <w:szCs w:val="22"/>
        </w:rPr>
      </w:r>
    </w:p>
    <w:p w14:paraId="0BDD47CF">
      <w:pPr>
        <w:pStyle w:val="1164"/>
        <w:keepNext w:val="false"/>
        <w:keepLines w:val="false"/>
        <w:pageBreakBefore w:val="false"/>
        <w:widowControl w:val="true"/>
        <w:pBdr/>
        <w:bidi w:val="false"/>
        <w:spacing w:after="181" w:afterLines="50" w:before="181" w:beforeLines="50" w:line="360" w:lineRule="auto"/>
        <w:ind w:firstLine="481" w:left="0"/>
        <w:jc w:val="both"/>
        <w:rPr>
          <w:rStyle w:val="1165"/>
          <w:rFonts w:hint="default" w:ascii="Arial" w:hAnsi="Arial" w:cs="Arial"/>
          <w:color w:val="auto"/>
          <w:sz w:val="22"/>
          <w:szCs w:val="22"/>
        </w:rPr>
      </w:pPr>
      <w:r>
        <w:rPr>
          <w:rStyle w:val="1165"/>
          <w:rFonts w:hint="default" w:ascii="Arial" w:hAnsi="Arial" w:cs="Arial"/>
          <w:b/>
          <w:bCs/>
          <w:color w:val="auto"/>
          <w:sz w:val="22"/>
          <w:szCs w:val="22"/>
        </w:rPr>
        <w:t xml:space="preserve">e) </w:t>
      </w:r>
      <w:r>
        <w:rPr>
          <w:rStyle w:val="1165"/>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5"/>
          <w:rFonts w:hint="default" w:ascii="Arial" w:hAnsi="Arial" w:cs="Arial"/>
          <w:color w:val="auto"/>
          <w:sz w:val="22"/>
          <w:szCs w:val="22"/>
        </w:rPr>
        <w:t xml:space="preserve">; e </w:t>
      </w:r>
      <w:r>
        <w:rPr>
          <w:rStyle w:val="1165"/>
          <w:rFonts w:hint="default" w:ascii="Arial" w:hAnsi="Arial" w:cs="Arial"/>
          <w:color w:val="auto"/>
          <w:sz w:val="22"/>
          <w:szCs w:val="22"/>
        </w:rPr>
      </w:r>
      <w:r>
        <w:rPr>
          <w:rStyle w:val="1165"/>
          <w:rFonts w:hint="default" w:ascii="Arial" w:hAnsi="Arial" w:cs="Arial"/>
          <w:color w:val="auto"/>
          <w:sz w:val="22"/>
          <w:szCs w:val="22"/>
        </w:rPr>
      </w:r>
    </w:p>
    <w:p w14:paraId="73572CB3">
      <w:pPr>
        <w:pStyle w:val="1164"/>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b/>
          <w:bCs/>
          <w:color w:val="auto"/>
          <w:sz w:val="22"/>
          <w:szCs w:val="22"/>
        </w:rPr>
      </w:pPr>
      <w:r>
        <w:rPr>
          <w:rStyle w:val="1165"/>
          <w:rFonts w:hint="default" w:ascii="Arial" w:hAnsi="Arial" w:cs="Arial"/>
          <w:b/>
          <w:bCs/>
          <w:color w:val="auto"/>
          <w:sz w:val="22"/>
          <w:szCs w:val="22"/>
        </w:rPr>
        <w:t xml:space="preserve">f) </w:t>
      </w:r>
      <w:r>
        <w:rPr>
          <w:rStyle w:val="1165"/>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4120CC73">
      <w:pPr>
        <w:pStyle w:val="1164"/>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lang w:val="pt-BR"/>
        </w:rPr>
        <w:t xml:space="preserve">3.8</w:t>
      </w:r>
      <w:r>
        <w:rPr>
          <w:rFonts w:hint="default" w:ascii="Arial" w:hAnsi="Arial" w:cs="Arial"/>
          <w:b/>
          <w:bCs/>
          <w:color w:val="auto"/>
          <w:sz w:val="22"/>
          <w:szCs w:val="22"/>
        </w:rPr>
        <w:t xml:space="preserve">.1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513AD0C6">
      <w:pPr>
        <w:pStyle w:val="1164"/>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62F057E5">
      <w:pPr>
        <w:pStyle w:val="1164"/>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572A49C9">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3.8</w:t>
      </w:r>
      <w:r>
        <w:rPr>
          <w:rFonts w:hint="default" w:ascii="Arial" w:hAnsi="Arial" w:cs="Arial"/>
          <w:b/>
          <w:bCs/>
          <w:sz w:val="22"/>
          <w:szCs w:val="22"/>
        </w:rPr>
        <w:t xml:space="preserve">.2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639124A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3.9.</w:t>
      </w:r>
      <w:r>
        <w:rPr>
          <w:rFonts w:hint="default" w:ascii="Arial" w:hAnsi="Arial" w:cs="Arial"/>
          <w:sz w:val="22"/>
          <w:szCs w:val="22"/>
        </w:rPr>
        <w:t xml:space="preserve"> O produto</w:t>
      </w:r>
      <w:r>
        <w:rPr>
          <w:rFonts w:hint="default" w:ascii="Arial" w:hAnsi="Arial" w:cs="Arial"/>
          <w:sz w:val="22"/>
          <w:szCs w:val="22"/>
          <w:lang w:val="pt-BR"/>
        </w:rPr>
        <w:t xml:space="preserve"> ou serviço</w:t>
      </w:r>
      <w:r>
        <w:rPr>
          <w:rFonts w:hint="default" w:ascii="Arial" w:hAnsi="Arial" w:cs="Arial"/>
          <w:sz w:val="22"/>
          <w:szCs w:val="22"/>
        </w:rPr>
        <w:t xml:space="preserve">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produto </w:t>
      </w:r>
      <w:r>
        <w:rPr>
          <w:rFonts w:hint="default" w:ascii="Arial" w:hAnsi="Arial" w:cs="Arial"/>
          <w:sz w:val="22"/>
          <w:szCs w:val="22"/>
          <w:lang w:val="pt-BR"/>
        </w:rPr>
        <w:t xml:space="preserve">ou serviço </w:t>
      </w:r>
      <w:r>
        <w:rPr>
          <w:rFonts w:hint="default" w:ascii="Arial" w:hAnsi="Arial" w:cs="Arial"/>
          <w:sz w:val="22"/>
          <w:szCs w:val="22"/>
        </w:rPr>
        <w:t xml:space="preserve">está condizente com a fatura, com as informações na embalagem, com o previsto em </w:t>
      </w:r>
      <w:r>
        <w:rPr>
          <w:rFonts w:hint="default" w:ascii="Arial" w:hAnsi="Arial" w:cs="Arial"/>
          <w:sz w:val="22"/>
          <w:szCs w:val="22"/>
          <w:lang w:val="pt-BR"/>
        </w:rPr>
        <w:t xml:space="preserve">C</w:t>
      </w:r>
      <w:r>
        <w:rPr>
          <w:rFonts w:hint="default" w:ascii="Arial" w:hAnsi="Arial" w:cs="Arial"/>
          <w:sz w:val="22"/>
          <w:szCs w:val="22"/>
        </w:rPr>
        <w:t xml:space="preserve">ontrato ou documento equivalente, com a Nota de Empenho, assim como observar se o produto </w:t>
      </w:r>
      <w:r>
        <w:rPr>
          <w:rFonts w:hint="default" w:ascii="Arial" w:hAnsi="Arial" w:cs="Arial"/>
          <w:sz w:val="22"/>
          <w:szCs w:val="22"/>
          <w:lang w:val="pt-BR"/>
        </w:rPr>
        <w:t xml:space="preserve">ou serviço </w:t>
      </w:r>
      <w:r>
        <w:rPr>
          <w:rFonts w:hint="default" w:ascii="Arial" w:hAnsi="Arial" w:cs="Arial"/>
          <w:sz w:val="22"/>
          <w:szCs w:val="22"/>
        </w:rPr>
        <w:t xml:space="preserve">está sendo entregue em perfeitas condições de consumo e dentro do prazo de validade do produto</w:t>
      </w:r>
      <w:r>
        <w:rPr>
          <w:rFonts w:hint="default" w:ascii="Arial" w:hAnsi="Arial" w:cs="Arial"/>
          <w:sz w:val="22"/>
          <w:szCs w:val="22"/>
          <w:lang w:val="pt-BR"/>
        </w:rPr>
        <w:t xml:space="preserve"> ou serviço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58E924D8">
      <w:pPr>
        <w:pStyle w:val="1164"/>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1D5ABD4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rPr>
        <w:t xml:space="preserve"> Os produtos</w:t>
      </w:r>
      <w:r>
        <w:rPr>
          <w:rFonts w:hint="default" w:ascii="Arial" w:hAnsi="Arial" w:cs="Arial"/>
          <w:sz w:val="22"/>
          <w:szCs w:val="22"/>
          <w:lang w:val="pt-BR"/>
        </w:rPr>
        <w:t xml:space="preserve"> ou serviços</w:t>
      </w:r>
      <w:r>
        <w:rPr>
          <w:rFonts w:hint="default" w:ascii="Arial" w:hAnsi="Arial" w:cs="Arial"/>
          <w:sz w:val="22"/>
          <w:szCs w:val="22"/>
        </w:rPr>
        <w:t xml:space="preserve">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5C68CD33">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3.12.</w:t>
      </w:r>
      <w:r>
        <w:rPr>
          <w:rFonts w:hint="default" w:ascii="Arial" w:hAnsi="Arial" w:cs="Arial"/>
          <w:sz w:val="22"/>
          <w:szCs w:val="22"/>
        </w:rPr>
        <w:t xml:space="preserve"> Os produtos </w:t>
      </w:r>
      <w:r>
        <w:rPr>
          <w:rFonts w:hint="default" w:ascii="Arial" w:hAnsi="Arial" w:cs="Arial"/>
          <w:sz w:val="22"/>
          <w:szCs w:val="22"/>
          <w:lang w:val="pt-BR"/>
        </w:rPr>
        <w:t xml:space="preserve">ou serviços </w:t>
      </w:r>
      <w:r>
        <w:rPr>
          <w:rFonts w:hint="default" w:ascii="Arial" w:hAnsi="Arial" w:cs="Arial"/>
          <w:sz w:val="22"/>
          <w:szCs w:val="22"/>
        </w:rPr>
        <w:t xml:space="preserve">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3308EBE4">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27A55B91">
      <w:pPr>
        <w:pStyle w:val="1164"/>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3.14.</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063F6A25">
      <w:pPr>
        <w:pStyle w:val="1164"/>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r>
        <w:rPr>
          <w:rFonts w:hint="default" w:ascii="Arial" w:hAnsi="Arial" w:cs="Arial"/>
          <w:color w:val="auto"/>
          <w:sz w:val="22"/>
          <w:szCs w:val="22"/>
        </w:rPr>
      </w:r>
      <w:r>
        <w:rPr>
          <w:rFonts w:hint="default" w:ascii="Arial" w:hAnsi="Arial" w:cs="Arial"/>
          <w:color w:val="auto"/>
          <w:sz w:val="22"/>
          <w:szCs w:val="22"/>
        </w:rPr>
      </w:r>
    </w:p>
    <w:p w14:paraId="7DE4329D">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Quarta</w:t>
      </w:r>
      <w:r>
        <w:rPr>
          <w:rFonts w:ascii="Arial" w:hAnsi="Arial" w:cs="Arial"/>
          <w:b/>
          <w:bCs/>
          <w:szCs w:val="22"/>
        </w:rPr>
      </w:r>
      <w:r>
        <w:rPr>
          <w:rFonts w:ascii="Arial" w:hAnsi="Arial" w:cs="Arial"/>
          <w:b/>
          <w:bCs/>
          <w:szCs w:val="22"/>
        </w:rPr>
      </w:r>
    </w:p>
    <w:p w14:paraId="3676A77F">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 ADESÃO À ATA DE REGISTRO DE PREÇOS</w:t>
      </w:r>
      <w:r>
        <w:rPr>
          <w:rFonts w:ascii="Arial" w:hAnsi="Arial" w:cs="Arial"/>
          <w:szCs w:val="22"/>
        </w:rPr>
      </w:r>
      <w:r>
        <w:rPr>
          <w:rFonts w:ascii="Arial" w:hAnsi="Arial" w:cs="Arial"/>
          <w:szCs w:val="22"/>
        </w:rPr>
      </w:r>
    </w:p>
    <w:p w14:paraId="436C88C5">
      <w:pPr>
        <w:pStyle w:val="1162"/>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 xml:space="preserve">A</w:t>
      </w:r>
      <w:r>
        <w:rPr>
          <w:i w:val="0"/>
          <w:iCs w:val="0"/>
          <w:color w:val="auto"/>
          <w:sz w:val="22"/>
          <w:szCs w:val="22"/>
        </w:rPr>
        <w:t xml:space="preserve">ta, os órgãos e as entidades da Administração Pública</w:t>
      </w:r>
      <w:r>
        <w:rPr>
          <w:rFonts w:hint="default"/>
          <w:i w:val="0"/>
          <w:iCs w:val="0"/>
          <w:color w:val="auto"/>
          <w:sz w:val="22"/>
          <w:szCs w:val="22"/>
          <w:lang w:val="pt-BR"/>
        </w:rPr>
        <w:t xml:space="preserve"> M</w:t>
      </w:r>
      <w:r>
        <w:rPr>
          <w:i w:val="0"/>
          <w:iCs w:val="0"/>
          <w:color w:val="auto"/>
          <w:sz w:val="22"/>
          <w:szCs w:val="22"/>
        </w:rPr>
        <w:t xml:space="preserve">unicipal que não participaram do procedimento de I</w:t>
      </w:r>
      <w:r>
        <w:rPr>
          <w:rFonts w:hint="default"/>
          <w:i w:val="0"/>
          <w:iCs w:val="0"/>
          <w:color w:val="auto"/>
          <w:sz w:val="22"/>
          <w:szCs w:val="22"/>
          <w:lang w:val="pt-BR"/>
        </w:rPr>
        <w:t xml:space="preserve">ntenção de </w:t>
      </w:r>
      <w:r>
        <w:rPr>
          <w:i w:val="0"/>
          <w:iCs w:val="0"/>
          <w:color w:val="auto"/>
          <w:sz w:val="22"/>
          <w:szCs w:val="22"/>
        </w:rPr>
        <w:t xml:space="preserve">R</w:t>
      </w:r>
      <w:r>
        <w:rPr>
          <w:rFonts w:hint="default"/>
          <w:i w:val="0"/>
          <w:iCs w:val="0"/>
          <w:color w:val="auto"/>
          <w:sz w:val="22"/>
          <w:szCs w:val="22"/>
          <w:lang w:val="pt-BR"/>
        </w:rPr>
        <w:t xml:space="preserve">egistro de </w:t>
      </w:r>
      <w:r>
        <w:rPr>
          <w:i w:val="0"/>
          <w:iCs w:val="0"/>
          <w:color w:val="auto"/>
          <w:sz w:val="22"/>
          <w:szCs w:val="22"/>
        </w:rPr>
        <w:t xml:space="preserve">P</w:t>
      </w:r>
      <w:r>
        <w:rPr>
          <w:rFonts w:hint="default"/>
          <w:i w:val="0"/>
          <w:iCs w:val="0"/>
          <w:color w:val="auto"/>
          <w:sz w:val="22"/>
          <w:szCs w:val="22"/>
          <w:lang w:val="pt-BR"/>
        </w:rPr>
        <w:t xml:space="preserve">reços</w:t>
      </w:r>
      <w:r>
        <w:rPr>
          <w:i w:val="0"/>
          <w:iCs w:val="0"/>
          <w:color w:val="auto"/>
          <w:sz w:val="22"/>
          <w:szCs w:val="22"/>
        </w:rPr>
        <w:t xml:space="preserve"> poderão aderir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na condição de não participantes, observados os seguintes requisitos:</w:t>
      </w:r>
      <w:r>
        <w:rPr>
          <w:i w:val="0"/>
          <w:iCs w:val="0"/>
          <w:color w:val="auto"/>
          <w:sz w:val="22"/>
          <w:szCs w:val="22"/>
        </w:rPr>
      </w:r>
      <w:r>
        <w:rPr>
          <w:i w:val="0"/>
          <w:iCs w:val="0"/>
          <w:color w:val="auto"/>
          <w:sz w:val="22"/>
          <w:szCs w:val="22"/>
        </w:rPr>
      </w:r>
    </w:p>
    <w:p w14:paraId="0292BE8F">
      <w:pPr>
        <w:pStyle w:val="116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4.1.1.</w:t>
      </w:r>
      <w:r>
        <w:rPr>
          <w:rFonts w:hint="default"/>
          <w:i w:val="0"/>
          <w:iCs w:val="0"/>
          <w:color w:val="auto"/>
          <w:sz w:val="22"/>
          <w:szCs w:val="22"/>
          <w:lang w:val="pt-BR"/>
        </w:rPr>
        <w:t xml:space="preserve"> A</w:t>
      </w:r>
      <w:r>
        <w:rPr>
          <w:i w:val="0"/>
          <w:iCs w:val="0"/>
          <w:color w:val="auto"/>
          <w:sz w:val="22"/>
          <w:szCs w:val="22"/>
        </w:rPr>
        <w:t xml:space="preserve">presentação de justificativa da vantagem da adesão, inclusive em situações de provável desabastecimento ou descontinuidade de serviço público;</w:t>
      </w:r>
      <w:r>
        <w:rPr>
          <w:i w:val="0"/>
          <w:iCs w:val="0"/>
          <w:color w:val="auto"/>
          <w:sz w:val="22"/>
          <w:szCs w:val="22"/>
        </w:rPr>
      </w:r>
      <w:r>
        <w:rPr>
          <w:i w:val="0"/>
          <w:iCs w:val="0"/>
          <w:color w:val="auto"/>
          <w:sz w:val="22"/>
          <w:szCs w:val="22"/>
        </w:rPr>
      </w:r>
    </w:p>
    <w:p w14:paraId="7E3B3B7F">
      <w:pPr>
        <w:pStyle w:val="116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 xml:space="preserve">D</w:t>
      </w:r>
      <w:r>
        <w:rPr>
          <w:i w:val="0"/>
          <w:iCs w:val="0"/>
          <w:color w:val="auto"/>
          <w:sz w:val="22"/>
          <w:szCs w:val="22"/>
        </w:rPr>
        <w:t xml:space="preserve">emonstração de que os valores registrados estão compatíveis com os valores praticados pelo mercado</w:t>
      </w:r>
      <w:r>
        <w:rPr>
          <w:rFonts w:hint="default"/>
          <w:i w:val="0"/>
          <w:iCs w:val="0"/>
          <w:color w:val="auto"/>
          <w:sz w:val="22"/>
          <w:szCs w:val="22"/>
          <w:lang w:val="pt-BR"/>
        </w:rPr>
        <w:t xml:space="preserve">,</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 xml:space="preserve">nº 14.133</w:t>
      </w:r>
      <w:r>
        <w:rPr>
          <w:rFonts w:hint="default"/>
          <w:i w:val="0"/>
          <w:iCs w:val="0"/>
          <w:color w:val="auto"/>
          <w:sz w:val="22"/>
          <w:szCs w:val="22"/>
          <w:lang w:val="pt-BR"/>
        </w:rPr>
        <w:t xml:space="preserve">/</w:t>
      </w:r>
      <w:r>
        <w:rPr>
          <w:i w:val="0"/>
          <w:iCs w:val="0"/>
          <w:color w:val="auto"/>
          <w:sz w:val="22"/>
          <w:szCs w:val="22"/>
        </w:rPr>
        <w:t xml:space="preserve">2021; e</w:t>
      </w:r>
      <w:r>
        <w:rPr>
          <w:i w:val="0"/>
          <w:iCs w:val="0"/>
          <w:color w:val="auto"/>
          <w:sz w:val="22"/>
          <w:szCs w:val="22"/>
        </w:rPr>
      </w:r>
      <w:r>
        <w:rPr>
          <w:i w:val="0"/>
          <w:iCs w:val="0"/>
          <w:color w:val="auto"/>
          <w:sz w:val="22"/>
          <w:szCs w:val="22"/>
        </w:rPr>
      </w:r>
    </w:p>
    <w:p w14:paraId="6785A936">
      <w:pPr>
        <w:pStyle w:val="116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4.1.3.</w:t>
      </w:r>
      <w:r>
        <w:rPr>
          <w:rFonts w:hint="default"/>
          <w:i w:val="0"/>
          <w:iCs w:val="0"/>
          <w:color w:val="auto"/>
          <w:sz w:val="22"/>
          <w:szCs w:val="22"/>
          <w:lang w:val="pt-BR"/>
        </w:rPr>
        <w:t xml:space="preserve"> C</w:t>
      </w:r>
      <w:r>
        <w:rPr>
          <w:i w:val="0"/>
          <w:iCs w:val="0"/>
          <w:color w:val="auto"/>
          <w:sz w:val="22"/>
          <w:szCs w:val="22"/>
        </w:rPr>
        <w:t xml:space="preserve">onsulta e aceitação prévias do órgão ou da entidade gerenciadora e do fornecedor.</w:t>
      </w:r>
      <w:r>
        <w:rPr>
          <w:i w:val="0"/>
          <w:iCs w:val="0"/>
          <w:color w:val="auto"/>
          <w:sz w:val="22"/>
          <w:szCs w:val="22"/>
        </w:rPr>
      </w:r>
      <w:r>
        <w:rPr>
          <w:i w:val="0"/>
          <w:iCs w:val="0"/>
          <w:color w:val="auto"/>
          <w:sz w:val="22"/>
          <w:szCs w:val="22"/>
        </w:rPr>
      </w:r>
    </w:p>
    <w:p w14:paraId="155BF719">
      <w:pPr>
        <w:pStyle w:val="1162"/>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apenas será realizada após a aceitação da adesão pelo fornecedor.</w:t>
      </w:r>
      <w:r>
        <w:rPr>
          <w:i w:val="0"/>
          <w:iCs w:val="0"/>
          <w:color w:val="auto"/>
          <w:sz w:val="22"/>
          <w:szCs w:val="22"/>
        </w:rPr>
      </w:r>
      <w:r>
        <w:rPr>
          <w:i w:val="0"/>
          <w:iCs w:val="0"/>
          <w:color w:val="auto"/>
          <w:sz w:val="22"/>
          <w:szCs w:val="22"/>
        </w:rPr>
      </w:r>
    </w:p>
    <w:p w14:paraId="0296F3E0">
      <w:pPr>
        <w:pStyle w:val="116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poderá rejeitar adesões caso elas possam acarretar prejuízo à execução de seus próprios contratos ou à sua capacidade de gerenciamento.</w:t>
      </w:r>
      <w:r>
        <w:rPr>
          <w:i w:val="0"/>
          <w:iCs w:val="0"/>
          <w:color w:val="auto"/>
          <w:sz w:val="22"/>
          <w:szCs w:val="22"/>
        </w:rPr>
      </w:r>
      <w:r>
        <w:rPr>
          <w:i w:val="0"/>
          <w:iCs w:val="0"/>
          <w:color w:val="auto"/>
          <w:sz w:val="22"/>
          <w:szCs w:val="22"/>
        </w:rPr>
      </w:r>
    </w:p>
    <w:p w14:paraId="44BBE3A6">
      <w:pPr>
        <w:pStyle w:val="1162"/>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 xml:space="preserve">90 (</w:t>
      </w:r>
      <w:r>
        <w:rPr>
          <w:i w:val="0"/>
          <w:iCs w:val="0"/>
          <w:color w:val="auto"/>
          <w:sz w:val="22"/>
          <w:szCs w:val="22"/>
        </w:rPr>
        <w:t xml:space="preserve">noventa</w:t>
      </w:r>
      <w:r>
        <w:rPr>
          <w:rFonts w:hint="default"/>
          <w:i w:val="0"/>
          <w:iCs w:val="0"/>
          <w:color w:val="auto"/>
          <w:sz w:val="22"/>
          <w:szCs w:val="22"/>
          <w:lang w:val="pt-BR"/>
        </w:rPr>
        <w:t xml:space="preserve">)</w:t>
      </w:r>
      <w:r>
        <w:rPr>
          <w:i w:val="0"/>
          <w:iCs w:val="0"/>
          <w:color w:val="auto"/>
          <w:sz w:val="22"/>
          <w:szCs w:val="22"/>
        </w:rPr>
        <w:t xml:space="preserve"> dias, observado o prazo de vigência da </w:t>
      </w:r>
      <w:r>
        <w:rPr>
          <w:rFonts w:hint="default"/>
          <w:i w:val="0"/>
          <w:iCs w:val="0"/>
          <w:color w:val="auto"/>
          <w:sz w:val="22"/>
          <w:szCs w:val="22"/>
          <w:lang w:val="pt-BR"/>
        </w:rPr>
        <w:t xml:space="preserve">A</w:t>
      </w:r>
      <w:r>
        <w:rPr>
          <w:i w:val="0"/>
          <w:iCs w:val="0"/>
          <w:color w:val="auto"/>
          <w:sz w:val="22"/>
          <w:szCs w:val="22"/>
        </w:rPr>
        <w:t xml:space="preserve">ta.</w:t>
      </w:r>
      <w:r>
        <w:rPr>
          <w:i w:val="0"/>
          <w:iCs w:val="0"/>
          <w:color w:val="auto"/>
          <w:sz w:val="22"/>
          <w:szCs w:val="22"/>
        </w:rPr>
      </w:r>
      <w:r>
        <w:rPr>
          <w:i w:val="0"/>
          <w:iCs w:val="0"/>
          <w:color w:val="auto"/>
          <w:sz w:val="22"/>
          <w:szCs w:val="22"/>
        </w:rPr>
      </w:r>
    </w:p>
    <w:p w14:paraId="7FBA6773">
      <w:pPr>
        <w:pStyle w:val="1162"/>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60D2FFB7">
      <w:pPr>
        <w:pStyle w:val="1162"/>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da qual seja integrante, na qualidade de não participante, para aqueles itens para os quais não tenha quantitativo registrado, observados os requisitos do item 4.1.</w:t>
      </w:r>
      <w:r>
        <w:rPr>
          <w:i w:val="0"/>
          <w:iCs w:val="0"/>
          <w:color w:val="auto"/>
          <w:sz w:val="22"/>
          <w:szCs w:val="22"/>
        </w:rPr>
      </w:r>
      <w:r>
        <w:rPr>
          <w:i w:val="0"/>
          <w:iCs w:val="0"/>
          <w:color w:val="auto"/>
          <w:sz w:val="22"/>
          <w:szCs w:val="22"/>
        </w:rPr>
      </w:r>
    </w:p>
    <w:p w14:paraId="3D47E844">
      <w:pPr>
        <w:pStyle w:val="1166"/>
        <w:pBdr/>
        <w:spacing w:line="360" w:lineRule="auto"/>
        <w:ind/>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 xml:space="preserve">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 xml:space="preserve">50% (</w:t>
      </w:r>
      <w:r>
        <w:rPr>
          <w:b/>
          <w:bCs/>
          <w:i w:val="0"/>
          <w:iCs w:val="0"/>
          <w:color w:val="auto"/>
          <w:sz w:val="22"/>
          <w:szCs w:val="22"/>
        </w:rPr>
        <w:t xml:space="preserve">cinquenta por cento</w:t>
      </w:r>
      <w:r>
        <w:rPr>
          <w:rFonts w:hint="default"/>
          <w:b/>
          <w:bCs/>
          <w:i w:val="0"/>
          <w:iCs w:val="0"/>
          <w:color w:val="auto"/>
          <w:sz w:val="22"/>
          <w:szCs w:val="22"/>
          <w:lang w:val="pt-BR"/>
        </w:rPr>
        <w:t xml:space="preserve">)</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 xml:space="preserve">A</w:t>
      </w:r>
      <w:r>
        <w:rPr>
          <w:b w:val="0"/>
          <w:bCs w:val="0"/>
          <w:i w:val="0"/>
          <w:iCs w:val="0"/>
          <w:color w:val="auto"/>
          <w:sz w:val="22"/>
          <w:szCs w:val="22"/>
        </w:rPr>
        <w:t xml:space="preserve">ta de </w:t>
      </w:r>
      <w:r>
        <w:rPr>
          <w:rFonts w:hint="default"/>
          <w:b w:val="0"/>
          <w:bCs w:val="0"/>
          <w:i w:val="0"/>
          <w:iCs w:val="0"/>
          <w:color w:val="auto"/>
          <w:sz w:val="22"/>
          <w:szCs w:val="22"/>
          <w:lang w:val="pt-BR"/>
        </w:rPr>
        <w:t xml:space="preserve">R</w:t>
      </w:r>
      <w:r>
        <w:rPr>
          <w:b w:val="0"/>
          <w:bCs w:val="0"/>
          <w:i w:val="0"/>
          <w:iCs w:val="0"/>
          <w:color w:val="auto"/>
          <w:sz w:val="22"/>
          <w:szCs w:val="22"/>
        </w:rPr>
        <w:t xml:space="preserve">egistro de </w:t>
      </w:r>
      <w:r>
        <w:rPr>
          <w:rFonts w:hint="default"/>
          <w:b w:val="0"/>
          <w:bCs w:val="0"/>
          <w:i w:val="0"/>
          <w:iCs w:val="0"/>
          <w:color w:val="auto"/>
          <w:sz w:val="22"/>
          <w:szCs w:val="22"/>
          <w:lang w:val="pt-BR"/>
        </w:rPr>
        <w:t xml:space="preserve">P</w:t>
      </w:r>
      <w:r>
        <w:rPr>
          <w:b w:val="0"/>
          <w:bCs w:val="0"/>
          <w:i w:val="0"/>
          <w:iCs w:val="0"/>
          <w:color w:val="auto"/>
          <w:sz w:val="22"/>
          <w:szCs w:val="22"/>
        </w:rPr>
        <w:t xml:space="preserve">reços para o gerenciador e para os participantes.</w:t>
      </w:r>
      <w:r>
        <w:rPr>
          <w:b w:val="0"/>
          <w:bCs w:val="0"/>
          <w:i w:val="0"/>
          <w:iCs w:val="0"/>
          <w:color w:val="auto"/>
          <w:sz w:val="22"/>
          <w:szCs w:val="22"/>
        </w:rPr>
      </w:r>
      <w:r>
        <w:rPr>
          <w:b w:val="0"/>
          <w:bCs w:val="0"/>
          <w:i w:val="0"/>
          <w:iCs w:val="0"/>
          <w:color w:val="auto"/>
          <w:sz w:val="22"/>
          <w:szCs w:val="22"/>
        </w:rPr>
      </w:r>
    </w:p>
    <w:p w14:paraId="6C955862">
      <w:pPr>
        <w:pStyle w:val="1162"/>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para 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035758A5">
      <w:pPr>
        <w:pStyle w:val="116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38C63CAE">
      <w:pPr>
        <w:pStyle w:val="1160"/>
        <w:numPr>
          <w:ilvl w:val="0"/>
          <w:numId w:val="0"/>
        </w:numPr>
        <w:pBdr/>
        <w:spacing w:line="360" w:lineRule="auto"/>
        <w:ind/>
        <w:rPr>
          <w:rFonts w:hint="default"/>
          <w:sz w:val="22"/>
          <w:szCs w:val="22"/>
          <w:lang w:val="pt-BR"/>
        </w:rPr>
      </w:pPr>
      <w:r>
        <w:rPr>
          <w:rFonts w:hint="default"/>
          <w:b/>
          <w:bCs/>
          <w:i w:val="0"/>
          <w:iCs w:val="0"/>
          <w:color w:val="auto"/>
          <w:sz w:val="22"/>
          <w:szCs w:val="22"/>
          <w:lang w:val="pt-BR"/>
        </w:rPr>
        <w:t xml:space="preserve">4.9.</w:t>
      </w:r>
      <w:r>
        <w:rPr>
          <w:rFonts w:hint="default"/>
          <w:i w:val="0"/>
          <w:iCs w:val="0"/>
          <w:color w:val="auto"/>
          <w:sz w:val="22"/>
          <w:szCs w:val="22"/>
          <w:lang w:val="pt-BR"/>
        </w:rPr>
        <w:t xml:space="preserve"> De acordo com o art. 471, XIII, do Decreto Municipal 359/2023, é vedada a p</w:t>
      </w:r>
      <w:r>
        <w:rPr>
          <w:sz w:val="22"/>
          <w:szCs w:val="22"/>
        </w:rPr>
        <w:t xml:space="preserve">articipação do órgão ou entidade em mais de uma Ata de Registro de Preços com o mesmo objeto no prazo de validade daquela de que</w:t>
      </w:r>
      <w:r>
        <w:rPr>
          <w:spacing w:val="40"/>
          <w:sz w:val="22"/>
          <w:szCs w:val="22"/>
        </w:rPr>
        <w:t xml:space="preserve"> </w:t>
      </w:r>
      <w:r>
        <w:rPr>
          <w:sz w:val="22"/>
          <w:szCs w:val="22"/>
        </w:rPr>
        <w:t xml:space="preserve">já tiver participado, salvo na ocorrência de ata que tenha registrado quantitativo inferior ao máximo previsto no edital</w:t>
      </w:r>
      <w:r>
        <w:rPr>
          <w:rFonts w:hint="default"/>
          <w:sz w:val="22"/>
          <w:szCs w:val="22"/>
          <w:lang w:val="pt-BR"/>
        </w:rPr>
        <w:t xml:space="preserve">.</w:t>
      </w:r>
      <w:r>
        <w:rPr>
          <w:rFonts w:hint="default"/>
          <w:sz w:val="22"/>
          <w:szCs w:val="22"/>
          <w:lang w:val="pt-BR"/>
        </w:rPr>
      </w:r>
      <w:r>
        <w:rPr>
          <w:rFonts w:hint="default"/>
          <w:sz w:val="22"/>
          <w:szCs w:val="22"/>
          <w:lang w:val="pt-BR"/>
        </w:rPr>
      </w:r>
    </w:p>
    <w:p w14:paraId="172F90E4">
      <w:pPr>
        <w:pBdr/>
        <w:spacing/>
        <w:ind/>
        <w:rPr>
          <w:sz w:val="22"/>
          <w:szCs w:val="22"/>
        </w:rPr>
      </w:pPr>
      <w:r>
        <w:rPr>
          <w:sz w:val="22"/>
          <w:szCs w:val="22"/>
        </w:rPr>
      </w:r>
      <w:r>
        <w:rPr>
          <w:sz w:val="22"/>
          <w:szCs w:val="22"/>
        </w:rPr>
      </w:r>
      <w:r>
        <w:rPr>
          <w:sz w:val="22"/>
          <w:szCs w:val="22"/>
        </w:rPr>
      </w:r>
    </w:p>
    <w:p w14:paraId="16D63FEA">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Quinta</w:t>
      </w:r>
      <w:r>
        <w:rPr>
          <w:rFonts w:ascii="Arial" w:hAnsi="Arial" w:cs="Arial"/>
          <w:b/>
          <w:bCs/>
          <w:szCs w:val="22"/>
        </w:rPr>
      </w:r>
      <w:r>
        <w:rPr>
          <w:rFonts w:ascii="Arial" w:hAnsi="Arial" w:cs="Arial"/>
          <w:b/>
          <w:bCs/>
          <w:szCs w:val="22"/>
        </w:rPr>
      </w:r>
    </w:p>
    <w:p w14:paraId="345EB99E">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DA VIGÊNCIA, FORMALIZAÇÃO DA ATA DE REGISTRO DE PREÇOS E </w:t>
      </w:r>
      <w:r>
        <w:rPr>
          <w:rFonts w:ascii="Arial" w:hAnsi="Arial" w:cs="Arial"/>
          <w:b/>
          <w:bCs/>
          <w:szCs w:val="22"/>
        </w:rPr>
      </w:r>
      <w:r>
        <w:rPr>
          <w:rFonts w:ascii="Arial" w:hAnsi="Arial" w:cs="Arial"/>
          <w:b/>
          <w:bCs/>
          <w:szCs w:val="22"/>
        </w:rPr>
      </w:r>
    </w:p>
    <w:p w14:paraId="3103B26C">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CADASTRO DE RESERVA</w:t>
      </w:r>
      <w:r>
        <w:rPr>
          <w:rFonts w:ascii="Arial" w:hAnsi="Arial" w:cs="Arial"/>
          <w:szCs w:val="22"/>
        </w:rPr>
      </w:r>
      <w:r>
        <w:rPr>
          <w:rFonts w:ascii="Arial" w:hAnsi="Arial" w:cs="Arial"/>
          <w:szCs w:val="22"/>
        </w:rPr>
      </w:r>
    </w:p>
    <w:p w14:paraId="5A938EC2">
      <w:pPr>
        <w:pStyle w:val="1160"/>
        <w:numPr>
          <w:ilvl w:val="0"/>
          <w:numId w:val="0"/>
        </w:numPr>
        <w:pBdr/>
        <w:spacing w:line="360" w:lineRule="auto"/>
        <w:ind/>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 xml:space="preserve">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 xml:space="preserve">a</w:t>
      </w:r>
      <w:r>
        <w:rPr>
          <w:rFonts w:hint="default" w:ascii="Arial" w:hAnsi="Arial" w:cs="Arial"/>
          <w:color w:val="auto"/>
          <w:sz w:val="22"/>
          <w:szCs w:val="22"/>
        </w:rPr>
        <w:t xml:space="preserve"> a partir d</w:t>
      </w:r>
      <w:r>
        <w:rPr>
          <w:rFonts w:hint="default" w:cs="Arial"/>
          <w:color w:val="auto"/>
          <w:sz w:val="22"/>
          <w:szCs w:val="22"/>
          <w:lang w:val="pt-BR"/>
        </w:rPr>
        <w:t xml:space="preserve">a sua assinatura</w:t>
      </w:r>
      <w:r>
        <w:rPr>
          <w:rFonts w:hint="default" w:ascii="Arial" w:hAnsi="Arial" w:cs="Arial"/>
          <w:color w:val="auto"/>
          <w:sz w:val="22"/>
          <w:szCs w:val="22"/>
        </w:rPr>
        <w:t xml:space="preserve">, podendo ser prorrogada por igual período, mediante a anuência do fornecedor, desde que comprovado o preço vantajoso</w:t>
      </w:r>
      <w:r>
        <w:rPr>
          <w:rFonts w:hint="default" w:cs="Arial"/>
          <w:color w:val="auto"/>
          <w:sz w:val="22"/>
          <w:szCs w:val="22"/>
          <w:lang w:val="pt-BR"/>
        </w:rPr>
        <w:t xml:space="preserve">, conforme art. 84 da Lei Federal nº 14.133/2021 e observado o seguinte:</w:t>
      </w:r>
      <w:r>
        <w:rPr>
          <w:rFonts w:hint="default" w:cs="Arial"/>
          <w:color w:val="auto"/>
          <w:sz w:val="22"/>
          <w:szCs w:val="22"/>
          <w:lang w:val="pt-BR"/>
        </w:rPr>
      </w:r>
      <w:r>
        <w:rPr>
          <w:rFonts w:hint="default" w:cs="Arial"/>
          <w:color w:val="auto"/>
          <w:sz w:val="22"/>
          <w:szCs w:val="22"/>
          <w:lang w:val="pt-BR"/>
        </w:rPr>
      </w:r>
    </w:p>
    <w:p w14:paraId="6CE4DA1D">
      <w:pPr>
        <w:pStyle w:val="1160"/>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r>
        <w:rPr>
          <w:rFonts w:hint="default" w:cs="Arial"/>
          <w:color w:val="auto"/>
          <w:sz w:val="22"/>
          <w:szCs w:val="22"/>
          <w:lang w:val="pt-BR"/>
        </w:rPr>
      </w:r>
      <w:r>
        <w:rPr>
          <w:rFonts w:hint="default" w:cs="Arial"/>
          <w:color w:val="auto"/>
          <w:sz w:val="22"/>
          <w:szCs w:val="22"/>
          <w:lang w:val="pt-BR"/>
        </w:rPr>
      </w:r>
    </w:p>
    <w:p w14:paraId="323D8D08">
      <w:pPr>
        <w:pStyle w:val="1160"/>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 xml:space="preserve">seja comprovado o preço vantajoso;</w:t>
      </w:r>
      <w:r>
        <w:rPr>
          <w:rFonts w:hint="default" w:cs="Arial"/>
          <w:color w:val="auto"/>
          <w:sz w:val="22"/>
          <w:szCs w:val="22"/>
          <w:lang w:val="pt-BR"/>
        </w:rPr>
      </w:r>
      <w:r>
        <w:rPr>
          <w:rFonts w:hint="default" w:cs="Arial"/>
          <w:color w:val="auto"/>
          <w:sz w:val="22"/>
          <w:szCs w:val="22"/>
          <w:lang w:val="pt-BR"/>
        </w:rPr>
      </w:r>
    </w:p>
    <w:p w14:paraId="451C8F37">
      <w:pPr>
        <w:pStyle w:val="1160"/>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 xml:space="preserve">a prorrogação da Ata de Registro de Preços ocorra dentro do prazo de vigência;</w:t>
      </w:r>
      <w:r>
        <w:rPr>
          <w:rFonts w:hint="default" w:cs="Arial"/>
          <w:color w:val="auto"/>
          <w:sz w:val="22"/>
          <w:szCs w:val="22"/>
          <w:lang w:val="pt-BR"/>
        </w:rPr>
      </w:r>
      <w:r>
        <w:rPr>
          <w:rFonts w:hint="default" w:cs="Arial"/>
          <w:color w:val="auto"/>
          <w:sz w:val="22"/>
          <w:szCs w:val="22"/>
          <w:lang w:val="pt-BR"/>
        </w:rPr>
      </w:r>
    </w:p>
    <w:p w14:paraId="4918327C">
      <w:pPr>
        <w:pStyle w:val="1160"/>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 xml:space="preserve">a renovação não ultrapasse os quantitativos originais dos bens e serviços;</w:t>
      </w:r>
      <w:r>
        <w:rPr>
          <w:rFonts w:hint="default" w:cs="Arial"/>
          <w:color w:val="auto"/>
          <w:sz w:val="22"/>
          <w:szCs w:val="22"/>
          <w:lang w:val="pt-BR"/>
        </w:rPr>
      </w:r>
      <w:r>
        <w:rPr>
          <w:rFonts w:hint="default" w:cs="Arial"/>
          <w:color w:val="auto"/>
          <w:sz w:val="22"/>
          <w:szCs w:val="22"/>
          <w:lang w:val="pt-BR"/>
        </w:rPr>
      </w:r>
    </w:p>
    <w:p w14:paraId="3A05976C">
      <w:pPr>
        <w:pStyle w:val="1160"/>
        <w:numPr>
          <w:ilvl w:val="0"/>
          <w:numId w:val="0"/>
        </w:numPr>
        <w:pBdr/>
        <w:spacing w:line="360" w:lineRule="auto"/>
        <w:ind w:firstLine="481" w:left="0"/>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 xml:space="preserve">haja prévia consulta e aceitação do fornecedor.</w:t>
      </w:r>
      <w:r>
        <w:rPr>
          <w:rFonts w:hint="default" w:cs="Arial"/>
          <w:color w:val="auto"/>
          <w:sz w:val="22"/>
          <w:szCs w:val="22"/>
          <w:lang w:val="pt-BR"/>
        </w:rPr>
      </w:r>
      <w:r>
        <w:rPr>
          <w:rFonts w:hint="default" w:cs="Arial"/>
          <w:color w:val="auto"/>
          <w:sz w:val="22"/>
          <w:szCs w:val="22"/>
          <w:lang w:val="pt-BR"/>
        </w:rPr>
      </w:r>
    </w:p>
    <w:p w14:paraId="2497A5AF">
      <w:pPr>
        <w:pStyle w:val="1167"/>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 xml:space="preserve">C</w:t>
      </w:r>
      <w:r>
        <w:rPr>
          <w:rFonts w:hint="default" w:ascii="Arial" w:hAnsi="Arial" w:cs="Arial"/>
          <w:color w:val="auto"/>
          <w:sz w:val="22"/>
          <w:szCs w:val="22"/>
        </w:rPr>
        <w:t xml:space="preserve">ontrato decorrente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cs="Arial"/>
          <w:color w:val="auto"/>
          <w:sz w:val="22"/>
          <w:szCs w:val="22"/>
          <w:lang w:val="pt-BR"/>
        </w:rPr>
        <w:t xml:space="preserve">, se houver,</w:t>
      </w:r>
      <w:r>
        <w:rPr>
          <w:rFonts w:hint="default" w:ascii="Arial" w:hAnsi="Arial" w:cs="Arial"/>
          <w:color w:val="auto"/>
          <w:sz w:val="22"/>
          <w:szCs w:val="22"/>
        </w:rPr>
        <w:t xml:space="preserve"> terá sua v</w:t>
      </w:r>
      <w:r>
        <w:rPr>
          <w:rFonts w:hint="default" w:ascii="Arial" w:hAnsi="Arial" w:cs="Arial"/>
          <w:color w:val="auto"/>
          <w:sz w:val="22"/>
          <w:szCs w:val="22"/>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hint="default" w:ascii="Arial" w:hAnsi="Arial" w:cs="Arial"/>
          <w:color w:val="auto"/>
          <w:sz w:val="22"/>
          <w:szCs w:val="22"/>
        </w:rPr>
      </w:r>
      <w:r>
        <w:rPr>
          <w:rFonts w:hint="default" w:ascii="Arial" w:hAnsi="Arial" w:cs="Arial"/>
          <w:color w:val="auto"/>
          <w:sz w:val="22"/>
          <w:szCs w:val="22"/>
        </w:rPr>
      </w:r>
    </w:p>
    <w:p w14:paraId="70203CDD">
      <w:pPr>
        <w:pStyle w:val="1167"/>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 xml:space="preserve">C</w:t>
      </w:r>
      <w:r>
        <w:rPr>
          <w:rFonts w:hint="default" w:ascii="Arial" w:hAnsi="Arial" w:cs="Arial"/>
          <w:color w:val="auto"/>
          <w:sz w:val="22"/>
          <w:szCs w:val="22"/>
        </w:rPr>
        <w:t xml:space="preserve">ontrato ou do instrumento substituto deverá haver a indicação da disponibilidade dos créditos orçamentários respectivos.</w:t>
      </w:r>
      <w:r>
        <w:rPr>
          <w:rFonts w:hint="default" w:ascii="Arial" w:hAnsi="Arial" w:cs="Arial"/>
          <w:color w:val="auto"/>
          <w:sz w:val="22"/>
          <w:szCs w:val="22"/>
        </w:rPr>
      </w:r>
      <w:r>
        <w:rPr>
          <w:rFonts w:hint="default" w:ascii="Arial" w:hAnsi="Arial" w:cs="Arial"/>
          <w:color w:val="auto"/>
          <w:sz w:val="22"/>
          <w:szCs w:val="22"/>
        </w:rPr>
      </w:r>
    </w:p>
    <w:p w14:paraId="032E89AF">
      <w:pPr>
        <w:pStyle w:val="1160"/>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 xml:space="preserve">A</w:t>
      </w:r>
      <w:r>
        <w:rPr>
          <w:rFonts w:hint="default" w:ascii="Arial" w:hAnsi="Arial" w:cs="Arial"/>
          <w:color w:val="auto"/>
          <w:sz w:val="22"/>
          <w:szCs w:val="22"/>
        </w:rPr>
        <w:t xml:space="preserve">ta será formalizada pelo órgão ou pela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5E18DB5A">
      <w:pPr>
        <w:pStyle w:val="1167"/>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w:t>
      </w:r>
      <w:r>
        <w:rPr>
          <w:rFonts w:hint="default" w:cs="Arial"/>
          <w:color w:val="auto"/>
          <w:sz w:val="22"/>
          <w:szCs w:val="22"/>
          <w:lang w:val="pt-BR"/>
        </w:rPr>
        <w:t xml:space="preserve"> 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6A2F946E">
      <w:pPr>
        <w:pStyle w:val="1160"/>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 xml:space="preserve">C</w:t>
      </w:r>
      <w:r>
        <w:rPr>
          <w:rFonts w:hint="default" w:ascii="Arial" w:hAnsi="Arial" w:cs="Arial"/>
          <w:color w:val="auto"/>
          <w:sz w:val="22"/>
          <w:szCs w:val="22"/>
        </w:rPr>
        <w:t xml:space="preserve">ontratos decorrentes do </w:t>
      </w:r>
      <w:r>
        <w:rPr>
          <w:rFonts w:hint="default" w:cs="Arial"/>
          <w:color w:val="auto"/>
          <w:sz w:val="22"/>
          <w:szCs w:val="22"/>
          <w:lang w:val="pt-BR"/>
        </w:rPr>
        <w:t xml:space="preserve">S</w:t>
      </w:r>
      <w:r>
        <w:rPr>
          <w:rFonts w:hint="default" w:ascii="Arial" w:hAnsi="Arial" w:cs="Arial"/>
          <w:color w:val="auto"/>
          <w:sz w:val="22"/>
          <w:szCs w:val="22"/>
        </w:rPr>
        <w:t xml:space="preserve">istema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13BA554F">
      <w:pPr>
        <w:pStyle w:val="1160"/>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5.4.</w:t>
      </w:r>
      <w:r>
        <w:rPr>
          <w:rFonts w:hint="default" w:cs="Arial"/>
          <w:color w:val="auto"/>
          <w:sz w:val="22"/>
          <w:szCs w:val="22"/>
          <w:lang w:val="pt-BR"/>
        </w:rPr>
        <w:t xml:space="preserve"> </w:t>
      </w:r>
      <w:r>
        <w:rPr>
          <w:rFonts w:hint="default" w:ascii="Arial" w:hAnsi="Arial" w:cs="Arial"/>
          <w:color w:val="auto"/>
          <w:sz w:val="22"/>
          <w:szCs w:val="22"/>
        </w:rPr>
        <w:t xml:space="preserve">A </w:t>
      </w:r>
      <w:r>
        <w:rPr>
          <w:rFonts w:hint="default" w:ascii="Arial" w:hAnsi="Arial" w:cs="Arial"/>
          <w:color w:val="auto"/>
          <w:sz w:val="22"/>
          <w:szCs w:val="22"/>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hint="default" w:ascii="Arial" w:hAnsi="Arial" w:cs="Arial"/>
          <w:color w:val="auto"/>
          <w:sz w:val="22"/>
          <w:szCs w:val="22"/>
        </w:rPr>
      </w:r>
      <w:r>
        <w:rPr>
          <w:rFonts w:hint="default" w:ascii="Arial" w:hAnsi="Arial" w:cs="Arial"/>
          <w:color w:val="auto"/>
          <w:sz w:val="22"/>
          <w:szCs w:val="22"/>
        </w:rPr>
      </w:r>
    </w:p>
    <w:p w14:paraId="1F046CCD">
      <w:pPr>
        <w:pBdr/>
        <w:spacing w:line="360" w:lineRule="auto"/>
        <w:ind/>
        <w:jc w:val="both"/>
        <w:rPr>
          <w:rFonts w:hint="default" w:ascii="Arial" w:hAnsi="Arial" w:cs="Arial"/>
          <w:sz w:val="22"/>
          <w:szCs w:val="22"/>
          <w:lang w:eastAsia="ar-SA"/>
        </w:rPr>
      </w:pPr>
      <w:r>
        <w:rPr>
          <w:rFonts w:hint="default" w:ascii="Arial" w:hAnsi="Arial" w:cs="Arial"/>
          <w:b/>
          <w:sz w:val="22"/>
          <w:szCs w:val="22"/>
          <w:lang w:val="pt-BR" w:eastAsia="ar-SA"/>
        </w:rPr>
        <w:t xml:space="preserve">5.5.</w:t>
      </w:r>
      <w:r>
        <w:rPr>
          <w:rFonts w:hint="default" w:ascii="Arial" w:hAnsi="Arial" w:cs="Arial"/>
          <w:b/>
          <w:sz w:val="22"/>
          <w:szCs w:val="22"/>
          <w:lang w:eastAsia="ar-SA"/>
        </w:rPr>
        <w:t xml:space="preserve"> </w:t>
      </w:r>
      <w:r>
        <w:rPr>
          <w:rFonts w:hint="default" w:ascii="Arial" w:hAnsi="Arial" w:cs="Arial"/>
          <w:sz w:val="22"/>
          <w:szCs w:val="22"/>
          <w:lang w:eastAsia="ar-SA"/>
        </w:rPr>
        <w:t xml:space="preserve">Os prazos desta Ata serão contados excluindo-se o dia do começo e incluindo-se o do vencimento.</w:t>
      </w:r>
      <w:r>
        <w:rPr>
          <w:rFonts w:hint="default" w:ascii="Arial" w:hAnsi="Arial" w:cs="Arial"/>
          <w:sz w:val="22"/>
          <w:szCs w:val="22"/>
          <w:lang w:eastAsia="ar-SA"/>
        </w:rPr>
      </w:r>
      <w:r>
        <w:rPr>
          <w:rFonts w:hint="default" w:ascii="Arial" w:hAnsi="Arial" w:cs="Arial"/>
          <w:sz w:val="22"/>
          <w:szCs w:val="22"/>
          <w:lang w:eastAsia="ar-SA"/>
        </w:rPr>
      </w:r>
    </w:p>
    <w:p w14:paraId="5DF85DA2">
      <w:pPr>
        <w:pBdr/>
        <w:spacing w:line="240" w:lineRule="auto"/>
        <w:ind/>
        <w:jc w:val="both"/>
        <w:rPr>
          <w:rFonts w:hint="default" w:ascii="Arial" w:hAnsi="Arial" w:cs="Arial"/>
          <w:sz w:val="22"/>
          <w:szCs w:val="22"/>
          <w:lang w:eastAsia="ar-SA"/>
        </w:rPr>
      </w:pPr>
      <w:r>
        <w:rPr>
          <w:rFonts w:hint="default" w:ascii="Arial" w:hAnsi="Arial" w:cs="Arial"/>
          <w:sz w:val="22"/>
          <w:szCs w:val="22"/>
          <w:lang w:eastAsia="ar-SA"/>
        </w:rPr>
      </w:r>
      <w:r>
        <w:rPr>
          <w:rFonts w:hint="default" w:ascii="Arial" w:hAnsi="Arial" w:cs="Arial"/>
          <w:sz w:val="22"/>
          <w:szCs w:val="22"/>
          <w:lang w:eastAsia="ar-SA"/>
        </w:rPr>
      </w:r>
      <w:r>
        <w:rPr>
          <w:rFonts w:hint="default" w:ascii="Arial" w:hAnsi="Arial" w:cs="Arial"/>
          <w:sz w:val="22"/>
          <w:szCs w:val="22"/>
          <w:lang w:eastAsia="ar-SA"/>
        </w:rPr>
      </w:r>
    </w:p>
    <w:p w14:paraId="7DBCE17E">
      <w:pPr>
        <w:pStyle w:val="857"/>
        <w:keepNext w:val="false"/>
        <w:widowControl w:val="false"/>
        <w:pBdr/>
        <w:spacing w:before="0" w:line="360" w:lineRule="auto"/>
        <w:ind/>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 xml:space="preserve">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 xml:space="preserve">f</w:t>
      </w:r>
      <w:r>
        <w:rPr>
          <w:rFonts w:hint="default" w:ascii="Arial" w:hAnsi="Arial" w:cs="Arial"/>
          <w:b w:val="0"/>
          <w:bCs/>
          <w:color w:val="auto"/>
          <w:sz w:val="22"/>
          <w:szCs w:val="22"/>
          <w:u w:val="none"/>
        </w:rPr>
        <w:t xml:space="preserve">ornecedor tiver sido penalizado nas sanções de declaração de inidoneidade, suspensão temporária ou impedimento de licitar e contratar com o poder público, observadas as abrangências de aplicação.</w:t>
      </w:r>
      <w:r>
        <w:rPr>
          <w:rFonts w:hint="default" w:ascii="Arial" w:hAnsi="Arial" w:cs="Arial"/>
          <w:b w:val="0"/>
          <w:bCs/>
          <w:color w:val="auto"/>
          <w:sz w:val="22"/>
          <w:szCs w:val="22"/>
          <w:u w:val="none"/>
        </w:rPr>
      </w:r>
      <w:r>
        <w:rPr>
          <w:rFonts w:hint="default" w:ascii="Arial" w:hAnsi="Arial" w:cs="Arial"/>
          <w:b w:val="0"/>
          <w:bCs/>
          <w:color w:val="auto"/>
          <w:sz w:val="22"/>
          <w:szCs w:val="22"/>
          <w:u w:val="none"/>
        </w:rPr>
      </w:r>
    </w:p>
    <w:p w14:paraId="1F9F97A8">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Sexta</w:t>
      </w:r>
      <w:r>
        <w:rPr>
          <w:rFonts w:ascii="Arial" w:hAnsi="Arial" w:cs="Arial"/>
          <w:b/>
          <w:bCs/>
          <w:szCs w:val="22"/>
        </w:rPr>
      </w:r>
      <w:r>
        <w:rPr>
          <w:rFonts w:ascii="Arial" w:hAnsi="Arial" w:cs="Arial"/>
          <w:b/>
          <w:bCs/>
          <w:szCs w:val="22"/>
        </w:rPr>
      </w:r>
    </w:p>
    <w:p w14:paraId="4889BB22">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 ALTERAÇÃO OU ATUALIZAÇÃO DOS PREÇOS REGISTRADOS</w:t>
      </w:r>
      <w:r>
        <w:rPr>
          <w:rFonts w:ascii="Arial" w:hAnsi="Arial" w:cs="Arial"/>
          <w:szCs w:val="22"/>
        </w:rPr>
      </w:r>
      <w:r>
        <w:rPr>
          <w:rFonts w:ascii="Arial" w:hAnsi="Arial" w:cs="Arial"/>
          <w:szCs w:val="22"/>
        </w:rPr>
      </w:r>
    </w:p>
    <w:p w14:paraId="66DCDC8B">
      <w:pPr>
        <w:pStyle w:val="1160"/>
        <w:numPr>
          <w:ilvl w:val="0"/>
          <w:numId w:val="0"/>
        </w:numPr>
        <w:pBdr/>
        <w:spacing w:line="360" w:lineRule="auto"/>
        <w:ind/>
        <w:rPr>
          <w:sz w:val="22"/>
          <w:szCs w:val="22"/>
        </w:rPr>
      </w:pPr>
      <w:r>
        <w:rPr>
          <w:b/>
          <w:bCs/>
          <w:sz w:val="22"/>
          <w:szCs w:val="22"/>
        </w:rPr>
        <w:t xml:space="preserve">6.1. </w:t>
      </w:r>
      <w:r>
        <w:rPr>
          <w:sz w:val="22"/>
          <w:szCs w:val="22"/>
        </w:rPr>
        <w:t xml:space="preserve">Os preços registrados poderão ser alterados ou atualizados em decorrência de eventual redução dos preços pra</w:t>
      </w:r>
      <w:r>
        <w:rPr>
          <w:rFonts w:eastAsia="Calibri"/>
          <w:sz w:val="22"/>
          <w:szCs w:val="22"/>
        </w:rPr>
        <w:t xml:space="preserve">ti</w:t>
      </w:r>
      <w:r>
        <w:rPr>
          <w:sz w:val="22"/>
          <w:szCs w:val="22"/>
        </w:rPr>
        <w:t xml:space="preserve">cados no mercado ou de fato que eleve o custo dos bens, das obras ou dos serviços registrados, nas seguintes situações:</w:t>
      </w:r>
      <w:r>
        <w:rPr>
          <w:sz w:val="22"/>
          <w:szCs w:val="22"/>
        </w:rPr>
      </w:r>
      <w:r>
        <w:rPr>
          <w:sz w:val="22"/>
          <w:szCs w:val="22"/>
        </w:rPr>
      </w:r>
    </w:p>
    <w:p w14:paraId="4205AE7E">
      <w:pPr>
        <w:pStyle w:val="1167"/>
        <w:numPr>
          <w:ilvl w:val="0"/>
          <w:numId w:val="0"/>
        </w:numPr>
        <w:pBdr/>
        <w:spacing w:line="360" w:lineRule="auto"/>
        <w:ind w:firstLine="480"/>
        <w:rPr>
          <w:sz w:val="22"/>
          <w:szCs w:val="22"/>
        </w:rPr>
      </w:pPr>
      <w:r>
        <w:rPr>
          <w:b/>
          <w:bCs/>
          <w:sz w:val="22"/>
          <w:szCs w:val="22"/>
        </w:rPr>
        <w:t xml:space="preserve">6.1.1. </w:t>
      </w:r>
      <w:r>
        <w:rPr>
          <w:sz w:val="22"/>
          <w:szCs w:val="22"/>
        </w:rPr>
        <w:t xml:space="preserve">Em caso de força maior, caso fort</w:t>
      </w:r>
      <w:r>
        <w:rPr>
          <w:sz w:val="22"/>
          <w:szCs w:val="22"/>
        </w:rPr>
        <w:t xml:space="preserve">uito ou fato do príncipe ou em decorrência de fatos imprevisíveis ou previsíveis de consequências incalculáveis, que inviabilizem a execução da ata tal como pactuada, nos termos da alínea “d” do inciso II do caput do art. 124 da Lei Federal nº 14.133/2021;</w:t>
      </w:r>
      <w:r>
        <w:rPr>
          <w:sz w:val="22"/>
          <w:szCs w:val="22"/>
        </w:rPr>
      </w:r>
      <w:r>
        <w:rPr>
          <w:sz w:val="22"/>
          <w:szCs w:val="22"/>
        </w:rPr>
      </w:r>
    </w:p>
    <w:p w14:paraId="6F03E41F">
      <w:pPr>
        <w:pStyle w:val="1167"/>
        <w:numPr>
          <w:ilvl w:val="0"/>
          <w:numId w:val="0"/>
        </w:numPr>
        <w:pBdr/>
        <w:spacing w:line="360" w:lineRule="auto"/>
        <w:ind w:firstLine="480"/>
        <w:rPr>
          <w:sz w:val="22"/>
          <w:szCs w:val="22"/>
        </w:rPr>
      </w:pPr>
      <w:r>
        <w:rPr>
          <w:b/>
          <w:bCs/>
          <w:sz w:val="22"/>
          <w:szCs w:val="22"/>
        </w:rPr>
        <w:t xml:space="preserve">6.1.2.</w:t>
      </w:r>
      <w:r>
        <w:rPr>
          <w:sz w:val="22"/>
          <w:szCs w:val="22"/>
        </w:rPr>
        <w:t xml:space="preserve"> Em caso de criação, alteração ou ex</w:t>
      </w:r>
      <w:r>
        <w:rPr>
          <w:rFonts w:eastAsia="Calibri"/>
          <w:sz w:val="22"/>
          <w:szCs w:val="22"/>
        </w:rPr>
        <w:t xml:space="preserve">ti</w:t>
      </w:r>
      <w:r>
        <w:rPr>
          <w:sz w:val="22"/>
          <w:szCs w:val="22"/>
        </w:rPr>
        <w:t xml:space="preserve">nção de quaisquer tributos ou encargos legais ou a superveniência de disposições legais, com comprovada repercussão sobre os preços registrados; </w:t>
      </w:r>
      <w:r>
        <w:rPr>
          <w:sz w:val="22"/>
          <w:szCs w:val="22"/>
        </w:rPr>
      </w:r>
      <w:r>
        <w:rPr>
          <w:sz w:val="22"/>
          <w:szCs w:val="22"/>
        </w:rPr>
      </w:r>
    </w:p>
    <w:p w14:paraId="03537CFD">
      <w:pPr>
        <w:pStyle w:val="1167"/>
        <w:numPr>
          <w:ilvl w:val="0"/>
          <w:numId w:val="0"/>
        </w:numPr>
        <w:pBdr/>
        <w:spacing w:line="360" w:lineRule="auto"/>
        <w:ind w:firstLine="480"/>
        <w:rPr>
          <w:sz w:val="22"/>
          <w:szCs w:val="22"/>
        </w:rPr>
      </w:pPr>
      <w:r>
        <w:rPr>
          <w:b/>
          <w:bCs/>
          <w:sz w:val="22"/>
          <w:szCs w:val="22"/>
        </w:rPr>
        <w:t xml:space="preserve">6.1.3. </w:t>
      </w:r>
      <w:r>
        <w:rPr>
          <w:sz w:val="22"/>
          <w:szCs w:val="22"/>
        </w:rPr>
        <w:t xml:space="preserve">Na hipótese de previsão no edital ou no aviso de contratação direta de cláusula de reajustamento ou repactuação sobre os preços registrados, nos termos da Lei Federal nº 14.133/2021.</w:t>
      </w:r>
      <w:r>
        <w:rPr>
          <w:sz w:val="22"/>
          <w:szCs w:val="22"/>
        </w:rPr>
      </w:r>
      <w:r>
        <w:rPr>
          <w:sz w:val="22"/>
          <w:szCs w:val="22"/>
        </w:rPr>
      </w:r>
    </w:p>
    <w:p w14:paraId="34EEB5FA">
      <w:pPr>
        <w:pStyle w:val="1168"/>
        <w:numPr>
          <w:ilvl w:val="0"/>
          <w:numId w:val="0"/>
        </w:numPr>
        <w:pBdr/>
        <w:spacing w:line="360" w:lineRule="auto"/>
        <w:ind w:firstLine="720"/>
        <w:rPr>
          <w:sz w:val="22"/>
          <w:szCs w:val="22"/>
        </w:rPr>
      </w:pPr>
      <w:r>
        <w:rPr>
          <w:b/>
          <w:bCs/>
          <w:sz w:val="22"/>
          <w:szCs w:val="22"/>
        </w:rPr>
        <w:t xml:space="preserve">6.1.3.1. </w:t>
      </w:r>
      <w:r>
        <w:rPr>
          <w:sz w:val="22"/>
          <w:szCs w:val="22"/>
        </w:rPr>
        <w:t xml:space="preserve">No caso do reajustamento, deverá ser respeitada a contagem da anualidade e o índice previstos para a contratação;</w:t>
      </w:r>
      <w:r>
        <w:rPr>
          <w:sz w:val="22"/>
          <w:szCs w:val="22"/>
        </w:rPr>
      </w:r>
      <w:r>
        <w:rPr>
          <w:sz w:val="22"/>
          <w:szCs w:val="22"/>
        </w:rPr>
      </w:r>
    </w:p>
    <w:p w14:paraId="44C7F6EA">
      <w:pPr>
        <w:pStyle w:val="1168"/>
        <w:numPr>
          <w:ilvl w:val="0"/>
          <w:numId w:val="0"/>
        </w:numPr>
        <w:pBdr/>
        <w:spacing w:line="360" w:lineRule="auto"/>
        <w:ind w:firstLine="720"/>
        <w:rPr>
          <w:sz w:val="22"/>
          <w:szCs w:val="22"/>
        </w:rPr>
      </w:pPr>
      <w:r>
        <w:rPr>
          <w:b/>
          <w:bCs/>
          <w:sz w:val="22"/>
          <w:szCs w:val="22"/>
        </w:rPr>
        <w:t xml:space="preserve">6.1.3.2.</w:t>
      </w:r>
      <w:r>
        <w:rPr>
          <w:sz w:val="22"/>
          <w:szCs w:val="22"/>
        </w:rPr>
        <w:t xml:space="preserve"> No caso da repactuação, poderá ser a pedido do interessado, conforme critérios definidos para a contratação.</w:t>
      </w:r>
      <w:r>
        <w:rPr>
          <w:sz w:val="22"/>
          <w:szCs w:val="22"/>
        </w:rPr>
      </w:r>
      <w:r>
        <w:rPr>
          <w:sz w:val="22"/>
          <w:szCs w:val="22"/>
        </w:rPr>
      </w:r>
    </w:p>
    <w:p w14:paraId="4658373D">
      <w:pPr>
        <w:pStyle w:val="1168"/>
        <w:numPr>
          <w:ilvl w:val="0"/>
          <w:numId w:val="0"/>
        </w:numPr>
        <w:pBdr/>
        <w:spacing w:line="360" w:lineRule="auto"/>
        <w:ind w:firstLine="720"/>
        <w:rPr>
          <w:sz w:val="22"/>
          <w:szCs w:val="22"/>
        </w:rPr>
      </w:pPr>
      <w:r>
        <w:rPr>
          <w:b/>
          <w:bCs/>
          <w:sz w:val="22"/>
          <w:szCs w:val="22"/>
        </w:rPr>
        <w:t xml:space="preserve">6.1.3.3.</w:t>
      </w:r>
      <w:r>
        <w:rPr>
          <w:sz w:val="22"/>
          <w:szCs w:val="22"/>
        </w:rPr>
        <w:t xml:space="preserve"> Os preços inicialmente contratados são fixos e irreajustáveis no prazo de um ano contado da data do orçamento estimado, em 13/05/2024.</w:t>
      </w:r>
      <w:r>
        <w:rPr>
          <w:sz w:val="22"/>
          <w:szCs w:val="22"/>
        </w:rPr>
      </w:r>
      <w:r>
        <w:rPr>
          <w:sz w:val="22"/>
          <w:szCs w:val="22"/>
        </w:rPr>
      </w:r>
    </w:p>
    <w:p w14:paraId="414BFCE5">
      <w:pPr>
        <w:pStyle w:val="1168"/>
        <w:numPr>
          <w:ilvl w:val="0"/>
          <w:numId w:val="0"/>
        </w:numPr>
        <w:pBdr/>
        <w:spacing w:line="360" w:lineRule="auto"/>
        <w:ind w:firstLine="720"/>
        <w:rPr>
          <w:sz w:val="22"/>
          <w:szCs w:val="22"/>
        </w:rPr>
      </w:pPr>
      <w:r>
        <w:rPr>
          <w:b/>
          <w:bCs/>
          <w:sz w:val="22"/>
          <w:szCs w:val="22"/>
        </w:rPr>
        <w:t xml:space="preserve">6.1.3.4.</w:t>
      </w:r>
      <w:r>
        <w:rPr>
          <w:sz w:val="22"/>
          <w:szCs w:val="22"/>
        </w:rPr>
        <w:t xml:space="preserve"> Após o interregno de um ano, e independentement</w:t>
      </w:r>
      <w:r>
        <w:rPr>
          <w:sz w:val="22"/>
          <w:szCs w:val="22"/>
        </w:rPr>
        <w:t xml:space="preserve">e de pedido do contratado, os preços iniciais serão reajustados, mediante a aplicação, pelo contratante, do Índice Nacional de Preços ao Consumidor Amplo - IPCA/IBGE, exclusivamente para as obrigações iniciadas e concluídas após a ocorrência da anualidade.</w:t>
      </w:r>
      <w:r>
        <w:rPr>
          <w:sz w:val="22"/>
          <w:szCs w:val="22"/>
        </w:rPr>
      </w:r>
      <w:r>
        <w:rPr>
          <w:sz w:val="22"/>
          <w:szCs w:val="22"/>
        </w:rPr>
      </w:r>
    </w:p>
    <w:p w14:paraId="1B31BFF3">
      <w:pPr>
        <w:pStyle w:val="1168"/>
        <w:numPr>
          <w:ilvl w:val="0"/>
          <w:numId w:val="0"/>
        </w:numPr>
        <w:pBdr/>
        <w:spacing w:line="360" w:lineRule="auto"/>
        <w:ind w:firstLine="720"/>
        <w:rPr>
          <w:sz w:val="22"/>
          <w:szCs w:val="22"/>
        </w:rPr>
      </w:pPr>
      <w:r>
        <w:rPr>
          <w:b/>
          <w:bCs/>
          <w:sz w:val="22"/>
          <w:szCs w:val="22"/>
        </w:rPr>
        <w:t xml:space="preserve">6.1.3.5.</w:t>
      </w:r>
      <w:r>
        <w:rPr>
          <w:sz w:val="22"/>
          <w:szCs w:val="22"/>
        </w:rPr>
        <w:t xml:space="preserve"> Nos reajustes subsequentes ao primeiro, o interregno mínimo de um ano será contado a partir dos efeitos financeiros do último reajuste.</w:t>
      </w:r>
      <w:r>
        <w:rPr>
          <w:sz w:val="22"/>
          <w:szCs w:val="22"/>
        </w:rPr>
      </w:r>
      <w:r>
        <w:rPr>
          <w:sz w:val="22"/>
          <w:szCs w:val="22"/>
        </w:rPr>
      </w:r>
    </w:p>
    <w:p w14:paraId="5E9D9030">
      <w:pPr>
        <w:pStyle w:val="1168"/>
        <w:numPr>
          <w:ilvl w:val="0"/>
          <w:numId w:val="0"/>
        </w:numPr>
        <w:pBdr/>
        <w:spacing w:line="360" w:lineRule="auto"/>
        <w:ind w:firstLine="720"/>
        <w:rPr>
          <w:sz w:val="22"/>
          <w:szCs w:val="22"/>
        </w:rPr>
      </w:pPr>
      <w:r>
        <w:rPr>
          <w:b/>
          <w:bCs/>
          <w:sz w:val="22"/>
          <w:szCs w:val="22"/>
        </w:rPr>
        <w:t xml:space="preserve">6.1.3.6.</w:t>
      </w:r>
      <w:r>
        <w:rPr>
          <w:sz w:val="22"/>
          <w:szCs w:val="22"/>
        </w:rPr>
        <w:t xml:space="preserve"> No</w:t>
      </w:r>
      <w:r>
        <w:rPr>
          <w:sz w:val="22"/>
          <w:szCs w:val="22"/>
        </w:rPr>
        <w:t xml:space="preserve"> caso de atraso ou não divulgação do(s) índice(s) de reajustamento, o contratante pagará ao contratado a importância calculada pela última variação conhecida, liquidando a diferença correspondente tão logo seja(m) divulgado(s) o(s) índice(s) definitivo(s).</w:t>
      </w:r>
      <w:r>
        <w:rPr>
          <w:sz w:val="22"/>
          <w:szCs w:val="22"/>
        </w:rPr>
      </w:r>
      <w:r>
        <w:rPr>
          <w:sz w:val="22"/>
          <w:szCs w:val="22"/>
        </w:rPr>
      </w:r>
    </w:p>
    <w:p w14:paraId="5DB16324">
      <w:pPr>
        <w:pStyle w:val="1168"/>
        <w:numPr>
          <w:ilvl w:val="0"/>
          <w:numId w:val="0"/>
        </w:numPr>
        <w:pBdr/>
        <w:spacing w:line="360" w:lineRule="auto"/>
        <w:ind w:firstLine="720"/>
        <w:rPr>
          <w:sz w:val="22"/>
          <w:szCs w:val="22"/>
        </w:rPr>
      </w:pPr>
      <w:r>
        <w:rPr>
          <w:b/>
          <w:bCs/>
          <w:sz w:val="22"/>
          <w:szCs w:val="22"/>
        </w:rPr>
        <w:t xml:space="preserve">6.1.3.7.</w:t>
      </w:r>
      <w:r>
        <w:rPr>
          <w:sz w:val="22"/>
          <w:szCs w:val="22"/>
        </w:rPr>
        <w:t xml:space="preserve"> Nas aferições finais, o(s) índice(s) utilizado(s) para reajuste será(ão), obrigatoriamente, o(s) definitivo(s).</w:t>
      </w:r>
      <w:r>
        <w:rPr>
          <w:sz w:val="22"/>
          <w:szCs w:val="22"/>
        </w:rPr>
      </w:r>
      <w:r>
        <w:rPr>
          <w:sz w:val="22"/>
          <w:szCs w:val="22"/>
        </w:rPr>
      </w:r>
    </w:p>
    <w:p w14:paraId="793556E2">
      <w:pPr>
        <w:pStyle w:val="1168"/>
        <w:numPr>
          <w:ilvl w:val="0"/>
          <w:numId w:val="0"/>
        </w:numPr>
        <w:pBdr/>
        <w:spacing w:line="360" w:lineRule="auto"/>
        <w:ind w:firstLine="720"/>
        <w:rPr>
          <w:sz w:val="22"/>
          <w:szCs w:val="22"/>
        </w:rPr>
      </w:pPr>
      <w:r>
        <w:rPr>
          <w:b/>
          <w:bCs/>
          <w:sz w:val="22"/>
          <w:szCs w:val="22"/>
        </w:rPr>
        <w:t xml:space="preserve">6.1.3.8.</w:t>
      </w:r>
      <w:r>
        <w:rPr>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r>
        <w:rPr>
          <w:sz w:val="22"/>
          <w:szCs w:val="22"/>
        </w:rPr>
      </w:r>
      <w:r>
        <w:rPr>
          <w:sz w:val="22"/>
          <w:szCs w:val="22"/>
        </w:rPr>
      </w:r>
    </w:p>
    <w:p w14:paraId="0E531125">
      <w:pPr>
        <w:pStyle w:val="1168"/>
        <w:numPr>
          <w:ilvl w:val="0"/>
          <w:numId w:val="0"/>
        </w:numPr>
        <w:pBdr/>
        <w:spacing w:line="360" w:lineRule="auto"/>
        <w:ind w:firstLine="720"/>
        <w:rPr>
          <w:sz w:val="22"/>
          <w:szCs w:val="22"/>
        </w:rPr>
      </w:pPr>
      <w:r>
        <w:rPr>
          <w:b/>
          <w:bCs/>
          <w:sz w:val="22"/>
          <w:szCs w:val="22"/>
        </w:rPr>
        <w:t xml:space="preserve">6.1.3.9.</w:t>
      </w:r>
      <w:r>
        <w:rPr>
          <w:sz w:val="22"/>
          <w:szCs w:val="22"/>
        </w:rPr>
        <w:t xml:space="preserve"> Na ausência de previsão legal quanto ao índice substituto, as partes elegerão novo índice oficial, para reajustamento do preço do valor remanescente, por meio de termo aditivo.</w:t>
      </w:r>
      <w:r>
        <w:rPr>
          <w:sz w:val="22"/>
          <w:szCs w:val="22"/>
        </w:rPr>
      </w:r>
      <w:r>
        <w:rPr>
          <w:sz w:val="22"/>
          <w:szCs w:val="22"/>
        </w:rPr>
      </w:r>
    </w:p>
    <w:p w14:paraId="23C5616E">
      <w:pPr>
        <w:pStyle w:val="1168"/>
        <w:numPr>
          <w:ilvl w:val="0"/>
          <w:numId w:val="0"/>
        </w:numPr>
        <w:pBdr/>
        <w:spacing w:line="360" w:lineRule="auto"/>
        <w:ind w:firstLine="720"/>
        <w:rPr>
          <w:sz w:val="22"/>
          <w:szCs w:val="22"/>
        </w:rPr>
      </w:pPr>
      <w:r>
        <w:rPr>
          <w:b/>
          <w:bCs/>
          <w:sz w:val="22"/>
          <w:szCs w:val="22"/>
        </w:rPr>
        <w:t xml:space="preserve">6.1.3.10.</w:t>
      </w:r>
      <w:r>
        <w:rPr>
          <w:sz w:val="22"/>
          <w:szCs w:val="22"/>
        </w:rPr>
        <w:t xml:space="preserve"> O reajuste será realizado por apostilamento.</w:t>
      </w:r>
      <w:r>
        <w:rPr>
          <w:sz w:val="22"/>
          <w:szCs w:val="22"/>
        </w:rPr>
      </w:r>
      <w:r>
        <w:rPr>
          <w:sz w:val="22"/>
          <w:szCs w:val="22"/>
        </w:rPr>
      </w:r>
    </w:p>
    <w:p w14:paraId="66377A26">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Sétima</w:t>
      </w:r>
      <w:r>
        <w:rPr>
          <w:rFonts w:ascii="Arial" w:hAnsi="Arial" w:cs="Arial"/>
          <w:b/>
          <w:bCs/>
          <w:szCs w:val="22"/>
        </w:rPr>
      </w:r>
      <w:r>
        <w:rPr>
          <w:rFonts w:ascii="Arial" w:hAnsi="Arial" w:cs="Arial"/>
          <w:b/>
          <w:bCs/>
          <w:szCs w:val="22"/>
        </w:rPr>
      </w:r>
    </w:p>
    <w:p w14:paraId="7955DEB1">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 NEGOCIAÇÃO DOS PREÇOS REGISTRADOS</w:t>
      </w:r>
      <w:r>
        <w:rPr>
          <w:rFonts w:ascii="Arial" w:hAnsi="Arial" w:cs="Arial"/>
          <w:szCs w:val="22"/>
        </w:rPr>
      </w:r>
      <w:r>
        <w:rPr>
          <w:rFonts w:ascii="Arial" w:hAnsi="Arial" w:cs="Arial"/>
          <w:szCs w:val="22"/>
        </w:rPr>
      </w:r>
    </w:p>
    <w:p w14:paraId="6E4D12CD">
      <w:pPr>
        <w:pStyle w:val="1160"/>
        <w:numPr>
          <w:ilvl w:val="0"/>
          <w:numId w:val="0"/>
        </w:numPr>
        <w:pBdr/>
        <w:spacing w:line="360" w:lineRule="auto"/>
        <w:ind/>
        <w:rPr>
          <w:sz w:val="22"/>
          <w:szCs w:val="22"/>
        </w:rPr>
      </w:pPr>
      <w:r>
        <w:rPr>
          <w:b/>
          <w:bCs/>
          <w:sz w:val="22"/>
          <w:szCs w:val="22"/>
        </w:rPr>
        <w:t xml:space="preserve">7.1. </w:t>
      </w:r>
      <w:r>
        <w:rPr>
          <w:sz w:val="22"/>
          <w:szCs w:val="22"/>
        </w:rPr>
        <w:t xml:space="preserve">Na hipótese de o preço registrado tornar-se superior ao preço pra</w:t>
      </w:r>
      <w:r>
        <w:rPr>
          <w:rFonts w:eastAsia="Calibri"/>
          <w:sz w:val="22"/>
          <w:szCs w:val="22"/>
        </w:rPr>
        <w:t xml:space="preserve">ti</w:t>
      </w:r>
      <w:r>
        <w:rPr>
          <w:sz w:val="22"/>
          <w:szCs w:val="22"/>
        </w:rPr>
        <w:t xml:space="preserve">cado no mercado por mo</w:t>
      </w:r>
      <w:r>
        <w:rPr>
          <w:rFonts w:eastAsia="Calibri"/>
          <w:sz w:val="22"/>
          <w:szCs w:val="22"/>
        </w:rPr>
        <w:t xml:space="preserve">ti</w:t>
      </w:r>
      <w:r>
        <w:rPr>
          <w:sz w:val="22"/>
          <w:szCs w:val="22"/>
        </w:rPr>
        <w:t xml:space="preserve">vo superveniente, o Órgão Gerenciador convocará o fornecedor para negociar a redução do preço registrado.</w:t>
      </w:r>
      <w:r>
        <w:rPr>
          <w:sz w:val="22"/>
          <w:szCs w:val="22"/>
        </w:rPr>
      </w:r>
      <w:r>
        <w:rPr>
          <w:sz w:val="22"/>
          <w:szCs w:val="22"/>
        </w:rPr>
      </w:r>
    </w:p>
    <w:p w14:paraId="1DD72EE5">
      <w:pPr>
        <w:pStyle w:val="1167"/>
        <w:numPr>
          <w:ilvl w:val="0"/>
          <w:numId w:val="0"/>
        </w:numPr>
        <w:pBdr/>
        <w:spacing w:line="360" w:lineRule="auto"/>
        <w:ind w:firstLine="475" w:left="4"/>
        <w:rPr>
          <w:sz w:val="22"/>
          <w:szCs w:val="22"/>
        </w:rPr>
      </w:pPr>
      <w:r>
        <w:rPr>
          <w:b/>
          <w:bCs/>
          <w:sz w:val="22"/>
          <w:szCs w:val="22"/>
        </w:rPr>
        <w:t xml:space="preserve">7.1.1. </w:t>
      </w:r>
      <w:r>
        <w:rPr>
          <w:sz w:val="22"/>
          <w:szCs w:val="22"/>
        </w:rPr>
        <w:t xml:space="preserve">Caso não aceite reduzir seu preço aos valores pra</w:t>
      </w:r>
      <w:r>
        <w:rPr>
          <w:rFonts w:eastAsia="Calibri"/>
          <w:sz w:val="22"/>
          <w:szCs w:val="22"/>
        </w:rPr>
        <w:t xml:space="preserve">ti</w:t>
      </w:r>
      <w:r>
        <w:rPr>
          <w:sz w:val="22"/>
          <w:szCs w:val="22"/>
        </w:rPr>
        <w:t xml:space="preserve">cados pelo mercado, o fornecedor será liberado do compromisso assumido quanto ao item registrado, sem aplicação de penalidades administrativas.</w:t>
      </w:r>
      <w:r>
        <w:rPr>
          <w:sz w:val="22"/>
          <w:szCs w:val="22"/>
        </w:rPr>
      </w:r>
      <w:r>
        <w:rPr>
          <w:sz w:val="22"/>
          <w:szCs w:val="22"/>
        </w:rPr>
      </w:r>
    </w:p>
    <w:p w14:paraId="632EDABC">
      <w:pPr>
        <w:pStyle w:val="1167"/>
        <w:numPr>
          <w:ilvl w:val="0"/>
          <w:numId w:val="0"/>
        </w:numPr>
        <w:pBdr/>
        <w:spacing w:line="360" w:lineRule="auto"/>
        <w:ind w:firstLine="475" w:left="4"/>
        <w:rPr>
          <w:sz w:val="22"/>
          <w:szCs w:val="22"/>
        </w:rPr>
      </w:pPr>
      <w:r>
        <w:rPr>
          <w:b/>
          <w:bCs/>
          <w:sz w:val="22"/>
          <w:szCs w:val="22"/>
        </w:rPr>
        <w:t xml:space="preserve">7.1.2. </w:t>
      </w:r>
      <w:r>
        <w:rPr>
          <w:sz w:val="22"/>
          <w:szCs w:val="22"/>
        </w:rPr>
        <w:t xml:space="preserve">Na hipótese prevista no item an</w:t>
      </w:r>
      <w:r>
        <w:rPr>
          <w:sz w:val="22"/>
          <w:szCs w:val="22"/>
        </w:rPr>
        <w:t xml:space="preserve">terior, o Órgão Gerenciador convocará os fornecedores do cadastro de reserva, na ordem de classificação, para verificar se aceitam reduzir seus preços aos valores de mercado e não convocará os licitantes ou fornecedores que tiveram seu registro cancelado. </w:t>
      </w:r>
      <w:r>
        <w:rPr>
          <w:sz w:val="22"/>
          <w:szCs w:val="22"/>
        </w:rPr>
      </w:r>
      <w:r>
        <w:rPr>
          <w:sz w:val="22"/>
          <w:szCs w:val="22"/>
        </w:rPr>
      </w:r>
    </w:p>
    <w:p w14:paraId="178A4C72">
      <w:pPr>
        <w:pStyle w:val="1167"/>
        <w:numPr>
          <w:ilvl w:val="0"/>
          <w:numId w:val="0"/>
        </w:numPr>
        <w:pBdr/>
        <w:spacing w:line="360" w:lineRule="auto"/>
        <w:ind w:firstLine="475" w:left="4"/>
        <w:rPr>
          <w:sz w:val="22"/>
          <w:szCs w:val="22"/>
        </w:rPr>
      </w:pPr>
      <w:r>
        <w:rPr>
          <w:b/>
          <w:bCs/>
          <w:sz w:val="22"/>
          <w:szCs w:val="22"/>
        </w:rPr>
        <w:t xml:space="preserve">7.1.3. </w:t>
      </w:r>
      <w:r>
        <w:rPr>
          <w:sz w:val="22"/>
          <w:szCs w:val="22"/>
        </w:rPr>
        <w:t xml:space="preserve">Se não obtiver êxito nas negociações, o Órgão Gerenciador procederá ao cancelamento da Ata de Registro de Preços, adotando as medidas cabíveis para obtenção de contratação mais vantajosa.</w:t>
      </w:r>
      <w:r>
        <w:rPr>
          <w:sz w:val="22"/>
          <w:szCs w:val="22"/>
        </w:rPr>
      </w:r>
      <w:r>
        <w:rPr>
          <w:sz w:val="22"/>
          <w:szCs w:val="22"/>
        </w:rPr>
      </w:r>
    </w:p>
    <w:p w14:paraId="2FA36557">
      <w:pPr>
        <w:pStyle w:val="1167"/>
        <w:numPr>
          <w:ilvl w:val="0"/>
          <w:numId w:val="0"/>
        </w:numPr>
        <w:pBdr/>
        <w:spacing w:line="360" w:lineRule="auto"/>
        <w:ind w:firstLine="475" w:left="4"/>
        <w:rPr>
          <w:sz w:val="22"/>
          <w:szCs w:val="22"/>
        </w:rPr>
      </w:pPr>
      <w:r>
        <w:rPr>
          <w:b/>
          <w:bCs/>
          <w:sz w:val="22"/>
          <w:szCs w:val="22"/>
        </w:rPr>
        <w:t xml:space="preserve">7.1.4. </w:t>
      </w:r>
      <w:r>
        <w:rPr>
          <w:sz w:val="22"/>
          <w:szCs w:val="22"/>
        </w:rPr>
        <w:t xml:space="preserve">Na hipótese de redução do preço registrado, o Órgão Gerenciador comunicará aos órgãos e às en</w:t>
      </w:r>
      <w:r>
        <w:rPr>
          <w:rFonts w:eastAsia="Calibri"/>
          <w:sz w:val="22"/>
          <w:szCs w:val="22"/>
        </w:rPr>
        <w:t xml:space="preserve">ti</w:t>
      </w:r>
      <w:r>
        <w:rPr>
          <w:sz w:val="22"/>
          <w:szCs w:val="22"/>
        </w:rPr>
        <w:t xml:space="preserve">dades que </w:t>
      </w:r>
      <w:r>
        <w:rPr>
          <w:rFonts w:eastAsia="Calibri"/>
          <w:sz w:val="22"/>
          <w:szCs w:val="22"/>
        </w:rPr>
        <w:t xml:space="preserve">ti</w:t>
      </w:r>
      <w:r>
        <w:rPr>
          <w:sz w:val="22"/>
          <w:szCs w:val="22"/>
        </w:rPr>
        <w:t xml:space="preserve">verem firmado contratos decorrentes da Ata de Registro de Preços para que avaliem a conveniência e a oportunidade de diligenciarem negociação com vistas à alteração contratual, observado o disposto no art. 124 da Lei Federal nº 14.133/2021.</w:t>
      </w:r>
      <w:r>
        <w:rPr>
          <w:sz w:val="22"/>
          <w:szCs w:val="22"/>
        </w:rPr>
      </w:r>
      <w:r>
        <w:rPr>
          <w:sz w:val="22"/>
          <w:szCs w:val="22"/>
        </w:rPr>
      </w:r>
    </w:p>
    <w:p w14:paraId="2A738FBA">
      <w:pPr>
        <w:pStyle w:val="1160"/>
        <w:numPr>
          <w:ilvl w:val="0"/>
          <w:numId w:val="0"/>
        </w:numPr>
        <w:pBdr/>
        <w:spacing w:line="360" w:lineRule="auto"/>
        <w:ind/>
        <w:rPr>
          <w:sz w:val="22"/>
          <w:szCs w:val="22"/>
        </w:rPr>
      </w:pPr>
      <w:r>
        <w:rPr>
          <w:b/>
          <w:bCs/>
          <w:sz w:val="22"/>
          <w:szCs w:val="22"/>
        </w:rPr>
        <w:t xml:space="preserve">7.2. </w:t>
      </w:r>
      <w:r>
        <w:rPr>
          <w:sz w:val="22"/>
          <w:szCs w:val="22"/>
        </w:rPr>
        <w:t xml:space="preserve">Na hipótese de o preço de mercado tornar-se superior ao preço registrado e o fornecedor não poder cumprir as ob</w:t>
      </w:r>
      <w:r>
        <w:rPr>
          <w:sz w:val="22"/>
          <w:szCs w:val="22"/>
        </w:rPr>
        <w:t xml:space="preserve">rigações estabelecidas na ata, será facultado ao fornecedor requerer ao Órgão Gerenciador a alteração do preço registrado antes do pedido de fornecimento, mediante comprovação de fato superveniente que supostamente o impossibilite de cumprir o compromisso.</w:t>
      </w:r>
      <w:r>
        <w:rPr>
          <w:sz w:val="22"/>
          <w:szCs w:val="22"/>
        </w:rPr>
      </w:r>
      <w:r>
        <w:rPr>
          <w:sz w:val="22"/>
          <w:szCs w:val="22"/>
        </w:rPr>
      </w:r>
    </w:p>
    <w:p w14:paraId="2E5D933C">
      <w:pPr>
        <w:pBdr/>
        <w:spacing w:line="360" w:lineRule="auto"/>
        <w:ind/>
        <w:jc w:val="both"/>
        <w:rPr>
          <w:rFonts w:ascii="Arial" w:hAnsi="Arial" w:cs="Arial"/>
          <w:sz w:val="22"/>
          <w:szCs w:val="22"/>
        </w:rPr>
      </w:pPr>
      <w:r>
        <w:rPr>
          <w:rFonts w:ascii="Arial" w:hAnsi="Arial" w:cs="Arial"/>
          <w:b/>
          <w:bCs/>
          <w:sz w:val="22"/>
          <w:szCs w:val="22"/>
        </w:rPr>
        <w:t xml:space="preserve">7.2.1.</w:t>
      </w:r>
      <w:r>
        <w:rPr>
          <w:rFonts w:ascii="Arial" w:hAnsi="Arial" w:cs="Arial"/>
          <w:sz w:val="22"/>
          <w:szCs w:val="22"/>
        </w:rPr>
        <w:t xml:space="preserve"> Neste caso, o fornecedor encaminhará, juntamente com o pedido de alteração, a documentação comprobatória ou a planilha de custos que demonstre a invia</w:t>
      </w:r>
      <w:r>
        <w:rPr>
          <w:rFonts w:ascii="Arial" w:hAnsi="Arial" w:cs="Arial"/>
          <w:sz w:val="22"/>
          <w:szCs w:val="22"/>
        </w:rPr>
        <w:t xml:space="preserve">bilidade do preço registrado em relação às condições inicialmente pactuadas, que passará por análise contábil e jurídica do Órgão Gerenciador, cabendo à Autoridade Competente para a homologação da licitação para registro de preços a decisão sobre o pedido.</w:t>
      </w:r>
      <w:r>
        <w:rPr>
          <w:rFonts w:ascii="Arial" w:hAnsi="Arial" w:cs="Arial"/>
          <w:sz w:val="22"/>
          <w:szCs w:val="22"/>
        </w:rPr>
      </w:r>
      <w:r>
        <w:rPr>
          <w:rFonts w:ascii="Arial" w:hAnsi="Arial" w:cs="Arial"/>
          <w:sz w:val="22"/>
          <w:szCs w:val="22"/>
        </w:rPr>
      </w:r>
    </w:p>
    <w:p w14:paraId="56E63545">
      <w:pPr>
        <w:pStyle w:val="1167"/>
        <w:numPr>
          <w:ilvl w:val="0"/>
          <w:numId w:val="0"/>
        </w:numPr>
        <w:pBdr/>
        <w:spacing w:line="360" w:lineRule="auto"/>
        <w:ind w:firstLine="480"/>
        <w:rPr>
          <w:sz w:val="22"/>
          <w:szCs w:val="22"/>
        </w:rPr>
      </w:pPr>
      <w:r>
        <w:rPr>
          <w:b/>
          <w:bCs/>
          <w:sz w:val="22"/>
          <w:szCs w:val="22"/>
        </w:rPr>
        <w:t xml:space="preserve">7.2.2.</w:t>
      </w:r>
      <w:r>
        <w:rPr>
          <w:sz w:val="22"/>
          <w:szCs w:val="22"/>
        </w:rPr>
        <w:t xml:space="preserve"> Não hipótese de não com</w:t>
      </w:r>
      <w:r>
        <w:rPr>
          <w:sz w:val="22"/>
          <w:szCs w:val="22"/>
        </w:rPr>
        <w:t xml:space="preserve">provação da existência de fato superveniente que inviabilize o preço registrado, o pedido será indeferido pelo Órgão Gerenciador e o fornecedor deverá cumprir as obrigações estabelecidas na Ata, sob pena de cancelamento do seu registro, nos termos do item </w:t>
      </w:r>
      <w:r>
        <w:rPr>
          <w:sz w:val="22"/>
          <w:szCs w:val="22"/>
        </w:rPr>
        <w:fldChar w:fldCharType="begin"/>
      </w:r>
      <w:r>
        <w:rPr>
          <w:sz w:val="22"/>
          <w:szCs w:val="22"/>
        </w:rPr>
        <w:instrText xml:space="preserve"> REF cancelamento_do_fornecedor \r \h  \* MERGEFORMAT </w:instrText>
      </w:r>
      <w:r>
        <w:rPr>
          <w:sz w:val="22"/>
          <w:szCs w:val="22"/>
        </w:rPr>
        <w:fldChar w:fldCharType="separate"/>
      </w:r>
      <w:r>
        <w:rPr>
          <w:sz w:val="22"/>
          <w:szCs w:val="22"/>
        </w:rPr>
        <w:t xml:space="preserve">9.1</w:t>
      </w:r>
      <w:r>
        <w:rPr>
          <w:sz w:val="22"/>
          <w:szCs w:val="22"/>
        </w:rPr>
        <w:fldChar w:fldCharType="end"/>
      </w:r>
      <w:r>
        <w:rPr>
          <w:sz w:val="22"/>
          <w:szCs w:val="22"/>
        </w:rPr>
        <w:t xml:space="preserve">, sem prejuízo das sanções previstas na Lei Federal nº 14.133/2021, e na legislação aplicável.</w:t>
      </w:r>
      <w:r>
        <w:rPr>
          <w:sz w:val="22"/>
          <w:szCs w:val="22"/>
        </w:rPr>
      </w:r>
      <w:r>
        <w:rPr>
          <w:sz w:val="22"/>
          <w:szCs w:val="22"/>
        </w:rPr>
      </w:r>
    </w:p>
    <w:p w14:paraId="5896750D">
      <w:pPr>
        <w:pStyle w:val="1167"/>
        <w:numPr>
          <w:ilvl w:val="0"/>
          <w:numId w:val="0"/>
        </w:numPr>
        <w:pBdr/>
        <w:spacing w:line="360" w:lineRule="auto"/>
        <w:ind w:firstLine="480"/>
        <w:rPr>
          <w:sz w:val="22"/>
          <w:szCs w:val="22"/>
        </w:rPr>
      </w:pPr>
      <w:r>
        <w:rPr>
          <w:b/>
          <w:bCs/>
          <w:sz w:val="22"/>
          <w:szCs w:val="22"/>
        </w:rPr>
        <w:t xml:space="preserve">7.2.3.</w:t>
      </w:r>
      <w:r>
        <w:rPr>
          <w:sz w:val="22"/>
          <w:szCs w:val="22"/>
        </w:rPr>
        <w:t xml:space="preserve"> Na hipótese de c</w:t>
      </w:r>
      <w:r>
        <w:rPr>
          <w:sz w:val="22"/>
          <w:szCs w:val="22"/>
        </w:rPr>
        <w:t xml:space="preserve">ancelamento do registro do fornecedor, nos termos do item anterior, o Órgão Gerenciador convocará os fornecedores do cadastro de reserva, na ordem de classificação, para verificar se aceitam manter seus preços registrados, observado o disposto no item 5.7.</w:t>
      </w:r>
      <w:r>
        <w:rPr>
          <w:sz w:val="22"/>
          <w:szCs w:val="22"/>
        </w:rPr>
      </w:r>
      <w:r>
        <w:rPr>
          <w:sz w:val="22"/>
          <w:szCs w:val="22"/>
        </w:rPr>
      </w:r>
    </w:p>
    <w:p w14:paraId="1F155D86">
      <w:pPr>
        <w:pStyle w:val="1167"/>
        <w:numPr>
          <w:ilvl w:val="0"/>
          <w:numId w:val="0"/>
        </w:numPr>
        <w:pBdr/>
        <w:spacing w:line="360" w:lineRule="auto"/>
        <w:ind w:firstLine="480"/>
        <w:rPr>
          <w:sz w:val="22"/>
          <w:szCs w:val="22"/>
        </w:rPr>
      </w:pPr>
      <w:r>
        <w:rPr>
          <w:b/>
          <w:bCs/>
          <w:sz w:val="22"/>
          <w:szCs w:val="22"/>
        </w:rPr>
        <w:t xml:space="preserve">7.2.4. </w:t>
      </w:r>
      <w:r>
        <w:rPr>
          <w:sz w:val="22"/>
          <w:szCs w:val="22"/>
        </w:rPr>
        <w:t xml:space="preserve">Se não obtiver êxito nas negociações, o Órgão Gerenciador procederá ao cancelamento da Ata de Registro de Preços, nos termos do item </w:t>
      </w:r>
      <w:r>
        <w:rPr>
          <w:sz w:val="22"/>
          <w:szCs w:val="22"/>
        </w:rPr>
        <w:fldChar w:fldCharType="begin"/>
      </w:r>
      <w:r>
        <w:rPr>
          <w:sz w:val="22"/>
          <w:szCs w:val="22"/>
        </w:rPr>
        <w:instrText xml:space="preserve"> REF cancelamento_da_ata \r \h  \* MERGEFORMAT </w:instrText>
      </w:r>
      <w:r>
        <w:rPr>
          <w:sz w:val="22"/>
          <w:szCs w:val="22"/>
        </w:rPr>
        <w:fldChar w:fldCharType="separate"/>
      </w:r>
      <w:r>
        <w:rPr>
          <w:sz w:val="22"/>
          <w:szCs w:val="22"/>
        </w:rPr>
        <w:t xml:space="preserve">9.4</w:t>
      </w:r>
      <w:r>
        <w:rPr>
          <w:sz w:val="22"/>
          <w:szCs w:val="22"/>
        </w:rPr>
        <w:fldChar w:fldCharType="end"/>
      </w:r>
      <w:r>
        <w:rPr>
          <w:sz w:val="22"/>
          <w:szCs w:val="22"/>
        </w:rPr>
        <w:t xml:space="preserve">, e adotará as medidas cabíveis para a obtenção da contratação mais vantajosa.</w:t>
      </w:r>
      <w:r>
        <w:rPr>
          <w:sz w:val="22"/>
          <w:szCs w:val="22"/>
        </w:rPr>
      </w:r>
      <w:r>
        <w:rPr>
          <w:sz w:val="22"/>
          <w:szCs w:val="22"/>
        </w:rPr>
      </w:r>
    </w:p>
    <w:p w14:paraId="11B1A371">
      <w:pPr>
        <w:pStyle w:val="1167"/>
        <w:numPr>
          <w:ilvl w:val="0"/>
          <w:numId w:val="0"/>
        </w:numPr>
        <w:pBdr/>
        <w:spacing w:line="360" w:lineRule="auto"/>
        <w:ind w:firstLine="480"/>
        <w:rPr>
          <w:sz w:val="22"/>
          <w:szCs w:val="22"/>
        </w:rPr>
      </w:pPr>
      <w:r>
        <w:rPr>
          <w:b/>
          <w:bCs/>
          <w:sz w:val="22"/>
          <w:szCs w:val="22"/>
        </w:rPr>
        <w:t xml:space="preserve">7.2.5. </w:t>
      </w:r>
      <w:r>
        <w:rPr>
          <w:sz w:val="22"/>
          <w:szCs w:val="22"/>
        </w:rPr>
        <w:t xml:space="preserve">Na hipótese de comprovação da majoração do preço de mercado que inviabilize o preço registrado, conforme previsto no item </w:t>
      </w:r>
      <w:r>
        <w:rPr>
          <w:sz w:val="22"/>
          <w:szCs w:val="22"/>
        </w:rPr>
        <w:fldChar w:fldCharType="begin"/>
      </w:r>
      <w:r>
        <w:rPr>
          <w:sz w:val="22"/>
          <w:szCs w:val="22"/>
        </w:rPr>
        <w:instrText xml:space="preserve"> REF hipotese_preco_mercado_maior \r \h  \* MERGEFORMAT </w:instrText>
      </w:r>
      <w:r>
        <w:rPr>
          <w:sz w:val="22"/>
          <w:szCs w:val="22"/>
        </w:rPr>
        <w:fldChar w:fldCharType="separate"/>
      </w:r>
      <w:r>
        <w:rPr>
          <w:sz w:val="22"/>
          <w:szCs w:val="22"/>
        </w:rPr>
        <w:t xml:space="preserve">7.2</w:t>
      </w:r>
      <w:r>
        <w:rPr>
          <w:sz w:val="22"/>
          <w:szCs w:val="22"/>
        </w:rPr>
        <w:fldChar w:fldCharType="end"/>
      </w:r>
      <w:r>
        <w:rPr>
          <w:sz w:val="22"/>
          <w:szCs w:val="22"/>
        </w:rPr>
        <w:t xml:space="preserve">. e no item </w:t>
      </w:r>
      <w:r>
        <w:rPr>
          <w:sz w:val="22"/>
          <w:szCs w:val="22"/>
        </w:rPr>
        <w:fldChar w:fldCharType="begin"/>
      </w:r>
      <w:r>
        <w:rPr>
          <w:sz w:val="22"/>
          <w:szCs w:val="22"/>
        </w:rPr>
        <w:instrText xml:space="preserve"> REF prova_preco_mercado_maior \r \h  \* MERGEFORMAT </w:instrText>
      </w:r>
      <w:r>
        <w:rPr>
          <w:sz w:val="22"/>
          <w:szCs w:val="22"/>
        </w:rPr>
        <w:fldChar w:fldCharType="separate"/>
      </w:r>
      <w:r>
        <w:rPr>
          <w:sz w:val="22"/>
          <w:szCs w:val="22"/>
        </w:rPr>
        <w:t xml:space="preserve">7.2.1</w:t>
      </w:r>
      <w:r>
        <w:rPr>
          <w:sz w:val="22"/>
          <w:szCs w:val="22"/>
        </w:rPr>
        <w:fldChar w:fldCharType="end"/>
      </w:r>
      <w:r>
        <w:rPr>
          <w:sz w:val="22"/>
          <w:szCs w:val="22"/>
        </w:rPr>
        <w:t xml:space="preserve">., o Órgão Gerenciador atualizará o preço registrado, de acordo com a realidade dos valores praticados pelo mercado e será registrado por aditamento à Ata de Registro de Preços.</w:t>
      </w:r>
      <w:r>
        <w:rPr>
          <w:sz w:val="22"/>
          <w:szCs w:val="22"/>
        </w:rPr>
      </w:r>
      <w:r>
        <w:rPr>
          <w:sz w:val="22"/>
          <w:szCs w:val="22"/>
        </w:rPr>
      </w:r>
    </w:p>
    <w:p w14:paraId="66D7DDA5">
      <w:pPr>
        <w:pStyle w:val="1167"/>
        <w:numPr>
          <w:ilvl w:val="0"/>
          <w:numId w:val="0"/>
        </w:numPr>
        <w:pBdr/>
        <w:spacing w:line="360" w:lineRule="auto"/>
        <w:ind w:firstLine="480"/>
        <w:rPr>
          <w:sz w:val="22"/>
          <w:szCs w:val="22"/>
        </w:rPr>
      </w:pPr>
      <w:r>
        <w:rPr>
          <w:b/>
          <w:bCs/>
          <w:sz w:val="22"/>
          <w:szCs w:val="22"/>
        </w:rPr>
        <w:t xml:space="preserve">7.2.6. </w:t>
      </w:r>
      <w:r>
        <w:rPr>
          <w:sz w:val="22"/>
          <w:szCs w:val="22"/>
        </w:rPr>
        <w:t xml:space="preserve">O Órgão Gerenciador comunicará aos órgãos e às en</w:t>
      </w:r>
      <w:r>
        <w:rPr>
          <w:rFonts w:eastAsia="Calibri"/>
          <w:sz w:val="22"/>
          <w:szCs w:val="22"/>
        </w:rPr>
        <w:t xml:space="preserve">ti</w:t>
      </w:r>
      <w:r>
        <w:rPr>
          <w:sz w:val="22"/>
          <w:szCs w:val="22"/>
        </w:rPr>
        <w:t xml:space="preserve">dades que </w:t>
      </w:r>
      <w:r>
        <w:rPr>
          <w:rFonts w:eastAsia="Calibri"/>
          <w:sz w:val="22"/>
          <w:szCs w:val="22"/>
        </w:rPr>
        <w:t xml:space="preserve">ti</w:t>
      </w:r>
      <w:r>
        <w:rPr>
          <w:sz w:val="22"/>
          <w:szCs w:val="22"/>
        </w:rPr>
        <w:t xml:space="preserve">verem firmado Contratos decorrentes da Ata de Registro de Preços sobre a efe</w:t>
      </w:r>
      <w:r>
        <w:rPr>
          <w:rFonts w:eastAsia="Calibri"/>
          <w:sz w:val="22"/>
          <w:szCs w:val="22"/>
        </w:rPr>
        <w:t xml:space="preserve">ti</w:t>
      </w:r>
      <w:r>
        <w:rPr>
          <w:sz w:val="22"/>
          <w:szCs w:val="22"/>
        </w:rPr>
        <w:t xml:space="preserve">va alteração do preço registrado, para que avaliem a necessidade de alteração contratual, observado o disposto no art. 124 da Lei Federal nº 14.133/2021.</w:t>
      </w:r>
      <w:r>
        <w:rPr>
          <w:sz w:val="22"/>
          <w:szCs w:val="22"/>
        </w:rPr>
      </w:r>
      <w:r>
        <w:rPr>
          <w:sz w:val="22"/>
          <w:szCs w:val="22"/>
        </w:rPr>
      </w:r>
    </w:p>
    <w:p w14:paraId="025EFA9B">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Oitava</w:t>
      </w:r>
      <w:r>
        <w:rPr>
          <w:rFonts w:ascii="Arial" w:hAnsi="Arial" w:cs="Arial"/>
          <w:b/>
          <w:bCs/>
          <w:szCs w:val="22"/>
        </w:rPr>
      </w:r>
      <w:r>
        <w:rPr>
          <w:rFonts w:ascii="Arial" w:hAnsi="Arial" w:cs="Arial"/>
          <w:b/>
          <w:bCs/>
          <w:szCs w:val="22"/>
        </w:rPr>
      </w:r>
    </w:p>
    <w:p w14:paraId="10C0C2DC">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DO REMANEJAMENTO DAS QUANTIDADES REGISTRADAS NA ATA DE REGISTRO DE PREÇOS</w:t>
      </w:r>
      <w:r>
        <w:rPr>
          <w:rFonts w:ascii="Arial" w:hAnsi="Arial" w:cs="Arial"/>
          <w:szCs w:val="22"/>
        </w:rPr>
      </w:r>
      <w:r>
        <w:rPr>
          <w:rFonts w:ascii="Arial" w:hAnsi="Arial" w:cs="Arial"/>
          <w:szCs w:val="22"/>
        </w:rPr>
      </w:r>
    </w:p>
    <w:p w14:paraId="4E002E64">
      <w:pPr>
        <w:pStyle w:val="1160"/>
        <w:numPr>
          <w:ilvl w:val="0"/>
          <w:numId w:val="0"/>
        </w:numPr>
        <w:pBdr/>
        <w:spacing w:line="360" w:lineRule="auto"/>
        <w:ind/>
        <w:rPr>
          <w:color w:val="auto"/>
          <w:sz w:val="22"/>
          <w:szCs w:val="22"/>
        </w:rPr>
      </w:pPr>
      <w:r>
        <w:rPr>
          <w:b/>
          <w:bCs/>
          <w:color w:val="auto"/>
          <w:sz w:val="22"/>
          <w:szCs w:val="22"/>
        </w:rPr>
        <w:t xml:space="preserve">8.1.</w:t>
      </w:r>
      <w:r>
        <w:rPr>
          <w:color w:val="auto"/>
          <w:sz w:val="22"/>
          <w:szCs w:val="22"/>
        </w:rPr>
        <w:t xml:space="preserve"> As quan</w:t>
      </w:r>
      <w:r>
        <w:rPr>
          <w:rFonts w:eastAsia="Arial"/>
          <w:color w:val="auto"/>
          <w:sz w:val="22"/>
          <w:szCs w:val="22"/>
        </w:rPr>
        <w:t xml:space="preserve">ti</w:t>
      </w:r>
      <w:r>
        <w:rPr>
          <w:color w:val="auto"/>
          <w:sz w:val="22"/>
          <w:szCs w:val="22"/>
        </w:rPr>
        <w:t xml:space="preserve">dades previstas para os itens com preços registrados nas Atas de Registro de Preços poderão ser remanejadas pelo Órgão Gerenciador entre os órgãos ou as en</w:t>
      </w:r>
      <w:r>
        <w:rPr>
          <w:rFonts w:eastAsia="Arial"/>
          <w:color w:val="auto"/>
          <w:sz w:val="22"/>
          <w:szCs w:val="22"/>
        </w:rPr>
        <w:t xml:space="preserve">ti</w:t>
      </w:r>
      <w:r>
        <w:rPr>
          <w:color w:val="auto"/>
          <w:sz w:val="22"/>
          <w:szCs w:val="22"/>
        </w:rPr>
        <w:t xml:space="preserve">dades par</w:t>
      </w:r>
      <w:r>
        <w:rPr>
          <w:rFonts w:eastAsia="Arial"/>
          <w:color w:val="auto"/>
          <w:sz w:val="22"/>
          <w:szCs w:val="22"/>
        </w:rPr>
        <w:t xml:space="preserve">ti</w:t>
      </w:r>
      <w:r>
        <w:rPr>
          <w:color w:val="auto"/>
          <w:sz w:val="22"/>
          <w:szCs w:val="22"/>
        </w:rPr>
        <w:t xml:space="preserve">cipantes e não par</w:t>
      </w:r>
      <w:r>
        <w:rPr>
          <w:rFonts w:eastAsia="Arial"/>
          <w:color w:val="auto"/>
          <w:sz w:val="22"/>
          <w:szCs w:val="22"/>
        </w:rPr>
        <w:t xml:space="preserve">ti</w:t>
      </w:r>
      <w:r>
        <w:rPr>
          <w:color w:val="auto"/>
          <w:sz w:val="22"/>
          <w:szCs w:val="22"/>
        </w:rPr>
        <w:t xml:space="preserve">cipantes do registro de preços.</w:t>
      </w:r>
      <w:r>
        <w:rPr>
          <w:color w:val="auto"/>
          <w:sz w:val="22"/>
          <w:szCs w:val="22"/>
        </w:rPr>
      </w:r>
      <w:r>
        <w:rPr>
          <w:color w:val="auto"/>
          <w:sz w:val="22"/>
          <w:szCs w:val="22"/>
        </w:rPr>
      </w:r>
    </w:p>
    <w:p w14:paraId="78009335">
      <w:pPr>
        <w:pStyle w:val="1160"/>
        <w:numPr>
          <w:ilvl w:val="0"/>
          <w:numId w:val="0"/>
        </w:numPr>
        <w:pBdr/>
        <w:spacing w:line="360" w:lineRule="auto"/>
        <w:ind/>
        <w:rPr>
          <w:color w:val="auto"/>
          <w:sz w:val="22"/>
          <w:szCs w:val="22"/>
        </w:rPr>
      </w:pPr>
      <w:r>
        <w:rPr>
          <w:b/>
          <w:bCs/>
          <w:color w:val="auto"/>
          <w:sz w:val="22"/>
          <w:szCs w:val="22"/>
        </w:rPr>
        <w:t xml:space="preserve">8.2. </w:t>
      </w:r>
      <w:r>
        <w:rPr>
          <w:color w:val="auto"/>
          <w:sz w:val="22"/>
          <w:szCs w:val="22"/>
        </w:rPr>
        <w:t xml:space="preserve">O remanejamento somente poderá ser feito:</w:t>
      </w:r>
      <w:r>
        <w:rPr>
          <w:color w:val="auto"/>
          <w:sz w:val="22"/>
          <w:szCs w:val="22"/>
        </w:rPr>
      </w:r>
      <w:r>
        <w:rPr>
          <w:color w:val="auto"/>
          <w:sz w:val="22"/>
          <w:szCs w:val="22"/>
        </w:rPr>
      </w:r>
    </w:p>
    <w:p w14:paraId="491C5323">
      <w:pPr>
        <w:pStyle w:val="1167"/>
        <w:numPr>
          <w:ilvl w:val="0"/>
          <w:numId w:val="0"/>
        </w:numPr>
        <w:pBdr/>
        <w:spacing w:line="360" w:lineRule="auto"/>
        <w:ind w:firstLine="475" w:left="4"/>
        <w:rPr>
          <w:sz w:val="22"/>
          <w:szCs w:val="22"/>
        </w:rPr>
      </w:pPr>
      <w:r>
        <w:rPr>
          <w:b/>
          <w:bCs/>
          <w:sz w:val="22"/>
          <w:szCs w:val="22"/>
        </w:rPr>
        <w:t xml:space="preserve">8.2.1.</w:t>
      </w:r>
      <w:r>
        <w:rPr>
          <w:sz w:val="22"/>
          <w:szCs w:val="22"/>
        </w:rPr>
        <w:t xml:space="preserve"> De órgão ou en</w:t>
      </w:r>
      <w:r>
        <w:rPr>
          <w:rFonts w:eastAsia="Arial"/>
          <w:sz w:val="22"/>
          <w:szCs w:val="22"/>
        </w:rPr>
        <w:t xml:space="preserve">ti</w:t>
      </w:r>
      <w:r>
        <w:rPr>
          <w:sz w:val="22"/>
          <w:szCs w:val="22"/>
        </w:rPr>
        <w:t xml:space="preserve">dade par</w:t>
      </w:r>
      <w:r>
        <w:rPr>
          <w:rFonts w:eastAsia="Arial"/>
          <w:sz w:val="22"/>
          <w:szCs w:val="22"/>
        </w:rPr>
        <w:t xml:space="preserve">ti</w:t>
      </w:r>
      <w:r>
        <w:rPr>
          <w:sz w:val="22"/>
          <w:szCs w:val="22"/>
        </w:rPr>
        <w:t xml:space="preserve">cipante para órgão ou en</w:t>
      </w:r>
      <w:r>
        <w:rPr>
          <w:rFonts w:eastAsia="Arial"/>
          <w:sz w:val="22"/>
          <w:szCs w:val="22"/>
        </w:rPr>
        <w:t xml:space="preserve">ti</w:t>
      </w:r>
      <w:r>
        <w:rPr>
          <w:sz w:val="22"/>
          <w:szCs w:val="22"/>
        </w:rPr>
        <w:t xml:space="preserve">dade par</w:t>
      </w:r>
      <w:r>
        <w:rPr>
          <w:rFonts w:eastAsia="Arial"/>
          <w:sz w:val="22"/>
          <w:szCs w:val="22"/>
        </w:rPr>
        <w:t xml:space="preserve">ti</w:t>
      </w:r>
      <w:r>
        <w:rPr>
          <w:sz w:val="22"/>
          <w:szCs w:val="22"/>
        </w:rPr>
        <w:t xml:space="preserve">cipante; ou</w:t>
      </w:r>
      <w:r>
        <w:rPr>
          <w:sz w:val="22"/>
          <w:szCs w:val="22"/>
        </w:rPr>
      </w:r>
      <w:r>
        <w:rPr>
          <w:sz w:val="22"/>
          <w:szCs w:val="22"/>
        </w:rPr>
      </w:r>
    </w:p>
    <w:p w14:paraId="5EAE3B5B">
      <w:pPr>
        <w:pStyle w:val="1167"/>
        <w:numPr>
          <w:ilvl w:val="0"/>
          <w:numId w:val="0"/>
        </w:numPr>
        <w:pBdr/>
        <w:spacing w:line="360" w:lineRule="auto"/>
        <w:ind w:firstLine="475" w:left="4"/>
        <w:rPr>
          <w:sz w:val="22"/>
          <w:szCs w:val="22"/>
        </w:rPr>
      </w:pPr>
      <w:r>
        <w:rPr>
          <w:b/>
          <w:bCs/>
          <w:sz w:val="22"/>
          <w:szCs w:val="22"/>
        </w:rPr>
        <w:t xml:space="preserve">8.2.2.</w:t>
      </w:r>
      <w:r>
        <w:rPr>
          <w:sz w:val="22"/>
          <w:szCs w:val="22"/>
        </w:rPr>
        <w:t xml:space="preserve"> De órgão ou en</w:t>
      </w:r>
      <w:r>
        <w:rPr>
          <w:rFonts w:eastAsia="Arial"/>
          <w:sz w:val="22"/>
          <w:szCs w:val="22"/>
        </w:rPr>
        <w:t xml:space="preserve">ti</w:t>
      </w:r>
      <w:r>
        <w:rPr>
          <w:sz w:val="22"/>
          <w:szCs w:val="22"/>
        </w:rPr>
        <w:t xml:space="preserve">dade par</w:t>
      </w:r>
      <w:r>
        <w:rPr>
          <w:rFonts w:eastAsia="Arial"/>
          <w:sz w:val="22"/>
          <w:szCs w:val="22"/>
        </w:rPr>
        <w:t xml:space="preserve">ti</w:t>
      </w:r>
      <w:r>
        <w:rPr>
          <w:sz w:val="22"/>
          <w:szCs w:val="22"/>
        </w:rPr>
        <w:t xml:space="preserve">cipante para órgão ou entidade não participante.</w:t>
      </w:r>
      <w:r>
        <w:rPr>
          <w:sz w:val="22"/>
          <w:szCs w:val="22"/>
        </w:rPr>
      </w:r>
      <w:r>
        <w:rPr>
          <w:sz w:val="22"/>
          <w:szCs w:val="22"/>
        </w:rPr>
      </w:r>
    </w:p>
    <w:p w14:paraId="5D280380">
      <w:pPr>
        <w:pStyle w:val="1160"/>
        <w:numPr>
          <w:ilvl w:val="0"/>
          <w:numId w:val="0"/>
        </w:numPr>
        <w:pBdr/>
        <w:spacing w:line="360" w:lineRule="auto"/>
        <w:ind/>
        <w:rPr>
          <w:color w:val="auto"/>
          <w:sz w:val="22"/>
          <w:szCs w:val="22"/>
        </w:rPr>
      </w:pPr>
      <w:r>
        <w:rPr>
          <w:b/>
          <w:bCs/>
          <w:color w:val="auto"/>
          <w:sz w:val="22"/>
          <w:szCs w:val="22"/>
        </w:rPr>
        <w:t xml:space="preserve">8.3. </w:t>
      </w:r>
      <w:r>
        <w:rPr>
          <w:color w:val="auto"/>
          <w:sz w:val="22"/>
          <w:szCs w:val="22"/>
        </w:rPr>
        <w:t xml:space="preserve">O Órgão Gerenciador que tiver es</w:t>
      </w:r>
      <w:r>
        <w:rPr>
          <w:rFonts w:eastAsia="Arial"/>
          <w:color w:val="auto"/>
          <w:sz w:val="22"/>
          <w:szCs w:val="22"/>
        </w:rPr>
        <w:t xml:space="preserve">ti</w:t>
      </w:r>
      <w:r>
        <w:rPr>
          <w:color w:val="auto"/>
          <w:sz w:val="22"/>
          <w:szCs w:val="22"/>
        </w:rPr>
        <w:t xml:space="preserve">mado as quan</w:t>
      </w:r>
      <w:r>
        <w:rPr>
          <w:rFonts w:eastAsia="Arial"/>
          <w:color w:val="auto"/>
          <w:sz w:val="22"/>
          <w:szCs w:val="22"/>
        </w:rPr>
        <w:t xml:space="preserve">ti</w:t>
      </w:r>
      <w:r>
        <w:rPr>
          <w:color w:val="auto"/>
          <w:sz w:val="22"/>
          <w:szCs w:val="22"/>
        </w:rPr>
        <w:t xml:space="preserve">dades que pretende contratar será considerado participante para efeito do remanejamento.</w:t>
      </w:r>
      <w:bookmarkStart w:id="66" w:name="gerenciador_estimador_é_partic_em_remane"/>
      <w:r/>
      <w:bookmarkEnd w:id="66"/>
      <w:r>
        <w:rPr>
          <w:color w:val="auto"/>
          <w:sz w:val="22"/>
          <w:szCs w:val="22"/>
        </w:rPr>
      </w:r>
      <w:r>
        <w:rPr>
          <w:color w:val="auto"/>
          <w:sz w:val="22"/>
          <w:szCs w:val="22"/>
        </w:rPr>
      </w:r>
    </w:p>
    <w:p w14:paraId="631B1F7D">
      <w:pPr>
        <w:pStyle w:val="1160"/>
        <w:numPr>
          <w:ilvl w:val="0"/>
          <w:numId w:val="0"/>
        </w:numPr>
        <w:pBdr/>
        <w:spacing w:line="360" w:lineRule="auto"/>
        <w:ind/>
        <w:rPr>
          <w:color w:val="auto"/>
          <w:sz w:val="22"/>
          <w:szCs w:val="22"/>
        </w:rPr>
      </w:pPr>
      <w:r>
        <w:rPr>
          <w:b/>
          <w:bCs/>
          <w:color w:val="auto"/>
          <w:sz w:val="22"/>
          <w:szCs w:val="22"/>
        </w:rPr>
        <w:t xml:space="preserve">8.4.</w:t>
      </w:r>
      <w:r>
        <w:rPr>
          <w:color w:val="auto"/>
          <w:sz w:val="22"/>
          <w:szCs w:val="22"/>
        </w:rPr>
        <w:t xml:space="preserve"> Na hipótese de remanejamento de órgão ou entidade par</w:t>
      </w:r>
      <w:r>
        <w:rPr>
          <w:rFonts w:eastAsia="Arial"/>
          <w:color w:val="auto"/>
          <w:sz w:val="22"/>
          <w:szCs w:val="22"/>
        </w:rPr>
        <w:t xml:space="preserve">ti</w:t>
      </w:r>
      <w:r>
        <w:rPr>
          <w:color w:val="auto"/>
          <w:sz w:val="22"/>
          <w:szCs w:val="22"/>
        </w:rPr>
        <w:t xml:space="preserve">cipante para órgão ou entidade não participante, serão observados os limites previstos nos itens 4.6. e 4.7. desta Ata de Registro de Preços.</w:t>
      </w:r>
      <w:r>
        <w:rPr>
          <w:color w:val="auto"/>
          <w:sz w:val="22"/>
          <w:szCs w:val="22"/>
        </w:rPr>
      </w:r>
      <w:r>
        <w:rPr>
          <w:color w:val="auto"/>
          <w:sz w:val="22"/>
          <w:szCs w:val="22"/>
        </w:rPr>
      </w:r>
    </w:p>
    <w:p w14:paraId="2293DE05">
      <w:pPr>
        <w:pStyle w:val="1160"/>
        <w:numPr>
          <w:ilvl w:val="0"/>
          <w:numId w:val="0"/>
        </w:numPr>
        <w:pBdr/>
        <w:spacing w:line="360" w:lineRule="auto"/>
        <w:ind/>
        <w:rPr>
          <w:color w:val="auto"/>
          <w:sz w:val="22"/>
          <w:szCs w:val="22"/>
        </w:rPr>
      </w:pPr>
      <w:r>
        <w:rPr>
          <w:b/>
          <w:bCs/>
          <w:color w:val="auto"/>
          <w:sz w:val="22"/>
          <w:szCs w:val="22"/>
        </w:rPr>
        <w:t xml:space="preserve">8.5. </w:t>
      </w:r>
      <w:r>
        <w:rPr>
          <w:color w:val="auto"/>
          <w:sz w:val="22"/>
          <w:szCs w:val="22"/>
        </w:rPr>
        <w:t xml:space="preserve">Competirá ao Órgão Gerenciador autorizar o remanejamento solicitado, com a redução do quan</w:t>
      </w:r>
      <w:r>
        <w:rPr>
          <w:rFonts w:eastAsia="Arial"/>
          <w:color w:val="auto"/>
          <w:sz w:val="22"/>
          <w:szCs w:val="22"/>
        </w:rPr>
        <w:t xml:space="preserve">ti</w:t>
      </w:r>
      <w:r>
        <w:rPr>
          <w:color w:val="auto"/>
          <w:sz w:val="22"/>
          <w:szCs w:val="22"/>
        </w:rPr>
        <w:t xml:space="preserve">ta</w:t>
      </w:r>
      <w:r>
        <w:rPr>
          <w:rFonts w:eastAsia="Arial"/>
          <w:color w:val="auto"/>
          <w:sz w:val="22"/>
          <w:szCs w:val="22"/>
        </w:rPr>
        <w:t xml:space="preserve">ti</w:t>
      </w:r>
      <w:r>
        <w:rPr>
          <w:color w:val="auto"/>
          <w:sz w:val="22"/>
          <w:szCs w:val="22"/>
        </w:rPr>
        <w:t xml:space="preserve">vo inicialmente informado pelo órgão ou pela en</w:t>
      </w:r>
      <w:r>
        <w:rPr>
          <w:rFonts w:eastAsia="Arial"/>
          <w:color w:val="auto"/>
          <w:sz w:val="22"/>
          <w:szCs w:val="22"/>
        </w:rPr>
        <w:t xml:space="preserve">ti</w:t>
      </w:r>
      <w:r>
        <w:rPr>
          <w:color w:val="auto"/>
          <w:sz w:val="22"/>
          <w:szCs w:val="22"/>
        </w:rPr>
        <w:t xml:space="preserve">dade par</w:t>
      </w:r>
      <w:r>
        <w:rPr>
          <w:rFonts w:eastAsia="Arial"/>
          <w:color w:val="auto"/>
          <w:sz w:val="22"/>
          <w:szCs w:val="22"/>
        </w:rPr>
        <w:t xml:space="preserve">ti</w:t>
      </w:r>
      <w:r>
        <w:rPr>
          <w:color w:val="auto"/>
          <w:sz w:val="22"/>
          <w:szCs w:val="22"/>
        </w:rPr>
        <w:t xml:space="preserve">cipante, desde que haja prévia anuência do órgão ou da en</w:t>
      </w:r>
      <w:r>
        <w:rPr>
          <w:rFonts w:eastAsia="Arial"/>
          <w:color w:val="auto"/>
          <w:sz w:val="22"/>
          <w:szCs w:val="22"/>
        </w:rPr>
        <w:t xml:space="preserve">ti</w:t>
      </w:r>
      <w:r>
        <w:rPr>
          <w:color w:val="auto"/>
          <w:sz w:val="22"/>
          <w:szCs w:val="22"/>
        </w:rPr>
        <w:t xml:space="preserve">dade que sofrer redução dos quantitativos informados.</w:t>
      </w:r>
      <w:r>
        <w:rPr>
          <w:color w:val="auto"/>
          <w:sz w:val="22"/>
          <w:szCs w:val="22"/>
        </w:rPr>
      </w:r>
      <w:r>
        <w:rPr>
          <w:color w:val="auto"/>
          <w:sz w:val="22"/>
          <w:szCs w:val="22"/>
        </w:rPr>
      </w:r>
    </w:p>
    <w:p w14:paraId="1DB936F7">
      <w:pPr>
        <w:pStyle w:val="1160"/>
        <w:numPr>
          <w:ilvl w:val="0"/>
          <w:numId w:val="0"/>
        </w:numPr>
        <w:pBdr/>
        <w:spacing w:line="360" w:lineRule="auto"/>
        <w:ind/>
        <w:rPr>
          <w:color w:val="auto"/>
          <w:sz w:val="22"/>
          <w:szCs w:val="22"/>
        </w:rPr>
      </w:pPr>
      <w:r>
        <w:rPr>
          <w:b/>
          <w:bCs/>
          <w:color w:val="auto"/>
          <w:sz w:val="22"/>
          <w:szCs w:val="22"/>
        </w:rPr>
        <w:t xml:space="preserve">8.6.</w:t>
      </w:r>
      <w:r>
        <w:rPr>
          <w:color w:val="auto"/>
          <w:sz w:val="22"/>
          <w:szCs w:val="22"/>
        </w:rPr>
        <w:t xml:space="preserve"> Caberá ao fornecedor beneficiário da Ata de Registro de Preços, observadas as condições nela estabelecidas, optar pela aceitação ou não do fornecimento decorrente do remanejamento dos itens.</w:t>
      </w:r>
      <w:r>
        <w:rPr>
          <w:color w:val="auto"/>
          <w:sz w:val="22"/>
          <w:szCs w:val="22"/>
        </w:rPr>
      </w:r>
      <w:r>
        <w:rPr>
          <w:color w:val="auto"/>
          <w:sz w:val="22"/>
          <w:szCs w:val="22"/>
        </w:rPr>
      </w:r>
    </w:p>
    <w:p w14:paraId="657E70B4">
      <w:pPr>
        <w:pStyle w:val="1160"/>
        <w:numPr>
          <w:ilvl w:val="0"/>
          <w:numId w:val="0"/>
        </w:numPr>
        <w:pBdr/>
        <w:spacing w:line="360" w:lineRule="auto"/>
        <w:ind/>
        <w:rPr>
          <w:color w:val="auto"/>
          <w:sz w:val="22"/>
          <w:szCs w:val="22"/>
        </w:rPr>
      </w:pPr>
      <w:r>
        <w:rPr>
          <w:b/>
          <w:bCs/>
          <w:color w:val="auto"/>
          <w:sz w:val="22"/>
          <w:szCs w:val="22"/>
        </w:rPr>
        <w:t xml:space="preserve">8.7. </w:t>
      </w:r>
      <w:r>
        <w:rPr>
          <w:color w:val="auto"/>
          <w:sz w:val="22"/>
          <w:szCs w:val="22"/>
        </w:rPr>
        <w:t xml:space="preserve">Na hipótese da compra centralizada, não havendo indicação pelo Órgão Gerenciador, dos quan</w:t>
      </w:r>
      <w:r>
        <w:rPr>
          <w:rFonts w:eastAsia="Arial"/>
          <w:color w:val="auto"/>
          <w:sz w:val="22"/>
          <w:szCs w:val="22"/>
        </w:rPr>
        <w:t xml:space="preserve">ti</w:t>
      </w:r>
      <w:r>
        <w:rPr>
          <w:color w:val="auto"/>
          <w:sz w:val="22"/>
          <w:szCs w:val="22"/>
        </w:rPr>
        <w:t xml:space="preserve">ta</w:t>
      </w:r>
      <w:r>
        <w:rPr>
          <w:rFonts w:eastAsia="Arial"/>
          <w:color w:val="auto"/>
          <w:sz w:val="22"/>
          <w:szCs w:val="22"/>
        </w:rPr>
        <w:t xml:space="preserve">ti</w:t>
      </w:r>
      <w:r>
        <w:rPr>
          <w:color w:val="auto"/>
          <w:sz w:val="22"/>
          <w:szCs w:val="22"/>
        </w:rPr>
        <w:t xml:space="preserve">vos dos par</w:t>
      </w:r>
      <w:r>
        <w:rPr>
          <w:rFonts w:eastAsia="Arial"/>
          <w:color w:val="auto"/>
          <w:sz w:val="22"/>
          <w:szCs w:val="22"/>
        </w:rPr>
        <w:t xml:space="preserve">ti</w:t>
      </w:r>
      <w:r>
        <w:rPr>
          <w:color w:val="auto"/>
          <w:sz w:val="22"/>
          <w:szCs w:val="22"/>
        </w:rPr>
        <w:t xml:space="preserve">cipantes da compra centralizada, nos termos do item </w:t>
      </w:r>
      <w:r>
        <w:rPr>
          <w:color w:val="auto"/>
          <w:sz w:val="22"/>
          <w:szCs w:val="22"/>
        </w:rPr>
        <w:fldChar w:fldCharType="begin"/>
      </w:r>
      <w:r>
        <w:rPr>
          <w:color w:val="auto"/>
          <w:sz w:val="22"/>
          <w:szCs w:val="22"/>
        </w:rPr>
        <w:instrText xml:space="preserve"> REF gerenciador_estimador_é_partic_em_remane \r \h  \* MERGEFORMAT </w:instrText>
      </w:r>
      <w:r>
        <w:rPr>
          <w:color w:val="auto"/>
          <w:sz w:val="22"/>
          <w:szCs w:val="22"/>
        </w:rPr>
        <w:fldChar w:fldCharType="separate"/>
      </w:r>
      <w:r>
        <w:rPr>
          <w:color w:val="auto"/>
          <w:sz w:val="22"/>
          <w:szCs w:val="22"/>
        </w:rPr>
        <w:t xml:space="preserve">8.3</w:t>
      </w:r>
      <w:r>
        <w:rPr>
          <w:color w:val="auto"/>
          <w:sz w:val="22"/>
          <w:szCs w:val="22"/>
        </w:rPr>
        <w:fldChar w:fldCharType="end"/>
      </w:r>
      <w:r>
        <w:rPr>
          <w:color w:val="auto"/>
          <w:sz w:val="22"/>
          <w:szCs w:val="22"/>
        </w:rPr>
        <w:t xml:space="preserve">, a distribuição das quantidades para a execução descentralizada será por meio do remanejamento.</w:t>
      </w:r>
      <w:r>
        <w:rPr>
          <w:color w:val="auto"/>
          <w:sz w:val="22"/>
          <w:szCs w:val="22"/>
        </w:rPr>
      </w:r>
      <w:r>
        <w:rPr>
          <w:color w:val="auto"/>
          <w:sz w:val="22"/>
          <w:szCs w:val="22"/>
        </w:rPr>
      </w:r>
    </w:p>
    <w:p w14:paraId="3EB69477">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Nona</w:t>
      </w:r>
      <w:r>
        <w:rPr>
          <w:rFonts w:ascii="Arial" w:hAnsi="Arial" w:cs="Arial"/>
          <w:b/>
          <w:bCs/>
          <w:szCs w:val="22"/>
        </w:rPr>
      </w:r>
      <w:r>
        <w:rPr>
          <w:rFonts w:ascii="Arial" w:hAnsi="Arial" w:cs="Arial"/>
          <w:b/>
          <w:bCs/>
          <w:szCs w:val="22"/>
        </w:rPr>
      </w:r>
    </w:p>
    <w:p w14:paraId="7D6A625B">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DO CANCELAMENTO DO REGISTRO DO LICITANTE VENCEDOR E DOS PREÇOS REGISTRADOS</w:t>
      </w:r>
      <w:r>
        <w:rPr>
          <w:rFonts w:ascii="Arial" w:hAnsi="Arial" w:cs="Arial"/>
          <w:szCs w:val="22"/>
        </w:rPr>
      </w:r>
      <w:r>
        <w:rPr>
          <w:rFonts w:ascii="Arial" w:hAnsi="Arial" w:cs="Arial"/>
          <w:szCs w:val="22"/>
        </w:rPr>
      </w:r>
    </w:p>
    <w:p w14:paraId="754C480C">
      <w:pPr>
        <w:pStyle w:val="1160"/>
        <w:numPr>
          <w:ilvl w:val="0"/>
          <w:numId w:val="0"/>
        </w:numPr>
        <w:pBdr/>
        <w:spacing w:line="360" w:lineRule="auto"/>
        <w:ind/>
        <w:rPr>
          <w:color w:val="auto"/>
          <w:sz w:val="22"/>
          <w:szCs w:val="22"/>
        </w:rPr>
      </w:pPr>
      <w:r>
        <w:rPr>
          <w:b/>
          <w:bCs/>
          <w:color w:val="auto"/>
          <w:sz w:val="22"/>
          <w:szCs w:val="22"/>
        </w:rPr>
        <w:t xml:space="preserve">9.1. </w:t>
      </w:r>
      <w:r>
        <w:rPr>
          <w:color w:val="auto"/>
          <w:sz w:val="22"/>
          <w:szCs w:val="22"/>
        </w:rPr>
        <w:t xml:space="preserve">O registro do fornecedor será cancelado pelo Órgão Gerenciador, quando o fornecedor:</w:t>
      </w:r>
      <w:bookmarkStart w:id="67" w:name="cancelamento_do_fornecedor"/>
      <w:r/>
      <w:bookmarkEnd w:id="67"/>
      <w:r>
        <w:rPr>
          <w:color w:val="auto"/>
          <w:sz w:val="22"/>
          <w:szCs w:val="22"/>
        </w:rPr>
      </w:r>
      <w:r>
        <w:rPr>
          <w:color w:val="auto"/>
          <w:sz w:val="22"/>
          <w:szCs w:val="22"/>
        </w:rPr>
      </w:r>
    </w:p>
    <w:p w14:paraId="0A74F278">
      <w:pPr>
        <w:pStyle w:val="1167"/>
        <w:numPr>
          <w:ilvl w:val="0"/>
          <w:numId w:val="0"/>
        </w:numPr>
        <w:pBdr/>
        <w:spacing w:line="360" w:lineRule="auto"/>
        <w:ind w:firstLine="480"/>
        <w:rPr>
          <w:sz w:val="22"/>
          <w:szCs w:val="22"/>
        </w:rPr>
      </w:pPr>
      <w:r>
        <w:rPr>
          <w:b/>
          <w:bCs/>
          <w:sz w:val="22"/>
          <w:szCs w:val="22"/>
        </w:rPr>
        <w:t xml:space="preserve">9.1.1. </w:t>
      </w:r>
      <w:r>
        <w:rPr>
          <w:sz w:val="22"/>
          <w:szCs w:val="22"/>
        </w:rPr>
        <w:t xml:space="preserve">For liberado;</w:t>
      </w:r>
      <w:r>
        <w:rPr>
          <w:sz w:val="22"/>
          <w:szCs w:val="22"/>
        </w:rPr>
      </w:r>
      <w:r>
        <w:rPr>
          <w:sz w:val="22"/>
          <w:szCs w:val="22"/>
        </w:rPr>
      </w:r>
    </w:p>
    <w:p w14:paraId="43868DAE">
      <w:pPr>
        <w:pStyle w:val="1167"/>
        <w:numPr>
          <w:ilvl w:val="0"/>
          <w:numId w:val="0"/>
        </w:numPr>
        <w:pBdr/>
        <w:spacing w:line="360" w:lineRule="auto"/>
        <w:ind w:firstLine="480"/>
        <w:rPr>
          <w:sz w:val="22"/>
          <w:szCs w:val="22"/>
        </w:rPr>
      </w:pPr>
      <w:r>
        <w:rPr>
          <w:b/>
          <w:bCs/>
          <w:sz w:val="22"/>
          <w:szCs w:val="22"/>
        </w:rPr>
        <w:t xml:space="preserve">9.1.2.</w:t>
      </w:r>
      <w:r>
        <w:rPr>
          <w:sz w:val="22"/>
          <w:szCs w:val="22"/>
        </w:rPr>
        <w:t xml:space="preserve"> Descumprir as condições da Ata de Registro de Preços, sem justificativa aceitável;</w:t>
      </w:r>
      <w:r>
        <w:rPr>
          <w:sz w:val="22"/>
          <w:szCs w:val="22"/>
        </w:rPr>
      </w:r>
      <w:r>
        <w:rPr>
          <w:sz w:val="22"/>
          <w:szCs w:val="22"/>
        </w:rPr>
      </w:r>
    </w:p>
    <w:p w14:paraId="1BF62CDF">
      <w:pPr>
        <w:pStyle w:val="1167"/>
        <w:numPr>
          <w:ilvl w:val="0"/>
          <w:numId w:val="0"/>
        </w:numPr>
        <w:pBdr/>
        <w:spacing w:line="360" w:lineRule="auto"/>
        <w:ind w:firstLine="480"/>
        <w:rPr>
          <w:sz w:val="22"/>
          <w:szCs w:val="22"/>
        </w:rPr>
      </w:pPr>
      <w:r>
        <w:rPr>
          <w:b/>
          <w:bCs/>
          <w:sz w:val="22"/>
          <w:szCs w:val="22"/>
        </w:rPr>
        <w:t xml:space="preserve">9.1.2.</w:t>
      </w:r>
      <w:r>
        <w:rPr>
          <w:sz w:val="22"/>
          <w:szCs w:val="22"/>
        </w:rPr>
        <w:t xml:space="preserve"> Não re</w:t>
      </w:r>
      <w:r>
        <w:rPr>
          <w:rFonts w:eastAsia="Arial"/>
          <w:sz w:val="22"/>
          <w:szCs w:val="22"/>
        </w:rPr>
        <w:t xml:space="preserve">ti</w:t>
      </w:r>
      <w:r>
        <w:rPr>
          <w:sz w:val="22"/>
          <w:szCs w:val="22"/>
        </w:rPr>
        <w:t xml:space="preserve">rar a nota de empenho, ou instrumento equivalente, no prazo estabelecido pela Administração sem justificativa razoável;</w:t>
      </w:r>
      <w:r>
        <w:rPr>
          <w:sz w:val="22"/>
          <w:szCs w:val="22"/>
        </w:rPr>
      </w:r>
      <w:r>
        <w:rPr>
          <w:sz w:val="22"/>
          <w:szCs w:val="22"/>
        </w:rPr>
      </w:r>
    </w:p>
    <w:p w14:paraId="4E2426A0">
      <w:pPr>
        <w:pStyle w:val="1167"/>
        <w:numPr>
          <w:ilvl w:val="0"/>
          <w:numId w:val="0"/>
        </w:numPr>
        <w:pBdr/>
        <w:spacing w:line="360" w:lineRule="auto"/>
        <w:ind w:firstLine="480"/>
        <w:rPr>
          <w:sz w:val="22"/>
          <w:szCs w:val="22"/>
        </w:rPr>
      </w:pPr>
      <w:r>
        <w:rPr>
          <w:b/>
          <w:bCs/>
          <w:sz w:val="22"/>
          <w:szCs w:val="22"/>
        </w:rPr>
        <w:t xml:space="preserve">9.1.3.</w:t>
      </w:r>
      <w:r>
        <w:rPr>
          <w:sz w:val="22"/>
          <w:szCs w:val="22"/>
        </w:rPr>
        <w:t xml:space="preserve"> Não aceitar manter seu preço registrado, na hipótese </w:t>
      </w:r>
      <w:r>
        <w:rPr>
          <w:rFonts w:eastAsia="SimSun"/>
          <w:sz w:val="22"/>
          <w:szCs w:val="22"/>
        </w:rPr>
        <w:t xml:space="preserve">de não comprovação da existência de fato superveniente que inviabilize o preço registrado</w:t>
      </w:r>
      <w:r>
        <w:rPr>
          <w:sz w:val="22"/>
          <w:szCs w:val="22"/>
        </w:rPr>
        <w:t xml:space="preserve">; </w:t>
      </w:r>
      <w:r>
        <w:rPr>
          <w:sz w:val="22"/>
          <w:szCs w:val="22"/>
        </w:rPr>
      </w:r>
      <w:r>
        <w:rPr>
          <w:sz w:val="22"/>
          <w:szCs w:val="22"/>
        </w:rPr>
      </w:r>
    </w:p>
    <w:p w14:paraId="5BEAAA21">
      <w:pPr>
        <w:pStyle w:val="1167"/>
        <w:numPr>
          <w:ilvl w:val="0"/>
          <w:numId w:val="0"/>
        </w:numPr>
        <w:pBdr/>
        <w:spacing w:line="360" w:lineRule="auto"/>
        <w:ind w:firstLine="480"/>
        <w:rPr>
          <w:sz w:val="22"/>
          <w:szCs w:val="22"/>
        </w:rPr>
      </w:pPr>
      <w:r>
        <w:rPr>
          <w:b/>
          <w:bCs/>
          <w:sz w:val="22"/>
          <w:szCs w:val="22"/>
        </w:rPr>
        <w:t xml:space="preserve">9.1.4. </w:t>
      </w:r>
      <w:r>
        <w:rPr>
          <w:sz w:val="22"/>
          <w:szCs w:val="22"/>
        </w:rPr>
        <w:t xml:space="preserve">Não aceitar reduzir o seu preço registrado, na hipótese deste se tornar superior àqueles praticados no mercado;</w:t>
      </w:r>
      <w:r>
        <w:rPr>
          <w:sz w:val="22"/>
          <w:szCs w:val="22"/>
        </w:rPr>
      </w:r>
      <w:r>
        <w:rPr>
          <w:sz w:val="22"/>
          <w:szCs w:val="22"/>
        </w:rPr>
      </w:r>
    </w:p>
    <w:p w14:paraId="548DA44E">
      <w:pPr>
        <w:pStyle w:val="1167"/>
        <w:numPr>
          <w:ilvl w:val="0"/>
          <w:numId w:val="0"/>
        </w:numPr>
        <w:pBdr/>
        <w:spacing w:line="360" w:lineRule="auto"/>
        <w:ind w:firstLine="480"/>
        <w:rPr>
          <w:sz w:val="22"/>
          <w:szCs w:val="22"/>
        </w:rPr>
      </w:pPr>
      <w:r>
        <w:rPr>
          <w:b/>
          <w:bCs/>
          <w:sz w:val="22"/>
          <w:szCs w:val="22"/>
        </w:rPr>
        <w:t xml:space="preserve">9.1.5. </w:t>
      </w:r>
      <w:r>
        <w:rPr>
          <w:sz w:val="22"/>
          <w:szCs w:val="22"/>
        </w:rPr>
        <w:t xml:space="preserve">Não aceitar o preço revisado pela Administração Pública Municipal.</w:t>
      </w:r>
      <w:r>
        <w:rPr>
          <w:sz w:val="22"/>
          <w:szCs w:val="22"/>
        </w:rPr>
      </w:r>
      <w:r>
        <w:rPr>
          <w:sz w:val="22"/>
          <w:szCs w:val="22"/>
        </w:rPr>
      </w:r>
    </w:p>
    <w:p w14:paraId="58E528E3">
      <w:pPr>
        <w:pStyle w:val="1167"/>
        <w:numPr>
          <w:ilvl w:val="0"/>
          <w:numId w:val="0"/>
        </w:numPr>
        <w:pBdr/>
        <w:spacing w:line="360" w:lineRule="auto"/>
        <w:ind w:firstLine="480"/>
        <w:rPr>
          <w:sz w:val="22"/>
          <w:szCs w:val="22"/>
        </w:rPr>
      </w:pPr>
      <w:r>
        <w:rPr>
          <w:b/>
          <w:bCs/>
          <w:sz w:val="22"/>
          <w:szCs w:val="22"/>
        </w:rPr>
        <w:t xml:space="preserve">9.1.6. </w:t>
      </w:r>
      <w:r>
        <w:rPr>
          <w:sz w:val="22"/>
          <w:szCs w:val="22"/>
        </w:rPr>
        <w:t xml:space="preserve"> Sofrer sanção prevista nos incisos III ou IV do caput do art. 156 da Lei Federal nº 14.133/2021.</w:t>
      </w:r>
      <w:r>
        <w:rPr>
          <w:sz w:val="22"/>
          <w:szCs w:val="22"/>
        </w:rPr>
      </w:r>
      <w:r>
        <w:rPr>
          <w:sz w:val="22"/>
          <w:szCs w:val="22"/>
        </w:rPr>
      </w:r>
    </w:p>
    <w:p w14:paraId="6A5E8386">
      <w:pPr>
        <w:pStyle w:val="1168"/>
        <w:numPr>
          <w:ilvl w:val="0"/>
          <w:numId w:val="0"/>
        </w:numPr>
        <w:pBdr/>
        <w:spacing w:line="360" w:lineRule="auto"/>
        <w:ind w:firstLine="720"/>
        <w:rPr>
          <w:sz w:val="22"/>
          <w:szCs w:val="22"/>
        </w:rPr>
      </w:pPr>
      <w:r>
        <w:rPr>
          <w:b/>
          <w:bCs/>
          <w:sz w:val="22"/>
          <w:szCs w:val="22"/>
        </w:rPr>
        <w:t xml:space="preserve">9.1.6.1. </w:t>
      </w:r>
      <w:r>
        <w:rPr>
          <w:sz w:val="22"/>
          <w:szCs w:val="22"/>
        </w:rPr>
        <w:t xml:space="preserve">Na hipótese de aplicação de sanção prevista nos incisos III ou IV do caput do art. 156 da Lei Federal nº 14.133/2021, caso a penalidade aplicada ao forne</w:t>
      </w:r>
      <w:r>
        <w:rPr>
          <w:sz w:val="22"/>
          <w:szCs w:val="22"/>
        </w:rPr>
        <w:t xml:space="preserve">cedor não ultrapasse o prazo de vigência da Ata de Registro de Preços, poderá o Órgão Gerenciador, mediante decisão fundamentada, decidir pela manutenção do registro de preços, vedadas contratações derivadas da ata enquanto perdurarem os efeitos da sanção.</w:t>
      </w:r>
      <w:r>
        <w:rPr>
          <w:sz w:val="22"/>
          <w:szCs w:val="22"/>
        </w:rPr>
      </w:r>
      <w:r>
        <w:rPr>
          <w:sz w:val="22"/>
          <w:szCs w:val="22"/>
        </w:rPr>
      </w:r>
    </w:p>
    <w:p w14:paraId="46E89D92">
      <w:pPr>
        <w:pStyle w:val="1160"/>
        <w:numPr>
          <w:ilvl w:val="0"/>
          <w:numId w:val="0"/>
        </w:numPr>
        <w:pBdr/>
        <w:spacing w:line="360" w:lineRule="auto"/>
        <w:ind/>
        <w:rPr>
          <w:color w:val="auto"/>
          <w:sz w:val="22"/>
          <w:szCs w:val="22"/>
        </w:rPr>
      </w:pPr>
      <w:r>
        <w:rPr>
          <w:b/>
          <w:bCs/>
          <w:color w:val="auto"/>
          <w:sz w:val="22"/>
          <w:szCs w:val="22"/>
        </w:rPr>
        <w:t xml:space="preserve">9.2.</w:t>
      </w:r>
      <w:r>
        <w:rPr>
          <w:color w:val="auto"/>
          <w:sz w:val="22"/>
          <w:szCs w:val="22"/>
        </w:rPr>
        <w:t xml:space="preserve"> O cancelamento de registros nas hipóteses previstas no item </w:t>
      </w:r>
      <w:r>
        <w:rPr>
          <w:color w:val="auto"/>
          <w:sz w:val="22"/>
          <w:szCs w:val="22"/>
        </w:rPr>
        <w:fldChar w:fldCharType="begin"/>
      </w:r>
      <w:r>
        <w:rPr>
          <w:color w:val="auto"/>
          <w:sz w:val="22"/>
          <w:szCs w:val="22"/>
        </w:rPr>
        <w:instrText xml:space="preserve"> REF cancelamento_do_fornecedor \r \h  \* MERGEFORMAT </w:instrText>
      </w:r>
      <w:r>
        <w:rPr>
          <w:color w:val="auto"/>
          <w:sz w:val="22"/>
          <w:szCs w:val="22"/>
        </w:rPr>
        <w:fldChar w:fldCharType="separate"/>
      </w:r>
      <w:r>
        <w:rPr>
          <w:color w:val="auto"/>
          <w:sz w:val="22"/>
          <w:szCs w:val="22"/>
        </w:rPr>
        <w:t xml:space="preserve">9.1</w:t>
      </w:r>
      <w:r>
        <w:rPr>
          <w:color w:val="auto"/>
          <w:sz w:val="22"/>
          <w:szCs w:val="22"/>
        </w:rPr>
        <w:fldChar w:fldCharType="end"/>
      </w:r>
      <w:r>
        <w:rPr>
          <w:color w:val="auto"/>
          <w:sz w:val="22"/>
          <w:szCs w:val="22"/>
        </w:rPr>
        <w:t xml:space="preserve">. será formalizado por despacho do Órgão Gerenciador, garantidos os princípios do contraditório e da ampla defesa.</w:t>
      </w:r>
      <w:r>
        <w:rPr>
          <w:color w:val="auto"/>
          <w:sz w:val="22"/>
          <w:szCs w:val="22"/>
        </w:rPr>
      </w:r>
      <w:r>
        <w:rPr>
          <w:color w:val="auto"/>
          <w:sz w:val="22"/>
          <w:szCs w:val="22"/>
        </w:rPr>
      </w:r>
    </w:p>
    <w:p w14:paraId="64F1C779">
      <w:pPr>
        <w:pStyle w:val="1160"/>
        <w:numPr>
          <w:ilvl w:val="0"/>
          <w:numId w:val="0"/>
        </w:numPr>
        <w:pBdr/>
        <w:spacing w:line="360" w:lineRule="auto"/>
        <w:ind/>
        <w:rPr>
          <w:color w:val="auto"/>
          <w:sz w:val="22"/>
          <w:szCs w:val="22"/>
        </w:rPr>
      </w:pPr>
      <w:r>
        <w:rPr>
          <w:b/>
          <w:bCs/>
          <w:color w:val="auto"/>
          <w:sz w:val="22"/>
          <w:szCs w:val="22"/>
        </w:rPr>
        <w:t xml:space="preserve">9.3. </w:t>
      </w:r>
      <w:r>
        <w:rPr>
          <w:color w:val="auto"/>
          <w:sz w:val="22"/>
          <w:szCs w:val="22"/>
        </w:rPr>
        <w:t xml:space="preserve">Na hipótese de cancelamento do registro do fornecedor, o Órgão Gerenciador poderá convocar os licitantes que compõem o cadastro de reserva, observada a ordem de classificação.</w:t>
      </w:r>
      <w:r>
        <w:rPr>
          <w:color w:val="auto"/>
          <w:sz w:val="22"/>
          <w:szCs w:val="22"/>
        </w:rPr>
      </w:r>
      <w:r>
        <w:rPr>
          <w:color w:val="auto"/>
          <w:sz w:val="22"/>
          <w:szCs w:val="22"/>
        </w:rPr>
      </w:r>
    </w:p>
    <w:p w14:paraId="2A7E5A34">
      <w:pPr>
        <w:pStyle w:val="1160"/>
        <w:numPr>
          <w:ilvl w:val="0"/>
          <w:numId w:val="0"/>
        </w:numPr>
        <w:pBdr/>
        <w:spacing w:line="360" w:lineRule="auto"/>
        <w:ind/>
        <w:rPr>
          <w:color w:val="auto"/>
          <w:sz w:val="22"/>
          <w:szCs w:val="22"/>
        </w:rPr>
      </w:pPr>
      <w:r>
        <w:rPr>
          <w:b/>
          <w:bCs/>
          <w:color w:val="auto"/>
          <w:sz w:val="22"/>
          <w:szCs w:val="22"/>
        </w:rPr>
        <w:t xml:space="preserve">9.4.</w:t>
      </w:r>
      <w:r>
        <w:rPr>
          <w:color w:val="auto"/>
          <w:sz w:val="22"/>
          <w:szCs w:val="22"/>
        </w:rPr>
        <w:t xml:space="preserve"> O cancelamento dos preços registrados poderá ser realizado pelo Órgão Gerenciador, em determinada Ata de Registro de Preços, total ou parcialmente, nas seguintes hipóteses, desde que devidamente comprovadas e justificadas:</w:t>
      </w:r>
      <w:bookmarkStart w:id="68" w:name="cancelamento_da_ata"/>
      <w:r/>
      <w:bookmarkEnd w:id="68"/>
      <w:r>
        <w:rPr>
          <w:color w:val="auto"/>
          <w:sz w:val="22"/>
          <w:szCs w:val="22"/>
        </w:rPr>
        <w:t xml:space="preserve"> </w:t>
      </w:r>
      <w:r>
        <w:rPr>
          <w:color w:val="auto"/>
          <w:sz w:val="22"/>
          <w:szCs w:val="22"/>
        </w:rPr>
      </w:r>
      <w:r>
        <w:rPr>
          <w:color w:val="auto"/>
          <w:sz w:val="22"/>
          <w:szCs w:val="22"/>
        </w:rPr>
      </w:r>
    </w:p>
    <w:p w14:paraId="4C575049">
      <w:pPr>
        <w:pStyle w:val="1167"/>
        <w:numPr>
          <w:ilvl w:val="0"/>
          <w:numId w:val="0"/>
        </w:numPr>
        <w:pBdr/>
        <w:spacing w:line="360" w:lineRule="auto"/>
        <w:ind w:firstLine="480"/>
        <w:rPr>
          <w:sz w:val="22"/>
          <w:szCs w:val="22"/>
        </w:rPr>
      </w:pPr>
      <w:r>
        <w:rPr>
          <w:b/>
          <w:bCs/>
          <w:sz w:val="22"/>
          <w:szCs w:val="22"/>
        </w:rPr>
        <w:t xml:space="preserve">9.4.1. </w:t>
      </w:r>
      <w:r>
        <w:rPr>
          <w:sz w:val="22"/>
          <w:szCs w:val="22"/>
        </w:rPr>
        <w:t xml:space="preserve">Por razão de interesse público;</w:t>
      </w:r>
      <w:r>
        <w:rPr>
          <w:sz w:val="22"/>
          <w:szCs w:val="22"/>
        </w:rPr>
      </w:r>
      <w:r>
        <w:rPr>
          <w:sz w:val="22"/>
          <w:szCs w:val="22"/>
        </w:rPr>
      </w:r>
    </w:p>
    <w:p w14:paraId="4CAFE0BA">
      <w:pPr>
        <w:pStyle w:val="1167"/>
        <w:numPr>
          <w:ilvl w:val="0"/>
          <w:numId w:val="0"/>
        </w:numPr>
        <w:pBdr/>
        <w:spacing w:line="360" w:lineRule="auto"/>
        <w:ind w:firstLine="480"/>
        <w:rPr>
          <w:sz w:val="22"/>
          <w:szCs w:val="22"/>
        </w:rPr>
      </w:pPr>
      <w:r>
        <w:rPr>
          <w:b/>
          <w:bCs/>
          <w:sz w:val="22"/>
          <w:szCs w:val="22"/>
        </w:rPr>
        <w:t xml:space="preserve">9.4.2.</w:t>
      </w:r>
      <w:r>
        <w:rPr>
          <w:sz w:val="22"/>
          <w:szCs w:val="22"/>
        </w:rPr>
        <w:t xml:space="preserve"> A pedido do fornecedor, decorrente de caso fortuito ou força maior; ou</w:t>
      </w:r>
      <w:r>
        <w:rPr>
          <w:sz w:val="22"/>
          <w:szCs w:val="22"/>
        </w:rPr>
      </w:r>
      <w:r>
        <w:rPr>
          <w:sz w:val="22"/>
          <w:szCs w:val="22"/>
        </w:rPr>
      </w:r>
    </w:p>
    <w:p w14:paraId="124D221B">
      <w:pPr>
        <w:pStyle w:val="1167"/>
        <w:numPr>
          <w:ilvl w:val="0"/>
          <w:numId w:val="0"/>
        </w:numPr>
        <w:pBdr/>
        <w:spacing w:line="360" w:lineRule="auto"/>
        <w:ind w:firstLine="480"/>
        <w:rPr>
          <w:sz w:val="22"/>
          <w:szCs w:val="22"/>
        </w:rPr>
      </w:pPr>
      <w:r>
        <w:rPr>
          <w:b/>
          <w:bCs/>
          <w:sz w:val="22"/>
          <w:szCs w:val="22"/>
        </w:rPr>
        <w:t xml:space="preserve">9.4.3.</w:t>
      </w:r>
      <w:r>
        <w:rPr>
          <w:sz w:val="22"/>
          <w:szCs w:val="22"/>
        </w:rPr>
        <w:t xml:space="preserve"> Se não houver êxito nas negociações, nas hipóteses em que o preço de mercado tornar-se superior ou inferior ao preço registrado. </w:t>
      </w:r>
      <w:r>
        <w:rPr>
          <w:sz w:val="22"/>
          <w:szCs w:val="22"/>
        </w:rPr>
      </w:r>
      <w:r>
        <w:rPr>
          <w:sz w:val="22"/>
          <w:szCs w:val="22"/>
        </w:rPr>
      </w:r>
    </w:p>
    <w:p w14:paraId="342213D1">
      <w:pPr>
        <w:pStyle w:val="876"/>
        <w:pBdr/>
        <w:spacing w:line="360" w:lineRule="auto"/>
        <w:ind/>
        <w:rPr>
          <w:rFonts w:ascii="Arial" w:hAnsi="Arial" w:cs="Arial"/>
          <w:sz w:val="22"/>
          <w:szCs w:val="22"/>
        </w:rPr>
      </w:pPr>
      <w:r>
        <w:rPr>
          <w:rFonts w:ascii="Arial" w:hAnsi="Arial" w:cs="Arial"/>
          <w:b/>
          <w:bCs/>
          <w:sz w:val="22"/>
          <w:szCs w:val="22"/>
        </w:rPr>
        <w:t xml:space="preserve">9.5. </w:t>
      </w:r>
      <w:r>
        <w:rPr>
          <w:rFonts w:ascii="Arial" w:hAnsi="Arial" w:cs="Arial"/>
          <w:sz w:val="22"/>
          <w:szCs w:val="22"/>
        </w:rPr>
        <w:t xml:space="preserve">De acordo com o art.</w:t>
      </w:r>
      <w:r>
        <w:rPr>
          <w:rFonts w:ascii="Arial" w:hAnsi="Arial" w:cs="Arial"/>
          <w:spacing w:val="22"/>
          <w:sz w:val="22"/>
          <w:szCs w:val="22"/>
        </w:rPr>
        <w:t xml:space="preserve"> </w:t>
      </w:r>
      <w:r>
        <w:rPr>
          <w:rFonts w:ascii="Arial" w:hAnsi="Arial" w:cs="Arial"/>
          <w:sz w:val="22"/>
          <w:szCs w:val="22"/>
        </w:rPr>
        <w:t xml:space="preserve">492 do Decreto Municipal 359/2023, a</w:t>
      </w:r>
      <w:r>
        <w:rPr>
          <w:rFonts w:ascii="Arial" w:hAnsi="Arial" w:cs="Arial"/>
          <w:spacing w:val="23"/>
          <w:sz w:val="22"/>
          <w:szCs w:val="22"/>
        </w:rPr>
        <w:t xml:space="preserve"> </w:t>
      </w:r>
      <w:r>
        <w:rPr>
          <w:rFonts w:ascii="Arial" w:hAnsi="Arial" w:cs="Arial"/>
          <w:sz w:val="22"/>
          <w:szCs w:val="22"/>
        </w:rPr>
        <w:t xml:space="preserve">Ata</w:t>
      </w:r>
      <w:r>
        <w:rPr>
          <w:rFonts w:ascii="Arial" w:hAnsi="Arial" w:cs="Arial"/>
          <w:spacing w:val="26"/>
          <w:sz w:val="22"/>
          <w:szCs w:val="22"/>
        </w:rPr>
        <w:t xml:space="preserve"> </w:t>
      </w:r>
      <w:r>
        <w:rPr>
          <w:rFonts w:ascii="Arial" w:hAnsi="Arial" w:cs="Arial"/>
          <w:sz w:val="22"/>
          <w:szCs w:val="22"/>
        </w:rPr>
        <w:t xml:space="preserve">de</w:t>
      </w:r>
      <w:r>
        <w:rPr>
          <w:rFonts w:ascii="Arial" w:hAnsi="Arial" w:cs="Arial"/>
          <w:spacing w:val="25"/>
          <w:sz w:val="22"/>
          <w:szCs w:val="22"/>
        </w:rPr>
        <w:t xml:space="preserve"> </w:t>
      </w:r>
      <w:r>
        <w:rPr>
          <w:rFonts w:ascii="Arial" w:hAnsi="Arial" w:cs="Arial"/>
          <w:sz w:val="22"/>
          <w:szCs w:val="22"/>
        </w:rPr>
        <w:t xml:space="preserve">Registro</w:t>
      </w:r>
      <w:r>
        <w:rPr>
          <w:rFonts w:ascii="Arial" w:hAnsi="Arial" w:cs="Arial"/>
          <w:spacing w:val="25"/>
          <w:sz w:val="22"/>
          <w:szCs w:val="22"/>
        </w:rPr>
        <w:t xml:space="preserve"> </w:t>
      </w:r>
      <w:r>
        <w:rPr>
          <w:rFonts w:ascii="Arial" w:hAnsi="Arial" w:cs="Arial"/>
          <w:sz w:val="22"/>
          <w:szCs w:val="22"/>
        </w:rPr>
        <w:t xml:space="preserve">de</w:t>
      </w:r>
      <w:r>
        <w:rPr>
          <w:rFonts w:ascii="Arial" w:hAnsi="Arial" w:cs="Arial"/>
          <w:spacing w:val="25"/>
          <w:sz w:val="22"/>
          <w:szCs w:val="22"/>
        </w:rPr>
        <w:t xml:space="preserve"> </w:t>
      </w:r>
      <w:r>
        <w:rPr>
          <w:rFonts w:ascii="Arial" w:hAnsi="Arial" w:cs="Arial"/>
          <w:sz w:val="22"/>
          <w:szCs w:val="22"/>
        </w:rPr>
        <w:t xml:space="preserve">Preços</w:t>
      </w:r>
      <w:r>
        <w:rPr>
          <w:rFonts w:ascii="Arial" w:hAnsi="Arial" w:cs="Arial"/>
          <w:spacing w:val="25"/>
          <w:sz w:val="22"/>
          <w:szCs w:val="22"/>
        </w:rPr>
        <w:t xml:space="preserve"> </w:t>
      </w:r>
      <w:r>
        <w:rPr>
          <w:rFonts w:ascii="Arial" w:hAnsi="Arial" w:cs="Arial"/>
          <w:sz w:val="22"/>
          <w:szCs w:val="22"/>
        </w:rPr>
        <w:t xml:space="preserve">será</w:t>
      </w:r>
      <w:r>
        <w:rPr>
          <w:rFonts w:ascii="Arial" w:hAnsi="Arial" w:cs="Arial"/>
          <w:spacing w:val="25"/>
          <w:sz w:val="22"/>
          <w:szCs w:val="22"/>
        </w:rPr>
        <w:t xml:space="preserve"> </w:t>
      </w:r>
      <w:r>
        <w:rPr>
          <w:rFonts w:ascii="Arial" w:hAnsi="Arial" w:cs="Arial"/>
          <w:sz w:val="22"/>
          <w:szCs w:val="22"/>
        </w:rPr>
        <w:t xml:space="preserve">cancelada,</w:t>
      </w:r>
      <w:r>
        <w:rPr>
          <w:rFonts w:ascii="Arial" w:hAnsi="Arial" w:cs="Arial"/>
          <w:spacing w:val="27"/>
          <w:sz w:val="22"/>
          <w:szCs w:val="22"/>
        </w:rPr>
        <w:t xml:space="preserve"> </w:t>
      </w:r>
      <w:r>
        <w:rPr>
          <w:rFonts w:ascii="Arial" w:hAnsi="Arial" w:cs="Arial"/>
          <w:sz w:val="22"/>
          <w:szCs w:val="22"/>
        </w:rPr>
        <w:t xml:space="preserve">total</w:t>
      </w:r>
      <w:r>
        <w:rPr>
          <w:rFonts w:ascii="Arial" w:hAnsi="Arial" w:cs="Arial"/>
          <w:spacing w:val="23"/>
          <w:sz w:val="22"/>
          <w:szCs w:val="22"/>
        </w:rPr>
        <w:t xml:space="preserve"> </w:t>
      </w:r>
      <w:r>
        <w:rPr>
          <w:rFonts w:ascii="Arial" w:hAnsi="Arial" w:cs="Arial"/>
          <w:spacing w:val="-5"/>
          <w:sz w:val="22"/>
          <w:szCs w:val="22"/>
        </w:rPr>
        <w:t xml:space="preserve">ou </w:t>
      </w:r>
      <w:r>
        <w:rPr>
          <w:rFonts w:ascii="Arial" w:hAnsi="Arial" w:cs="Arial"/>
          <w:sz w:val="22"/>
          <w:szCs w:val="22"/>
        </w:rPr>
        <w:t xml:space="preserve">parcialmente,</w:t>
      </w:r>
      <w:r>
        <w:rPr>
          <w:rFonts w:ascii="Arial" w:hAnsi="Arial" w:cs="Arial"/>
          <w:spacing w:val="-2"/>
          <w:sz w:val="22"/>
          <w:szCs w:val="22"/>
        </w:rPr>
        <w:t xml:space="preserve"> </w:t>
      </w:r>
      <w:r>
        <w:rPr>
          <w:rFonts w:ascii="Arial" w:hAnsi="Arial" w:cs="Arial"/>
          <w:sz w:val="22"/>
          <w:szCs w:val="22"/>
        </w:rPr>
        <w:t xml:space="preserve">pelo</w:t>
      </w:r>
      <w:r>
        <w:rPr>
          <w:rFonts w:ascii="Arial" w:hAnsi="Arial" w:cs="Arial"/>
          <w:spacing w:val="-2"/>
          <w:sz w:val="22"/>
          <w:szCs w:val="22"/>
        </w:rPr>
        <w:t xml:space="preserve"> </w:t>
      </w:r>
      <w:r>
        <w:rPr>
          <w:rFonts w:ascii="Arial" w:hAnsi="Arial" w:cs="Arial"/>
          <w:sz w:val="22"/>
          <w:szCs w:val="22"/>
        </w:rPr>
        <w:t xml:space="preserve">Órgão</w:t>
      </w:r>
      <w:r>
        <w:rPr>
          <w:rFonts w:ascii="Arial" w:hAnsi="Arial" w:cs="Arial"/>
          <w:spacing w:val="-1"/>
          <w:sz w:val="22"/>
          <w:szCs w:val="22"/>
        </w:rPr>
        <w:t xml:space="preserve"> G</w:t>
      </w:r>
      <w:r>
        <w:rPr>
          <w:rFonts w:ascii="Arial" w:hAnsi="Arial" w:cs="Arial"/>
          <w:spacing w:val="-2"/>
          <w:sz w:val="22"/>
          <w:szCs w:val="22"/>
        </w:rPr>
        <w:t xml:space="preserve">erenciador:</w:t>
      </w:r>
      <w:r>
        <w:rPr>
          <w:rFonts w:ascii="Arial" w:hAnsi="Arial" w:cs="Arial"/>
          <w:sz w:val="22"/>
          <w:szCs w:val="22"/>
        </w:rPr>
      </w:r>
      <w:r>
        <w:rPr>
          <w:rFonts w:ascii="Arial" w:hAnsi="Arial" w:cs="Arial"/>
          <w:sz w:val="22"/>
          <w:szCs w:val="22"/>
        </w:rPr>
      </w:r>
    </w:p>
    <w:p w14:paraId="1A5F00A3">
      <w:pPr>
        <w:pStyle w:val="1151"/>
        <w:pBdr/>
        <w:tabs>
          <w:tab w:val="left" w:leader="none" w:pos="400"/>
        </w:tabs>
        <w:spacing w:line="360" w:lineRule="auto"/>
        <w:ind w:firstLine="480" w:left="0"/>
        <w:jc w:val="both"/>
        <w:rPr>
          <w:rFonts w:ascii="Arial" w:hAnsi="Arial" w:cs="Arial"/>
          <w:sz w:val="22"/>
          <w:szCs w:val="22"/>
        </w:rPr>
      </w:pPr>
      <w:r>
        <w:rPr>
          <w:rFonts w:ascii="Arial" w:hAnsi="Arial" w:cs="Arial"/>
          <w:b/>
          <w:bCs/>
          <w:sz w:val="22"/>
          <w:szCs w:val="22"/>
        </w:rPr>
        <w:t xml:space="preserve">9.5.1. </w:t>
      </w:r>
      <w:r>
        <w:rPr>
          <w:rFonts w:ascii="Arial" w:hAnsi="Arial" w:cs="Arial"/>
          <w:sz w:val="22"/>
          <w:szCs w:val="22"/>
        </w:rPr>
        <w:t xml:space="preserve">Pelo decurso</w:t>
      </w:r>
      <w:r>
        <w:rPr>
          <w:rFonts w:ascii="Arial" w:hAnsi="Arial" w:cs="Arial"/>
          <w:spacing w:val="-1"/>
          <w:sz w:val="22"/>
          <w:szCs w:val="22"/>
        </w:rPr>
        <w:t xml:space="preserve"> </w:t>
      </w:r>
      <w:r>
        <w:rPr>
          <w:rFonts w:ascii="Arial" w:hAnsi="Arial" w:cs="Arial"/>
          <w:sz w:val="22"/>
          <w:szCs w:val="22"/>
        </w:rPr>
        <w:t xml:space="preserve">do prazo</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1"/>
          <w:sz w:val="22"/>
          <w:szCs w:val="22"/>
        </w:rPr>
        <w:t xml:space="preserve"> </w:t>
      </w:r>
      <w:r>
        <w:rPr>
          <w:rFonts w:ascii="Arial" w:hAnsi="Arial" w:cs="Arial"/>
          <w:spacing w:val="-2"/>
          <w:sz w:val="22"/>
          <w:szCs w:val="22"/>
        </w:rPr>
        <w:t xml:space="preserve">vigência;</w:t>
      </w:r>
      <w:r>
        <w:rPr>
          <w:rFonts w:ascii="Arial" w:hAnsi="Arial" w:cs="Arial"/>
          <w:sz w:val="22"/>
          <w:szCs w:val="22"/>
        </w:rPr>
      </w:r>
      <w:r>
        <w:rPr>
          <w:rFonts w:ascii="Arial" w:hAnsi="Arial" w:cs="Arial"/>
          <w:sz w:val="22"/>
          <w:szCs w:val="22"/>
        </w:rPr>
      </w:r>
    </w:p>
    <w:p w14:paraId="49A81A2C">
      <w:pPr>
        <w:pStyle w:val="1151"/>
        <w:pBdr/>
        <w:tabs>
          <w:tab w:val="left" w:leader="none" w:pos="480"/>
        </w:tabs>
        <w:spacing w:line="360" w:lineRule="auto"/>
        <w:ind w:firstLine="480" w:left="0"/>
        <w:jc w:val="both"/>
        <w:rPr>
          <w:rFonts w:ascii="Arial" w:hAnsi="Arial" w:cs="Arial"/>
          <w:sz w:val="22"/>
          <w:szCs w:val="22"/>
        </w:rPr>
      </w:pPr>
      <w:r>
        <w:rPr>
          <w:rFonts w:ascii="Arial" w:hAnsi="Arial" w:cs="Arial"/>
          <w:b/>
          <w:bCs/>
          <w:sz w:val="22"/>
          <w:szCs w:val="22"/>
        </w:rPr>
        <w:t xml:space="preserve">9.5.2.</w:t>
      </w:r>
      <w:r>
        <w:rPr>
          <w:rFonts w:ascii="Arial" w:hAnsi="Arial" w:cs="Arial"/>
          <w:sz w:val="22"/>
          <w:szCs w:val="22"/>
        </w:rPr>
        <w:t xml:space="preserve"> Pelo</w:t>
      </w:r>
      <w:r>
        <w:rPr>
          <w:rFonts w:ascii="Arial" w:hAnsi="Arial" w:cs="Arial"/>
          <w:spacing w:val="-1"/>
          <w:sz w:val="22"/>
          <w:szCs w:val="22"/>
        </w:rPr>
        <w:t xml:space="preserve"> </w:t>
      </w:r>
      <w:r>
        <w:rPr>
          <w:rFonts w:ascii="Arial" w:hAnsi="Arial" w:cs="Arial"/>
          <w:sz w:val="22"/>
          <w:szCs w:val="22"/>
        </w:rPr>
        <w:t xml:space="preserve">cancelamento</w:t>
      </w:r>
      <w:r>
        <w:rPr>
          <w:rFonts w:ascii="Arial" w:hAnsi="Arial" w:cs="Arial"/>
          <w:spacing w:val="-1"/>
          <w:sz w:val="22"/>
          <w:szCs w:val="22"/>
        </w:rPr>
        <w:t xml:space="preserve"> </w:t>
      </w:r>
      <w:r>
        <w:rPr>
          <w:rFonts w:ascii="Arial" w:hAnsi="Arial" w:cs="Arial"/>
          <w:sz w:val="22"/>
          <w:szCs w:val="22"/>
        </w:rPr>
        <w:t xml:space="preserve">de todos</w:t>
      </w:r>
      <w:r>
        <w:rPr>
          <w:rFonts w:ascii="Arial" w:hAnsi="Arial" w:cs="Arial"/>
          <w:spacing w:val="-4"/>
          <w:sz w:val="22"/>
          <w:szCs w:val="22"/>
        </w:rPr>
        <w:t xml:space="preserve"> </w:t>
      </w:r>
      <w:r>
        <w:rPr>
          <w:rFonts w:ascii="Arial" w:hAnsi="Arial" w:cs="Arial"/>
          <w:sz w:val="22"/>
          <w:szCs w:val="22"/>
        </w:rPr>
        <w:t xml:space="preserve">os</w:t>
      </w:r>
      <w:r>
        <w:rPr>
          <w:rFonts w:ascii="Arial" w:hAnsi="Arial" w:cs="Arial"/>
          <w:spacing w:val="-1"/>
          <w:sz w:val="22"/>
          <w:szCs w:val="22"/>
        </w:rPr>
        <w:t xml:space="preserve"> </w:t>
      </w:r>
      <w:r>
        <w:rPr>
          <w:rFonts w:ascii="Arial" w:hAnsi="Arial" w:cs="Arial"/>
          <w:sz w:val="22"/>
          <w:szCs w:val="22"/>
        </w:rPr>
        <w:t xml:space="preserve">preços </w:t>
      </w:r>
      <w:r>
        <w:rPr>
          <w:rFonts w:ascii="Arial" w:hAnsi="Arial" w:cs="Arial"/>
          <w:spacing w:val="-2"/>
          <w:sz w:val="22"/>
          <w:szCs w:val="22"/>
        </w:rPr>
        <w:t xml:space="preserve">registrados;</w:t>
      </w:r>
      <w:r>
        <w:rPr>
          <w:rFonts w:ascii="Arial" w:hAnsi="Arial" w:cs="Arial"/>
          <w:sz w:val="22"/>
          <w:szCs w:val="22"/>
        </w:rPr>
      </w:r>
      <w:r>
        <w:rPr>
          <w:rFonts w:ascii="Arial" w:hAnsi="Arial" w:cs="Arial"/>
          <w:sz w:val="22"/>
          <w:szCs w:val="22"/>
        </w:rPr>
      </w:r>
    </w:p>
    <w:p w14:paraId="5100E339">
      <w:pPr>
        <w:pStyle w:val="1151"/>
        <w:pBdr/>
        <w:tabs>
          <w:tab w:val="left" w:leader="none" w:pos="480"/>
        </w:tabs>
        <w:spacing w:line="360" w:lineRule="auto"/>
        <w:ind w:firstLine="480" w:left="0"/>
        <w:jc w:val="both"/>
        <w:rPr>
          <w:rFonts w:ascii="Arial" w:hAnsi="Arial" w:cs="Arial"/>
          <w:sz w:val="22"/>
          <w:szCs w:val="22"/>
        </w:rPr>
      </w:pPr>
      <w:r>
        <w:rPr>
          <w:rFonts w:ascii="Arial" w:hAnsi="Arial" w:cs="Arial"/>
          <w:b/>
          <w:bCs/>
          <w:sz w:val="22"/>
          <w:szCs w:val="22"/>
        </w:rPr>
        <w:t xml:space="preserve">9.5.3.</w:t>
      </w:r>
      <w:r>
        <w:rPr>
          <w:rFonts w:ascii="Arial" w:hAnsi="Arial" w:cs="Arial"/>
          <w:sz w:val="22"/>
          <w:szCs w:val="22"/>
        </w:rPr>
        <w:t xml:space="preserve"> Por</w:t>
      </w:r>
      <w:r>
        <w:rPr>
          <w:rFonts w:ascii="Arial" w:hAnsi="Arial" w:cs="Arial"/>
          <w:spacing w:val="-3"/>
          <w:sz w:val="22"/>
          <w:szCs w:val="22"/>
        </w:rPr>
        <w:t xml:space="preserve"> </w:t>
      </w:r>
      <w:r>
        <w:rPr>
          <w:rFonts w:ascii="Arial" w:hAnsi="Arial" w:cs="Arial"/>
          <w:sz w:val="22"/>
          <w:szCs w:val="22"/>
        </w:rPr>
        <w:t xml:space="preserve">fato superveniente,</w:t>
      </w:r>
      <w:r>
        <w:rPr>
          <w:rFonts w:ascii="Arial" w:hAnsi="Arial" w:cs="Arial"/>
          <w:spacing w:val="1"/>
          <w:sz w:val="22"/>
          <w:szCs w:val="22"/>
        </w:rPr>
        <w:t xml:space="preserve"> </w:t>
      </w:r>
      <w:r>
        <w:rPr>
          <w:rFonts w:ascii="Arial" w:hAnsi="Arial" w:cs="Arial"/>
          <w:sz w:val="22"/>
          <w:szCs w:val="22"/>
        </w:rPr>
        <w:t xml:space="preserve">decorrente</w:t>
      </w:r>
      <w:r>
        <w:rPr>
          <w:rFonts w:ascii="Arial" w:hAnsi="Arial" w:cs="Arial"/>
          <w:spacing w:val="-1"/>
          <w:sz w:val="22"/>
          <w:szCs w:val="22"/>
        </w:rPr>
        <w:t xml:space="preserve"> </w:t>
      </w:r>
      <w:r>
        <w:rPr>
          <w:rFonts w:ascii="Arial" w:hAnsi="Arial" w:cs="Arial"/>
          <w:sz w:val="22"/>
          <w:szCs w:val="22"/>
        </w:rPr>
        <w:t xml:space="preserve">dos</w:t>
      </w:r>
      <w:r>
        <w:rPr>
          <w:rFonts w:ascii="Arial" w:hAnsi="Arial" w:cs="Arial"/>
          <w:spacing w:val="-2"/>
          <w:sz w:val="22"/>
          <w:szCs w:val="22"/>
        </w:rPr>
        <w:t xml:space="preserve"> </w:t>
      </w:r>
      <w:r>
        <w:rPr>
          <w:rFonts w:ascii="Arial" w:hAnsi="Arial" w:cs="Arial"/>
          <w:sz w:val="22"/>
          <w:szCs w:val="22"/>
        </w:rPr>
        <w:t xml:space="preserve">casos</w:t>
      </w:r>
      <w:r>
        <w:rPr>
          <w:rFonts w:ascii="Arial" w:hAnsi="Arial" w:cs="Arial"/>
          <w:spacing w:val="-1"/>
          <w:sz w:val="22"/>
          <w:szCs w:val="22"/>
        </w:rPr>
        <w:t xml:space="preserve"> </w:t>
      </w:r>
      <w:r>
        <w:rPr>
          <w:rFonts w:ascii="Arial" w:hAnsi="Arial" w:cs="Arial"/>
          <w:spacing w:val="-5"/>
          <w:sz w:val="22"/>
          <w:szCs w:val="22"/>
        </w:rPr>
        <w:t xml:space="preserve">de:</w:t>
      </w:r>
      <w:r>
        <w:rPr>
          <w:rFonts w:ascii="Arial" w:hAnsi="Arial" w:cs="Arial"/>
          <w:sz w:val="22"/>
          <w:szCs w:val="22"/>
        </w:rPr>
      </w:r>
      <w:r>
        <w:rPr>
          <w:rFonts w:ascii="Arial" w:hAnsi="Arial" w:cs="Arial"/>
          <w:sz w:val="22"/>
          <w:szCs w:val="22"/>
        </w:rPr>
      </w:r>
    </w:p>
    <w:p w14:paraId="2A19E85C">
      <w:pPr>
        <w:pStyle w:val="1151"/>
        <w:pBdr/>
        <w:spacing w:line="360" w:lineRule="auto"/>
        <w:ind w:firstLine="720" w:left="0"/>
        <w:jc w:val="both"/>
        <w:rPr>
          <w:rFonts w:ascii="Arial" w:hAnsi="Arial" w:cs="Arial"/>
          <w:sz w:val="22"/>
          <w:szCs w:val="22"/>
        </w:rPr>
      </w:pPr>
      <w:r>
        <w:rPr>
          <w:rFonts w:ascii="Arial" w:hAnsi="Arial" w:cs="Arial"/>
          <w:b/>
          <w:bCs/>
          <w:sz w:val="22"/>
          <w:szCs w:val="22"/>
        </w:rPr>
        <w:t xml:space="preserve">9.5.3.1. </w:t>
      </w:r>
      <w:r>
        <w:rPr>
          <w:rFonts w:ascii="Arial" w:hAnsi="Arial" w:cs="Arial"/>
          <w:sz w:val="22"/>
          <w:szCs w:val="22"/>
        </w:rPr>
        <w:t xml:space="preserve">força</w:t>
      </w:r>
      <w:r>
        <w:rPr>
          <w:rFonts w:ascii="Arial" w:hAnsi="Arial" w:cs="Arial"/>
          <w:spacing w:val="-2"/>
          <w:sz w:val="22"/>
          <w:szCs w:val="22"/>
        </w:rPr>
        <w:t xml:space="preserve"> maior,</w:t>
      </w:r>
      <w:r>
        <w:rPr>
          <w:rFonts w:ascii="Arial" w:hAnsi="Arial" w:cs="Arial"/>
          <w:sz w:val="22"/>
          <w:szCs w:val="22"/>
        </w:rPr>
      </w:r>
      <w:r>
        <w:rPr>
          <w:rFonts w:ascii="Arial" w:hAnsi="Arial" w:cs="Arial"/>
          <w:sz w:val="22"/>
          <w:szCs w:val="22"/>
        </w:rPr>
      </w:r>
    </w:p>
    <w:p w14:paraId="3EF3E56B">
      <w:pPr>
        <w:pStyle w:val="1151"/>
        <w:pBdr/>
        <w:tabs>
          <w:tab w:val="left" w:leader="none" w:pos="240"/>
        </w:tabs>
        <w:spacing w:line="360" w:lineRule="auto"/>
        <w:ind w:firstLine="720" w:left="0"/>
        <w:jc w:val="both"/>
        <w:rPr>
          <w:rFonts w:ascii="Arial" w:hAnsi="Arial" w:cs="Arial"/>
          <w:sz w:val="22"/>
          <w:szCs w:val="22"/>
        </w:rPr>
      </w:pPr>
      <w:r>
        <w:rPr>
          <w:rFonts w:ascii="Arial" w:hAnsi="Arial" w:cs="Arial"/>
          <w:b/>
          <w:bCs/>
          <w:sz w:val="22"/>
          <w:szCs w:val="22"/>
        </w:rPr>
        <w:t xml:space="preserve">9.5.3.2. </w:t>
      </w:r>
      <w:r>
        <w:rPr>
          <w:rFonts w:ascii="Arial" w:hAnsi="Arial" w:cs="Arial"/>
          <w:sz w:val="22"/>
          <w:szCs w:val="22"/>
        </w:rPr>
        <w:t xml:space="preserve">caso</w:t>
      </w:r>
      <w:r>
        <w:rPr>
          <w:rFonts w:ascii="Arial" w:hAnsi="Arial" w:cs="Arial"/>
          <w:spacing w:val="-2"/>
          <w:sz w:val="22"/>
          <w:szCs w:val="22"/>
        </w:rPr>
        <w:t xml:space="preserve"> fortuito;</w:t>
      </w:r>
      <w:r>
        <w:rPr>
          <w:rFonts w:ascii="Arial" w:hAnsi="Arial" w:cs="Arial"/>
          <w:sz w:val="22"/>
          <w:szCs w:val="22"/>
        </w:rPr>
      </w:r>
      <w:r>
        <w:rPr>
          <w:rFonts w:ascii="Arial" w:hAnsi="Arial" w:cs="Arial"/>
          <w:sz w:val="22"/>
          <w:szCs w:val="22"/>
        </w:rPr>
      </w:r>
    </w:p>
    <w:p w14:paraId="2DB5051A">
      <w:pPr>
        <w:pStyle w:val="1151"/>
        <w:pBdr/>
        <w:spacing w:line="360" w:lineRule="auto"/>
        <w:ind w:firstLine="720" w:left="0"/>
        <w:jc w:val="both"/>
        <w:rPr>
          <w:rFonts w:ascii="Arial" w:hAnsi="Arial" w:cs="Arial"/>
          <w:sz w:val="22"/>
          <w:szCs w:val="22"/>
        </w:rPr>
      </w:pPr>
      <w:r>
        <w:rPr>
          <w:rFonts w:ascii="Arial" w:hAnsi="Arial" w:cs="Arial"/>
          <w:b/>
          <w:bCs/>
          <w:sz w:val="22"/>
          <w:szCs w:val="22"/>
        </w:rPr>
        <w:t xml:space="preserve">9.5.3.3. </w:t>
      </w:r>
      <w:r>
        <w:rPr>
          <w:rFonts w:ascii="Arial" w:hAnsi="Arial" w:cs="Arial"/>
          <w:sz w:val="22"/>
          <w:szCs w:val="22"/>
        </w:rPr>
        <w:t xml:space="preserve">fato</w:t>
      </w:r>
      <w:r>
        <w:rPr>
          <w:rFonts w:ascii="Arial" w:hAnsi="Arial" w:cs="Arial"/>
          <w:spacing w:val="-1"/>
          <w:sz w:val="22"/>
          <w:szCs w:val="22"/>
        </w:rPr>
        <w:t xml:space="preserve"> </w:t>
      </w:r>
      <w:r>
        <w:rPr>
          <w:rFonts w:ascii="Arial" w:hAnsi="Arial" w:cs="Arial"/>
          <w:sz w:val="22"/>
          <w:szCs w:val="22"/>
        </w:rPr>
        <w:t xml:space="preserve">do</w:t>
      </w:r>
      <w:r>
        <w:rPr>
          <w:rFonts w:ascii="Arial" w:hAnsi="Arial" w:cs="Arial"/>
          <w:spacing w:val="-1"/>
          <w:sz w:val="22"/>
          <w:szCs w:val="22"/>
        </w:rPr>
        <w:t xml:space="preserve"> </w:t>
      </w:r>
      <w:r>
        <w:rPr>
          <w:rFonts w:ascii="Arial" w:hAnsi="Arial" w:cs="Arial"/>
          <w:spacing w:val="-2"/>
          <w:sz w:val="22"/>
          <w:szCs w:val="22"/>
        </w:rPr>
        <w:t xml:space="preserve">príncipe;</w:t>
      </w:r>
      <w:r>
        <w:rPr>
          <w:rFonts w:ascii="Arial" w:hAnsi="Arial" w:cs="Arial"/>
          <w:sz w:val="22"/>
          <w:szCs w:val="22"/>
        </w:rPr>
      </w:r>
      <w:r>
        <w:rPr>
          <w:rFonts w:ascii="Arial" w:hAnsi="Arial" w:cs="Arial"/>
          <w:sz w:val="22"/>
          <w:szCs w:val="22"/>
        </w:rPr>
      </w:r>
    </w:p>
    <w:p w14:paraId="14917803">
      <w:pPr>
        <w:pStyle w:val="1151"/>
        <w:pBdr/>
        <w:spacing w:line="360" w:lineRule="auto"/>
        <w:ind w:firstLine="720" w:left="0"/>
        <w:jc w:val="both"/>
        <w:rPr>
          <w:rFonts w:ascii="Arial" w:hAnsi="Arial" w:cs="Arial"/>
          <w:sz w:val="22"/>
          <w:szCs w:val="22"/>
        </w:rPr>
      </w:pPr>
      <w:r>
        <w:rPr>
          <w:rFonts w:ascii="Arial" w:hAnsi="Arial" w:cs="Arial"/>
          <w:b/>
          <w:bCs/>
          <w:sz w:val="22"/>
          <w:szCs w:val="22"/>
        </w:rPr>
        <w:t xml:space="preserve">9.5.3.4.</w:t>
      </w:r>
      <w:r>
        <w:rPr>
          <w:rFonts w:ascii="Arial" w:hAnsi="Arial" w:cs="Arial"/>
          <w:sz w:val="22"/>
          <w:szCs w:val="22"/>
        </w:rPr>
        <w:t xml:space="preserve"> em decorrência de fatos imprevisíveis ou previsíveis de consequências incalculáveis, que inviabilizem a execução obrigações previstas na ata, devidamente demonstrado.</w:t>
      </w:r>
      <w:r>
        <w:rPr>
          <w:rFonts w:ascii="Arial" w:hAnsi="Arial" w:cs="Arial"/>
          <w:sz w:val="22"/>
          <w:szCs w:val="22"/>
        </w:rPr>
      </w:r>
      <w:r>
        <w:rPr>
          <w:rFonts w:ascii="Arial" w:hAnsi="Arial" w:cs="Arial"/>
          <w:sz w:val="22"/>
          <w:szCs w:val="22"/>
        </w:rPr>
      </w:r>
    </w:p>
    <w:p w14:paraId="2BB5BC18">
      <w:pPr>
        <w:pStyle w:val="1151"/>
        <w:pBdr/>
        <w:tabs>
          <w:tab w:val="left" w:leader="none" w:pos="3362"/>
        </w:tabs>
        <w:spacing w:line="360" w:lineRule="auto"/>
        <w:ind w:left="0"/>
        <w:jc w:val="both"/>
        <w:rPr>
          <w:rFonts w:ascii="Arial" w:hAnsi="Arial" w:cs="Arial"/>
          <w:spacing w:val="-2"/>
          <w:sz w:val="22"/>
          <w:szCs w:val="22"/>
        </w:rPr>
      </w:pPr>
      <w:r>
        <w:rPr>
          <w:rFonts w:ascii="Arial" w:hAnsi="Arial" w:cs="Arial"/>
          <w:b/>
          <w:bCs/>
          <w:sz w:val="22"/>
          <w:szCs w:val="22"/>
        </w:rPr>
        <w:t xml:space="preserve">9.5.4.</w:t>
      </w:r>
      <w:r>
        <w:rPr>
          <w:rFonts w:ascii="Arial" w:hAnsi="Arial" w:cs="Arial"/>
          <w:sz w:val="22"/>
          <w:szCs w:val="22"/>
        </w:rPr>
        <w:t xml:space="preserve"> Por</w:t>
      </w:r>
      <w:r>
        <w:rPr>
          <w:rFonts w:ascii="Arial" w:hAnsi="Arial" w:cs="Arial"/>
          <w:spacing w:val="-2"/>
          <w:sz w:val="22"/>
          <w:szCs w:val="22"/>
        </w:rPr>
        <w:t xml:space="preserve"> </w:t>
      </w:r>
      <w:r>
        <w:rPr>
          <w:rFonts w:ascii="Arial" w:hAnsi="Arial" w:cs="Arial"/>
          <w:sz w:val="22"/>
          <w:szCs w:val="22"/>
        </w:rPr>
        <w:t xml:space="preserve">razões</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3"/>
          <w:sz w:val="22"/>
          <w:szCs w:val="22"/>
        </w:rPr>
        <w:t xml:space="preserve"> </w:t>
      </w:r>
      <w:r>
        <w:rPr>
          <w:rFonts w:ascii="Arial" w:hAnsi="Arial" w:cs="Arial"/>
          <w:sz w:val="22"/>
          <w:szCs w:val="22"/>
        </w:rPr>
        <w:t xml:space="preserve">interesse público,</w:t>
      </w:r>
      <w:r>
        <w:rPr>
          <w:rFonts w:ascii="Arial" w:hAnsi="Arial" w:cs="Arial"/>
          <w:spacing w:val="-1"/>
          <w:sz w:val="22"/>
          <w:szCs w:val="22"/>
        </w:rPr>
        <w:t xml:space="preserve"> </w:t>
      </w:r>
      <w:r>
        <w:rPr>
          <w:rFonts w:ascii="Arial" w:hAnsi="Arial" w:cs="Arial"/>
          <w:sz w:val="22"/>
          <w:szCs w:val="22"/>
        </w:rPr>
        <w:t xml:space="preserve">devidamente </w:t>
      </w:r>
      <w:r>
        <w:rPr>
          <w:rFonts w:ascii="Arial" w:hAnsi="Arial" w:cs="Arial"/>
          <w:spacing w:val="-2"/>
          <w:sz w:val="22"/>
          <w:szCs w:val="22"/>
        </w:rPr>
        <w:t xml:space="preserve">justificado.</w:t>
      </w:r>
      <w:r>
        <w:rPr>
          <w:rFonts w:ascii="Arial" w:hAnsi="Arial" w:cs="Arial"/>
          <w:spacing w:val="-2"/>
          <w:sz w:val="22"/>
          <w:szCs w:val="22"/>
        </w:rPr>
      </w:r>
      <w:r>
        <w:rPr>
          <w:rFonts w:ascii="Arial" w:hAnsi="Arial" w:cs="Arial"/>
          <w:spacing w:val="-2"/>
          <w:sz w:val="22"/>
          <w:szCs w:val="22"/>
        </w:rPr>
      </w:r>
    </w:p>
    <w:p w14:paraId="75FDB69D">
      <w:pPr>
        <w:pStyle w:val="1151"/>
        <w:pBdr/>
        <w:tabs>
          <w:tab w:val="left" w:leader="none" w:pos="3362"/>
        </w:tabs>
        <w:spacing/>
        <w:ind w:left="0"/>
        <w:jc w:val="both"/>
        <w:rPr>
          <w:rFonts w:ascii="Arial" w:hAnsi="Arial" w:cs="Arial"/>
          <w:spacing w:val="-2"/>
          <w:sz w:val="22"/>
          <w:szCs w:val="22"/>
        </w:rPr>
      </w:pPr>
      <w:r>
        <w:rPr>
          <w:rFonts w:ascii="Arial" w:hAnsi="Arial" w:cs="Arial"/>
          <w:spacing w:val="-2"/>
          <w:sz w:val="22"/>
          <w:szCs w:val="22"/>
        </w:rPr>
      </w:r>
      <w:r>
        <w:rPr>
          <w:rFonts w:ascii="Arial" w:hAnsi="Arial" w:cs="Arial"/>
          <w:spacing w:val="-2"/>
          <w:sz w:val="22"/>
          <w:szCs w:val="22"/>
        </w:rPr>
      </w:r>
      <w:r>
        <w:rPr>
          <w:rFonts w:ascii="Arial" w:hAnsi="Arial" w:cs="Arial"/>
          <w:spacing w:val="-2"/>
          <w:sz w:val="22"/>
          <w:szCs w:val="22"/>
        </w:rPr>
      </w:r>
    </w:p>
    <w:p w14:paraId="21539355">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Décima</w:t>
      </w:r>
      <w:r>
        <w:rPr>
          <w:rFonts w:ascii="Arial" w:hAnsi="Arial" w:cs="Arial"/>
          <w:b/>
          <w:bCs/>
          <w:szCs w:val="22"/>
        </w:rPr>
      </w:r>
      <w:r>
        <w:rPr>
          <w:rFonts w:ascii="Arial" w:hAnsi="Arial" w:cs="Arial"/>
          <w:b/>
          <w:bCs/>
          <w:szCs w:val="22"/>
        </w:rPr>
      </w:r>
    </w:p>
    <w:p w14:paraId="1E47E5BE">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DAS PENALIDADES </w:t>
      </w:r>
      <w:r>
        <w:rPr>
          <w:rFonts w:ascii="Arial" w:hAnsi="Arial" w:cs="Arial"/>
          <w:szCs w:val="22"/>
        </w:rPr>
      </w:r>
      <w:r>
        <w:rPr>
          <w:rFonts w:ascii="Arial" w:hAnsi="Arial" w:cs="Arial"/>
          <w:szCs w:val="22"/>
        </w:rPr>
      </w:r>
    </w:p>
    <w:p w14:paraId="474576E6">
      <w:pPr>
        <w:pStyle w:val="1160"/>
        <w:numPr>
          <w:ilvl w:val="0"/>
          <w:numId w:val="0"/>
        </w:numPr>
        <w:pBdr/>
        <w:spacing w:line="360" w:lineRule="auto"/>
        <w:ind/>
        <w:rPr>
          <w:color w:val="auto"/>
          <w:sz w:val="22"/>
          <w:szCs w:val="22"/>
        </w:rPr>
      </w:pPr>
      <w:r>
        <w:rPr>
          <w:b/>
          <w:bCs/>
          <w:color w:val="auto"/>
          <w:sz w:val="22"/>
          <w:szCs w:val="22"/>
        </w:rPr>
        <w:t xml:space="preserve">10.1. </w:t>
      </w:r>
      <w:r>
        <w:rPr>
          <w:color w:val="auto"/>
          <w:sz w:val="22"/>
          <w:szCs w:val="22"/>
        </w:rPr>
        <w:t xml:space="preserve">O descumprimento da Ata de Registro de Preços ensejará aplicação das penalidades estabelecidas </w:t>
      </w:r>
      <w:r>
        <w:rPr>
          <w:iCs/>
          <w:color w:val="auto"/>
          <w:sz w:val="22"/>
          <w:szCs w:val="22"/>
        </w:rPr>
        <w:t xml:space="preserve">no Edital e no </w:t>
      </w:r>
      <w:r>
        <w:rPr>
          <w:sz w:val="22"/>
          <w:szCs w:val="22"/>
        </w:rPr>
        <w:t xml:space="preserve">art. 156 da </w:t>
      </w:r>
      <w:r>
        <w:fldChar w:fldCharType="begin"/>
      </w:r>
      <w:r>
        <w:instrText xml:space="preserve"> HYPERLINK "http://www.planalto.gov.br/ccivil_03/_ato2019-2022/2021/lei/L14133.htm" </w:instrText>
      </w:r>
      <w:r>
        <w:fldChar w:fldCharType="separate"/>
      </w:r>
      <w:r>
        <w:rPr>
          <w:rStyle w:val="872"/>
          <w:rFonts w:ascii="Arial" w:hAnsi="Arial" w:cs="Arial"/>
          <w:color w:val="auto"/>
          <w:sz w:val="22"/>
          <w:szCs w:val="22"/>
        </w:rPr>
        <w:t xml:space="preserve">Lei Federal nº 14.13/2021</w:t>
      </w:r>
      <w:r>
        <w:rPr>
          <w:rStyle w:val="872"/>
          <w:rFonts w:ascii="Arial" w:hAnsi="Arial" w:cs="Arial"/>
          <w:color w:val="auto"/>
          <w:sz w:val="22"/>
          <w:szCs w:val="22"/>
        </w:rPr>
        <w:fldChar w:fldCharType="end"/>
      </w:r>
      <w:r>
        <w:rPr>
          <w:iCs/>
          <w:color w:val="auto"/>
          <w:sz w:val="22"/>
          <w:szCs w:val="22"/>
        </w:rPr>
        <w:t xml:space="preserve">.</w:t>
      </w:r>
      <w:r>
        <w:rPr>
          <w:color w:val="auto"/>
          <w:sz w:val="22"/>
          <w:szCs w:val="22"/>
        </w:rPr>
      </w:r>
      <w:r>
        <w:rPr>
          <w:color w:val="auto"/>
          <w:sz w:val="22"/>
          <w:szCs w:val="22"/>
        </w:rPr>
      </w:r>
    </w:p>
    <w:p w14:paraId="4EEF3D54">
      <w:pPr>
        <w:pStyle w:val="1167"/>
        <w:numPr>
          <w:ilvl w:val="0"/>
          <w:numId w:val="0"/>
        </w:numPr>
        <w:pBdr/>
        <w:tabs>
          <w:tab w:val="left" w:leader="none" w:pos="0"/>
        </w:tabs>
        <w:spacing w:line="360" w:lineRule="auto"/>
        <w:ind w:firstLine="480"/>
        <w:rPr>
          <w:sz w:val="22"/>
          <w:szCs w:val="22"/>
        </w:rPr>
      </w:pPr>
      <w:r>
        <w:rPr>
          <w:b/>
          <w:bCs/>
          <w:sz w:val="22"/>
          <w:szCs w:val="22"/>
        </w:rPr>
        <w:t xml:space="preserve">10.1.1.</w:t>
      </w:r>
      <w:r>
        <w:rPr>
          <w:sz w:val="22"/>
          <w:szCs w:val="22"/>
        </w:rPr>
        <w:t xml:space="preserve"> As sanções também se aplicam aos integrantes do cadastro de reserva no registro de preços que, convocados, não honrarem o compromisso assumido injustificadamente após terem assinado a Ata. </w:t>
      </w:r>
      <w:r>
        <w:rPr>
          <w:sz w:val="22"/>
          <w:szCs w:val="22"/>
        </w:rPr>
      </w:r>
      <w:r>
        <w:rPr>
          <w:sz w:val="22"/>
          <w:szCs w:val="22"/>
        </w:rPr>
      </w:r>
    </w:p>
    <w:p w14:paraId="4B10AF4F">
      <w:pPr>
        <w:pStyle w:val="1160"/>
        <w:numPr>
          <w:ilvl w:val="0"/>
          <w:numId w:val="0"/>
        </w:numPr>
        <w:pBdr/>
        <w:spacing w:line="360" w:lineRule="auto"/>
        <w:ind/>
        <w:rPr>
          <w:color w:val="auto"/>
          <w:sz w:val="22"/>
          <w:szCs w:val="22"/>
        </w:rPr>
      </w:pPr>
      <w:r>
        <w:rPr>
          <w:b/>
          <w:bCs/>
          <w:color w:val="auto"/>
          <w:sz w:val="22"/>
          <w:szCs w:val="22"/>
        </w:rPr>
        <w:t xml:space="preserve">10.2.</w:t>
      </w:r>
      <w:r>
        <w:rPr>
          <w:color w:val="auto"/>
          <w:sz w:val="22"/>
          <w:szCs w:val="22"/>
        </w:rPr>
        <w:t xml:space="preserve"> É da competência do Órgão Gerenciador a aplicação das penalidades decorrentes </w:t>
      </w:r>
      <w:r>
        <w:rPr>
          <w:color w:val="auto"/>
          <w:sz w:val="22"/>
          <w:szCs w:val="22"/>
        </w:rPr>
        <w:t xml:space="preserve">do descumprimento do pactuado nesta Ata de Registro de Preços, exceto nas hipóteses em que o descumprimento disser respeito às contratações dos órgãos ou entidade participante, caso no qual caberá ao respectivo órgão participante a aplicação da penalidade.</w:t>
      </w:r>
      <w:r>
        <w:rPr>
          <w:color w:val="auto"/>
          <w:sz w:val="22"/>
          <w:szCs w:val="22"/>
        </w:rPr>
      </w:r>
      <w:r>
        <w:rPr>
          <w:color w:val="auto"/>
          <w:sz w:val="22"/>
          <w:szCs w:val="22"/>
        </w:rPr>
      </w:r>
    </w:p>
    <w:p w14:paraId="5A2243D6">
      <w:pPr>
        <w:pStyle w:val="1160"/>
        <w:numPr>
          <w:ilvl w:val="0"/>
          <w:numId w:val="0"/>
        </w:numPr>
        <w:pBdr/>
        <w:spacing w:line="360" w:lineRule="auto"/>
        <w:ind/>
        <w:rPr>
          <w:color w:val="auto"/>
          <w:sz w:val="22"/>
          <w:szCs w:val="22"/>
        </w:rPr>
      </w:pPr>
      <w:r>
        <w:rPr>
          <w:b/>
          <w:bCs/>
          <w:color w:val="auto"/>
          <w:sz w:val="22"/>
          <w:szCs w:val="22"/>
        </w:rPr>
        <w:t xml:space="preserve">10.3. </w:t>
      </w:r>
      <w:r>
        <w:rPr>
          <w:color w:val="auto"/>
          <w:sz w:val="22"/>
          <w:szCs w:val="22"/>
        </w:rPr>
        <w:t xml:space="preserve">O órgão ou entidade participante deverá comunicar ao Órgão Gerenciador qualquer das ocorrências previstas no item 9.1., dada a necessidade de instauração de procedimento para cancelamento do registro do fornecedor.</w:t>
      </w:r>
      <w:r>
        <w:rPr>
          <w:color w:val="auto"/>
          <w:sz w:val="22"/>
          <w:szCs w:val="22"/>
        </w:rPr>
      </w:r>
      <w:r>
        <w:rPr>
          <w:color w:val="auto"/>
          <w:sz w:val="22"/>
          <w:szCs w:val="22"/>
        </w:rPr>
      </w:r>
    </w:p>
    <w:p w14:paraId="6F915649">
      <w:pPr>
        <w:pStyle w:val="1160"/>
        <w:numPr>
          <w:ilvl w:val="0"/>
          <w:numId w:val="0"/>
        </w:numPr>
        <w:pBdr/>
        <w:spacing w:line="360" w:lineRule="auto"/>
        <w:ind/>
        <w:rPr>
          <w:sz w:val="22"/>
          <w:szCs w:val="22"/>
        </w:rPr>
      </w:pPr>
      <w:r>
        <w:rPr>
          <w:b/>
          <w:bCs/>
          <w:sz w:val="22"/>
          <w:szCs w:val="22"/>
        </w:rPr>
        <w:t xml:space="preserve">10.4.</w:t>
      </w:r>
      <w:r>
        <w:rPr>
          <w:sz w:val="22"/>
          <w:szCs w:val="22"/>
        </w:rPr>
        <w:t xml:space="preserve"> Comete infração administrativa, nos termos do art. 155 da Lei Federal nº 14.133/2021, o licitante ou o contratado que, com dolo ou culpa,:</w:t>
      </w:r>
      <w:r>
        <w:rPr>
          <w:sz w:val="22"/>
          <w:szCs w:val="22"/>
        </w:rPr>
      </w:r>
      <w:r>
        <w:rPr>
          <w:sz w:val="22"/>
          <w:szCs w:val="22"/>
        </w:rPr>
      </w:r>
    </w:p>
    <w:p w14:paraId="35A81DCA">
      <w:pPr>
        <w:pStyle w:val="883"/>
        <w:pBdr/>
        <w:spacing w:after="225" w:afterAutospacing="0" w:before="225" w:beforeAutospacing="0" w:line="360" w:lineRule="auto"/>
        <w:ind w:firstLine="480"/>
        <w:jc w:val="both"/>
        <w:rPr>
          <w:sz w:val="22"/>
          <w:szCs w:val="22"/>
        </w:rPr>
      </w:pPr>
      <w:r>
        <w:rPr>
          <w:rFonts w:ascii="Arial" w:hAnsi="Arial" w:cs="Arial"/>
          <w:b/>
          <w:bCs/>
          <w:sz w:val="22"/>
          <w:szCs w:val="22"/>
        </w:rPr>
        <w:t xml:space="preserve">10.4.1. </w:t>
      </w:r>
      <w:r>
        <w:rPr>
          <w:rFonts w:ascii="Arial" w:hAnsi="Arial" w:cs="Arial"/>
          <w:sz w:val="22"/>
          <w:szCs w:val="22"/>
        </w:rPr>
        <w:t xml:space="preserve">Der causa à inexecução parcial da Ata de Registro de Preços;</w:t>
      </w:r>
      <w:r>
        <w:rPr>
          <w:sz w:val="22"/>
          <w:szCs w:val="22"/>
        </w:rPr>
      </w:r>
      <w:r>
        <w:rPr>
          <w:sz w:val="22"/>
          <w:szCs w:val="22"/>
        </w:rPr>
      </w:r>
    </w:p>
    <w:p w14:paraId="0D8B9E2F">
      <w:pPr>
        <w:pStyle w:val="883"/>
        <w:pBdr/>
        <w:spacing w:after="225" w:afterAutospacing="0" w:before="225" w:beforeAutospacing="0" w:line="360" w:lineRule="auto"/>
        <w:ind w:firstLine="480"/>
        <w:jc w:val="both"/>
        <w:rPr>
          <w:sz w:val="22"/>
          <w:szCs w:val="22"/>
        </w:rPr>
      </w:pPr>
      <w:r>
        <w:rPr>
          <w:rFonts w:ascii="Arial" w:hAnsi="Arial" w:cs="Arial"/>
          <w:b/>
          <w:bCs/>
          <w:sz w:val="22"/>
          <w:szCs w:val="22"/>
        </w:rPr>
        <w:t xml:space="preserve">10.4.2.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r>
        <w:rPr>
          <w:sz w:val="22"/>
          <w:szCs w:val="22"/>
        </w:rPr>
      </w:r>
      <w:r>
        <w:rPr>
          <w:sz w:val="22"/>
          <w:szCs w:val="22"/>
        </w:rPr>
      </w:r>
    </w:p>
    <w:p w14:paraId="404035B5">
      <w:pPr>
        <w:pStyle w:val="883"/>
        <w:pBdr/>
        <w:spacing w:after="225" w:afterAutospacing="0" w:before="225" w:beforeAutospacing="0" w:line="360" w:lineRule="auto"/>
        <w:ind w:firstLine="480"/>
        <w:jc w:val="both"/>
        <w:rPr>
          <w:rFonts w:ascii="Arial" w:hAnsi="Arial" w:cs="Arial"/>
          <w:sz w:val="22"/>
          <w:szCs w:val="22"/>
        </w:rPr>
      </w:pPr>
      <w:r>
        <w:rPr>
          <w:rFonts w:ascii="Arial" w:hAnsi="Arial" w:cs="Arial"/>
          <w:b/>
          <w:bCs/>
          <w:sz w:val="22"/>
          <w:szCs w:val="22"/>
        </w:rPr>
        <w:t xml:space="preserve">10.4.3. </w:t>
      </w:r>
      <w:r>
        <w:rPr>
          <w:rFonts w:ascii="Arial" w:hAnsi="Arial" w:cs="Arial"/>
          <w:sz w:val="22"/>
          <w:szCs w:val="22"/>
        </w:rPr>
        <w:t xml:space="preserve">Der causa à inexecução total da Ata de Registro de Preços;</w:t>
      </w:r>
      <w:r>
        <w:rPr>
          <w:rFonts w:ascii="Arial" w:hAnsi="Arial" w:cs="Arial"/>
          <w:sz w:val="22"/>
          <w:szCs w:val="22"/>
        </w:rPr>
      </w:r>
      <w:r>
        <w:rPr>
          <w:rFonts w:ascii="Arial" w:hAnsi="Arial" w:cs="Arial"/>
          <w:sz w:val="22"/>
          <w:szCs w:val="22"/>
        </w:rPr>
      </w:r>
    </w:p>
    <w:p w14:paraId="7A594947">
      <w:pPr>
        <w:pStyle w:val="1159"/>
        <w:numPr>
          <w:ilvl w:val="0"/>
          <w:numId w:val="0"/>
        </w:numPr>
        <w:pBdr/>
        <w:spacing w:line="360" w:lineRule="auto"/>
        <w:ind w:firstLine="480"/>
        <w:rPr>
          <w:sz w:val="22"/>
          <w:szCs w:val="22"/>
        </w:rPr>
      </w:pPr>
      <w:r>
        <w:rPr>
          <w:b/>
          <w:bCs/>
          <w:sz w:val="22"/>
          <w:szCs w:val="22"/>
        </w:rPr>
        <w:t xml:space="preserve">10.4.4. </w:t>
      </w:r>
      <w:r>
        <w:rPr>
          <w:sz w:val="22"/>
          <w:szCs w:val="22"/>
        </w:rPr>
        <w:t xml:space="preserve">Deixar de entregar a documentação exigida para o certame ou não entregar qualquer documento que tenha sido solicitado pelo Pregoeiro durante o certame;</w:t>
      </w:r>
      <w:r>
        <w:rPr>
          <w:sz w:val="22"/>
          <w:szCs w:val="22"/>
        </w:rPr>
      </w:r>
      <w:r>
        <w:rPr>
          <w:sz w:val="22"/>
          <w:szCs w:val="22"/>
        </w:rPr>
      </w:r>
    </w:p>
    <w:p w14:paraId="4E5D118B">
      <w:pPr>
        <w:pStyle w:val="1159"/>
        <w:numPr>
          <w:ilvl w:val="0"/>
          <w:numId w:val="0"/>
        </w:numPr>
        <w:pBdr/>
        <w:tabs>
          <w:tab w:val="left" w:leader="none" w:pos="0"/>
        </w:tabs>
        <w:spacing w:line="360" w:lineRule="auto"/>
        <w:ind w:firstLine="475" w:left="4"/>
        <w:rPr>
          <w:sz w:val="22"/>
          <w:szCs w:val="22"/>
        </w:rPr>
      </w:pPr>
      <w:r>
        <w:rPr>
          <w:b/>
          <w:bCs/>
          <w:sz w:val="22"/>
          <w:szCs w:val="22"/>
        </w:rPr>
        <w:t xml:space="preserve">10.4.5. </w:t>
      </w:r>
      <w:r>
        <w:rPr>
          <w:sz w:val="22"/>
          <w:szCs w:val="22"/>
        </w:rPr>
        <w:t xml:space="preserve">Não mantiver a proposta, salvo em decorrência de fato superveniente devidamente justificado, em especial quando:</w:t>
      </w:r>
      <w:r>
        <w:rPr>
          <w:sz w:val="22"/>
          <w:szCs w:val="22"/>
        </w:rPr>
      </w:r>
      <w:r>
        <w:rPr>
          <w:sz w:val="22"/>
          <w:szCs w:val="22"/>
        </w:rPr>
      </w:r>
    </w:p>
    <w:p w14:paraId="6376D8F0">
      <w:pPr>
        <w:pStyle w:val="1163"/>
        <w:pBdr/>
        <w:spacing w:line="360" w:lineRule="auto"/>
        <w:ind w:firstLine="720" w:left="0"/>
        <w:rPr>
          <w:sz w:val="22"/>
          <w:szCs w:val="22"/>
        </w:rPr>
      </w:pPr>
      <w:r>
        <w:rPr>
          <w:b/>
          <w:bCs/>
          <w:sz w:val="22"/>
          <w:szCs w:val="22"/>
        </w:rPr>
        <w:t xml:space="preserve">10.4.5.1.</w:t>
      </w:r>
      <w:r>
        <w:rPr>
          <w:sz w:val="22"/>
          <w:szCs w:val="22"/>
        </w:rPr>
        <w:t xml:space="preserve"> Não enviar a proposta adequada ao último lance ofertado ou após a negociação; </w:t>
      </w:r>
      <w:r>
        <w:rPr>
          <w:sz w:val="22"/>
          <w:szCs w:val="22"/>
        </w:rPr>
      </w:r>
      <w:r>
        <w:rPr>
          <w:sz w:val="22"/>
          <w:szCs w:val="22"/>
        </w:rPr>
      </w:r>
    </w:p>
    <w:p w14:paraId="616D480D">
      <w:pPr>
        <w:pStyle w:val="1163"/>
        <w:pBdr/>
        <w:spacing w:line="360" w:lineRule="auto"/>
        <w:ind w:firstLine="720" w:left="0"/>
        <w:rPr>
          <w:sz w:val="22"/>
          <w:szCs w:val="22"/>
        </w:rPr>
      </w:pPr>
      <w:r>
        <w:rPr>
          <w:b/>
          <w:bCs/>
          <w:sz w:val="22"/>
          <w:szCs w:val="22"/>
        </w:rPr>
        <w:t xml:space="preserve">10.4.5.2.</w:t>
      </w:r>
      <w:r>
        <w:rPr>
          <w:sz w:val="22"/>
          <w:szCs w:val="22"/>
        </w:rPr>
        <w:t xml:space="preserve"> Recusar-se a enviar o detalhamento da proposta quando exigível; </w:t>
      </w:r>
      <w:r>
        <w:rPr>
          <w:sz w:val="22"/>
          <w:szCs w:val="22"/>
        </w:rPr>
      </w:r>
      <w:r>
        <w:rPr>
          <w:sz w:val="22"/>
          <w:szCs w:val="22"/>
        </w:rPr>
      </w:r>
    </w:p>
    <w:p w14:paraId="387204E6">
      <w:pPr>
        <w:pStyle w:val="1163"/>
        <w:pBdr/>
        <w:spacing w:line="360" w:lineRule="auto"/>
        <w:ind w:firstLine="720" w:left="0"/>
        <w:rPr>
          <w:sz w:val="22"/>
          <w:szCs w:val="22"/>
        </w:rPr>
      </w:pPr>
      <w:r>
        <w:rPr>
          <w:b/>
          <w:bCs/>
          <w:sz w:val="22"/>
          <w:szCs w:val="22"/>
        </w:rPr>
        <w:t xml:space="preserve">10.4.5.3.</w:t>
      </w:r>
      <w:r>
        <w:rPr>
          <w:sz w:val="22"/>
          <w:szCs w:val="22"/>
        </w:rPr>
        <w:t xml:space="preserve"> Pedir para ser desclassificado quando encerrada a etapa competitiva; ou </w:t>
      </w:r>
      <w:r>
        <w:rPr>
          <w:sz w:val="22"/>
          <w:szCs w:val="22"/>
        </w:rPr>
      </w:r>
      <w:r>
        <w:rPr>
          <w:sz w:val="22"/>
          <w:szCs w:val="22"/>
        </w:rPr>
      </w:r>
    </w:p>
    <w:p w14:paraId="0932ADCC">
      <w:pPr>
        <w:pStyle w:val="1163"/>
        <w:pBdr/>
        <w:spacing w:line="360" w:lineRule="auto"/>
        <w:ind w:firstLine="720" w:left="0"/>
        <w:rPr>
          <w:sz w:val="22"/>
          <w:szCs w:val="22"/>
        </w:rPr>
      </w:pPr>
      <w:r>
        <w:rPr>
          <w:b/>
          <w:bCs/>
          <w:sz w:val="22"/>
          <w:szCs w:val="22"/>
        </w:rPr>
        <w:t xml:space="preserve">10.4.5.4.</w:t>
      </w:r>
      <w:r>
        <w:rPr>
          <w:sz w:val="22"/>
          <w:szCs w:val="22"/>
        </w:rPr>
        <w:t xml:space="preserve"> Deixar de apresentar amostra;</w:t>
      </w:r>
      <w:r>
        <w:rPr>
          <w:sz w:val="22"/>
          <w:szCs w:val="22"/>
        </w:rPr>
      </w:r>
      <w:r>
        <w:rPr>
          <w:sz w:val="22"/>
          <w:szCs w:val="22"/>
        </w:rPr>
      </w:r>
    </w:p>
    <w:p w14:paraId="78420E19">
      <w:pPr>
        <w:pStyle w:val="1163"/>
        <w:pBdr/>
        <w:spacing w:line="360" w:lineRule="auto"/>
        <w:ind w:firstLine="720" w:left="0"/>
        <w:rPr>
          <w:sz w:val="22"/>
          <w:szCs w:val="22"/>
        </w:rPr>
      </w:pPr>
      <w:r>
        <w:rPr>
          <w:b/>
          <w:bCs/>
          <w:sz w:val="22"/>
          <w:szCs w:val="22"/>
        </w:rPr>
        <w:t xml:space="preserve">10.4.5.5.</w:t>
      </w:r>
      <w:r>
        <w:rPr>
          <w:sz w:val="22"/>
          <w:szCs w:val="22"/>
        </w:rPr>
        <w:t xml:space="preserve"> Apresentar proposta ou amostra em desacordo com as especificações do Edital. </w:t>
      </w:r>
      <w:r>
        <w:rPr>
          <w:sz w:val="22"/>
          <w:szCs w:val="22"/>
        </w:rPr>
      </w:r>
      <w:r>
        <w:rPr>
          <w:sz w:val="22"/>
          <w:szCs w:val="22"/>
        </w:rPr>
      </w:r>
    </w:p>
    <w:p w14:paraId="1923CE9E">
      <w:pPr>
        <w:pStyle w:val="1159"/>
        <w:numPr>
          <w:ilvl w:val="0"/>
          <w:numId w:val="0"/>
        </w:numPr>
        <w:pBdr/>
        <w:spacing w:line="360" w:lineRule="auto"/>
        <w:ind w:firstLine="480"/>
        <w:rPr>
          <w:sz w:val="22"/>
          <w:szCs w:val="22"/>
        </w:rPr>
      </w:pPr>
      <w:r>
        <w:rPr>
          <w:b/>
          <w:bCs/>
          <w:sz w:val="22"/>
          <w:szCs w:val="22"/>
        </w:rPr>
        <w:t xml:space="preserve">10.4.6.</w:t>
      </w:r>
      <w:r>
        <w:rPr>
          <w:sz w:val="22"/>
          <w:szCs w:val="22"/>
        </w:rPr>
        <w:t xml:space="preserve"> Não celebrar a Ata de Registro de Preços ou não entregar a documentação exig</w:t>
      </w:r>
      <w:r>
        <w:rPr>
          <w:sz w:val="22"/>
          <w:szCs w:val="22"/>
        </w:rPr>
        <w:t xml:space="preserve">ida para a contratação, quando convocado dentro do prazo de validade de sua proposta, bem como recusar-se, sem justificativa, a assinar a Ata de Registro de Preços, ou a aceitar ou retirar o instrumento equivalente no prazo estabelecido pela Administração;</w:t>
      </w:r>
      <w:r>
        <w:rPr>
          <w:sz w:val="22"/>
          <w:szCs w:val="22"/>
        </w:rPr>
      </w:r>
      <w:r>
        <w:rPr>
          <w:sz w:val="22"/>
          <w:szCs w:val="22"/>
        </w:rPr>
      </w:r>
    </w:p>
    <w:p w14:paraId="0DBA4EDB">
      <w:pPr>
        <w:pStyle w:val="883"/>
        <w:pBdr/>
        <w:spacing w:after="225" w:afterAutospacing="0" w:before="225" w:beforeAutospacing="0" w:line="360" w:lineRule="auto"/>
        <w:ind w:firstLine="480"/>
        <w:jc w:val="both"/>
        <w:rPr>
          <w:sz w:val="22"/>
          <w:szCs w:val="22"/>
        </w:rPr>
      </w:pPr>
      <w:r>
        <w:rPr>
          <w:rFonts w:ascii="Arial" w:hAnsi="Arial" w:cs="Arial"/>
          <w:b/>
          <w:bCs/>
          <w:sz w:val="22"/>
          <w:szCs w:val="22"/>
        </w:rPr>
        <w:t xml:space="preserve">10.4.7.</w:t>
      </w:r>
      <w:r>
        <w:rPr>
          <w:rFonts w:ascii="Arial" w:hAnsi="Arial" w:cs="Arial"/>
          <w:sz w:val="22"/>
          <w:szCs w:val="22"/>
        </w:rPr>
        <w:t xml:space="preserve"> Ensejar o retardamento da execução ou da entrega do objeto da licitação sem motivo justificado;</w:t>
      </w:r>
      <w:r>
        <w:rPr>
          <w:sz w:val="22"/>
          <w:szCs w:val="22"/>
        </w:rPr>
      </w:r>
      <w:r>
        <w:rPr>
          <w:sz w:val="22"/>
          <w:szCs w:val="22"/>
        </w:rPr>
      </w:r>
    </w:p>
    <w:p w14:paraId="3F6FD7AA">
      <w:pPr>
        <w:pStyle w:val="1159"/>
        <w:numPr>
          <w:ilvl w:val="0"/>
          <w:numId w:val="0"/>
        </w:numPr>
        <w:pBdr/>
        <w:spacing w:line="360" w:lineRule="auto"/>
        <w:ind w:firstLine="475" w:left="4"/>
        <w:rPr>
          <w:sz w:val="22"/>
          <w:szCs w:val="22"/>
        </w:rPr>
      </w:pPr>
      <w:r>
        <w:rPr>
          <w:b/>
          <w:bCs/>
          <w:sz w:val="22"/>
          <w:szCs w:val="22"/>
        </w:rPr>
        <w:t xml:space="preserve">10.4.8.</w:t>
      </w:r>
      <w:r>
        <w:rPr>
          <w:sz w:val="22"/>
          <w:szCs w:val="22"/>
        </w:rPr>
        <w:t xml:space="preserve"> Apresentar declaração ou documentação falsa exigida para o certame ou prestar declaração falsa durante a licitação ou durante a execução da Ata de Registro de Preços;</w:t>
      </w:r>
      <w:r>
        <w:rPr>
          <w:sz w:val="22"/>
          <w:szCs w:val="22"/>
        </w:rPr>
      </w:r>
      <w:r>
        <w:rPr>
          <w:sz w:val="22"/>
          <w:szCs w:val="22"/>
        </w:rPr>
      </w:r>
    </w:p>
    <w:p w14:paraId="40B15FC3">
      <w:pPr>
        <w:pStyle w:val="1159"/>
        <w:numPr>
          <w:ilvl w:val="0"/>
          <w:numId w:val="0"/>
        </w:numPr>
        <w:pBdr/>
        <w:spacing w:line="360" w:lineRule="auto"/>
        <w:ind w:firstLine="475" w:left="4"/>
        <w:rPr>
          <w:sz w:val="22"/>
          <w:szCs w:val="22"/>
        </w:rPr>
      </w:pPr>
      <w:r>
        <w:rPr>
          <w:b/>
          <w:bCs/>
          <w:sz w:val="22"/>
          <w:szCs w:val="22"/>
        </w:rPr>
        <w:t xml:space="preserve">10.4.9.</w:t>
      </w:r>
      <w:r>
        <w:rPr>
          <w:sz w:val="22"/>
          <w:szCs w:val="22"/>
        </w:rPr>
        <w:t xml:space="preserve"> Fraudar a licitação ou praticar ato fraudulento na execução da Ata de Registro de Preços;</w:t>
      </w:r>
      <w:r>
        <w:rPr>
          <w:sz w:val="22"/>
          <w:szCs w:val="22"/>
        </w:rPr>
      </w:r>
      <w:r>
        <w:rPr>
          <w:sz w:val="22"/>
          <w:szCs w:val="22"/>
        </w:rPr>
      </w:r>
    </w:p>
    <w:p w14:paraId="6FB38EDC">
      <w:pPr>
        <w:pStyle w:val="1159"/>
        <w:numPr>
          <w:ilvl w:val="0"/>
          <w:numId w:val="0"/>
        </w:numPr>
        <w:pBdr/>
        <w:spacing w:line="360" w:lineRule="auto"/>
        <w:ind w:firstLine="475" w:left="4"/>
        <w:rPr>
          <w:sz w:val="22"/>
          <w:szCs w:val="22"/>
        </w:rPr>
      </w:pPr>
      <w:r>
        <w:rPr>
          <w:b/>
          <w:bCs/>
          <w:sz w:val="22"/>
          <w:szCs w:val="22"/>
        </w:rPr>
        <w:t xml:space="preserve">10.4.10.</w:t>
      </w:r>
      <w:r>
        <w:rPr>
          <w:sz w:val="22"/>
          <w:szCs w:val="22"/>
        </w:rPr>
        <w:t xml:space="preserve"> Comportar-se de modo inidôneo ou cometer fraude de qualquer natureza, em especial quando:</w:t>
      </w:r>
      <w:r>
        <w:rPr>
          <w:sz w:val="22"/>
          <w:szCs w:val="22"/>
        </w:rPr>
      </w:r>
      <w:r>
        <w:rPr>
          <w:sz w:val="22"/>
          <w:szCs w:val="22"/>
        </w:rPr>
      </w:r>
    </w:p>
    <w:p w14:paraId="567C71A7">
      <w:pPr>
        <w:pStyle w:val="1163"/>
        <w:pBdr/>
        <w:spacing w:line="360" w:lineRule="auto"/>
        <w:ind w:firstLine="713" w:left="7"/>
        <w:rPr>
          <w:sz w:val="22"/>
          <w:szCs w:val="22"/>
        </w:rPr>
      </w:pPr>
      <w:r>
        <w:rPr>
          <w:b/>
          <w:bCs/>
          <w:sz w:val="22"/>
          <w:szCs w:val="22"/>
        </w:rPr>
        <w:t xml:space="preserve">10.4.10.1. </w:t>
      </w:r>
      <w:r>
        <w:rPr>
          <w:sz w:val="22"/>
          <w:szCs w:val="22"/>
        </w:rPr>
        <w:t xml:space="preserve">Agir em conluio ou em desconformidade com a lei; </w:t>
      </w:r>
      <w:r>
        <w:rPr>
          <w:sz w:val="22"/>
          <w:szCs w:val="22"/>
        </w:rPr>
      </w:r>
      <w:r>
        <w:rPr>
          <w:sz w:val="22"/>
          <w:szCs w:val="22"/>
        </w:rPr>
      </w:r>
    </w:p>
    <w:p w14:paraId="7F20E483">
      <w:pPr>
        <w:pStyle w:val="1163"/>
        <w:pBdr/>
        <w:spacing w:line="360" w:lineRule="auto"/>
        <w:ind w:firstLine="713" w:left="7"/>
        <w:rPr>
          <w:sz w:val="22"/>
          <w:szCs w:val="22"/>
        </w:rPr>
      </w:pPr>
      <w:r>
        <w:rPr>
          <w:b/>
          <w:bCs/>
          <w:sz w:val="22"/>
          <w:szCs w:val="22"/>
        </w:rPr>
        <w:t xml:space="preserve">10.4.10.2.</w:t>
      </w:r>
      <w:r>
        <w:rPr>
          <w:sz w:val="22"/>
          <w:szCs w:val="22"/>
        </w:rPr>
        <w:t xml:space="preserve"> Induzir deliberadamente a erro no julgamento; </w:t>
      </w:r>
      <w:r>
        <w:rPr>
          <w:sz w:val="22"/>
          <w:szCs w:val="22"/>
        </w:rPr>
      </w:r>
      <w:r>
        <w:rPr>
          <w:sz w:val="22"/>
          <w:szCs w:val="22"/>
        </w:rPr>
      </w:r>
    </w:p>
    <w:p w14:paraId="2BEB756B">
      <w:pPr>
        <w:pStyle w:val="1163"/>
        <w:pBdr/>
        <w:spacing w:line="360" w:lineRule="auto"/>
        <w:ind w:firstLine="713" w:left="7"/>
        <w:rPr>
          <w:sz w:val="22"/>
          <w:szCs w:val="22"/>
        </w:rPr>
      </w:pPr>
      <w:r>
        <w:rPr>
          <w:b/>
          <w:bCs/>
          <w:sz w:val="22"/>
          <w:szCs w:val="22"/>
        </w:rPr>
        <w:t xml:space="preserve">10.4.10.3.</w:t>
      </w:r>
      <w:r>
        <w:rPr>
          <w:sz w:val="22"/>
          <w:szCs w:val="22"/>
        </w:rPr>
        <w:t xml:space="preserve"> Apresentar amostra falsificada ou deteriorada. </w:t>
      </w:r>
      <w:r>
        <w:rPr>
          <w:sz w:val="22"/>
          <w:szCs w:val="22"/>
        </w:rPr>
      </w:r>
      <w:r>
        <w:rPr>
          <w:sz w:val="22"/>
          <w:szCs w:val="22"/>
        </w:rPr>
      </w:r>
    </w:p>
    <w:p w14:paraId="03045F38">
      <w:pPr>
        <w:pStyle w:val="1159"/>
        <w:numPr>
          <w:ilvl w:val="0"/>
          <w:numId w:val="0"/>
        </w:numPr>
        <w:pBdr/>
        <w:spacing w:line="360" w:lineRule="auto"/>
        <w:ind w:firstLine="480"/>
        <w:rPr>
          <w:sz w:val="22"/>
          <w:szCs w:val="22"/>
        </w:rPr>
      </w:pPr>
      <w:r>
        <w:rPr>
          <w:b/>
          <w:bCs/>
          <w:sz w:val="22"/>
          <w:szCs w:val="22"/>
        </w:rPr>
        <w:t xml:space="preserve">10.4.11.</w:t>
      </w:r>
      <w:r>
        <w:rPr>
          <w:sz w:val="22"/>
          <w:szCs w:val="22"/>
        </w:rPr>
        <w:t xml:space="preserve"> Praticar atos ilícitos com vistas a frustrar os objetivos da licitação;</w:t>
      </w:r>
      <w:r>
        <w:rPr>
          <w:sz w:val="22"/>
          <w:szCs w:val="22"/>
        </w:rPr>
      </w:r>
      <w:r>
        <w:rPr>
          <w:sz w:val="22"/>
          <w:szCs w:val="22"/>
        </w:rPr>
      </w:r>
    </w:p>
    <w:p w14:paraId="59C5968C">
      <w:pPr>
        <w:pStyle w:val="1159"/>
        <w:numPr>
          <w:ilvl w:val="0"/>
          <w:numId w:val="0"/>
        </w:numPr>
        <w:pBdr/>
        <w:spacing w:line="360" w:lineRule="auto"/>
        <w:ind w:firstLine="475" w:left="4"/>
        <w:rPr>
          <w:sz w:val="22"/>
          <w:szCs w:val="22"/>
        </w:rPr>
      </w:pPr>
      <w:r>
        <w:rPr>
          <w:b/>
          <w:bCs/>
          <w:sz w:val="22"/>
          <w:szCs w:val="22"/>
        </w:rPr>
        <w:t xml:space="preserve">10.4.12.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872"/>
          <w:rFonts w:ascii="Arial" w:hAnsi="Arial" w:cs="Arial"/>
          <w:sz w:val="22"/>
          <w:szCs w:val="22"/>
        </w:rPr>
        <w:t xml:space="preserve">art. 5º da Lei nº 12.846/2013</w:t>
      </w:r>
      <w:r>
        <w:rPr>
          <w:rStyle w:val="872"/>
          <w:rFonts w:ascii="Arial" w:hAnsi="Arial" w:cs="Arial"/>
          <w:sz w:val="22"/>
          <w:szCs w:val="22"/>
        </w:rPr>
        <w:fldChar w:fldCharType="end"/>
      </w:r>
      <w:r>
        <w:rPr>
          <w:sz w:val="22"/>
          <w:szCs w:val="22"/>
        </w:rPr>
        <w:t xml:space="preserve">.</w:t>
      </w:r>
      <w:r>
        <w:rPr>
          <w:sz w:val="22"/>
          <w:szCs w:val="22"/>
        </w:rPr>
      </w:r>
      <w:r>
        <w:rPr>
          <w:sz w:val="22"/>
          <w:szCs w:val="22"/>
        </w:rPr>
      </w:r>
    </w:p>
    <w:p w14:paraId="0C2D6357">
      <w:pPr>
        <w:pStyle w:val="1160"/>
        <w:numPr>
          <w:ilvl w:val="0"/>
          <w:numId w:val="0"/>
        </w:numPr>
        <w:pBdr/>
        <w:spacing w:line="360" w:lineRule="auto"/>
        <w:ind/>
        <w:rPr>
          <w:sz w:val="22"/>
          <w:szCs w:val="22"/>
        </w:rPr>
      </w:pPr>
      <w:r>
        <w:rPr>
          <w:b/>
          <w:bCs/>
          <w:sz w:val="22"/>
          <w:szCs w:val="22"/>
        </w:rPr>
        <w:t xml:space="preserve">10.5.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872"/>
          <w:rFonts w:ascii="Arial" w:hAnsi="Arial" w:cs="Arial"/>
          <w:color w:val="auto"/>
          <w:sz w:val="22"/>
          <w:szCs w:val="22"/>
        </w:rPr>
        <w:t xml:space="preserve">Lei Federal nº 14.13/2021</w:t>
      </w:r>
      <w:r>
        <w:rPr>
          <w:rStyle w:val="872"/>
          <w:rFonts w:ascii="Arial" w:hAnsi="Arial" w:cs="Arial"/>
          <w:color w:val="auto"/>
          <w:sz w:val="22"/>
          <w:szCs w:val="22"/>
        </w:rPr>
        <w:fldChar w:fldCharType="end"/>
      </w:r>
      <w:r>
        <w:rPr>
          <w:sz w:val="22"/>
          <w:szCs w:val="22"/>
        </w:rPr>
        <w:t xml:space="preserve">, serão aplicadas ao responsável pelas infrações administrativas, garantida a prévia defesa, as seguintes sanções, sem prejuízo das responsabilidades civil e criminal: </w:t>
      </w:r>
      <w:r>
        <w:rPr>
          <w:sz w:val="22"/>
          <w:szCs w:val="22"/>
        </w:rPr>
      </w:r>
      <w:r>
        <w:rPr>
          <w:sz w:val="22"/>
          <w:szCs w:val="22"/>
        </w:rPr>
      </w:r>
    </w:p>
    <w:p w14:paraId="4448A8FE">
      <w:pPr>
        <w:pStyle w:val="1159"/>
        <w:numPr>
          <w:ilvl w:val="0"/>
          <w:numId w:val="0"/>
        </w:numPr>
        <w:pBdr/>
        <w:spacing w:line="360" w:lineRule="auto"/>
        <w:ind w:firstLine="480"/>
        <w:rPr>
          <w:sz w:val="22"/>
          <w:szCs w:val="22"/>
        </w:rPr>
      </w:pPr>
      <w:r>
        <w:rPr>
          <w:b/>
          <w:bCs/>
          <w:sz w:val="22"/>
          <w:szCs w:val="22"/>
        </w:rPr>
        <w:t xml:space="preserve">10.5.1. </w:t>
      </w:r>
      <w:r>
        <w:rPr>
          <w:sz w:val="22"/>
          <w:szCs w:val="22"/>
        </w:rPr>
        <w:t xml:space="preserve">Advertência; </w:t>
      </w:r>
      <w:r>
        <w:rPr>
          <w:sz w:val="22"/>
          <w:szCs w:val="22"/>
        </w:rPr>
      </w:r>
      <w:r>
        <w:rPr>
          <w:sz w:val="22"/>
          <w:szCs w:val="22"/>
        </w:rPr>
      </w:r>
    </w:p>
    <w:p w14:paraId="3287EE71">
      <w:pPr>
        <w:pStyle w:val="1159"/>
        <w:numPr>
          <w:ilvl w:val="0"/>
          <w:numId w:val="0"/>
        </w:numPr>
        <w:pBdr/>
        <w:spacing w:line="360" w:lineRule="auto"/>
        <w:ind w:firstLine="480"/>
        <w:rPr>
          <w:sz w:val="22"/>
          <w:szCs w:val="22"/>
        </w:rPr>
      </w:pPr>
      <w:r>
        <w:rPr>
          <w:b/>
          <w:bCs/>
          <w:sz w:val="22"/>
          <w:szCs w:val="22"/>
        </w:rPr>
        <w:t xml:space="preserve">10.5.2.</w:t>
      </w:r>
      <w:r>
        <w:rPr>
          <w:sz w:val="22"/>
          <w:szCs w:val="22"/>
        </w:rPr>
        <w:t xml:space="preserve"> Multa (moratória e/ou compensatória);</w:t>
      </w:r>
      <w:r>
        <w:rPr>
          <w:sz w:val="22"/>
          <w:szCs w:val="22"/>
        </w:rPr>
      </w:r>
      <w:r>
        <w:rPr>
          <w:sz w:val="22"/>
          <w:szCs w:val="22"/>
        </w:rPr>
      </w:r>
    </w:p>
    <w:p w14:paraId="23D33A8C">
      <w:pPr>
        <w:pStyle w:val="1159"/>
        <w:numPr>
          <w:ilvl w:val="0"/>
          <w:numId w:val="0"/>
        </w:numPr>
        <w:pBdr/>
        <w:spacing w:line="360" w:lineRule="auto"/>
        <w:ind w:firstLine="480"/>
        <w:rPr>
          <w:sz w:val="22"/>
          <w:szCs w:val="22"/>
        </w:rPr>
      </w:pPr>
      <w:r>
        <w:rPr>
          <w:b/>
          <w:bCs/>
          <w:sz w:val="22"/>
          <w:szCs w:val="22"/>
        </w:rPr>
        <w:t xml:space="preserve">10.5.3. </w:t>
      </w:r>
      <w:r>
        <w:rPr>
          <w:sz w:val="22"/>
          <w:szCs w:val="22"/>
        </w:rPr>
        <w:t xml:space="preserve">Impedimento de licitar e contratar; e</w:t>
      </w:r>
      <w:r>
        <w:rPr>
          <w:sz w:val="22"/>
          <w:szCs w:val="22"/>
        </w:rPr>
      </w:r>
      <w:r>
        <w:rPr>
          <w:sz w:val="22"/>
          <w:szCs w:val="22"/>
        </w:rPr>
      </w:r>
    </w:p>
    <w:p w14:paraId="7979C9FF">
      <w:pPr>
        <w:pStyle w:val="1159"/>
        <w:numPr>
          <w:ilvl w:val="0"/>
          <w:numId w:val="0"/>
        </w:numPr>
        <w:pBdr/>
        <w:spacing w:line="360" w:lineRule="auto"/>
        <w:ind w:firstLine="480"/>
        <w:rPr>
          <w:sz w:val="22"/>
          <w:szCs w:val="22"/>
        </w:rPr>
      </w:pPr>
      <w:r>
        <w:rPr>
          <w:b/>
          <w:bCs/>
          <w:sz w:val="22"/>
          <w:szCs w:val="22"/>
        </w:rPr>
        <w:t xml:space="preserve">10.5.4.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5047443B">
      <w:pPr>
        <w:pStyle w:val="1160"/>
        <w:numPr>
          <w:ilvl w:val="0"/>
          <w:numId w:val="0"/>
        </w:numPr>
        <w:pBdr/>
        <w:spacing w:line="360" w:lineRule="auto"/>
        <w:ind/>
        <w:rPr>
          <w:sz w:val="22"/>
          <w:szCs w:val="22"/>
        </w:rPr>
      </w:pPr>
      <w:r>
        <w:rPr>
          <w:b/>
          <w:bCs/>
          <w:sz w:val="22"/>
          <w:szCs w:val="22"/>
        </w:rPr>
        <w:t xml:space="preserve">10.6.</w:t>
      </w:r>
      <w:r>
        <w:rPr>
          <w:sz w:val="22"/>
          <w:szCs w:val="22"/>
        </w:rPr>
        <w:t xml:space="preserve"> Na aplicação das sanções serão considerados:</w:t>
      </w:r>
      <w:r>
        <w:rPr>
          <w:sz w:val="22"/>
          <w:szCs w:val="22"/>
        </w:rPr>
      </w:r>
      <w:r>
        <w:rPr>
          <w:sz w:val="22"/>
          <w:szCs w:val="22"/>
        </w:rPr>
      </w:r>
    </w:p>
    <w:p w14:paraId="59116A5E">
      <w:pPr>
        <w:pStyle w:val="1159"/>
        <w:numPr>
          <w:ilvl w:val="0"/>
          <w:numId w:val="0"/>
        </w:numPr>
        <w:pBdr/>
        <w:spacing w:line="360" w:lineRule="auto"/>
        <w:ind w:firstLine="475" w:left="4"/>
        <w:rPr>
          <w:sz w:val="22"/>
          <w:szCs w:val="22"/>
        </w:rPr>
      </w:pPr>
      <w:r>
        <w:rPr>
          <w:b/>
          <w:bCs/>
          <w:sz w:val="22"/>
          <w:szCs w:val="22"/>
        </w:rPr>
        <w:t xml:space="preserve">10.6.1. </w:t>
      </w:r>
      <w:r>
        <w:rPr>
          <w:sz w:val="22"/>
          <w:szCs w:val="22"/>
        </w:rPr>
        <w:t xml:space="preserve">A natureza e a gravidade da infração cometida;</w:t>
      </w:r>
      <w:r>
        <w:rPr>
          <w:sz w:val="22"/>
          <w:szCs w:val="22"/>
        </w:rPr>
      </w:r>
      <w:r>
        <w:rPr>
          <w:sz w:val="22"/>
          <w:szCs w:val="22"/>
        </w:rPr>
      </w:r>
    </w:p>
    <w:p w14:paraId="0C2A7750">
      <w:pPr>
        <w:pStyle w:val="1159"/>
        <w:numPr>
          <w:ilvl w:val="0"/>
          <w:numId w:val="0"/>
        </w:numPr>
        <w:pBdr/>
        <w:spacing w:line="360" w:lineRule="auto"/>
        <w:ind w:firstLine="475" w:left="4"/>
        <w:rPr>
          <w:sz w:val="22"/>
          <w:szCs w:val="22"/>
        </w:rPr>
      </w:pPr>
      <w:r>
        <w:rPr>
          <w:b/>
          <w:bCs/>
          <w:sz w:val="22"/>
          <w:szCs w:val="22"/>
        </w:rPr>
        <w:t xml:space="preserve">10.6.2. </w:t>
      </w:r>
      <w:r>
        <w:rPr>
          <w:sz w:val="22"/>
          <w:szCs w:val="22"/>
        </w:rPr>
        <w:t xml:space="preserve">As peculiaridades do caso concreto;</w:t>
      </w:r>
      <w:r>
        <w:rPr>
          <w:sz w:val="22"/>
          <w:szCs w:val="22"/>
        </w:rPr>
      </w:r>
      <w:r>
        <w:rPr>
          <w:sz w:val="22"/>
          <w:szCs w:val="22"/>
        </w:rPr>
      </w:r>
    </w:p>
    <w:p w14:paraId="542FDF66">
      <w:pPr>
        <w:pStyle w:val="1159"/>
        <w:numPr>
          <w:ilvl w:val="0"/>
          <w:numId w:val="0"/>
        </w:numPr>
        <w:pBdr/>
        <w:spacing w:line="360" w:lineRule="auto"/>
        <w:ind w:firstLine="475" w:left="4"/>
        <w:rPr>
          <w:sz w:val="22"/>
          <w:szCs w:val="22"/>
        </w:rPr>
      </w:pPr>
      <w:r>
        <w:rPr>
          <w:b/>
          <w:bCs/>
          <w:sz w:val="22"/>
          <w:szCs w:val="22"/>
        </w:rPr>
        <w:t xml:space="preserve">10.6.3.</w:t>
      </w:r>
      <w:r>
        <w:rPr>
          <w:sz w:val="22"/>
          <w:szCs w:val="22"/>
        </w:rPr>
        <w:t xml:space="preserve"> As circunstâncias agravantes ou atenuantes;</w:t>
      </w:r>
      <w:r>
        <w:rPr>
          <w:sz w:val="22"/>
          <w:szCs w:val="22"/>
        </w:rPr>
      </w:r>
      <w:r>
        <w:rPr>
          <w:sz w:val="22"/>
          <w:szCs w:val="22"/>
        </w:rPr>
      </w:r>
    </w:p>
    <w:p w14:paraId="4B9A33C1">
      <w:pPr>
        <w:pStyle w:val="1159"/>
        <w:numPr>
          <w:ilvl w:val="0"/>
          <w:numId w:val="0"/>
        </w:numPr>
        <w:pBdr/>
        <w:spacing w:line="360" w:lineRule="auto"/>
        <w:ind w:firstLine="475" w:left="4"/>
        <w:rPr>
          <w:sz w:val="22"/>
          <w:szCs w:val="22"/>
        </w:rPr>
      </w:pPr>
      <w:r>
        <w:rPr>
          <w:b/>
          <w:bCs/>
          <w:sz w:val="22"/>
          <w:szCs w:val="22"/>
        </w:rPr>
        <w:t xml:space="preserve">10.6.4. </w:t>
      </w:r>
      <w:r>
        <w:rPr>
          <w:sz w:val="22"/>
          <w:szCs w:val="22"/>
        </w:rPr>
        <w:t xml:space="preserve">Os danos que dela provierem para a Administração Pública;</w:t>
      </w:r>
      <w:r>
        <w:rPr>
          <w:sz w:val="22"/>
          <w:szCs w:val="22"/>
        </w:rPr>
      </w:r>
      <w:r>
        <w:rPr>
          <w:sz w:val="22"/>
          <w:szCs w:val="22"/>
        </w:rPr>
      </w:r>
    </w:p>
    <w:p w14:paraId="75C05BEF">
      <w:pPr>
        <w:pStyle w:val="1159"/>
        <w:numPr>
          <w:ilvl w:val="0"/>
          <w:numId w:val="0"/>
        </w:numPr>
        <w:pBdr/>
        <w:spacing w:line="360" w:lineRule="auto"/>
        <w:ind w:firstLine="475" w:left="4"/>
        <w:rPr>
          <w:sz w:val="22"/>
          <w:szCs w:val="22"/>
        </w:rPr>
      </w:pPr>
      <w:r>
        <w:rPr>
          <w:b/>
          <w:bCs/>
          <w:sz w:val="22"/>
          <w:szCs w:val="22"/>
        </w:rPr>
        <w:t xml:space="preserve">10.6.5. </w:t>
      </w:r>
      <w:r>
        <w:rPr>
          <w:sz w:val="22"/>
          <w:szCs w:val="22"/>
        </w:rPr>
        <w:t xml:space="preserve">A implantação ou o aperfeiçoamento de programa de integridade, conforme normas e orientações dos órgãos de controle.</w:t>
      </w:r>
      <w:r>
        <w:rPr>
          <w:sz w:val="22"/>
          <w:szCs w:val="22"/>
        </w:rPr>
      </w:r>
      <w:r>
        <w:rPr>
          <w:sz w:val="22"/>
          <w:szCs w:val="22"/>
        </w:rPr>
      </w:r>
    </w:p>
    <w:p w14:paraId="6F93E472">
      <w:pPr>
        <w:pStyle w:val="1160"/>
        <w:numPr>
          <w:ilvl w:val="0"/>
          <w:numId w:val="0"/>
        </w:numPr>
        <w:pBdr/>
        <w:spacing w:line="360" w:lineRule="auto"/>
        <w:ind/>
        <w:rPr>
          <w:sz w:val="22"/>
          <w:szCs w:val="22"/>
        </w:rPr>
      </w:pPr>
      <w:r>
        <w:rPr>
          <w:b/>
          <w:bCs/>
          <w:sz w:val="22"/>
          <w:szCs w:val="22"/>
        </w:rPr>
        <w:t xml:space="preserve">10.7.</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xml:space="preserve">,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 xml:space="preserve">Decreto Municipal n.º 360/2023.</w:t>
      </w:r>
      <w:r>
        <w:rPr>
          <w:sz w:val="22"/>
          <w:szCs w:val="22"/>
        </w:rPr>
      </w:r>
      <w:r>
        <w:rPr>
          <w:sz w:val="22"/>
          <w:szCs w:val="22"/>
        </w:rPr>
      </w:r>
    </w:p>
    <w:p w14:paraId="17AFD6BD">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10.7.1. </w:t>
      </w:r>
      <w:r>
        <w:rPr>
          <w:rFonts w:ascii="Arial" w:hAnsi="Arial" w:cs="Arial"/>
          <w:sz w:val="22"/>
          <w:szCs w:val="22"/>
        </w:rPr>
        <w:t xml:space="preserve">De 0,5% (cinco décimos por cento) a 5% (cinco por cento) do valor contratado, para os itens 10.1.4. e 10.1.5.</w:t>
      </w:r>
      <w:r>
        <w:rPr>
          <w:rFonts w:ascii="Arial" w:hAnsi="Arial" w:cs="Arial"/>
          <w:sz w:val="22"/>
          <w:szCs w:val="22"/>
        </w:rPr>
      </w:r>
      <w:r>
        <w:rPr>
          <w:rFonts w:ascii="Arial" w:hAnsi="Arial" w:cs="Arial"/>
          <w:sz w:val="22"/>
          <w:szCs w:val="22"/>
        </w:rPr>
      </w:r>
    </w:p>
    <w:p w14:paraId="4FCDC4BC">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10.7.2.</w:t>
      </w:r>
      <w:r>
        <w:rPr>
          <w:rFonts w:ascii="Arial" w:hAnsi="Arial" w:cs="Arial"/>
          <w:sz w:val="22"/>
          <w:szCs w:val="22"/>
        </w:rPr>
        <w:t xml:space="preserve"> De 5% (cinco por cento) a 10% (dez por cento) sobre o valor contratado, em caso de: recusa do adjudicatário em efetuar o reforço de garantia contratual, quando for o caso, e no caso do item 10.1.6.</w:t>
      </w:r>
      <w:r>
        <w:rPr>
          <w:rFonts w:ascii="Arial" w:hAnsi="Arial" w:cs="Arial"/>
          <w:sz w:val="22"/>
          <w:szCs w:val="22"/>
        </w:rPr>
      </w:r>
      <w:r>
        <w:rPr>
          <w:rFonts w:ascii="Arial" w:hAnsi="Arial" w:cs="Arial"/>
          <w:sz w:val="22"/>
          <w:szCs w:val="22"/>
        </w:rPr>
      </w:r>
    </w:p>
    <w:p w14:paraId="2401435B">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10.7.3.</w:t>
      </w:r>
      <w:r>
        <w:rPr>
          <w:rFonts w:ascii="Arial" w:hAnsi="Arial" w:cs="Arial"/>
          <w:sz w:val="22"/>
          <w:szCs w:val="22"/>
        </w:rPr>
        <w:t xml:space="preserve"> De 5% (cinco por cento) a 10% (dez por cento) sobre o valor da parcela do objeto não executada/inadimplente, no caso do item 10.1.1.</w:t>
      </w:r>
      <w:r>
        <w:rPr>
          <w:rFonts w:ascii="Arial" w:hAnsi="Arial" w:cs="Arial"/>
          <w:sz w:val="22"/>
          <w:szCs w:val="22"/>
        </w:rPr>
      </w:r>
      <w:r>
        <w:rPr>
          <w:rFonts w:ascii="Arial" w:hAnsi="Arial" w:cs="Arial"/>
          <w:sz w:val="22"/>
          <w:szCs w:val="22"/>
        </w:rPr>
      </w:r>
    </w:p>
    <w:p w14:paraId="5F81B27A">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10.7.4.</w:t>
      </w:r>
      <w:r>
        <w:rPr>
          <w:rFonts w:ascii="Arial" w:hAnsi="Arial" w:cs="Arial"/>
          <w:sz w:val="22"/>
          <w:szCs w:val="22"/>
        </w:rPr>
        <w:t xml:space="preserve"> De 10% (dez por cento) a 20% (vinte por cento) sobre o valor da Ata de Registro de Preços, nos casos do item 10.1.3.</w:t>
      </w:r>
      <w:r>
        <w:rPr>
          <w:rFonts w:ascii="Arial" w:hAnsi="Arial" w:cs="Arial"/>
          <w:sz w:val="22"/>
          <w:szCs w:val="22"/>
        </w:rPr>
      </w:r>
      <w:r>
        <w:rPr>
          <w:rFonts w:ascii="Arial" w:hAnsi="Arial" w:cs="Arial"/>
          <w:sz w:val="22"/>
          <w:szCs w:val="22"/>
        </w:rPr>
      </w:r>
    </w:p>
    <w:p w14:paraId="0DA8E9E9">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10.7.5.</w:t>
      </w:r>
      <w:r>
        <w:rPr>
          <w:rFonts w:ascii="Arial" w:hAnsi="Arial" w:cs="Arial"/>
          <w:sz w:val="22"/>
          <w:szCs w:val="22"/>
        </w:rPr>
        <w:t xml:space="preserve"> De 20% (vinte por cento) a 30% (vinte por cento) sobre o valor contratado, nos casos previstos nos itens 10.1.2., 10.1.7., 10.1.8., 10.1.9., 10.1.10., 10.1.11. e 10.1.12.</w:t>
      </w:r>
      <w:r>
        <w:rPr>
          <w:rFonts w:ascii="Arial" w:hAnsi="Arial" w:cs="Arial"/>
          <w:sz w:val="22"/>
          <w:szCs w:val="22"/>
        </w:rPr>
      </w:r>
      <w:r>
        <w:rPr>
          <w:rFonts w:ascii="Arial" w:hAnsi="Arial" w:cs="Arial"/>
          <w:sz w:val="22"/>
          <w:szCs w:val="22"/>
        </w:rPr>
      </w:r>
    </w:p>
    <w:p w14:paraId="24223F3A">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10.8.</w:t>
      </w:r>
      <w:r>
        <w:rPr>
          <w:rFonts w:ascii="Arial" w:hAnsi="Arial" w:cs="Arial"/>
          <w:sz w:val="22"/>
          <w:szCs w:val="22"/>
        </w:rPr>
        <w:t xml:space="preserve"> A sanção de multa moratória será a</w:t>
      </w:r>
      <w:r>
        <w:rPr>
          <w:rFonts w:ascii="Arial" w:hAnsi="Arial" w:cs="Arial"/>
          <w:sz w:val="22"/>
          <w:szCs w:val="22"/>
        </w:rPr>
        <w:t xml:space="preserve">plicada à licitante/contratada que entregar o objeto ou executar o serviço contratado de forma integral, tal qual solicitado, porém com atraso injustificado em relação ao prazo fixado na Ata de Registro de Preços, e será aplicada nos seguintes percentuais:</w:t>
      </w:r>
      <w:r>
        <w:rPr>
          <w:rFonts w:ascii="Arial" w:hAnsi="Arial" w:cs="Arial"/>
          <w:sz w:val="22"/>
          <w:szCs w:val="22"/>
        </w:rPr>
      </w:r>
      <w:r>
        <w:rPr>
          <w:rFonts w:ascii="Arial" w:hAnsi="Arial" w:cs="Arial"/>
          <w:sz w:val="22"/>
          <w:szCs w:val="22"/>
        </w:rPr>
      </w:r>
    </w:p>
    <w:p w14:paraId="50E054A8">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10.8.1.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r>
        <w:rPr>
          <w:rFonts w:ascii="Arial" w:hAnsi="Arial" w:cs="Arial"/>
          <w:sz w:val="22"/>
          <w:szCs w:val="22"/>
        </w:rPr>
      </w:r>
      <w:r>
        <w:rPr>
          <w:rFonts w:ascii="Arial" w:hAnsi="Arial" w:cs="Arial"/>
          <w:sz w:val="22"/>
          <w:szCs w:val="22"/>
        </w:rPr>
      </w:r>
    </w:p>
    <w:p w14:paraId="491CA0E6">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10.8.2.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r>
        <w:rPr>
          <w:rFonts w:ascii="Arial" w:hAnsi="Arial" w:cs="Arial"/>
          <w:sz w:val="22"/>
          <w:szCs w:val="22"/>
        </w:rPr>
      </w:r>
      <w:r>
        <w:rPr>
          <w:rFonts w:ascii="Arial" w:hAnsi="Arial" w:cs="Arial"/>
          <w:sz w:val="22"/>
          <w:szCs w:val="22"/>
        </w:rPr>
      </w:r>
    </w:p>
    <w:p w14:paraId="6A5578A9">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10.8.3.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r>
        <w:rPr>
          <w:rFonts w:ascii="Arial" w:hAnsi="Arial" w:cs="Arial"/>
          <w:sz w:val="22"/>
          <w:szCs w:val="22"/>
        </w:rPr>
      </w:r>
      <w:r>
        <w:rPr>
          <w:rFonts w:ascii="Arial" w:hAnsi="Arial" w:cs="Arial"/>
          <w:sz w:val="22"/>
          <w:szCs w:val="22"/>
        </w:rPr>
      </w:r>
    </w:p>
    <w:p w14:paraId="6C02D4D1">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10.8.4. </w:t>
      </w:r>
      <w:r>
        <w:rPr>
          <w:rFonts w:ascii="Arial" w:hAnsi="Arial" w:cs="Arial"/>
          <w:sz w:val="22"/>
          <w:szCs w:val="22"/>
        </w:rPr>
        <w:t xml:space="preserve">Após o 30º </w:t>
      </w:r>
      <w:r>
        <w:rPr>
          <w:rFonts w:ascii="Arial" w:hAnsi="Arial" w:cs="Arial"/>
          <w:sz w:val="22"/>
          <w:szCs w:val="22"/>
        </w:rPr>
        <w:t xml:space="preserve">(trigésimo) dia de atraso, será analisada as justificativas apresentadas pelo Fornecedor/contratado e avaliado se persiste o interesse em manter a contratação ou se é mais vantajoso rescindi-la, conforme art. 137 e seguintes da Lei Federal n.º 14.133/2021.</w:t>
      </w:r>
      <w:r>
        <w:rPr>
          <w:rFonts w:ascii="Arial" w:hAnsi="Arial" w:cs="Arial"/>
          <w:sz w:val="22"/>
          <w:szCs w:val="22"/>
        </w:rPr>
      </w:r>
      <w:r>
        <w:rPr>
          <w:rFonts w:ascii="Arial" w:hAnsi="Arial" w:cs="Arial"/>
          <w:sz w:val="22"/>
          <w:szCs w:val="22"/>
        </w:rPr>
      </w:r>
    </w:p>
    <w:p w14:paraId="43AB4592">
      <w:pPr>
        <w:pBdr/>
        <w:spacing w:after="120" w:afterLines="50" w:before="120" w:beforeLines="50" w:line="360" w:lineRule="auto"/>
        <w:ind/>
        <w:jc w:val="both"/>
        <w:rPr>
          <w:rStyle w:val="1165"/>
          <w:rFonts w:ascii="Arial" w:hAnsi="Arial" w:eastAsia="Calibri" w:cs="Arial"/>
          <w:sz w:val="22"/>
          <w:szCs w:val="22"/>
        </w:rPr>
      </w:pPr>
      <w:r>
        <w:rPr>
          <w:rStyle w:val="1165"/>
          <w:rFonts w:ascii="Arial" w:hAnsi="Arial" w:eastAsia="Calibri" w:cs="Arial"/>
          <w:b/>
          <w:bCs/>
          <w:sz w:val="22"/>
          <w:szCs w:val="22"/>
        </w:rPr>
        <w:t xml:space="preserve">10.9.</w:t>
      </w:r>
      <w:r>
        <w:rPr>
          <w:rStyle w:val="1165"/>
          <w:rFonts w:ascii="Arial" w:hAnsi="Arial" w:eastAsia="Calibri"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hAnsi="Arial" w:eastAsia="Arial" w:cs="Arial"/>
          <w:sz w:val="22"/>
          <w:szCs w:val="22"/>
        </w:rPr>
        <w:t xml:space="preserve">Decreto Municipal n.º 360/2023</w:t>
      </w:r>
      <w:r>
        <w:rPr>
          <w:rStyle w:val="1165"/>
          <w:rFonts w:ascii="Arial" w:hAnsi="Arial" w:eastAsia="Calibri" w:cs="Arial"/>
          <w:sz w:val="22"/>
          <w:szCs w:val="22"/>
        </w:rPr>
        <w:t xml:space="preserve">. </w:t>
      </w:r>
      <w:r>
        <w:rPr>
          <w:rStyle w:val="1165"/>
          <w:rFonts w:ascii="Arial" w:hAnsi="Arial" w:eastAsia="Calibri" w:cs="Arial"/>
          <w:sz w:val="22"/>
          <w:szCs w:val="22"/>
        </w:rPr>
      </w:r>
      <w:r>
        <w:rPr>
          <w:rStyle w:val="1165"/>
          <w:rFonts w:ascii="Arial" w:hAnsi="Arial" w:eastAsia="Calibri" w:cs="Arial"/>
          <w:sz w:val="22"/>
          <w:szCs w:val="22"/>
        </w:rPr>
      </w:r>
    </w:p>
    <w:p w14:paraId="1C98BE65">
      <w:pPr>
        <w:pBdr/>
        <w:spacing w:after="120" w:afterLines="50" w:before="120" w:beforeLines="50" w:line="360" w:lineRule="auto"/>
        <w:ind/>
        <w:jc w:val="both"/>
        <w:rPr>
          <w:rStyle w:val="1165"/>
          <w:rFonts w:ascii="Arial" w:hAnsi="Arial" w:eastAsia="Calibri" w:cs="Arial"/>
          <w:sz w:val="22"/>
          <w:szCs w:val="22"/>
        </w:rPr>
      </w:pPr>
      <w:r>
        <w:rPr>
          <w:rStyle w:val="1165"/>
          <w:rFonts w:ascii="Arial" w:hAnsi="Arial" w:eastAsia="Calibri" w:cs="Arial"/>
          <w:b/>
          <w:bCs/>
          <w:sz w:val="22"/>
          <w:szCs w:val="22"/>
        </w:rPr>
        <w:t xml:space="preserve">10.10.</w:t>
      </w:r>
      <w:r>
        <w:rPr>
          <w:rStyle w:val="1165"/>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165"/>
          <w:rFonts w:ascii="Arial" w:hAnsi="Arial" w:eastAsia="Calibri" w:cs="Arial"/>
          <w:sz w:val="22"/>
          <w:szCs w:val="22"/>
        </w:rPr>
        <w:t xml:space="preserve">pelo prazo mínimo de 3 (três) anos e máximo de 6 (seis) anos, conforme art. 16 do </w:t>
      </w:r>
      <w:r>
        <w:rPr>
          <w:rFonts w:ascii="Arial" w:hAnsi="Arial" w:eastAsia="Arial" w:cs="Arial"/>
          <w:sz w:val="22"/>
          <w:szCs w:val="22"/>
        </w:rPr>
        <w:t xml:space="preserve">Decreto Municipal n.º 360/2023</w:t>
      </w:r>
      <w:r>
        <w:rPr>
          <w:rStyle w:val="1165"/>
          <w:rFonts w:ascii="Arial" w:hAnsi="Arial" w:eastAsia="Calibri" w:cs="Arial"/>
          <w:sz w:val="22"/>
          <w:szCs w:val="22"/>
        </w:rPr>
        <w:t xml:space="preserve">. </w:t>
      </w:r>
      <w:r>
        <w:rPr>
          <w:rStyle w:val="1165"/>
          <w:rFonts w:ascii="Arial" w:hAnsi="Arial" w:eastAsia="Calibri" w:cs="Arial"/>
          <w:sz w:val="22"/>
          <w:szCs w:val="22"/>
        </w:rPr>
      </w:r>
      <w:r>
        <w:rPr>
          <w:rStyle w:val="1165"/>
          <w:rFonts w:ascii="Arial" w:hAnsi="Arial" w:eastAsia="Calibri" w:cs="Arial"/>
          <w:sz w:val="22"/>
          <w:szCs w:val="22"/>
        </w:rPr>
      </w:r>
    </w:p>
    <w:p w14:paraId="2ACCDFB1">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10.11.</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w:t>
      </w:r>
      <w:r>
        <w:rPr>
          <w:rFonts w:ascii="Arial" w:hAnsi="Arial" w:eastAsia="Arial" w:cs="Arial"/>
          <w:color w:val="000000"/>
          <w:sz w:val="22"/>
          <w:szCs w:val="22"/>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65"/>
          <w:rFonts w:ascii="Arial" w:hAnsi="Arial" w:eastAsia="Calibri" w:cs="Arial"/>
          <w:sz w:val="22"/>
          <w:szCs w:val="22"/>
        </w:rPr>
        <w:t xml:space="preserve">conforme </w:t>
      </w:r>
      <w:r>
        <w:rPr>
          <w:rFonts w:ascii="Arial" w:hAnsi="Arial" w:eastAsia="Arial" w:cs="Arial"/>
          <w:sz w:val="22"/>
          <w:szCs w:val="22"/>
        </w:rPr>
        <w:t xml:space="preserve">Decreto Municipal n.º 360/2023</w:t>
      </w:r>
      <w:r>
        <w:rPr>
          <w:rStyle w:val="1165"/>
          <w:rFonts w:ascii="Arial" w:hAnsi="Arial" w:eastAsia="Calibri" w:cs="Arial"/>
          <w:sz w:val="22"/>
          <w:szCs w:val="22"/>
        </w:rPr>
        <w:t xml:space="preserve">.</w:t>
      </w:r>
      <w:r>
        <w:rPr>
          <w:rFonts w:ascii="Arial" w:hAnsi="Arial" w:eastAsia="Arial" w:cs="Arial"/>
          <w:color w:val="000000"/>
          <w:sz w:val="22"/>
          <w:szCs w:val="22"/>
        </w:rPr>
        <w:t xml:space="preserve"> </w:t>
      </w:r>
      <w:r>
        <w:rPr>
          <w:rFonts w:ascii="Arial" w:hAnsi="Arial" w:cs="Arial"/>
          <w:sz w:val="22"/>
          <w:szCs w:val="22"/>
        </w:rPr>
      </w:r>
      <w:r>
        <w:rPr>
          <w:rFonts w:ascii="Arial" w:hAnsi="Arial" w:cs="Arial"/>
          <w:sz w:val="22"/>
          <w:szCs w:val="22"/>
        </w:rPr>
      </w:r>
    </w:p>
    <w:p w14:paraId="10AE4938">
      <w:pPr>
        <w:pBdr/>
        <w:spacing w:after="120" w:afterLines="50" w:before="120" w:beforeLines="50" w:line="360" w:lineRule="auto"/>
        <w:ind/>
        <w:jc w:val="both"/>
        <w:rPr>
          <w:rFonts w:ascii="Arial" w:hAnsi="Arial" w:cs="Arial"/>
          <w:sz w:val="22"/>
          <w:szCs w:val="22"/>
        </w:rPr>
      </w:pPr>
      <w:r>
        <w:rPr>
          <w:rFonts w:ascii="Arial" w:hAnsi="Arial" w:eastAsia="Arial" w:cs="Arial"/>
          <w:b/>
          <w:bCs/>
          <w:color w:val="000000"/>
          <w:sz w:val="22"/>
          <w:szCs w:val="22"/>
        </w:rPr>
        <w:t xml:space="preserve">10.12.</w:t>
      </w:r>
      <w:r>
        <w:rPr>
          <w:rFonts w:ascii="Arial" w:hAnsi="Arial" w:eastAsia="Arial" w:cs="Arial"/>
          <w:color w:val="000000"/>
          <w:sz w:val="22"/>
          <w:szCs w:val="22"/>
        </w:rPr>
        <w:t xml:space="preserve"> Caberá recurso no prazo de 15 (quinze) dias úteis da aplica</w:t>
      </w:r>
      <w:r>
        <w:rPr>
          <w:rFonts w:ascii="Arial" w:hAnsi="Arial" w:eastAsia="Arial" w:cs="Arial"/>
          <w:color w:val="000000"/>
          <w:sz w:val="22"/>
          <w:szCs w:val="22"/>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ascii="Arial" w:hAnsi="Arial" w:cs="Arial"/>
          <w:sz w:val="22"/>
          <w:szCs w:val="22"/>
        </w:rPr>
      </w:r>
      <w:r>
        <w:rPr>
          <w:rFonts w:ascii="Arial" w:hAnsi="Arial" w:cs="Arial"/>
          <w:sz w:val="22"/>
          <w:szCs w:val="22"/>
        </w:rPr>
      </w:r>
    </w:p>
    <w:p w14:paraId="093B9A80">
      <w:pPr>
        <w:pBdr/>
        <w:spacing w:after="120" w:afterLines="50" w:before="120" w:beforeLines="50" w:line="360" w:lineRule="auto"/>
        <w:ind/>
        <w:jc w:val="both"/>
        <w:rPr>
          <w:rFonts w:ascii="Arial" w:hAnsi="Arial" w:cs="Arial"/>
          <w:sz w:val="22"/>
          <w:szCs w:val="22"/>
        </w:rPr>
      </w:pPr>
      <w:r>
        <w:rPr>
          <w:rFonts w:ascii="Arial" w:hAnsi="Arial" w:eastAsia="Arial" w:cs="Arial"/>
          <w:b/>
          <w:bCs/>
          <w:color w:val="000000"/>
          <w:sz w:val="22"/>
          <w:szCs w:val="22"/>
        </w:rPr>
        <w:t xml:space="preserve">10.13.</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r>
        <w:rPr>
          <w:rFonts w:ascii="Arial" w:hAnsi="Arial" w:cs="Arial"/>
          <w:sz w:val="22"/>
          <w:szCs w:val="22"/>
        </w:rPr>
      </w:r>
      <w:r>
        <w:rPr>
          <w:rFonts w:ascii="Arial" w:hAnsi="Arial" w:cs="Arial"/>
          <w:sz w:val="22"/>
          <w:szCs w:val="22"/>
        </w:rPr>
      </w:r>
    </w:p>
    <w:p w14:paraId="4EA2D9F8">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10.14.</w:t>
      </w:r>
      <w:r>
        <w:rPr>
          <w:rFonts w:ascii="Arial" w:hAnsi="Arial" w:cs="Arial"/>
          <w:sz w:val="22"/>
          <w:szCs w:val="22"/>
        </w:rPr>
        <w:t xml:space="preserve"> A aplicação das sanções previstas no item 10.2., alíneas “b”, “c”, “d” e “e” admitem a reabilitação da licitante/contratada perante a própria autoridade que aplicou a penalidade, exigidos e poderá ser requerida pela parte, quando couber:</w:t>
      </w:r>
      <w:r>
        <w:rPr>
          <w:rFonts w:ascii="Arial" w:hAnsi="Arial" w:cs="Arial"/>
          <w:sz w:val="22"/>
          <w:szCs w:val="22"/>
        </w:rPr>
      </w:r>
      <w:r>
        <w:rPr>
          <w:rFonts w:ascii="Arial" w:hAnsi="Arial" w:cs="Arial"/>
          <w:sz w:val="22"/>
          <w:szCs w:val="22"/>
        </w:rPr>
      </w:r>
    </w:p>
    <w:p w14:paraId="5890E525">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a)</w:t>
      </w:r>
      <w:r>
        <w:rPr>
          <w:rFonts w:ascii="Arial" w:hAnsi="Arial" w:cs="Arial"/>
          <w:sz w:val="22"/>
          <w:szCs w:val="22"/>
        </w:rPr>
        <w:t xml:space="preserve"> Reparação integral do dano causado à Administração Pública;</w:t>
      </w:r>
      <w:r>
        <w:rPr>
          <w:rFonts w:ascii="Arial" w:hAnsi="Arial" w:cs="Arial"/>
          <w:sz w:val="22"/>
          <w:szCs w:val="22"/>
        </w:rPr>
      </w:r>
      <w:r>
        <w:rPr>
          <w:rFonts w:ascii="Arial" w:hAnsi="Arial" w:cs="Arial"/>
          <w:sz w:val="22"/>
          <w:szCs w:val="22"/>
        </w:rPr>
      </w:r>
    </w:p>
    <w:p w14:paraId="49B3A56A">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b)</w:t>
      </w:r>
      <w:r>
        <w:rPr>
          <w:rFonts w:ascii="Arial" w:hAnsi="Arial" w:cs="Arial"/>
          <w:sz w:val="22"/>
          <w:szCs w:val="22"/>
        </w:rPr>
        <w:t xml:space="preserve"> Pagamento da multa;</w:t>
      </w:r>
      <w:r>
        <w:rPr>
          <w:rFonts w:ascii="Arial" w:hAnsi="Arial" w:cs="Arial"/>
          <w:sz w:val="22"/>
          <w:szCs w:val="22"/>
        </w:rPr>
      </w:r>
      <w:r>
        <w:rPr>
          <w:rFonts w:ascii="Arial" w:hAnsi="Arial" w:cs="Arial"/>
          <w:sz w:val="22"/>
          <w:szCs w:val="22"/>
        </w:rPr>
      </w:r>
    </w:p>
    <w:p w14:paraId="0BDDBFB5">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r>
        <w:rPr>
          <w:rFonts w:ascii="Arial" w:hAnsi="Arial" w:cs="Arial"/>
          <w:sz w:val="22"/>
          <w:szCs w:val="22"/>
        </w:rPr>
      </w:r>
      <w:r>
        <w:rPr>
          <w:rFonts w:ascii="Arial" w:hAnsi="Arial" w:cs="Arial"/>
          <w:sz w:val="22"/>
          <w:szCs w:val="22"/>
        </w:rPr>
      </w:r>
    </w:p>
    <w:p w14:paraId="55104151">
      <w:pPr>
        <w:pBdr/>
        <w:spacing w:after="120" w:afterLines="50" w:before="120" w:beforeLines="50" w:line="360" w:lineRule="auto"/>
        <w:ind w:firstLine="480"/>
        <w:jc w:val="both"/>
        <w:rPr>
          <w:rFonts w:ascii="Arial" w:hAnsi="Arial" w:cs="Arial"/>
          <w:sz w:val="22"/>
          <w:szCs w:val="22"/>
        </w:rPr>
      </w:pPr>
      <w:r>
        <w:rPr>
          <w:rFonts w:ascii="Arial" w:hAnsi="Arial" w:cs="Arial"/>
          <w:b/>
          <w:bCs/>
          <w:sz w:val="22"/>
          <w:szCs w:val="22"/>
        </w:rPr>
        <w:t xml:space="preserve">d)</w:t>
      </w:r>
      <w:r>
        <w:rPr>
          <w:rFonts w:ascii="Arial" w:hAnsi="Arial" w:cs="Arial"/>
          <w:sz w:val="22"/>
          <w:szCs w:val="22"/>
        </w:rPr>
        <w:t xml:space="preserve"> Cumprimento das condições de reabilitação definidas no ato punitivo;</w:t>
      </w:r>
      <w:r>
        <w:rPr>
          <w:rFonts w:ascii="Arial" w:hAnsi="Arial" w:cs="Arial"/>
          <w:sz w:val="22"/>
          <w:szCs w:val="22"/>
        </w:rPr>
      </w:r>
      <w:r>
        <w:rPr>
          <w:rFonts w:ascii="Arial" w:hAnsi="Arial" w:cs="Arial"/>
          <w:sz w:val="22"/>
          <w:szCs w:val="22"/>
        </w:rPr>
      </w:r>
    </w:p>
    <w:p w14:paraId="6BA6B3F6">
      <w:pPr>
        <w:pStyle w:val="1160"/>
        <w:numPr>
          <w:ilvl w:val="0"/>
          <w:numId w:val="0"/>
        </w:numPr>
        <w:pBdr/>
        <w:spacing w:line="360" w:lineRule="auto"/>
        <w:ind w:firstLine="480"/>
        <w:rPr>
          <w:sz w:val="22"/>
          <w:szCs w:val="22"/>
        </w:rPr>
      </w:pPr>
      <w:r>
        <w:rPr>
          <w:b/>
          <w:bCs/>
          <w:sz w:val="22"/>
          <w:szCs w:val="22"/>
        </w:rPr>
        <w:t xml:space="preserve">e)</w:t>
      </w:r>
      <w:r>
        <w:rPr>
          <w:sz w:val="22"/>
          <w:szCs w:val="22"/>
        </w:rPr>
        <w:t xml:space="preserve"> Análise jurídica prévia, com posicionamento conclusivo quanto ao cumprimento dos requisitos definidos neste artigo. </w:t>
      </w:r>
      <w:r>
        <w:rPr>
          <w:sz w:val="22"/>
          <w:szCs w:val="22"/>
        </w:rPr>
      </w:r>
      <w:r>
        <w:rPr>
          <w:sz w:val="22"/>
          <w:szCs w:val="22"/>
        </w:rPr>
      </w:r>
    </w:p>
    <w:p w14:paraId="7552E803">
      <w:pPr>
        <w:pStyle w:val="1160"/>
        <w:numPr>
          <w:ilvl w:val="0"/>
          <w:numId w:val="0"/>
        </w:numPr>
        <w:pBdr/>
        <w:spacing w:line="360" w:lineRule="auto"/>
        <w:ind/>
        <w:rPr>
          <w:sz w:val="22"/>
          <w:szCs w:val="22"/>
        </w:rPr>
      </w:pPr>
      <w:r>
        <w:rPr>
          <w:b/>
          <w:bCs/>
          <w:sz w:val="22"/>
          <w:szCs w:val="22"/>
        </w:rPr>
        <w:t xml:space="preserve">10.15.</w:t>
      </w:r>
      <w:r>
        <w:rPr>
          <w:sz w:val="22"/>
          <w:szCs w:val="22"/>
        </w:rPr>
        <w:t xml:space="preserve"> A aplicação das sanções previstas no Edital e na Ata de Registro de Preços não exclui, em hipótese alguma, a obrigação de reparação integral dos danos causados.</w:t>
      </w:r>
      <w:r>
        <w:rPr>
          <w:sz w:val="22"/>
          <w:szCs w:val="22"/>
        </w:rPr>
      </w:r>
      <w:r>
        <w:rPr>
          <w:sz w:val="22"/>
          <w:szCs w:val="22"/>
        </w:rPr>
      </w:r>
    </w:p>
    <w:p w14:paraId="089BC0D7">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 w:val="22"/>
          <w:szCs w:val="22"/>
        </w:rPr>
      </w:pPr>
      <w:r>
        <w:rPr>
          <w:rFonts w:ascii="Arial" w:hAnsi="Arial" w:cs="Arial"/>
          <w:b/>
          <w:bCs/>
          <w:sz w:val="22"/>
          <w:szCs w:val="22"/>
        </w:rPr>
        <w:t xml:space="preserve">Cláusula Décima Primeira</w:t>
      </w:r>
      <w:r>
        <w:rPr>
          <w:rFonts w:ascii="Arial" w:hAnsi="Arial" w:cs="Arial"/>
          <w:b/>
          <w:bCs/>
          <w:sz w:val="22"/>
          <w:szCs w:val="22"/>
        </w:rPr>
      </w:r>
      <w:r>
        <w:rPr>
          <w:rFonts w:ascii="Arial" w:hAnsi="Arial" w:cs="Arial"/>
          <w:b/>
          <w:bCs/>
          <w:sz w:val="22"/>
          <w:szCs w:val="22"/>
        </w:rPr>
      </w:r>
    </w:p>
    <w:p w14:paraId="5A41B46C">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bCs/>
          <w:sz w:val="22"/>
          <w:szCs w:val="22"/>
        </w:rPr>
        <w:t xml:space="preserve">DAS CONDIÇÕES DO PAGAMENTO</w:t>
      </w:r>
      <w:r>
        <w:rPr>
          <w:rFonts w:ascii="Arial" w:hAnsi="Arial" w:cs="Arial"/>
          <w:b/>
          <w:sz w:val="22"/>
          <w:szCs w:val="22"/>
        </w:rPr>
      </w:r>
      <w:r>
        <w:rPr>
          <w:rFonts w:ascii="Arial" w:hAnsi="Arial" w:cs="Arial"/>
          <w:b/>
          <w:sz w:val="22"/>
          <w:szCs w:val="22"/>
        </w:rPr>
      </w:r>
    </w:p>
    <w:p w14:paraId="49515FE3">
      <w:pPr>
        <w:pStyle w:val="1172"/>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cs="Arial"/>
          <w:i w:val="0"/>
          <w:iCs/>
          <w:sz w:val="22"/>
          <w:szCs w:val="22"/>
          <w:lang w:val="pt-BR"/>
        </w:rPr>
      </w:pPr>
      <w:r>
        <w:rPr>
          <w:rFonts w:hint="default" w:ascii="Arial" w:hAnsi="Arial" w:cs="Arial"/>
          <w:b/>
          <w:bCs/>
          <w:i w:val="0"/>
          <w:iCs/>
          <w:sz w:val="22"/>
          <w:szCs w:val="22"/>
          <w:lang w:val="pt-BR"/>
        </w:rPr>
        <w:t xml:space="preserve">11.1. </w:t>
      </w:r>
      <w:r>
        <w:rPr>
          <w:rFonts w:hint="default" w:ascii="Arial" w:hAnsi="Arial" w:cs="Arial"/>
          <w:i w:val="0"/>
          <w:iCs/>
          <w:sz w:val="22"/>
          <w:szCs w:val="22"/>
          <w:lang w:val="pt-BR"/>
        </w:rPr>
        <w:t xml:space="preserve">O pagamento do serviço contratado se dará em até no máximo 30 (trinta) dias após a liquidação da Nota Fiscal/Fatura, conforme as disposições do Decreto Municipal 358/2023.</w:t>
      </w:r>
      <w:r>
        <w:rPr>
          <w:rFonts w:hint="default" w:ascii="Arial" w:hAnsi="Arial" w:cs="Arial"/>
          <w:i w:val="0"/>
          <w:iCs/>
          <w:sz w:val="22"/>
          <w:szCs w:val="22"/>
          <w:lang w:val="pt-BR"/>
        </w:rPr>
      </w:r>
      <w:r>
        <w:rPr>
          <w:rFonts w:hint="default" w:ascii="Arial" w:hAnsi="Arial" w:cs="Arial"/>
          <w:i w:val="0"/>
          <w:iCs/>
          <w:sz w:val="22"/>
          <w:szCs w:val="22"/>
          <w:lang w:val="pt-BR"/>
        </w:rPr>
      </w:r>
    </w:p>
    <w:p w14:paraId="04BBA666">
      <w:pPr>
        <w:pStyle w:val="1174"/>
        <w:numPr>
          <w:ilvl w:val="1"/>
          <w:numId w:val="0"/>
        </w:numPr>
        <w:pBdr/>
        <w:spacing w:line="360" w:lineRule="auto"/>
        <w:ind w:firstLine="528" w:left="0"/>
        <w:rPr>
          <w:sz w:val="22"/>
          <w:szCs w:val="22"/>
        </w:rPr>
      </w:pPr>
      <w:r>
        <w:rPr>
          <w:rFonts w:hint="default"/>
          <w:b/>
          <w:bCs/>
          <w:sz w:val="22"/>
          <w:szCs w:val="22"/>
          <w:lang w:val="pt-BR"/>
        </w:rPr>
        <w:t xml:space="preserve">11.1.1. </w:t>
      </w:r>
      <w:r>
        <w:rPr>
          <w:sz w:val="22"/>
          <w:szCs w:val="22"/>
        </w:rPr>
        <w:t xml:space="preserve">No caso de atraso pel</w:t>
      </w:r>
      <w:r>
        <w:rPr>
          <w:rFonts w:hint="default"/>
          <w:sz w:val="22"/>
          <w:szCs w:val="22"/>
          <w:lang w:val="pt-BR"/>
        </w:rPr>
        <w:t xml:space="preserve">a</w:t>
      </w:r>
      <w:r>
        <w:rPr>
          <w:sz w:val="22"/>
          <w:szCs w:val="22"/>
        </w:rPr>
        <w:t xml:space="preserve"> Contratante, os valores devidos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 xml:space="preserve">de correção monetária.</w:t>
      </w:r>
      <w:r>
        <w:rPr>
          <w:sz w:val="22"/>
          <w:szCs w:val="22"/>
        </w:rPr>
      </w:r>
      <w:r>
        <w:rPr>
          <w:sz w:val="22"/>
          <w:szCs w:val="22"/>
        </w:rPr>
      </w:r>
    </w:p>
    <w:p w14:paraId="70B114F5">
      <w:pPr>
        <w:pStyle w:val="1160"/>
        <w:numPr>
          <w:ilvl w:val="0"/>
          <w:numId w:val="0"/>
        </w:numPr>
        <w:pBdr/>
        <w:spacing w:line="360" w:lineRule="auto"/>
        <w:ind/>
        <w:rPr>
          <w:sz w:val="22"/>
          <w:szCs w:val="22"/>
          <w:lang w:eastAsia="en-US"/>
        </w:rPr>
      </w:pPr>
      <w:r>
        <w:rPr>
          <w:b/>
          <w:bCs/>
          <w:sz w:val="22"/>
          <w:szCs w:val="22"/>
          <w:lang w:eastAsia="en-US"/>
        </w:rPr>
        <w:t xml:space="preserve">11.2. </w:t>
      </w:r>
      <w:r>
        <w:rPr>
          <w:sz w:val="22"/>
          <w:szCs w:val="22"/>
          <w:lang w:eastAsia="en-US"/>
        </w:rPr>
        <w:t xml:space="preserve">Será considerada data do pagamento o dia em que constar como emitida a ordem bancária para pagamento.</w:t>
      </w:r>
      <w:r>
        <w:rPr>
          <w:sz w:val="22"/>
          <w:szCs w:val="22"/>
          <w:lang w:eastAsia="en-US"/>
        </w:rPr>
      </w:r>
      <w:r>
        <w:rPr>
          <w:sz w:val="22"/>
          <w:szCs w:val="22"/>
          <w:lang w:eastAsia="en-US"/>
        </w:rPr>
      </w:r>
    </w:p>
    <w:p w14:paraId="547DF570">
      <w:pPr>
        <w:pBdr/>
        <w:spacing w:line="360" w:lineRule="auto"/>
        <w:ind/>
        <w:jc w:val="both"/>
        <w:rPr>
          <w:rFonts w:ascii="Arial" w:hAnsi="Arial" w:cs="Arial"/>
          <w:sz w:val="22"/>
          <w:szCs w:val="22"/>
        </w:rPr>
      </w:pPr>
      <w:r>
        <w:rPr>
          <w:rFonts w:ascii="Arial" w:hAnsi="Arial" w:cs="Arial"/>
          <w:b/>
          <w:bCs/>
          <w:sz w:val="22"/>
          <w:szCs w:val="22"/>
        </w:rPr>
        <w:t xml:space="preserve">11.3.</w:t>
      </w:r>
      <w:r>
        <w:rPr>
          <w:rFonts w:ascii="Arial" w:hAnsi="Arial" w:cs="Arial"/>
          <w:sz w:val="22"/>
          <w:szCs w:val="22"/>
        </w:rPr>
        <w:t xml:space="preserve"> A contagem do prazo para pagamento terá início e encerramento em dias de expediente na Administração Pública Municipal.</w:t>
      </w:r>
      <w:r>
        <w:rPr>
          <w:rFonts w:ascii="Arial" w:hAnsi="Arial" w:cs="Arial"/>
          <w:sz w:val="22"/>
          <w:szCs w:val="22"/>
        </w:rPr>
      </w:r>
      <w:r>
        <w:rPr>
          <w:rFonts w:ascii="Arial" w:hAnsi="Arial" w:cs="Arial"/>
          <w:sz w:val="22"/>
          <w:szCs w:val="22"/>
        </w:rPr>
      </w:r>
    </w:p>
    <w:p w14:paraId="7F3D9C08">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11.4.</w:t>
      </w:r>
      <w:r>
        <w:rPr>
          <w:rFonts w:ascii="Arial" w:hAnsi="Arial" w:cs="Arial"/>
          <w:sz w:val="22"/>
          <w:szCs w:val="22"/>
        </w:rPr>
        <w:t xml:space="preserve"> A Nota Fiscal/Fatura deverá ser apresentada já com as deduções tributárias legais incidentes.</w:t>
      </w:r>
      <w:r>
        <w:rPr>
          <w:rFonts w:ascii="Arial" w:hAnsi="Arial" w:cs="Arial"/>
          <w:sz w:val="22"/>
          <w:szCs w:val="22"/>
        </w:rPr>
      </w:r>
      <w:r>
        <w:rPr>
          <w:rFonts w:ascii="Arial" w:hAnsi="Arial" w:cs="Arial"/>
          <w:sz w:val="22"/>
          <w:szCs w:val="22"/>
        </w:rPr>
      </w:r>
    </w:p>
    <w:p w14:paraId="7997D0A5">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11.5.</w:t>
      </w:r>
      <w:r>
        <w:rPr>
          <w:rFonts w:ascii="Arial" w:hAnsi="Arial" w:cs="Arial"/>
          <w:sz w:val="22"/>
          <w:szCs w:val="22"/>
        </w:rPr>
        <w:t xml:space="preserve"> Não aplicar-se-á o previsto no item 13.1. caso os recursos sejam provenientes de transferências de outros órgãos e os mesmos não tenham sido arrecadados aos cofres públicos municipais.</w:t>
      </w:r>
      <w:r>
        <w:rPr>
          <w:rFonts w:ascii="Arial" w:hAnsi="Arial" w:cs="Arial"/>
          <w:sz w:val="22"/>
          <w:szCs w:val="22"/>
        </w:rPr>
      </w:r>
      <w:r>
        <w:rPr>
          <w:rFonts w:ascii="Arial" w:hAnsi="Arial" w:cs="Arial"/>
          <w:sz w:val="22"/>
          <w:szCs w:val="22"/>
        </w:rPr>
      </w:r>
    </w:p>
    <w:p w14:paraId="502C3FF4">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11.6.</w:t>
      </w:r>
      <w:r>
        <w:rPr>
          <w:rFonts w:ascii="Arial" w:hAnsi="Arial" w:cs="Arial"/>
          <w:sz w:val="22"/>
          <w:szCs w:val="22"/>
        </w:rPr>
        <w:t xml:space="preserve"> </w:t>
      </w:r>
      <w:r>
        <w:rPr>
          <w:rFonts w:ascii="Arial" w:hAnsi="Arial" w:cs="Arial"/>
          <w:sz w:val="22"/>
          <w:szCs w:val="22"/>
          <w:lang w:eastAsia="en-US"/>
        </w:rPr>
        <w:t xml:space="preserve">A nota fiscal ou instrumento de cobrança equivalente deverá ser obrigatoriamente acompanhado da comprovação da regularidade fiscal, mediante consulta aos sítios eletrônicos oficiais ou à documentação mencionada no </w:t>
      </w:r>
      <w:r>
        <w:fldChar w:fldCharType="begin"/>
      </w:r>
      <w:r>
        <w:instrText xml:space="preserve"> HYPERLINK "http://www.planalto.gov.br/ccivil_03/_ato2019-2022/2021/lei/L14133.htm" \l "art68" \h </w:instrText>
      </w:r>
      <w:r>
        <w:fldChar w:fldCharType="separate"/>
      </w:r>
      <w:r>
        <w:rPr>
          <w:rStyle w:val="872"/>
          <w:rFonts w:ascii="Arial" w:hAnsi="Arial" w:cs="Arial"/>
          <w:sz w:val="22"/>
          <w:szCs w:val="22"/>
          <w:lang w:eastAsia="en-US"/>
        </w:rPr>
        <w:t xml:space="preserve">art. 68 da Lei Federal n.º 14.133/2021.  </w:t>
      </w:r>
      <w:r>
        <w:rPr>
          <w:rStyle w:val="872"/>
          <w:rFonts w:ascii="Arial" w:hAnsi="Arial" w:cs="Arial"/>
          <w:sz w:val="22"/>
          <w:szCs w:val="22"/>
          <w:lang w:eastAsia="en-US"/>
        </w:rPr>
        <w:fldChar w:fldCharType="end"/>
      </w:r>
      <w:r>
        <w:rPr>
          <w:rFonts w:ascii="Arial" w:hAnsi="Arial" w:cs="Arial"/>
          <w:sz w:val="22"/>
          <w:szCs w:val="22"/>
          <w:lang w:eastAsia="en-US"/>
        </w:rPr>
        <w:t xml:space="preserve"> </w:t>
      </w:r>
      <w:r>
        <w:rPr>
          <w:rFonts w:ascii="Arial" w:hAnsi="Arial" w:cs="Arial"/>
          <w:sz w:val="22"/>
          <w:szCs w:val="22"/>
        </w:rPr>
      </w:r>
      <w:r>
        <w:rPr>
          <w:rFonts w:ascii="Arial" w:hAnsi="Arial" w:cs="Arial"/>
          <w:sz w:val="22"/>
          <w:szCs w:val="22"/>
        </w:rPr>
      </w:r>
    </w:p>
    <w:p w14:paraId="4C9E50C7">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r>
        <w:rPr>
          <w:rFonts w:ascii="Arial" w:hAnsi="Arial" w:cs="Arial"/>
          <w:sz w:val="22"/>
          <w:szCs w:val="22"/>
        </w:rPr>
      </w:r>
      <w:r>
        <w:rPr>
          <w:rFonts w:ascii="Arial" w:hAnsi="Arial" w:cs="Arial"/>
          <w:sz w:val="22"/>
          <w:szCs w:val="22"/>
        </w:rPr>
      </w:r>
    </w:p>
    <w:p w14:paraId="708DB3AA">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11.8.</w:t>
      </w:r>
      <w:r>
        <w:rPr>
          <w:rFonts w:ascii="Arial" w:hAnsi="Arial" w:cs="Arial"/>
          <w:sz w:val="22"/>
          <w:szCs w:val="22"/>
        </w:rPr>
        <w:t xml:space="preserve"> Em sendo optante do SIMPLES, o fornecedor deverá apresentar documento expedido pela Receita Federal demonstrando essa condição.</w:t>
      </w:r>
      <w:r>
        <w:rPr>
          <w:rFonts w:ascii="Arial" w:hAnsi="Arial" w:cs="Arial"/>
          <w:sz w:val="22"/>
          <w:szCs w:val="22"/>
        </w:rPr>
      </w:r>
      <w:r>
        <w:rPr>
          <w:rFonts w:ascii="Arial" w:hAnsi="Arial" w:cs="Arial"/>
          <w:sz w:val="22"/>
          <w:szCs w:val="22"/>
        </w:rPr>
      </w:r>
    </w:p>
    <w:p w14:paraId="073264A4">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r>
        <w:rPr>
          <w:rFonts w:ascii="Arial" w:hAnsi="Arial" w:cs="Arial"/>
          <w:sz w:val="22"/>
          <w:szCs w:val="22"/>
        </w:rPr>
      </w:r>
      <w:r>
        <w:rPr>
          <w:rFonts w:ascii="Arial" w:hAnsi="Arial" w:cs="Arial"/>
          <w:sz w:val="22"/>
          <w:szCs w:val="22"/>
        </w:rPr>
      </w:r>
    </w:p>
    <w:p w14:paraId="334BA000">
      <w:pPr>
        <w:pBdr/>
        <w:spacing w:after="120" w:afterLines="50" w:before="120" w:beforeLines="50" w:line="360" w:lineRule="auto"/>
        <w:ind/>
        <w:jc w:val="both"/>
        <w:rPr>
          <w:rFonts w:ascii="Arial" w:hAnsi="Arial" w:eastAsia="Calibri" w:cs="Arial"/>
          <w:sz w:val="22"/>
          <w:szCs w:val="22"/>
          <w:lang w:eastAsia="en-US"/>
        </w:rPr>
      </w:pPr>
      <w:r>
        <w:rPr>
          <w:rFonts w:ascii="Arial" w:hAnsi="Arial" w:eastAsia="Calibri" w:cs="Arial"/>
          <w:b/>
          <w:bCs/>
          <w:sz w:val="22"/>
          <w:szCs w:val="22"/>
          <w:lang w:eastAsia="en-US"/>
        </w:rPr>
        <w:t xml:space="preserve">11.10.</w:t>
      </w:r>
      <w:r>
        <w:rPr>
          <w:rFonts w:ascii="Arial" w:hAnsi="Arial" w:eastAsia="Calibri" w:cs="Arial"/>
          <w:sz w:val="22"/>
          <w:szCs w:val="22"/>
          <w:lang w:eastAsia="en-US"/>
        </w:rPr>
        <w:t xml:space="preserve"> Para fins de imposto de renda retido na fonte de que trata o art. 158, inciso I, da Constituição Federal, o Município em todas as suas contrataçõ</w:t>
      </w:r>
      <w:r>
        <w:rPr>
          <w:rFonts w:ascii="Arial" w:hAnsi="Arial" w:eastAsia="Calibri" w:cs="Arial"/>
          <w:sz w:val="22"/>
          <w:szCs w:val="22"/>
          <w:lang w:eastAsia="en-US"/>
        </w:rPr>
        <w:t xml:space="preserve">es com pessoas jurídicas, observará o disposto no art. 64, da Lei Federal n.º 9.430/1996, no art. 15 da Lei n.º 9.249/1995, a Instrução Normativa da Receita Federal do Brasil n.º 1.234/2012, e, também Instrução Normativa RFB n.º 1663/2016, e por fim Instru</w:t>
      </w:r>
      <w:r>
        <w:rPr>
          <w:rFonts w:ascii="Arial" w:hAnsi="Arial" w:eastAsia="Calibri" w:cs="Arial"/>
          <w:sz w:val="22"/>
          <w:szCs w:val="22"/>
          <w:lang w:eastAsia="en-US"/>
        </w:rPr>
        <w:t xml:space="preserve">ção Normativa RFB n.º 2145/2023, com a consequente retenção na fonte do imposto sobre a renda incidente sobre os pagamentos que efetuarem a pessoas jurídicas pelo fornecimento de bens ou prestação de serviços em geral, inclusive obras de construção civil. </w:t>
      </w:r>
      <w:r>
        <w:rPr>
          <w:rFonts w:ascii="Arial" w:hAnsi="Arial" w:eastAsia="Calibri" w:cs="Arial"/>
          <w:sz w:val="22"/>
          <w:szCs w:val="22"/>
          <w:lang w:eastAsia="en-US"/>
        </w:rPr>
      </w:r>
      <w:r>
        <w:rPr>
          <w:rFonts w:ascii="Arial" w:hAnsi="Arial" w:eastAsia="Calibri" w:cs="Arial"/>
          <w:sz w:val="22"/>
          <w:szCs w:val="22"/>
          <w:lang w:eastAsia="en-US"/>
        </w:rPr>
      </w:r>
    </w:p>
    <w:p w14:paraId="7745F138">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11.11.</w:t>
      </w:r>
      <w:r>
        <w:rPr>
          <w:rFonts w:ascii="Arial" w:hAnsi="Arial" w:cs="Arial"/>
          <w:sz w:val="22"/>
          <w:szCs w:val="22"/>
        </w:rPr>
        <w:t xml:space="preserve"> Não será admitido o pagamento de título descontado ou por meio de cobrança em banco, bem como os que forem negociados com terceiros por intermédio da operação de “factoring”.</w:t>
      </w:r>
      <w:r>
        <w:rPr>
          <w:rFonts w:ascii="Arial" w:hAnsi="Arial" w:cs="Arial"/>
          <w:sz w:val="22"/>
          <w:szCs w:val="22"/>
        </w:rPr>
      </w:r>
      <w:r>
        <w:rPr>
          <w:rFonts w:ascii="Arial" w:hAnsi="Arial" w:cs="Arial"/>
          <w:sz w:val="22"/>
          <w:szCs w:val="22"/>
        </w:rPr>
      </w:r>
    </w:p>
    <w:p w14:paraId="5143EDA6">
      <w:pPr>
        <w:pBdr/>
        <w:spacing w:line="360" w:lineRule="auto"/>
        <w:ind/>
        <w:jc w:val="both"/>
        <w:rPr>
          <w:rFonts w:ascii="Arial" w:hAnsi="Arial" w:cs="Arial"/>
          <w:sz w:val="22"/>
          <w:szCs w:val="22"/>
        </w:rPr>
      </w:pPr>
      <w:r>
        <w:rPr>
          <w:rFonts w:ascii="Arial" w:hAnsi="Arial" w:cs="Arial"/>
          <w:b/>
          <w:bCs/>
          <w:sz w:val="22"/>
          <w:szCs w:val="22"/>
        </w:rPr>
        <w:t xml:space="preserve">11.12.</w:t>
      </w:r>
      <w:r>
        <w:rPr>
          <w:rFonts w:ascii="Arial" w:hAnsi="Arial" w:cs="Arial"/>
          <w:sz w:val="22"/>
          <w:szCs w:val="22"/>
        </w:rPr>
        <w:t xml:space="preserve"> As despesas bancárias decorrentes de transferências de valores para outras praças serão de responsabilidade do fornecedor.</w:t>
      </w:r>
      <w:r>
        <w:rPr>
          <w:rFonts w:ascii="Arial" w:hAnsi="Arial" w:cs="Arial"/>
          <w:sz w:val="22"/>
          <w:szCs w:val="22"/>
        </w:rPr>
      </w:r>
      <w:r>
        <w:rPr>
          <w:rFonts w:ascii="Arial" w:hAnsi="Arial" w:cs="Arial"/>
          <w:sz w:val="22"/>
          <w:szCs w:val="22"/>
        </w:rPr>
      </w:r>
    </w:p>
    <w:p w14:paraId="3600E055">
      <w:pPr>
        <w:pBdr/>
        <w:spacing w:after="120" w:afterLines="50" w:before="120" w:beforeLines="50" w:line="360" w:lineRule="auto"/>
        <w:ind/>
        <w:jc w:val="both"/>
        <w:rPr>
          <w:rFonts w:ascii="Arial" w:hAnsi="Arial" w:cs="Arial"/>
          <w:sz w:val="22"/>
          <w:szCs w:val="22"/>
        </w:rPr>
      </w:pPr>
      <w:r>
        <w:rPr>
          <w:rFonts w:ascii="Arial" w:hAnsi="Arial" w:cs="Arial"/>
          <w:b/>
          <w:bCs/>
          <w:sz w:val="22"/>
          <w:szCs w:val="22"/>
        </w:rPr>
        <w:t xml:space="preserve">11.13.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w:t>
      </w:r>
      <w:r>
        <w:rPr>
          <w:rFonts w:ascii="Arial" w:hAnsi="Arial" w:cs="Arial"/>
          <w:sz w:val="22"/>
          <w:szCs w:val="22"/>
        </w:rPr>
        <w:t xml:space="preserve"> ou inadimplência, o pagamento ficará sobrestado até que o fornecedor providencie as medidas saneadoras. Nesta hipótese, o prazo para pagamento iniciar-se-á após a comprovação da regularização da situação, não acarretando qualquer ônus para a Contratante. </w:t>
      </w:r>
      <w:r>
        <w:rPr>
          <w:rFonts w:ascii="Arial" w:hAnsi="Arial" w:cs="Arial"/>
          <w:sz w:val="22"/>
          <w:szCs w:val="22"/>
        </w:rPr>
      </w:r>
      <w:r>
        <w:rPr>
          <w:rFonts w:ascii="Arial" w:hAnsi="Arial" w:cs="Arial"/>
          <w:sz w:val="22"/>
          <w:szCs w:val="22"/>
        </w:rPr>
      </w:r>
    </w:p>
    <w:p w14:paraId="5AAAED5A">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11.14.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r>
        <w:rPr>
          <w:rFonts w:ascii="Arial" w:hAnsi="Arial" w:cs="Arial"/>
          <w:sz w:val="22"/>
          <w:szCs w:val="22"/>
        </w:rPr>
      </w:r>
      <w:r>
        <w:rPr>
          <w:rFonts w:ascii="Arial" w:hAnsi="Arial" w:cs="Arial"/>
          <w:sz w:val="22"/>
          <w:szCs w:val="22"/>
        </w:rPr>
      </w:r>
    </w:p>
    <w:p w14:paraId="6A6072AE">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11.15.</w:t>
      </w:r>
      <w:r>
        <w:rPr>
          <w:rFonts w:ascii="Arial" w:hAnsi="Arial" w:cs="Arial"/>
          <w:sz w:val="22"/>
          <w:szCs w:val="22"/>
        </w:rPr>
        <w:t xml:space="preserve"> Não havendo regularização ou sendo a defesa considerada improcedente, a contratante deverá comunicar aos órgãos </w:t>
      </w:r>
      <w:r>
        <w:rPr>
          <w:rFonts w:ascii="Arial" w:hAnsi="Arial" w:cs="Arial"/>
          <w:sz w:val="22"/>
          <w:szCs w:val="22"/>
        </w:rPr>
        <w:t xml:space="preserve">responsáveis pela fiscalização da regularidade fiscal quanto à inadimplência do fornecedor, bem como quanto à existência de pagamento a ser efetuado, para que sejam acionados os meios pertinentes e necessários para garantir o recebimento de seus créditos. </w:t>
      </w:r>
      <w:r>
        <w:rPr>
          <w:rFonts w:ascii="Arial" w:hAnsi="Arial" w:cs="Arial"/>
          <w:sz w:val="22"/>
          <w:szCs w:val="22"/>
        </w:rPr>
      </w:r>
      <w:r>
        <w:rPr>
          <w:rFonts w:ascii="Arial" w:hAnsi="Arial" w:cs="Arial"/>
          <w:sz w:val="22"/>
          <w:szCs w:val="22"/>
        </w:rPr>
      </w:r>
    </w:p>
    <w:p w14:paraId="111C6703">
      <w:pPr>
        <w:pBdr/>
        <w:spacing w:after="120" w:afterLines="50" w:before="120" w:beforeLines="50" w:line="360" w:lineRule="auto"/>
        <w:ind w:right="98"/>
        <w:jc w:val="both"/>
        <w:rPr>
          <w:rFonts w:ascii="Arial" w:hAnsi="Arial" w:cs="Arial"/>
          <w:sz w:val="22"/>
          <w:szCs w:val="22"/>
        </w:rPr>
      </w:pPr>
      <w:r>
        <w:rPr>
          <w:rFonts w:ascii="Arial" w:hAnsi="Arial" w:cs="Arial"/>
          <w:b/>
          <w:bCs/>
          <w:sz w:val="22"/>
          <w:szCs w:val="22"/>
        </w:rPr>
        <w:t xml:space="preserve">11.16.</w:t>
      </w:r>
      <w:r>
        <w:rPr>
          <w:rFonts w:ascii="Arial" w:hAnsi="Arial" w:cs="Arial"/>
          <w:sz w:val="22"/>
          <w:szCs w:val="22"/>
        </w:rPr>
        <w:t xml:space="preserve"> Qualquer irregularidade ou falta de apresentação de certidões o prazo do item 11.1. somente se iniciará com a devida regularização das pendências. </w:t>
      </w:r>
      <w:r>
        <w:rPr>
          <w:rFonts w:ascii="Arial" w:hAnsi="Arial" w:cs="Arial"/>
          <w:sz w:val="22"/>
          <w:szCs w:val="22"/>
        </w:rPr>
      </w:r>
      <w:r>
        <w:rPr>
          <w:rFonts w:ascii="Arial" w:hAnsi="Arial" w:cs="Arial"/>
          <w:sz w:val="22"/>
          <w:szCs w:val="22"/>
        </w:rPr>
      </w:r>
    </w:p>
    <w:p w14:paraId="09A8A3DA">
      <w:pPr>
        <w:pStyle w:val="1160"/>
        <w:numPr>
          <w:ilvl w:val="0"/>
          <w:numId w:val="0"/>
        </w:numPr>
        <w:pBdr/>
        <w:spacing w:line="360" w:lineRule="auto"/>
        <w:ind/>
        <w:rPr>
          <w:sz w:val="22"/>
          <w:szCs w:val="22"/>
          <w:lang w:eastAsia="en-US"/>
        </w:rPr>
      </w:pPr>
      <w:r>
        <w:rPr>
          <w:b/>
          <w:bCs/>
          <w:sz w:val="22"/>
          <w:szCs w:val="22"/>
          <w:lang w:eastAsia="en-US"/>
        </w:rPr>
        <w:t xml:space="preserve">11.17.</w:t>
      </w:r>
      <w:r>
        <w:rPr>
          <w:sz w:val="22"/>
          <w:szCs w:val="22"/>
          <w:lang w:eastAsia="en-US"/>
        </w:rPr>
        <w:t xml:space="preserve"> </w:t>
      </w:r>
      <w:r>
        <w:rPr>
          <w:sz w:val="22"/>
          <w:szCs w:val="22"/>
        </w:rPr>
        <w:t xml:space="preserve">Em caso de atraso superior a 30 dias no pagamento das faturas, para fins de atualização monetária, remuneração do capital e compensação da mora, haverá a incidência do INPC, referente ao mês de inadimplemento.</w:t>
      </w:r>
      <w:r>
        <w:rPr>
          <w:sz w:val="22"/>
          <w:szCs w:val="22"/>
          <w:lang w:eastAsia="en-US"/>
        </w:rPr>
      </w:r>
      <w:r>
        <w:rPr>
          <w:sz w:val="22"/>
          <w:szCs w:val="22"/>
          <w:lang w:eastAsia="en-US"/>
        </w:rPr>
      </w:r>
    </w:p>
    <w:p w14:paraId="25A299CB">
      <w:pPr>
        <w:pStyle w:val="1160"/>
        <w:numPr>
          <w:ilvl w:val="0"/>
          <w:numId w:val="0"/>
        </w:numPr>
        <w:pBdr/>
        <w:spacing w:before="0" w:line="360" w:lineRule="auto"/>
        <w:ind/>
        <w:rPr>
          <w:sz w:val="22"/>
          <w:szCs w:val="22"/>
          <w:lang w:eastAsia="en-US"/>
        </w:rPr>
      </w:pPr>
      <w:r>
        <w:rPr>
          <w:b/>
          <w:bCs/>
          <w:sz w:val="22"/>
          <w:szCs w:val="22"/>
          <w:lang w:eastAsia="en-US"/>
        </w:rPr>
        <w:t xml:space="preserve">11.18.</w:t>
      </w:r>
      <w:r>
        <w:rPr>
          <w:sz w:val="22"/>
          <w:szCs w:val="22"/>
          <w:lang w:eastAsia="en-US"/>
        </w:rPr>
        <w:t xml:space="preserve"> Quando do pagamento, será efetuada a retenção tributária prevista na legislação aplicável.</w:t>
      </w:r>
      <w:r>
        <w:rPr>
          <w:sz w:val="22"/>
          <w:szCs w:val="22"/>
          <w:lang w:eastAsia="en-US"/>
        </w:rPr>
      </w:r>
      <w:r>
        <w:rPr>
          <w:sz w:val="22"/>
          <w:szCs w:val="22"/>
          <w:lang w:eastAsia="en-US"/>
        </w:rPr>
      </w:r>
    </w:p>
    <w:p w14:paraId="69F2D20B">
      <w:pPr>
        <w:pStyle w:val="1160"/>
        <w:numPr>
          <w:ilvl w:val="0"/>
          <w:numId w:val="0"/>
        </w:numPr>
        <w:pBdr/>
        <w:spacing w:before="0" w:line="360" w:lineRule="auto"/>
        <w:ind/>
        <w:rPr>
          <w:sz w:val="22"/>
          <w:szCs w:val="22"/>
          <w:lang w:eastAsia="en-US"/>
        </w:rPr>
      </w:pPr>
      <w:r>
        <w:rPr>
          <w:b/>
          <w:bCs/>
          <w:sz w:val="22"/>
          <w:szCs w:val="22"/>
          <w:lang w:eastAsia="en-US"/>
        </w:rPr>
        <w:t xml:space="preserve">11.19.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r>
        <w:rPr>
          <w:sz w:val="22"/>
          <w:szCs w:val="22"/>
          <w:lang w:eastAsia="en-US"/>
        </w:rPr>
      </w:r>
      <w:r>
        <w:rPr>
          <w:sz w:val="22"/>
          <w:szCs w:val="22"/>
          <w:lang w:eastAsia="en-US"/>
        </w:rPr>
      </w:r>
    </w:p>
    <w:p w14:paraId="2370CCE9">
      <w:pPr>
        <w:pStyle w:val="1160"/>
        <w:numPr>
          <w:ilvl w:val="0"/>
          <w:numId w:val="0"/>
        </w:numPr>
        <w:pBdr/>
        <w:spacing w:line="360" w:lineRule="auto"/>
        <w:ind/>
        <w:rPr>
          <w:sz w:val="22"/>
          <w:szCs w:val="22"/>
          <w:lang w:eastAsia="en-US"/>
        </w:rPr>
      </w:pPr>
      <w:r>
        <w:rPr>
          <w:b/>
          <w:bCs/>
          <w:sz w:val="22"/>
          <w:szCs w:val="22"/>
          <w:lang w:eastAsia="en-US"/>
        </w:rPr>
        <w:t xml:space="preserve">11.20.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sz w:val="22"/>
          <w:szCs w:val="22"/>
          <w:lang w:eastAsia="en-US"/>
        </w:rPr>
      </w:r>
      <w:r>
        <w:rPr>
          <w:sz w:val="22"/>
          <w:szCs w:val="22"/>
          <w:lang w:eastAsia="en-US"/>
        </w:rPr>
      </w:r>
    </w:p>
    <w:p w14:paraId="3971C31D">
      <w:pPr>
        <w:pStyle w:val="1159"/>
        <w:numPr>
          <w:ilvl w:val="0"/>
          <w:numId w:val="0"/>
        </w:numPr>
        <w:pBdr/>
        <w:spacing w:line="360" w:lineRule="auto"/>
        <w:ind w:firstLine="480"/>
        <w:rPr>
          <w:sz w:val="22"/>
          <w:szCs w:val="22"/>
          <w:lang w:eastAsia="en-US"/>
        </w:rPr>
      </w:pPr>
      <w:r>
        <w:rPr>
          <w:b/>
          <w:bCs/>
          <w:sz w:val="22"/>
          <w:szCs w:val="22"/>
          <w:lang w:eastAsia="en-US"/>
        </w:rPr>
        <w:t xml:space="preserve">11.20.1. </w:t>
      </w:r>
      <w:r>
        <w:rPr>
          <w:sz w:val="22"/>
          <w:szCs w:val="22"/>
          <w:lang w:eastAsia="en-US"/>
        </w:rPr>
        <w:t xml:space="preserve">O prazo de validade;</w:t>
      </w:r>
      <w:r>
        <w:rPr>
          <w:sz w:val="22"/>
          <w:szCs w:val="22"/>
          <w:lang w:eastAsia="en-US"/>
        </w:rPr>
      </w:r>
      <w:r>
        <w:rPr>
          <w:sz w:val="22"/>
          <w:szCs w:val="22"/>
          <w:lang w:eastAsia="en-US"/>
        </w:rPr>
      </w:r>
    </w:p>
    <w:p w14:paraId="5C56F96A">
      <w:pPr>
        <w:pStyle w:val="1159"/>
        <w:numPr>
          <w:ilvl w:val="0"/>
          <w:numId w:val="0"/>
        </w:numPr>
        <w:pBdr/>
        <w:spacing w:line="360" w:lineRule="auto"/>
        <w:ind w:firstLine="480"/>
        <w:rPr>
          <w:sz w:val="22"/>
          <w:szCs w:val="22"/>
          <w:lang w:eastAsia="en-US"/>
        </w:rPr>
      </w:pPr>
      <w:r>
        <w:rPr>
          <w:b/>
          <w:bCs/>
          <w:sz w:val="22"/>
          <w:szCs w:val="22"/>
          <w:lang w:eastAsia="en-US"/>
        </w:rPr>
        <w:t xml:space="preserve">11.20.2. </w:t>
      </w:r>
      <w:r>
        <w:rPr>
          <w:sz w:val="22"/>
          <w:szCs w:val="22"/>
          <w:lang w:eastAsia="en-US"/>
        </w:rPr>
        <w:t xml:space="preserve">A data da emissão; </w:t>
      </w:r>
      <w:r>
        <w:rPr>
          <w:sz w:val="22"/>
          <w:szCs w:val="22"/>
          <w:lang w:eastAsia="en-US"/>
        </w:rPr>
      </w:r>
      <w:r>
        <w:rPr>
          <w:sz w:val="22"/>
          <w:szCs w:val="22"/>
          <w:lang w:eastAsia="en-US"/>
        </w:rPr>
      </w:r>
    </w:p>
    <w:p w14:paraId="0FAB3519">
      <w:pPr>
        <w:pStyle w:val="1159"/>
        <w:numPr>
          <w:ilvl w:val="0"/>
          <w:numId w:val="0"/>
        </w:numPr>
        <w:pBdr/>
        <w:spacing w:line="360" w:lineRule="auto"/>
        <w:ind w:firstLine="480"/>
        <w:rPr>
          <w:sz w:val="22"/>
          <w:szCs w:val="22"/>
          <w:lang w:eastAsia="en-US"/>
        </w:rPr>
      </w:pPr>
      <w:r>
        <w:rPr>
          <w:b/>
          <w:bCs/>
          <w:sz w:val="22"/>
          <w:szCs w:val="22"/>
          <w:lang w:eastAsia="en-US"/>
        </w:rPr>
        <w:t xml:space="preserve">11.20.3.</w:t>
      </w:r>
      <w:r>
        <w:rPr>
          <w:sz w:val="22"/>
          <w:szCs w:val="22"/>
          <w:lang w:eastAsia="en-US"/>
        </w:rPr>
        <w:t xml:space="preserve"> Os dados </w:t>
      </w:r>
      <w:r>
        <w:rPr>
          <w:sz w:val="22"/>
          <w:szCs w:val="22"/>
        </w:rPr>
        <w:t xml:space="preserve">d</w:t>
      </w:r>
      <w:r>
        <w:rPr>
          <w:color w:val="auto"/>
          <w:sz w:val="22"/>
          <w:szCs w:val="22"/>
        </w:rPr>
        <w:t xml:space="preserve">o Contrato </w:t>
      </w:r>
      <w:r>
        <w:rPr>
          <w:sz w:val="22"/>
          <w:szCs w:val="22"/>
          <w:lang w:eastAsia="en-US"/>
        </w:rPr>
        <w:t xml:space="preserve">e do órgão contratante; </w:t>
      </w:r>
      <w:r>
        <w:rPr>
          <w:sz w:val="22"/>
          <w:szCs w:val="22"/>
          <w:lang w:eastAsia="en-US"/>
        </w:rPr>
      </w:r>
      <w:r>
        <w:rPr>
          <w:sz w:val="22"/>
          <w:szCs w:val="22"/>
          <w:lang w:eastAsia="en-US"/>
        </w:rPr>
      </w:r>
    </w:p>
    <w:p w14:paraId="3620AE8A">
      <w:pPr>
        <w:pStyle w:val="1159"/>
        <w:numPr>
          <w:ilvl w:val="0"/>
          <w:numId w:val="0"/>
        </w:numPr>
        <w:pBdr/>
        <w:spacing w:line="360" w:lineRule="auto"/>
        <w:ind w:firstLine="480"/>
        <w:rPr>
          <w:sz w:val="22"/>
          <w:szCs w:val="22"/>
          <w:lang w:eastAsia="en-US"/>
        </w:rPr>
      </w:pPr>
      <w:r>
        <w:rPr>
          <w:b/>
          <w:bCs/>
          <w:sz w:val="22"/>
          <w:szCs w:val="22"/>
          <w:lang w:eastAsia="en-US"/>
        </w:rPr>
        <w:t xml:space="preserve">11.20.4.</w:t>
      </w:r>
      <w:r>
        <w:rPr>
          <w:sz w:val="22"/>
          <w:szCs w:val="22"/>
          <w:lang w:eastAsia="en-US"/>
        </w:rPr>
        <w:t xml:space="preserve"> O período respectivo de execução </w:t>
      </w:r>
      <w:r>
        <w:rPr>
          <w:sz w:val="22"/>
          <w:szCs w:val="22"/>
        </w:rPr>
        <w:t xml:space="preserve">d</w:t>
      </w:r>
      <w:r>
        <w:rPr>
          <w:color w:val="auto"/>
          <w:sz w:val="22"/>
          <w:szCs w:val="22"/>
        </w:rPr>
        <w:t xml:space="preserve">o Contrato</w:t>
      </w:r>
      <w:r>
        <w:rPr>
          <w:sz w:val="22"/>
          <w:szCs w:val="22"/>
          <w:lang w:eastAsia="en-US"/>
        </w:rPr>
        <w:t xml:space="preserve">; </w:t>
      </w:r>
      <w:r>
        <w:rPr>
          <w:sz w:val="22"/>
          <w:szCs w:val="22"/>
          <w:lang w:eastAsia="en-US"/>
        </w:rPr>
      </w:r>
      <w:r>
        <w:rPr>
          <w:sz w:val="22"/>
          <w:szCs w:val="22"/>
          <w:lang w:eastAsia="en-US"/>
        </w:rPr>
      </w:r>
    </w:p>
    <w:p w14:paraId="1ED4AF4A">
      <w:pPr>
        <w:pStyle w:val="1159"/>
        <w:numPr>
          <w:ilvl w:val="0"/>
          <w:numId w:val="0"/>
        </w:numPr>
        <w:pBdr/>
        <w:spacing w:line="360" w:lineRule="auto"/>
        <w:ind w:firstLine="480"/>
        <w:rPr>
          <w:sz w:val="22"/>
          <w:szCs w:val="22"/>
          <w:lang w:eastAsia="en-US"/>
        </w:rPr>
      </w:pPr>
      <w:r>
        <w:rPr>
          <w:b/>
          <w:bCs/>
          <w:sz w:val="22"/>
          <w:szCs w:val="22"/>
          <w:lang w:eastAsia="en-US"/>
        </w:rPr>
        <w:t xml:space="preserve">11.20.5.</w:t>
      </w:r>
      <w:r>
        <w:rPr>
          <w:sz w:val="22"/>
          <w:szCs w:val="22"/>
          <w:lang w:eastAsia="en-US"/>
        </w:rPr>
        <w:t xml:space="preserve"> O valor a pagar; e </w:t>
      </w:r>
      <w:r>
        <w:rPr>
          <w:sz w:val="22"/>
          <w:szCs w:val="22"/>
          <w:lang w:eastAsia="en-US"/>
        </w:rPr>
      </w:r>
      <w:r>
        <w:rPr>
          <w:sz w:val="22"/>
          <w:szCs w:val="22"/>
          <w:lang w:eastAsia="en-US"/>
        </w:rPr>
      </w:r>
    </w:p>
    <w:p w14:paraId="6055647A">
      <w:pPr>
        <w:pStyle w:val="1159"/>
        <w:numPr>
          <w:ilvl w:val="0"/>
          <w:numId w:val="0"/>
        </w:numPr>
        <w:pBdr/>
        <w:spacing w:line="360" w:lineRule="auto"/>
        <w:ind w:firstLine="480"/>
        <w:rPr>
          <w:sz w:val="22"/>
          <w:szCs w:val="22"/>
          <w:lang w:eastAsia="en-US"/>
        </w:rPr>
      </w:pPr>
      <w:r>
        <w:rPr>
          <w:b/>
          <w:bCs/>
          <w:sz w:val="22"/>
          <w:szCs w:val="22"/>
          <w:lang w:eastAsia="en-US"/>
        </w:rPr>
        <w:t xml:space="preserve">11.20.6. </w:t>
      </w:r>
      <w:r>
        <w:rPr>
          <w:sz w:val="22"/>
          <w:szCs w:val="22"/>
          <w:lang w:eastAsia="en-US"/>
        </w:rPr>
        <w:t xml:space="preserve">Eventual destaque do valor de retenções tributárias cabíveis.</w:t>
      </w:r>
      <w:r>
        <w:rPr>
          <w:sz w:val="22"/>
          <w:szCs w:val="22"/>
          <w:lang w:eastAsia="en-US"/>
        </w:rPr>
      </w:r>
      <w:r>
        <w:rPr>
          <w:sz w:val="22"/>
          <w:szCs w:val="22"/>
          <w:lang w:eastAsia="en-US"/>
        </w:rPr>
      </w:r>
    </w:p>
    <w:p w14:paraId="46FC77CF">
      <w:pPr>
        <w:pStyle w:val="1160"/>
        <w:numPr>
          <w:ilvl w:val="0"/>
          <w:numId w:val="0"/>
        </w:numPr>
        <w:pBdr/>
        <w:spacing w:line="360" w:lineRule="auto"/>
        <w:ind/>
        <w:rPr>
          <w:sz w:val="22"/>
          <w:szCs w:val="22"/>
          <w:lang w:eastAsia="en-US"/>
        </w:rPr>
      </w:pPr>
      <w:r>
        <w:rPr>
          <w:b/>
          <w:bCs/>
          <w:sz w:val="22"/>
          <w:szCs w:val="22"/>
          <w:lang w:eastAsia="en-US"/>
        </w:rPr>
        <w:t xml:space="preserve">11.21.</w:t>
      </w:r>
      <w:r>
        <w:rPr>
          <w:sz w:val="22"/>
          <w:szCs w:val="22"/>
          <w:lang w:eastAsia="en-US"/>
        </w:rPr>
        <w:t xml:space="preserve"> Constatando-se a situação de irregularidade da</w:t>
      </w:r>
      <w:r>
        <w:rPr>
          <w:sz w:val="22"/>
          <w:szCs w:val="22"/>
          <w:lang w:eastAsia="en-US"/>
        </w:rPr>
        <w:t xml:space="preserve"> Contratada, será providenciada sua notificação, por escrito, para que, no prazo de 5 (cinco) dias úteis, regularize sua situação ou, no mesmo prazo, apresente sua defesa. O prazo poderá ser prorrogado uma vez, por igual período, a critério da Contratante.</w:t>
      </w:r>
      <w:r>
        <w:rPr>
          <w:sz w:val="22"/>
          <w:szCs w:val="22"/>
          <w:lang w:eastAsia="en-US"/>
        </w:rPr>
      </w:r>
      <w:r>
        <w:rPr>
          <w:sz w:val="22"/>
          <w:szCs w:val="22"/>
          <w:lang w:eastAsia="en-US"/>
        </w:rPr>
      </w:r>
    </w:p>
    <w:p w14:paraId="5E8D11B8">
      <w:pPr>
        <w:pStyle w:val="1160"/>
        <w:numPr>
          <w:ilvl w:val="0"/>
          <w:numId w:val="0"/>
        </w:numPr>
        <w:pBdr/>
        <w:spacing w:line="360" w:lineRule="auto"/>
        <w:ind/>
        <w:rPr>
          <w:sz w:val="22"/>
          <w:szCs w:val="22"/>
          <w:lang w:eastAsia="en-US"/>
        </w:rPr>
      </w:pPr>
      <w:r>
        <w:rPr>
          <w:b/>
          <w:bCs/>
          <w:sz w:val="22"/>
          <w:szCs w:val="22"/>
          <w:lang w:eastAsia="en-US"/>
        </w:rPr>
        <w:t xml:space="preserve">11.22. </w:t>
      </w:r>
      <w:r>
        <w:rPr>
          <w:sz w:val="22"/>
          <w:szCs w:val="22"/>
          <w:lang w:eastAsia="en-US"/>
        </w:rPr>
        <w:t xml:space="preserve">Não havendo regularização ou sendo a defesa considerada improcedente, a Contratante deverá comunicar aos órgãos r</w:t>
      </w:r>
      <w:r>
        <w:rPr>
          <w:sz w:val="22"/>
          <w:szCs w:val="22"/>
          <w:lang w:eastAsia="en-US"/>
        </w:rPr>
        <w:t xml:space="preserve">esponsáveis pela fiscalização da regularidade fiscal quanto à inadimplência da Contratada, bem como quanto à existência de pagamento a ser efetuado, para que sejam acionados os meios pertinentes e necessários para garantir o recebimento de seus créditos.  </w:t>
      </w:r>
      <w:r>
        <w:rPr>
          <w:sz w:val="22"/>
          <w:szCs w:val="22"/>
          <w:lang w:eastAsia="en-US"/>
        </w:rPr>
      </w:r>
      <w:r>
        <w:rPr>
          <w:sz w:val="22"/>
          <w:szCs w:val="22"/>
          <w:lang w:eastAsia="en-US"/>
        </w:rPr>
      </w:r>
    </w:p>
    <w:p w14:paraId="64EDB1A8">
      <w:pPr>
        <w:pStyle w:val="1160"/>
        <w:numPr>
          <w:ilvl w:val="0"/>
          <w:numId w:val="0"/>
        </w:numPr>
        <w:pBdr/>
        <w:spacing w:line="360" w:lineRule="auto"/>
        <w:ind/>
        <w:rPr>
          <w:sz w:val="22"/>
          <w:szCs w:val="22"/>
          <w:lang w:eastAsia="en-US"/>
        </w:rPr>
      </w:pPr>
      <w:r>
        <w:rPr>
          <w:b/>
          <w:bCs/>
          <w:sz w:val="22"/>
          <w:szCs w:val="22"/>
          <w:lang w:eastAsia="en-US"/>
        </w:rPr>
        <w:t xml:space="preserve">11.23.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r>
        <w:rPr>
          <w:sz w:val="22"/>
          <w:szCs w:val="22"/>
          <w:lang w:eastAsia="en-US"/>
        </w:rPr>
      </w:r>
      <w:r>
        <w:rPr>
          <w:sz w:val="22"/>
          <w:szCs w:val="22"/>
          <w:lang w:eastAsia="en-US"/>
        </w:rPr>
      </w:r>
    </w:p>
    <w:p w14:paraId="0DC576DD">
      <w:pPr>
        <w:pStyle w:val="1160"/>
        <w:numPr>
          <w:ilvl w:val="0"/>
          <w:numId w:val="0"/>
        </w:numPr>
        <w:pBdr/>
        <w:spacing w:line="360" w:lineRule="auto"/>
        <w:ind/>
        <w:rPr>
          <w:sz w:val="22"/>
          <w:szCs w:val="22"/>
          <w:lang w:eastAsia="en-US"/>
        </w:rPr>
      </w:pPr>
      <w:r>
        <w:rPr>
          <w:b/>
          <w:bCs/>
          <w:sz w:val="22"/>
          <w:szCs w:val="22"/>
          <w:lang w:eastAsia="en-US"/>
        </w:rPr>
        <w:t xml:space="preserve">11.24.</w:t>
      </w:r>
      <w:r>
        <w:rPr>
          <w:sz w:val="22"/>
          <w:szCs w:val="22"/>
          <w:lang w:eastAsia="en-US"/>
        </w:rPr>
        <w:t xml:space="preserve"> Havendo a efetiva execução do objeto, os pagamentos serão realizados normalmente, até que se decida pela rescisão </w:t>
      </w:r>
      <w:r>
        <w:rPr>
          <w:sz w:val="22"/>
          <w:szCs w:val="22"/>
        </w:rPr>
        <w:t xml:space="preserve">d</w:t>
      </w:r>
      <w:r>
        <w:rPr>
          <w:color w:val="auto"/>
          <w:sz w:val="22"/>
          <w:szCs w:val="22"/>
        </w:rPr>
        <w:t xml:space="preserve">o Contrato</w:t>
      </w:r>
      <w:r>
        <w:rPr>
          <w:sz w:val="22"/>
          <w:szCs w:val="22"/>
          <w:lang w:eastAsia="en-US"/>
        </w:rPr>
        <w:t xml:space="preserve">, caso a Contratada não regularize sua situação.  </w:t>
      </w:r>
      <w:r>
        <w:rPr>
          <w:sz w:val="22"/>
          <w:szCs w:val="22"/>
          <w:lang w:eastAsia="en-US"/>
        </w:rPr>
      </w:r>
      <w:r>
        <w:rPr>
          <w:sz w:val="22"/>
          <w:szCs w:val="22"/>
          <w:lang w:eastAsia="en-US"/>
        </w:rPr>
      </w:r>
    </w:p>
    <w:p w14:paraId="6B6DC749">
      <w:pPr>
        <w:pBdr/>
        <w:spacing w:after="240" w:before="240" w:line="360" w:lineRule="auto"/>
        <w:ind/>
        <w:jc w:val="both"/>
        <w:rPr>
          <w:rFonts w:ascii="Arial" w:hAnsi="Arial" w:cs="Arial"/>
          <w:sz w:val="22"/>
          <w:szCs w:val="22"/>
        </w:rPr>
      </w:pPr>
      <w:r>
        <w:rPr>
          <w:rFonts w:ascii="Arial" w:hAnsi="Arial" w:cs="Arial"/>
          <w:b/>
          <w:sz w:val="22"/>
          <w:szCs w:val="22"/>
        </w:rPr>
        <w:t xml:space="preserve">11.25.</w:t>
      </w:r>
      <w:r>
        <w:rPr>
          <w:rFonts w:ascii="Arial" w:hAnsi="Arial" w:cs="Arial"/>
          <w:sz w:val="22"/>
          <w:szCs w:val="22"/>
        </w:rPr>
        <w:t xml:space="preserve"> A nota fiscal somente será liberada quando o cumprimento do empenho estiver em total conformidade com as especificações exigidas pelo Município.</w:t>
      </w:r>
      <w:r>
        <w:rPr>
          <w:rFonts w:ascii="Arial" w:hAnsi="Arial" w:cs="Arial"/>
          <w:sz w:val="22"/>
          <w:szCs w:val="22"/>
        </w:rPr>
      </w:r>
      <w:r>
        <w:rPr>
          <w:rFonts w:ascii="Arial" w:hAnsi="Arial" w:cs="Arial"/>
          <w:sz w:val="22"/>
          <w:szCs w:val="22"/>
        </w:rPr>
      </w:r>
    </w:p>
    <w:p w14:paraId="6D8334E7">
      <w:pPr>
        <w:pStyle w:val="1142"/>
        <w:suppressLineNumbers w:val="false"/>
        <w:pBdr/>
        <w:spacing w:after="240" w:before="240" w:line="360" w:lineRule="auto"/>
        <w:ind/>
        <w:rPr/>
      </w:pPr>
      <w:r>
        <w:rPr>
          <w:b/>
        </w:rPr>
        <w:t xml:space="preserve">11.26.</w:t>
      </w:r>
      <w:r>
        <w:t xml:space="preserve"> Na eventualidade de aplicação de multas, estas deverão ser liquidadas simultaneamente com parcela vinculada ao evento cujo descumprimento der origem à aplicação da penalidade.</w:t>
      </w:r>
      <w:r/>
    </w:p>
    <w:p w14:paraId="5D9165A5">
      <w:pPr>
        <w:pBdr/>
        <w:spacing w:after="240" w:before="240" w:line="360" w:lineRule="auto"/>
        <w:ind/>
        <w:jc w:val="both"/>
        <w:rPr>
          <w:rFonts w:ascii="Arial" w:hAnsi="Arial" w:cs="Arial"/>
          <w:sz w:val="22"/>
          <w:szCs w:val="22"/>
        </w:rPr>
      </w:pPr>
      <w:r>
        <w:rPr>
          <w:rFonts w:ascii="Arial" w:hAnsi="Arial" w:cs="Arial"/>
          <w:b/>
          <w:sz w:val="22"/>
          <w:szCs w:val="22"/>
        </w:rPr>
        <w:t xml:space="preserve">11.27.</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2DF56227">
      <w:pPr>
        <w:pBdr/>
        <w:spacing w:after="240" w:before="240" w:line="360" w:lineRule="auto"/>
        <w:ind/>
        <w:jc w:val="both"/>
        <w:rPr>
          <w:rFonts w:ascii="Arial" w:hAnsi="Arial" w:cs="Arial"/>
          <w:sz w:val="22"/>
          <w:szCs w:val="22"/>
        </w:rPr>
      </w:pPr>
      <w:r>
        <w:rPr>
          <w:rFonts w:ascii="Arial" w:hAnsi="Arial" w:cs="Arial"/>
          <w:b/>
          <w:sz w:val="22"/>
          <w:szCs w:val="22"/>
        </w:rPr>
        <w:t xml:space="preserve">11.28.</w:t>
      </w:r>
      <w:r>
        <w:rPr>
          <w:rFonts w:ascii="Arial" w:hAnsi="Arial" w:cs="Arial"/>
          <w:sz w:val="22"/>
          <w:szCs w:val="22"/>
        </w:rPr>
        <w:t xml:space="preserve"> Nenhu</w:t>
      </w:r>
      <w:r>
        <w:rPr>
          <w:rFonts w:ascii="Arial" w:hAnsi="Arial" w:cs="Arial"/>
          <w:sz w:val="22"/>
          <w:szCs w:val="22"/>
        </w:rPr>
        <w:t xml:space="preserve">m pagamento será efetuado à Contratada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r>
      <w:r>
        <w:rPr>
          <w:rFonts w:ascii="Arial" w:hAnsi="Arial" w:cs="Arial"/>
          <w:sz w:val="22"/>
          <w:szCs w:val="22"/>
        </w:rPr>
      </w:r>
    </w:p>
    <w:p w14:paraId="39C34BA2">
      <w:pPr>
        <w:pStyle w:val="876"/>
        <w:widowControl w:val="false"/>
        <w:pBdr/>
        <w:spacing w:line="360" w:lineRule="auto"/>
        <w:ind/>
        <w:contextualSpacing w:val="true"/>
        <w:rPr>
          <w:rFonts w:ascii="Arial" w:hAnsi="Arial" w:cs="Arial"/>
          <w:sz w:val="22"/>
          <w:szCs w:val="22"/>
        </w:rPr>
      </w:pPr>
      <w:r>
        <w:rPr>
          <w:rFonts w:ascii="Arial" w:hAnsi="Arial" w:cs="Arial"/>
          <w:b/>
          <w:sz w:val="22"/>
          <w:szCs w:val="22"/>
        </w:rPr>
        <w:t xml:space="preserve">11.29.</w:t>
      </w:r>
      <w:r>
        <w:rPr>
          <w:rFonts w:ascii="Arial" w:hAnsi="Arial" w:cs="Arial"/>
          <w:sz w:val="22"/>
          <w:szCs w:val="22"/>
        </w:rPr>
        <w:t xml:space="preserve"> As despesas decorrentes da contratação do objeto da present</w:t>
      </w:r>
      <w:r>
        <w:rPr>
          <w:rFonts w:ascii="Arial" w:hAnsi="Arial" w:cs="Arial"/>
          <w:sz w:val="22"/>
          <w:szCs w:val="22"/>
        </w:rPr>
        <w:t xml:space="preserve">e licitação, correrão a cargo das dotações orçamentárias abaixo relacionadas, cujos programas de trabalho e elementos de despesas constarão nas respectivas notas de empenho, Contrato ou documento equivalente, observada as condições estabelecidas no Edital.</w:t>
      </w:r>
      <w:r>
        <w:rPr>
          <w:rFonts w:ascii="Arial" w:hAnsi="Arial" w:cs="Arial"/>
          <w:sz w:val="22"/>
          <w:szCs w:val="22"/>
        </w:rPr>
      </w:r>
      <w:r>
        <w:rPr>
          <w:rFonts w:ascii="Arial" w:hAnsi="Arial" w:cs="Arial"/>
          <w:sz w:val="22"/>
          <w:szCs w:val="22"/>
        </w:rPr>
      </w:r>
    </w:p>
    <w:tbl>
      <w:tblPr>
        <w:tblStyle w:val="899"/>
        <w:tblInd w:w="0" w:type="dxa"/>
        <w:tblW w:w="9252"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pPr w:horzAnchor="margin" w:tblpXSpec="left" w:vertAnchor="text" w:tblpY="52" w:leftFromText="141" w:topFromText="0" w:rightFromText="141" w:bottomFromText="0"/>
        <w:tblLook w:val="04A0" w:firstRow="1" w:lastRow="0" w:firstColumn="1" w:lastColumn="0" w:noHBand="0" w:noVBand="1"/>
      </w:tblPr>
      <w:tblGrid>
        <w:gridCol w:w="4815"/>
        <w:gridCol w:w="4437"/>
      </w:tblGrid>
      <w:tr>
        <w:trPr/>
        <w:tc>
          <w:tcPr>
            <w:tcBorders/>
            <w:tcW w:w="4815" w:type="dxa"/>
            <w:vAlign w:val="center"/>
          </w:tcPr>
          <w:p w14:paraId="1A7CD254">
            <w:pPr>
              <w:pBdr/>
              <w:spacing/>
              <w:ind/>
              <w:jc w:val="center"/>
              <w:rPr>
                <w:rFonts w:ascii="Arial" w:hAnsi="Arial" w:cs="Arial"/>
                <w:sz w:val="20"/>
                <w:szCs w:val="20"/>
              </w:rPr>
            </w:pPr>
            <w:r>
              <w:rPr>
                <w:rFonts w:ascii="Arial" w:hAnsi="Arial" w:eastAsia="Arial" w:cs="Arial"/>
                <w:sz w:val="20"/>
                <w:szCs w:val="20"/>
              </w:rPr>
              <w:t xml:space="preserve">2035.3.3.90.39.00.00.1.500.0000000</w:t>
            </w:r>
            <w:r>
              <w:rPr>
                <w:rFonts w:ascii="Arial" w:hAnsi="Arial" w:cs="Arial"/>
                <w:sz w:val="20"/>
                <w:szCs w:val="20"/>
              </w:rPr>
            </w:r>
            <w:r>
              <w:rPr>
                <w:rFonts w:ascii="Arial" w:hAnsi="Arial" w:cs="Arial"/>
                <w:sz w:val="20"/>
                <w:szCs w:val="20"/>
              </w:rPr>
            </w:r>
          </w:p>
        </w:tc>
        <w:tc>
          <w:tcPr>
            <w:tcBorders/>
            <w:tcW w:w="4437" w:type="dxa"/>
            <w:vAlign w:val="center"/>
          </w:tcPr>
          <w:p w14:paraId="4980FBF5">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0977DA68">
            <w:pPr>
              <w:pBdr/>
              <w:spacing/>
              <w:ind/>
              <w:jc w:val="center"/>
              <w:rPr>
                <w:rFonts w:ascii="Arial" w:hAnsi="Arial" w:cs="Arial"/>
                <w:sz w:val="20"/>
                <w:szCs w:val="20"/>
              </w:rPr>
            </w:pPr>
            <w:r>
              <w:rPr>
                <w:rFonts w:ascii="Arial" w:hAnsi="Arial" w:eastAsia="Arial" w:cs="Arial"/>
                <w:sz w:val="20"/>
                <w:szCs w:val="20"/>
              </w:rPr>
              <w:t xml:space="preserve">2035.3.3.90.34.00.00.1.500.0000000 </w:t>
            </w:r>
            <w:r>
              <w:rPr>
                <w:rFonts w:ascii="Arial" w:hAnsi="Arial" w:cs="Arial"/>
                <w:sz w:val="20"/>
                <w:szCs w:val="20"/>
              </w:rPr>
            </w:r>
            <w:r>
              <w:rPr>
                <w:rFonts w:ascii="Arial" w:hAnsi="Arial" w:cs="Arial"/>
                <w:sz w:val="20"/>
                <w:szCs w:val="20"/>
              </w:rPr>
            </w:r>
          </w:p>
        </w:tc>
        <w:tc>
          <w:tcPr>
            <w:tcBorders/>
            <w:tcW w:w="4437" w:type="dxa"/>
            <w:vAlign w:val="center"/>
          </w:tcPr>
          <w:p w14:paraId="57DED5F5">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7C51181A">
            <w:pPr>
              <w:pBdr/>
              <w:spacing/>
              <w:ind/>
              <w:jc w:val="center"/>
              <w:rPr>
                <w:rFonts w:ascii="Arial" w:hAnsi="Arial" w:cs="Arial"/>
                <w:sz w:val="20"/>
                <w:szCs w:val="20"/>
              </w:rPr>
            </w:pPr>
            <w:r>
              <w:rPr>
                <w:rFonts w:ascii="Arial" w:hAnsi="Arial" w:eastAsia="Arial" w:cs="Arial"/>
                <w:sz w:val="20"/>
                <w:szCs w:val="20"/>
              </w:rPr>
              <w:t xml:space="preserve">2036.3.3.90.39.00.00.1.500.0000000 </w:t>
            </w:r>
            <w:r>
              <w:rPr>
                <w:rFonts w:ascii="Arial" w:hAnsi="Arial" w:cs="Arial"/>
                <w:sz w:val="20"/>
                <w:szCs w:val="20"/>
              </w:rPr>
            </w:r>
            <w:r>
              <w:rPr>
                <w:rFonts w:ascii="Arial" w:hAnsi="Arial" w:cs="Arial"/>
                <w:sz w:val="20"/>
                <w:szCs w:val="20"/>
              </w:rPr>
            </w:r>
          </w:p>
        </w:tc>
        <w:tc>
          <w:tcPr>
            <w:tcBorders/>
            <w:tcW w:w="4437" w:type="dxa"/>
            <w:vAlign w:val="center"/>
          </w:tcPr>
          <w:p w14:paraId="55C4B2A5">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03FD5B07">
            <w:pPr>
              <w:pBdr/>
              <w:spacing/>
              <w:ind/>
              <w:jc w:val="center"/>
              <w:rPr>
                <w:rFonts w:ascii="Arial" w:hAnsi="Arial" w:cs="Arial"/>
                <w:sz w:val="20"/>
                <w:szCs w:val="20"/>
              </w:rPr>
            </w:pPr>
            <w:r>
              <w:rPr>
                <w:rFonts w:ascii="Arial" w:hAnsi="Arial" w:eastAsia="Arial" w:cs="Arial"/>
                <w:sz w:val="20"/>
                <w:szCs w:val="20"/>
              </w:rPr>
              <w:t xml:space="preserve">2036.3.3.90.34.00.00.1.500.0000000 </w:t>
            </w:r>
            <w:r>
              <w:rPr>
                <w:rFonts w:ascii="Arial" w:hAnsi="Arial" w:cs="Arial"/>
                <w:sz w:val="20"/>
                <w:szCs w:val="20"/>
              </w:rPr>
            </w:r>
            <w:r>
              <w:rPr>
                <w:rFonts w:ascii="Arial" w:hAnsi="Arial" w:cs="Arial"/>
                <w:sz w:val="20"/>
                <w:szCs w:val="20"/>
              </w:rPr>
            </w:r>
          </w:p>
        </w:tc>
        <w:tc>
          <w:tcPr>
            <w:tcBorders/>
            <w:tcW w:w="4437" w:type="dxa"/>
            <w:vAlign w:val="center"/>
          </w:tcPr>
          <w:p w14:paraId="51DD431B">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606B0A0A">
            <w:pPr>
              <w:pBdr/>
              <w:spacing/>
              <w:ind/>
              <w:jc w:val="center"/>
              <w:rPr>
                <w:rFonts w:ascii="Arial" w:hAnsi="Arial" w:cs="Arial"/>
                <w:sz w:val="20"/>
                <w:szCs w:val="20"/>
              </w:rPr>
            </w:pPr>
            <w:r>
              <w:rPr>
                <w:rFonts w:ascii="Arial" w:hAnsi="Arial" w:eastAsia="Arial" w:cs="Arial"/>
                <w:sz w:val="20"/>
                <w:szCs w:val="20"/>
              </w:rPr>
              <w:t xml:space="preserve">1015.4.4.90.51.00.00.1.500.0000000 </w:t>
            </w:r>
            <w:r>
              <w:rPr>
                <w:rFonts w:ascii="Arial" w:hAnsi="Arial" w:cs="Arial"/>
                <w:sz w:val="20"/>
                <w:szCs w:val="20"/>
              </w:rPr>
            </w:r>
            <w:r>
              <w:rPr>
                <w:rFonts w:ascii="Arial" w:hAnsi="Arial" w:cs="Arial"/>
                <w:sz w:val="20"/>
                <w:szCs w:val="20"/>
              </w:rPr>
            </w:r>
          </w:p>
        </w:tc>
        <w:tc>
          <w:tcPr>
            <w:tcBorders/>
            <w:tcW w:w="4437" w:type="dxa"/>
            <w:vAlign w:val="center"/>
          </w:tcPr>
          <w:p w14:paraId="1C5F7323">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79A30C46">
            <w:pPr>
              <w:pBdr/>
              <w:spacing/>
              <w:ind/>
              <w:jc w:val="center"/>
              <w:rPr>
                <w:rFonts w:ascii="Arial" w:hAnsi="Arial" w:cs="Arial"/>
                <w:sz w:val="20"/>
                <w:szCs w:val="20"/>
              </w:rPr>
            </w:pPr>
            <w:r>
              <w:rPr>
                <w:rFonts w:ascii="Arial" w:hAnsi="Arial" w:eastAsia="Arial" w:cs="Arial"/>
                <w:sz w:val="20"/>
                <w:szCs w:val="20"/>
              </w:rPr>
              <w:t xml:space="preserve">1015.4.4.90.51.00.00.1.500.0000750 </w:t>
            </w:r>
            <w:r>
              <w:rPr>
                <w:rFonts w:ascii="Arial" w:hAnsi="Arial" w:cs="Arial"/>
                <w:sz w:val="20"/>
                <w:szCs w:val="20"/>
              </w:rPr>
            </w:r>
            <w:r>
              <w:rPr>
                <w:rFonts w:ascii="Arial" w:hAnsi="Arial" w:cs="Arial"/>
                <w:sz w:val="20"/>
                <w:szCs w:val="20"/>
              </w:rPr>
            </w:r>
          </w:p>
        </w:tc>
        <w:tc>
          <w:tcPr>
            <w:tcBorders/>
            <w:tcW w:w="4437" w:type="dxa"/>
          </w:tcPr>
          <w:p w14:paraId="36A74F25">
            <w:pPr>
              <w:pStyle w:val="1155"/>
              <w:pBdr/>
              <w:spacing/>
              <w:ind/>
              <w:jc w:val="center"/>
              <w:rPr>
                <w:rFonts w:hint="default"/>
                <w:lang w:val="pt-BR"/>
              </w:rPr>
            </w:pPr>
            <w:r>
              <w:rPr>
                <w:rFonts w:hint="default"/>
                <w:sz w:val="24"/>
                <w:szCs w:val="24"/>
                <w:lang w:val="pt-BR"/>
              </w:rPr>
              <w:t xml:space="preserve">-</w:t>
            </w:r>
            <w:r>
              <w:rPr>
                <w:sz w:val="24"/>
                <w:szCs w:val="24"/>
              </w:rPr>
              <w:t xml:space="preserve">Recurso de emenda</w:t>
            </w:r>
            <w:r>
              <w:rPr>
                <w:rFonts w:hint="default"/>
                <w:sz w:val="24"/>
                <w:szCs w:val="24"/>
                <w:lang w:val="pt-BR"/>
              </w:rPr>
              <w:t xml:space="preserve"> impositiva do legislativo municipal</w:t>
            </w:r>
            <w:r>
              <w:rPr>
                <w:rFonts w:hint="default"/>
                <w:lang w:val="pt-BR"/>
              </w:rPr>
            </w:r>
            <w:r>
              <w:rPr>
                <w:rFonts w:hint="default"/>
                <w:lang w:val="pt-BR"/>
              </w:rPr>
            </w:r>
          </w:p>
        </w:tc>
      </w:tr>
      <w:tr>
        <w:trPr/>
        <w:tc>
          <w:tcPr>
            <w:tcBorders/>
            <w:tcW w:w="4815" w:type="dxa"/>
            <w:vAlign w:val="center"/>
          </w:tcPr>
          <w:p w14:paraId="08649370">
            <w:pPr>
              <w:pBdr/>
              <w:spacing/>
              <w:ind/>
              <w:jc w:val="center"/>
              <w:rPr>
                <w:rFonts w:ascii="Arial" w:hAnsi="Arial" w:cs="Arial"/>
                <w:sz w:val="20"/>
                <w:szCs w:val="20"/>
              </w:rPr>
            </w:pPr>
            <w:r>
              <w:rPr>
                <w:rFonts w:ascii="Arial" w:hAnsi="Arial" w:eastAsia="Arial" w:cs="Arial"/>
                <w:sz w:val="20"/>
                <w:szCs w:val="20"/>
              </w:rPr>
              <w:t xml:space="preserve">1018.4.4.90.51.00.00.1.500.0000000 </w:t>
            </w:r>
            <w:r>
              <w:rPr>
                <w:rFonts w:ascii="Arial" w:hAnsi="Arial" w:cs="Arial"/>
                <w:sz w:val="20"/>
                <w:szCs w:val="20"/>
              </w:rPr>
            </w:r>
            <w:r>
              <w:rPr>
                <w:rFonts w:ascii="Arial" w:hAnsi="Arial" w:cs="Arial"/>
                <w:sz w:val="20"/>
                <w:szCs w:val="20"/>
              </w:rPr>
            </w:r>
          </w:p>
        </w:tc>
        <w:tc>
          <w:tcPr>
            <w:tcBorders/>
            <w:tcW w:w="4437" w:type="dxa"/>
          </w:tcPr>
          <w:p w14:paraId="53A8DCBD">
            <w:pPr>
              <w:pStyle w:val="1155"/>
              <w:pBdr/>
              <w:spacing/>
              <w:ind/>
              <w:jc w:val="center"/>
              <w:rPr/>
            </w:pPr>
            <w:r>
              <w:rPr>
                <w:rFonts w:hint="default"/>
                <w:sz w:val="24"/>
                <w:szCs w:val="24"/>
                <w:lang w:val="pt-BR"/>
              </w:rPr>
              <w:t xml:space="preserve">-</w:t>
            </w:r>
            <w:r>
              <w:rPr>
                <w:sz w:val="24"/>
                <w:szCs w:val="24"/>
              </w:rPr>
              <w:t xml:space="preserve">Recurso próprio</w:t>
            </w:r>
            <w:r/>
          </w:p>
        </w:tc>
      </w:tr>
      <w:tr>
        <w:trPr/>
        <w:tc>
          <w:tcPr>
            <w:tcBorders/>
            <w:tcW w:w="4815" w:type="dxa"/>
            <w:vAlign w:val="center"/>
          </w:tcPr>
          <w:p w14:paraId="6CEACF5B">
            <w:pPr>
              <w:pBdr/>
              <w:spacing/>
              <w:ind/>
              <w:jc w:val="center"/>
              <w:rPr>
                <w:rFonts w:ascii="Arial" w:hAnsi="Arial" w:cs="Arial"/>
                <w:sz w:val="20"/>
                <w:szCs w:val="20"/>
              </w:rPr>
            </w:pPr>
            <w:r>
              <w:rPr>
                <w:rFonts w:ascii="Arial" w:hAnsi="Arial" w:eastAsia="Arial" w:cs="Arial"/>
                <w:sz w:val="20"/>
                <w:szCs w:val="20"/>
              </w:rPr>
              <w:t xml:space="preserve">1018.4.4.90.51.00.00.1.500.0000750 </w:t>
            </w:r>
            <w:r>
              <w:rPr>
                <w:rFonts w:ascii="Arial" w:hAnsi="Arial" w:cs="Arial"/>
                <w:sz w:val="20"/>
                <w:szCs w:val="20"/>
              </w:rPr>
            </w:r>
            <w:r>
              <w:rPr>
                <w:rFonts w:ascii="Arial" w:hAnsi="Arial" w:cs="Arial"/>
                <w:sz w:val="20"/>
                <w:szCs w:val="20"/>
              </w:rPr>
            </w:r>
          </w:p>
        </w:tc>
        <w:tc>
          <w:tcPr>
            <w:tcBorders/>
            <w:tcW w:w="4437" w:type="dxa"/>
          </w:tcPr>
          <w:p w14:paraId="47E92200">
            <w:pPr>
              <w:pStyle w:val="1155"/>
              <w:pBdr/>
              <w:spacing/>
              <w:ind/>
              <w:jc w:val="center"/>
              <w:rPr/>
            </w:pPr>
            <w:r>
              <w:rPr>
                <w:rFonts w:hint="default"/>
                <w:sz w:val="24"/>
                <w:szCs w:val="24"/>
                <w:lang w:val="pt-BR"/>
              </w:rPr>
              <w:t xml:space="preserve">-</w:t>
            </w:r>
            <w:r>
              <w:rPr>
                <w:sz w:val="24"/>
                <w:szCs w:val="24"/>
              </w:rPr>
              <w:t xml:space="preserve">Recurso de emenda</w:t>
            </w:r>
            <w:r>
              <w:rPr>
                <w:rFonts w:hint="default"/>
                <w:sz w:val="24"/>
                <w:szCs w:val="24"/>
                <w:lang w:val="pt-BR"/>
              </w:rPr>
              <w:t xml:space="preserve"> impositiva do legislativo municipal</w:t>
            </w:r>
            <w:r/>
          </w:p>
        </w:tc>
      </w:tr>
    </w:tbl>
    <w:p w14:paraId="159290D7">
      <w:pPr>
        <w:pStyle w:val="876"/>
        <w:widowControl w:val="false"/>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040302B">
      <w:pPr>
        <w:pStyle w:val="876"/>
        <w:widowControl w:val="false"/>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984BF48">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Décima Segunda</w:t>
      </w:r>
      <w:r>
        <w:rPr>
          <w:rFonts w:ascii="Arial" w:hAnsi="Arial" w:cs="Arial"/>
          <w:b/>
          <w:bCs/>
          <w:szCs w:val="22"/>
        </w:rPr>
      </w:r>
      <w:r>
        <w:rPr>
          <w:rFonts w:ascii="Arial" w:hAnsi="Arial" w:cs="Arial"/>
          <w:b/>
          <w:bCs/>
          <w:szCs w:val="22"/>
        </w:rPr>
      </w:r>
    </w:p>
    <w:p w14:paraId="74AB1FF2">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DAS CONDIÇÕES DE FORNECIMENTO</w:t>
      </w:r>
      <w:r>
        <w:rPr>
          <w:rFonts w:ascii="Arial" w:hAnsi="Arial" w:cs="Arial"/>
          <w:szCs w:val="22"/>
        </w:rPr>
      </w:r>
      <w:r>
        <w:rPr>
          <w:rFonts w:ascii="Arial" w:hAnsi="Arial" w:cs="Arial"/>
          <w:szCs w:val="22"/>
        </w:rPr>
      </w:r>
    </w:p>
    <w:p w14:paraId="50266079">
      <w:pPr>
        <w:pStyle w:val="857"/>
        <w:numPr>
          <w:ilvl w:val="0"/>
          <w:numId w:val="0"/>
        </w:numPr>
        <w:pBdr/>
        <w:spacing w:before="93" w:line="360" w:lineRule="auto"/>
        <w:ind w:right="0"/>
        <w:jc w:val="both"/>
        <w:rPr>
          <w:rFonts w:hint="default" w:ascii="Arial" w:hAnsi="Arial" w:eastAsia="SimSun" w:cs="Arial"/>
          <w:b w:val="0"/>
          <w:bCs w:val="0"/>
          <w:sz w:val="22"/>
          <w:szCs w:val="22"/>
          <w:highlight w:val="none"/>
          <w:u w:val="none"/>
        </w:rPr>
      </w:pPr>
      <w:r>
        <w:rPr>
          <w:rFonts w:hint="default" w:ascii="Arial" w:hAnsi="Arial" w:eastAsia="SimSun" w:cs="Arial"/>
          <w:b w:val="0"/>
          <w:bCs w:val="0"/>
          <w:sz w:val="22"/>
          <w:szCs w:val="22"/>
          <w:u w:val="none"/>
        </w:rPr>
      </w:r>
      <w:r>
        <w:rPr>
          <w:rFonts w:hint="default" w:ascii="Arial" w:hAnsi="Arial" w:eastAsia="SimSun" w:cs="Arial"/>
          <w:b/>
          <w:bCs/>
          <w:sz w:val="22"/>
          <w:szCs w:val="22"/>
          <w:u w:val="none"/>
        </w:rPr>
        <w:t xml:space="preserve">12.1.</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rPr>
        <w:t xml:space="preserve">A CONTRATADA executará os serviços objeto deste contrato, no regime de EMPREITADA </w:t>
      </w:r>
      <w:r>
        <w:rPr>
          <w:rFonts w:hint="default" w:ascii="Arial" w:hAnsi="Arial" w:eastAsia="SimSun" w:cs="Arial"/>
          <w:b w:val="0"/>
          <w:bCs w:val="0"/>
          <w:sz w:val="22"/>
          <w:szCs w:val="22"/>
          <w:u w:val="none"/>
          <w:lang w:val="pt-BR"/>
        </w:rPr>
        <w:t xml:space="preserve">POR PREÇO GLOBAL</w:t>
      </w:r>
      <w:r>
        <w:rPr>
          <w:rFonts w:hint="default" w:ascii="Arial" w:hAnsi="Arial" w:eastAsia="SimSun" w:cs="Arial"/>
          <w:b w:val="0"/>
          <w:bCs w:val="0"/>
          <w:sz w:val="22"/>
          <w:szCs w:val="22"/>
          <w:u w:val="none"/>
        </w:rPr>
        <w:t xml:space="preserve">, compreendendo todas as etapas </w:t>
      </w:r>
      <w:r>
        <w:rPr>
          <w:rFonts w:hint="default" w:ascii="Arial" w:hAnsi="Arial" w:eastAsia="SimSun" w:cs="Arial"/>
          <w:b w:val="0"/>
          <w:bCs w:val="0"/>
          <w:sz w:val="22"/>
          <w:szCs w:val="22"/>
          <w:u w:val="none"/>
          <w:lang w:val="pt-BR"/>
        </w:rPr>
        <w:t xml:space="preserve">dos</w:t>
      </w:r>
      <w:r>
        <w:rPr>
          <w:rFonts w:hint="default" w:ascii="Arial" w:hAnsi="Arial" w:eastAsia="SimSun" w:cs="Arial"/>
          <w:b w:val="0"/>
          <w:bCs w:val="0"/>
          <w:sz w:val="22"/>
          <w:szCs w:val="22"/>
          <w:u w:val="none"/>
        </w:rPr>
        <w:t xml:space="preserve">, serviços e instalações necessárias, nos prazos definidos n</w:t>
      </w:r>
      <w:r>
        <w:rPr>
          <w:rFonts w:hint="default" w:ascii="Arial" w:hAnsi="Arial" w:eastAsia="SimSun" w:cs="Arial"/>
          <w:b w:val="0"/>
          <w:bCs w:val="0"/>
          <w:sz w:val="22"/>
          <w:szCs w:val="22"/>
          <w:u w:val="none"/>
          <w:lang w:val="pt-BR"/>
        </w:rPr>
        <w:t xml:space="preserve">o</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CRONOGRAMA</w:t>
      </w:r>
      <w:r>
        <w:rPr>
          <w:rFonts w:hint="default" w:ascii="Arial" w:hAnsi="Arial" w:eastAsia="SimSun" w:cs="Arial"/>
          <w:b w:val="0"/>
          <w:bCs w:val="0"/>
          <w:sz w:val="22"/>
          <w:szCs w:val="22"/>
          <w:u w:val="none"/>
        </w:rPr>
        <w:t xml:space="preserve">, os quais têm como data de referência o dia de emissão da Ordem de Serviço</w:t>
      </w:r>
      <w:r>
        <w:rPr>
          <w:rFonts w:hint="default" w:ascii="Arial" w:hAnsi="Arial" w:eastAsia="SimSun" w:cs="Arial"/>
          <w:b w:val="0"/>
          <w:bCs w:val="0"/>
          <w:sz w:val="22"/>
          <w:szCs w:val="22"/>
          <w:u w:val="none"/>
          <w:lang w:val="pt-BR"/>
        </w:rPr>
        <w:t xml:space="preserve">.</w:t>
      </w:r>
      <w:r>
        <w:rPr>
          <w:rFonts w:hint="default" w:ascii="Arial" w:hAnsi="Arial" w:eastAsia="SimSun" w:cs="Arial"/>
          <w:b w:val="0"/>
          <w:bCs w:val="0"/>
          <w:sz w:val="22"/>
          <w:szCs w:val="22"/>
          <w:highlight w:val="none"/>
          <w:u w:val="none"/>
          <w:lang w:val="pt-BR"/>
        </w:rPr>
      </w:r>
      <w:r>
        <w:rPr>
          <w:rFonts w:hint="default" w:ascii="Arial" w:hAnsi="Arial" w:eastAsia="SimSun" w:cs="Arial"/>
          <w:b w:val="0"/>
          <w:bCs w:val="0"/>
          <w:sz w:val="22"/>
          <w:szCs w:val="22"/>
          <w:highlight w:val="none"/>
          <w:u w:val="none"/>
        </w:rPr>
      </w:r>
    </w:p>
    <w:p w14:paraId="4BB4D5B8">
      <w:pPr>
        <w:pBdr/>
        <w:tabs>
          <w:tab w:val="left" w:leader="none" w:pos="0"/>
        </w:tabs>
        <w:spacing w:line="360" w:lineRule="auto"/>
        <w:ind w:right="0" w:firstLine="425" w:left="0"/>
        <w:contextualSpacing w:val="true"/>
        <w:jc w:val="both"/>
        <w:rPr>
          <w:rStyle w:val="1171"/>
          <w:rFonts w:ascii="Arial" w:hAnsi="Arial" w:cs="Arial"/>
          <w:b w:val="0"/>
          <w:bCs w:val="0"/>
          <w:color w:val="000000" w:themeColor="text1"/>
          <w:sz w:val="22"/>
          <w:szCs w:val="22"/>
          <w14:textFill>
            <w14:solidFill>
              <w14:schemeClr w14:val="tx1"/>
            </w14:solidFill>
          </w14:textFill>
        </w:rPr>
      </w:pPr>
      <w:r>
        <w:rPr>
          <w:rFonts w:ascii="Arial" w:hAnsi="Arial" w:eastAsia="Arial" w:cs="Arial"/>
          <w:b w:val="0"/>
          <w:bCs w:val="0"/>
          <w:sz w:val="22"/>
          <w:szCs w:val="22"/>
          <w:lang w:val="pt-BR"/>
        </w:rPr>
        <w:t xml:space="preserve">I - </w:t>
      </w:r>
      <w:r>
        <w:rPr>
          <w:rStyle w:val="1171"/>
          <w:rFonts w:ascii="Arial" w:hAnsi="Arial" w:eastAsia="Arial" w:cs="Arial"/>
          <w:b w:val="0"/>
          <w:bCs w:val="0"/>
          <w:color w:val="000000" w:themeColor="text1"/>
          <w:sz w:val="22"/>
          <w:szCs w:val="22"/>
          <w14:textFill>
            <w14:solidFill>
              <w14:schemeClr w14:val="tx1"/>
            </w14:solidFill>
          </w14:textFill>
        </w:rPr>
        <w:t xml:space="preserve">O recebimento provisório</w:t>
      </w:r>
      <w:r>
        <w:rPr>
          <w:rFonts w:ascii="Arial" w:hAnsi="Arial" w:eastAsia="Arial" w:cs="Arial"/>
          <w:b w:val="0"/>
          <w:bCs w:val="0"/>
          <w:color w:val="000000" w:themeColor="text1"/>
          <w:sz w:val="22"/>
          <w:szCs w:val="22"/>
          <w14:textFill>
            <w14:solidFill>
              <w14:schemeClr w14:val="tx1"/>
            </w14:solidFill>
          </w14:textFill>
        </w:rPr>
        <w:t xml:space="preserve"> </w:t>
      </w:r>
      <w:r>
        <w:rPr>
          <w:rStyle w:val="1171"/>
          <w:rFonts w:ascii="Arial" w:hAnsi="Arial" w:eastAsia="Arial" w:cs="Arial"/>
          <w:b w:val="0"/>
          <w:bCs w:val="0"/>
          <w:color w:val="000000" w:themeColor="text1"/>
          <w:sz w:val="22"/>
          <w:szCs w:val="22"/>
          <w14:textFill>
            <w14:solidFill>
              <w14:schemeClr w14:val="tx1"/>
            </w14:solidFill>
          </w14:textFill>
        </w:rPr>
        <w:t xml:space="preserve">será mediante o registro de recebimento do material pela Fiscalização, para efeito de posterior verificação de sua conformidade;</w:t>
      </w:r>
      <w:r>
        <w:rPr>
          <w:rStyle w:val="1171"/>
          <w:rFonts w:ascii="Arial" w:hAnsi="Arial" w:cs="Arial"/>
          <w:b w:val="0"/>
          <w:bCs w:val="0"/>
          <w:color w:val="000000" w:themeColor="text1"/>
          <w:sz w:val="22"/>
          <w:szCs w:val="22"/>
          <w14:textFill>
            <w14:solidFill>
              <w14:schemeClr w14:val="tx1"/>
            </w14:solidFill>
          </w14:textFill>
        </w:rPr>
      </w:r>
      <w:r>
        <w:rPr>
          <w:rStyle w:val="1171"/>
          <w:rFonts w:ascii="Arial" w:hAnsi="Arial" w:cs="Arial"/>
          <w:b w:val="0"/>
          <w:bCs w:val="0"/>
          <w:color w:val="000000" w:themeColor="text1"/>
          <w:sz w:val="22"/>
          <w:szCs w:val="22"/>
          <w14:textFill>
            <w14:solidFill>
              <w14:schemeClr w14:val="tx1"/>
            </w14:solidFill>
          </w14:textFill>
        </w:rPr>
      </w:r>
    </w:p>
    <w:p w14:paraId="404877B7">
      <w:pPr>
        <w:pBdr/>
        <w:tabs>
          <w:tab w:val="left" w:leader="none" w:pos="0"/>
        </w:tabs>
        <w:spacing w:line="360" w:lineRule="auto"/>
        <w:ind w:right="0" w:firstLine="425" w:left="0"/>
        <w:contextualSpacing w:val="true"/>
        <w:jc w:val="both"/>
        <w:rPr>
          <w:rStyle w:val="1171"/>
          <w:rFonts w:ascii="Arial" w:hAnsi="Arial" w:cs="Arial"/>
          <w:b w:val="0"/>
          <w:bCs w:val="0"/>
          <w:color w:val="000000" w:themeColor="text1"/>
          <w:sz w:val="22"/>
          <w:szCs w:val="22"/>
          <w14:textFill>
            <w14:solidFill>
              <w14:schemeClr w14:val="tx1"/>
            </w14:solidFill>
          </w14:textFill>
        </w:rPr>
      </w:pPr>
      <w:r>
        <w:rPr>
          <w:rStyle w:val="1171"/>
          <w:rFonts w:ascii="Arial" w:hAnsi="Arial" w:eastAsia="Arial" w:cs="Arial"/>
          <w:b w:val="0"/>
          <w:bCs w:val="0"/>
          <w:color w:val="000000" w:themeColor="text1"/>
          <w:sz w:val="22"/>
          <w:szCs w:val="22"/>
          <w:lang w:val="pt-BR"/>
          <w14:textFill>
            <w14:solidFill>
              <w14:schemeClr w14:val="tx1"/>
            </w14:solidFill>
          </w14:textFill>
        </w:rPr>
        <w:t xml:space="preserve">II - </w:t>
      </w:r>
      <w:r>
        <w:rPr>
          <w:rStyle w:val="1171"/>
          <w:rFonts w:ascii="Arial" w:hAnsi="Arial" w:eastAsia="Arial" w:cs="Arial"/>
          <w:b w:val="0"/>
          <w:bCs w:val="0"/>
          <w:color w:val="000000" w:themeColor="text1"/>
          <w:sz w:val="22"/>
          <w:szCs w:val="22"/>
          <w14:textFill>
            <w14:solidFill>
              <w14:schemeClr w14:val="tx1"/>
            </w14:solidFill>
          </w14:textFill>
        </w:rPr>
        <w:t xml:space="preserve">O recebimento definitivo será mediante recibo, em até 5 (cinco) dias corridos após o recebimento provisório e a verificação da perfeita execução das obrigações contratuais, ocasião em que se fará constar o atesto da nota fiscal;</w:t>
      </w:r>
      <w:r>
        <w:rPr>
          <w:rStyle w:val="1171"/>
          <w:rFonts w:ascii="Arial" w:hAnsi="Arial" w:cs="Arial"/>
          <w:b w:val="0"/>
          <w:bCs w:val="0"/>
          <w:color w:val="000000" w:themeColor="text1"/>
          <w:sz w:val="22"/>
          <w:szCs w:val="22"/>
          <w14:textFill>
            <w14:solidFill>
              <w14:schemeClr w14:val="tx1"/>
            </w14:solidFill>
          </w14:textFill>
        </w:rPr>
      </w:r>
      <w:r>
        <w:rPr>
          <w:rStyle w:val="1171"/>
          <w:rFonts w:ascii="Arial" w:hAnsi="Arial" w:cs="Arial"/>
          <w:b w:val="0"/>
          <w:bCs w:val="0"/>
          <w:color w:val="000000" w:themeColor="text1"/>
          <w:sz w:val="22"/>
          <w:szCs w:val="22"/>
          <w14:textFill>
            <w14:solidFill>
              <w14:schemeClr w14:val="tx1"/>
            </w14:solidFill>
          </w14:textFill>
        </w:rPr>
      </w:r>
    </w:p>
    <w:p w14:paraId="7FF202E8">
      <w:pPr>
        <w:pBdr/>
        <w:tabs>
          <w:tab w:val="left" w:leader="none" w:pos="0"/>
        </w:tabs>
        <w:spacing w:line="360" w:lineRule="auto"/>
        <w:ind w:right="0" w:firstLine="425" w:left="0"/>
        <w:contextualSpacing w:val="true"/>
        <w:jc w:val="both"/>
        <w:rPr>
          <w:rFonts w:ascii="Arial" w:hAnsi="Arial" w:cs="Arial"/>
          <w:b w:val="0"/>
          <w:bCs w:val="0"/>
          <w:color w:val="000000" w:themeColor="text1"/>
          <w:sz w:val="22"/>
          <w:szCs w:val="22"/>
          <w14:textFill>
            <w14:solidFill>
              <w14:schemeClr w14:val="tx1"/>
            </w14:solidFill>
          </w14:textFill>
        </w:rPr>
      </w:pPr>
      <w:r>
        <w:rPr>
          <w:rStyle w:val="1171"/>
          <w:rFonts w:ascii="Arial" w:hAnsi="Arial" w:eastAsia="Arial" w:cs="Arial"/>
          <w:b w:val="0"/>
          <w:bCs w:val="0"/>
          <w:color w:val="000000" w:themeColor="text1"/>
          <w:sz w:val="22"/>
          <w:szCs w:val="22"/>
          <w:lang w:val="pt-BR"/>
          <w14:textFill>
            <w14:solidFill>
              <w14:schemeClr w14:val="tx1"/>
            </w14:solidFill>
          </w14:textFill>
        </w:rPr>
        <w:t xml:space="preserve">III - </w:t>
      </w:r>
      <w:r>
        <w:rPr>
          <w:rFonts w:ascii="Arial" w:hAnsi="Arial" w:eastAsia="Arial" w:cs="Arial"/>
          <w:b w:val="0"/>
          <w:bCs w:val="0"/>
          <w:color w:val="000000" w:themeColor="text1"/>
          <w:sz w:val="22"/>
          <w:szCs w:val="22"/>
          <w14:textFill>
            <w14:solidFill>
              <w14:schemeClr w14:val="tx1"/>
            </w14:solidFill>
          </w14:textFill>
        </w:rPr>
        <w:t xml:space="preserve">O Recebimento Definitivo não exclui a responsabilidade da contratada por vícios de qualidade ou disparidade com as especificações técnicas verificadas posteriormente;</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21DBA73C">
      <w:pPr>
        <w:pBdr/>
        <w:tabs>
          <w:tab w:val="left" w:leader="none" w:pos="0"/>
        </w:tabs>
        <w:spacing w:line="360" w:lineRule="auto"/>
        <w:ind w:right="0" w:firstLine="425" w:left="0"/>
        <w:contextualSpacing w:val="true"/>
        <w:jc w:val="both"/>
        <w:rPr>
          <w:rFonts w:ascii="Arial" w:hAnsi="Arial" w:cs="Arial"/>
          <w:b w:val="0"/>
          <w:bCs w:val="0"/>
          <w:color w:val="000000" w:themeColor="text1"/>
          <w:sz w:val="22"/>
          <w:szCs w:val="22"/>
          <w14:textFill>
            <w14:solidFill>
              <w14:schemeClr w14:val="tx1"/>
            </w14:solidFill>
          </w14:textFill>
        </w:rPr>
      </w:pPr>
      <w:r>
        <w:rPr>
          <w:rFonts w:ascii="Arial" w:hAnsi="Arial" w:eastAsia="Arial" w:cs="Arial"/>
          <w:b w:val="0"/>
          <w:bCs w:val="0"/>
          <w:color w:val="000000" w:themeColor="text1"/>
          <w:sz w:val="22"/>
          <w:szCs w:val="22"/>
          <w:lang w:val="pt-BR"/>
          <w14:textFill>
            <w14:solidFill>
              <w14:schemeClr w14:val="tx1"/>
            </w14:solidFill>
          </w14:textFill>
        </w:rPr>
        <w:t xml:space="preserve">IV -</w:t>
      </w:r>
      <w:r>
        <w:rPr>
          <w:rFonts w:ascii="Arial" w:hAnsi="Arial" w:eastAsia="Arial" w:cs="Arial"/>
          <w:b w:val="0"/>
          <w:bCs w:val="0"/>
          <w:color w:val="000000" w:themeColor="text1"/>
          <w:sz w:val="22"/>
          <w:szCs w:val="22"/>
          <w14:textFill>
            <w14:solidFill>
              <w14:schemeClr w14:val="tx1"/>
            </w14:solidFill>
          </w14:textFill>
        </w:rPr>
        <w:t xml:space="preserve"> Os equipamentos/materiais poderão ser rejeitados, no t</w:t>
      </w:r>
      <w:r>
        <w:rPr>
          <w:rFonts w:ascii="Arial" w:hAnsi="Arial" w:eastAsia="Arial" w:cs="Arial"/>
          <w:b w:val="0"/>
          <w:bCs w:val="0"/>
          <w:color w:val="000000" w:themeColor="text1"/>
          <w:sz w:val="22"/>
          <w:szCs w:val="22"/>
          <w14:textFill>
            <w14:solidFill>
              <w14:schemeClr w14:val="tx1"/>
            </w14:solidFill>
          </w14:textFill>
        </w:rPr>
        <w:t xml:space="preserve">odo ou em parte, quando em desacordo com as especificações constantes neste Termo de Referência e na proposta, devendo ser substituídos em até 5 (cinco) dias, a contar da notificação da contratada, às suas custas, sem prejuízo da aplicação das penalidades.</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0434ECB4">
      <w:pPr>
        <w:pBdr/>
        <w:spacing w:line="360" w:lineRule="auto"/>
        <w:ind w:right="0" w:firstLine="425" w:left="0"/>
        <w:rPr>
          <w:rFonts w:ascii="Arial" w:hAnsi="Arial" w:cs="Arial"/>
          <w:b w:val="0"/>
          <w:bCs w:val="0"/>
          <w:color w:val="000000"/>
          <w:sz w:val="22"/>
          <w:szCs w:val="22"/>
        </w:rPr>
      </w:pPr>
      <w:r>
        <w:rPr>
          <w:rFonts w:ascii="Arial" w:hAnsi="Arial" w:eastAsia="Arial" w:cs="Arial"/>
          <w:b w:val="0"/>
          <w:bCs w:val="0"/>
          <w:color w:val="000000" w:themeColor="text1"/>
          <w:sz w:val="22"/>
          <w:szCs w:val="22"/>
          <w:lang w:val="pt-BR"/>
          <w14:textFill>
            <w14:solidFill>
              <w14:schemeClr w14:val="tx1"/>
            </w14:solidFill>
          </w14:textFill>
        </w:rPr>
        <w:t xml:space="preserve">V- </w:t>
      </w:r>
      <w:r>
        <w:rPr>
          <w:rFonts w:ascii="Arial" w:hAnsi="Arial" w:eastAsia="Arial" w:cs="Arial"/>
          <w:b w:val="0"/>
          <w:bCs w:val="0"/>
          <w:color w:val="000000" w:themeColor="text1"/>
          <w:sz w:val="22"/>
          <w:szCs w:val="22"/>
          <w14:textFill>
            <w14:solidFill>
              <w14:schemeClr w14:val="tx1"/>
            </w14:solidFill>
          </w14:textFill>
        </w:rPr>
        <w:t xml:space="preserve"> </w:t>
      </w:r>
      <w:r>
        <w:rPr>
          <w:rFonts w:ascii="Arial" w:hAnsi="Arial" w:eastAsia="Arial" w:cs="Arial"/>
          <w:b w:val="0"/>
          <w:bCs w:val="0"/>
          <w:color w:val="000000" w:themeColor="text1"/>
          <w:sz w:val="22"/>
          <w:szCs w:val="22"/>
          <w14:textFill>
            <w14:solidFill>
              <w14:schemeClr w14:val="tx1"/>
            </w14:solidFill>
          </w14:textFill>
        </w:rPr>
        <w:t xml:space="preserve">Acrescenta-se que o</w:t>
      </w:r>
      <w:r>
        <w:rPr>
          <w:rFonts w:ascii="Arial" w:hAnsi="Arial" w:eastAsia="Arial" w:cs="Arial"/>
          <w:b w:val="0"/>
          <w:bCs w:val="0"/>
          <w:color w:val="000000"/>
          <w:sz w:val="22"/>
          <w:szCs w:val="22"/>
          <w:lang w:bidi="ar"/>
        </w:rPr>
        <w:t xml:space="preserve"> recebimento do objeto contratado ocorrerá respeitando o Art. 43. do Decreto Municipal 359/2023</w:t>
      </w:r>
      <w:r>
        <w:rPr>
          <w:rFonts w:ascii="Arial" w:hAnsi="Arial" w:cs="Arial"/>
          <w:b w:val="0"/>
          <w:bCs w:val="0"/>
          <w:color w:val="000000"/>
          <w:sz w:val="22"/>
          <w:szCs w:val="22"/>
        </w:rPr>
      </w:r>
      <w:r>
        <w:rPr>
          <w:rFonts w:ascii="Arial" w:hAnsi="Arial" w:cs="Arial"/>
          <w:b w:val="0"/>
          <w:bCs w:val="0"/>
          <w:color w:val="000000"/>
          <w:sz w:val="22"/>
          <w:szCs w:val="22"/>
        </w:rPr>
      </w:r>
    </w:p>
    <w:p w14:paraId="746238A3">
      <w:pPr>
        <w:pStyle w:val="857"/>
        <w:numPr>
          <w:ilvl w:val="0"/>
          <w:numId w:val="20"/>
        </w:numPr>
        <w:pBdr/>
        <w:tabs>
          <w:tab w:val="clear" w:leader="none" w:pos="420"/>
        </w:tabs>
        <w:spacing w:before="93" w:line="360" w:lineRule="auto"/>
        <w:ind w:right="0" w:firstLine="20" w:left="880"/>
        <w:jc w:val="both"/>
        <w:rPr>
          <w:rFonts w:hint="default" w:ascii="Arial" w:hAnsi="Arial" w:eastAsia="SimSun" w:cs="Arial"/>
          <w:b w:val="0"/>
          <w:bCs w:val="0"/>
          <w:sz w:val="22"/>
          <w:szCs w:val="22"/>
          <w:u w:val="none"/>
        </w:rPr>
      </w:pPr>
      <w:r>
        <w:rPr>
          <w:rFonts w:hint="default" w:ascii="Arial" w:hAnsi="Arial" w:cs="Arial"/>
          <w:b w:val="0"/>
          <w:bCs w:val="0"/>
          <w:sz w:val="22"/>
          <w:szCs w:val="22"/>
          <w:u w:val="none"/>
        </w:rPr>
        <w:t xml:space="preserve">Caso seja constatado o não-cumprimento ou o cumprimento irregular de qualquer das condições contratuais, o Fiscal do Contrato lavrará relatório circunstanciado dirigido à autoridade </w:t>
      </w:r>
      <w:r>
        <w:rPr>
          <w:rFonts w:hint="default" w:ascii="Arial" w:hAnsi="Arial" w:cs="Arial"/>
          <w:b w:val="0"/>
          <w:bCs w:val="0"/>
          <w:sz w:val="22"/>
          <w:szCs w:val="22"/>
          <w:u w:val="none"/>
          <w:lang w:val="pt-BR"/>
        </w:rPr>
        <w:t xml:space="preserve">competente</w:t>
      </w:r>
      <w:r>
        <w:rPr>
          <w:rFonts w:hint="default" w:ascii="Arial" w:hAnsi="Arial" w:cs="Arial"/>
          <w:b w:val="0"/>
          <w:bCs w:val="0"/>
          <w:sz w:val="22"/>
          <w:szCs w:val="22"/>
          <w:u w:val="none"/>
        </w:rPr>
        <w:t xml:space="preserve">, que adotará as medidas cabíveis.</w:t>
      </w:r>
      <w:r>
        <w:rPr>
          <w:rFonts w:hint="default" w:ascii="Arial" w:hAnsi="Arial" w:eastAsia="SimSun" w:cs="Arial"/>
          <w:b w:val="0"/>
          <w:bCs w:val="0"/>
          <w:sz w:val="22"/>
          <w:szCs w:val="22"/>
          <w:u w:val="none"/>
        </w:rPr>
      </w:r>
      <w:r>
        <w:rPr>
          <w:rFonts w:hint="default" w:ascii="Arial" w:hAnsi="Arial" w:eastAsia="SimSun" w:cs="Arial"/>
          <w:b w:val="0"/>
          <w:bCs w:val="0"/>
          <w:sz w:val="22"/>
          <w:szCs w:val="22"/>
          <w:u w:val="none"/>
        </w:rPr>
      </w:r>
    </w:p>
    <w:p w14:paraId="1788E4CF">
      <w:pPr>
        <w:pStyle w:val="857"/>
        <w:numPr>
          <w:ilvl w:val="0"/>
          <w:numId w:val="20"/>
        </w:numPr>
        <w:pBdr/>
        <w:tabs>
          <w:tab w:val="clear" w:leader="none" w:pos="420"/>
        </w:tabs>
        <w:spacing w:before="93" w:line="360" w:lineRule="auto"/>
        <w:ind w:right="0" w:firstLine="20" w:left="880"/>
        <w:jc w:val="both"/>
        <w:rPr>
          <w:rFonts w:hint="default" w:ascii="Arial" w:hAnsi="Arial" w:eastAsia="SimSun" w:cs="Arial"/>
          <w:b w:val="0"/>
          <w:bCs w:val="0"/>
          <w:sz w:val="22"/>
          <w:szCs w:val="22"/>
          <w:u w:val="none"/>
        </w:rPr>
      </w:pPr>
      <w:r>
        <w:rPr>
          <w:rFonts w:hint="default" w:ascii="Arial" w:hAnsi="Arial" w:cs="Arial"/>
          <w:b w:val="0"/>
          <w:bCs w:val="0"/>
          <w:sz w:val="22"/>
          <w:szCs w:val="22"/>
          <w:u w:val="none"/>
        </w:rPr>
        <w:t xml:space="preserve">À Contratada caberá uma vez notificada, sanar as irregularidades apontadas no relatório circunstanciado, submetendo os itens impugnados a nova verificação, ficando sobrestado o pagamento até a execução das correções necessárias.</w:t>
      </w:r>
      <w:r>
        <w:rPr>
          <w:rFonts w:hint="default" w:ascii="Arial" w:hAnsi="Arial" w:eastAsia="SimSun" w:cs="Arial"/>
          <w:b w:val="0"/>
          <w:bCs w:val="0"/>
          <w:sz w:val="22"/>
          <w:szCs w:val="22"/>
          <w:u w:val="none"/>
        </w:rPr>
      </w:r>
      <w:r>
        <w:rPr>
          <w:rFonts w:hint="default" w:ascii="Arial" w:hAnsi="Arial" w:eastAsia="SimSun" w:cs="Arial"/>
          <w:b w:val="0"/>
          <w:bCs w:val="0"/>
          <w:sz w:val="22"/>
          <w:szCs w:val="22"/>
          <w:u w:val="none"/>
        </w:rPr>
      </w:r>
    </w:p>
    <w:p w14:paraId="7A86B732">
      <w:pPr>
        <w:pStyle w:val="857"/>
        <w:numPr>
          <w:ilvl w:val="0"/>
          <w:numId w:val="0"/>
        </w:numPr>
        <w:pBdr/>
        <w:spacing w:before="93" w:line="360" w:lineRule="auto"/>
        <w:ind w:right="0"/>
        <w:jc w:val="both"/>
        <w:rPr>
          <w:rFonts w:hint="default" w:ascii="Arial" w:hAnsi="Arial" w:eastAsia="SimSun" w:cs="Arial"/>
          <w:b w:val="0"/>
          <w:bCs w:val="0"/>
          <w:sz w:val="22"/>
          <w:szCs w:val="22"/>
          <w:highlight w:val="none"/>
          <w:u w:val="none"/>
        </w:rPr>
      </w:pPr>
      <w:r>
        <w:rPr>
          <w:rFonts w:hint="default" w:ascii="Arial" w:hAnsi="Arial" w:eastAsia="SimSun" w:cs="Arial"/>
          <w:b/>
          <w:bCs/>
          <w:sz w:val="22"/>
          <w:szCs w:val="22"/>
          <w:u w:val="none"/>
        </w:rPr>
        <w:t xml:space="preserve">12.2. </w:t>
      </w:r>
      <w:r>
        <w:rPr>
          <w:rFonts w:hint="default" w:ascii="Arial" w:hAnsi="Arial" w:eastAsia="SimSun" w:cs="Arial"/>
          <w:b w:val="0"/>
          <w:bCs w:val="0"/>
          <w:sz w:val="22"/>
          <w:szCs w:val="22"/>
          <w:u w:val="none"/>
        </w:rPr>
        <w:t xml:space="preserve">A </w:t>
      </w:r>
      <w:r>
        <w:rPr>
          <w:rFonts w:hint="default" w:ascii="Arial" w:hAnsi="Arial" w:eastAsia="SimSun" w:cs="Arial"/>
          <w:b w:val="0"/>
          <w:bCs w:val="0"/>
          <w:sz w:val="22"/>
          <w:szCs w:val="22"/>
          <w:u w:val="none"/>
          <w:lang w:val="pt-BR"/>
        </w:rPr>
        <w:t xml:space="preserve">CONTRATANTE</w:t>
      </w:r>
      <w:r>
        <w:rPr>
          <w:rFonts w:hint="default" w:ascii="Arial" w:hAnsi="Arial" w:eastAsia="SimSun" w:cs="Arial"/>
          <w:b w:val="0"/>
          <w:bCs w:val="0"/>
          <w:sz w:val="22"/>
          <w:szCs w:val="22"/>
          <w:u w:val="none"/>
        </w:rPr>
        <w:t xml:space="preserve"> não caberá qualquer ônus pela rejeição de serviços considerados inadequados pelo gestor.</w:t>
      </w:r>
      <w:r>
        <w:rPr>
          <w:rFonts w:hint="default" w:ascii="Arial" w:hAnsi="Arial" w:eastAsia="SimSun" w:cs="Arial"/>
          <w:b w:val="0"/>
          <w:bCs w:val="0"/>
          <w:sz w:val="22"/>
          <w:szCs w:val="22"/>
          <w:u w:val="none"/>
        </w:rPr>
      </w:r>
      <w:r>
        <w:rPr>
          <w:rFonts w:hint="default" w:ascii="Arial" w:hAnsi="Arial" w:eastAsia="SimSun" w:cs="Arial"/>
          <w:b w:val="0"/>
          <w:bCs w:val="0"/>
          <w:sz w:val="22"/>
          <w:szCs w:val="22"/>
          <w:highlight w:val="none"/>
          <w:u w:val="none"/>
        </w:rPr>
      </w:r>
    </w:p>
    <w:p w14:paraId="507D92B5">
      <w:pPr>
        <w:widowControl w:val="false"/>
        <w:pBdr/>
        <w:tabs>
          <w:tab w:val="left" w:leader="none" w:pos="0"/>
        </w:tabs>
        <w:spacing w:line="360" w:lineRule="auto"/>
        <w:ind/>
        <w:jc w:val="both"/>
        <w:rPr>
          <w:rFonts w:ascii="Arial" w:hAnsi="Arial" w:cs="Arial"/>
          <w:sz w:val="22"/>
          <w:szCs w:val="22"/>
        </w:rPr>
      </w:pPr>
      <w:r>
        <w:rPr>
          <w:rFonts w:ascii="Arial" w:hAnsi="Arial" w:eastAsia="Arial" w:cs="Arial"/>
          <w:b/>
          <w:bCs/>
          <w:sz w:val="22"/>
          <w:szCs w:val="22"/>
        </w:rPr>
        <w:t xml:space="preserve">12.3. </w:t>
      </w:r>
      <w:r>
        <w:rPr>
          <w:rFonts w:ascii="Arial" w:hAnsi="Arial" w:eastAsia="Arial" w:cs="Arial"/>
          <w:sz w:val="22"/>
          <w:szCs w:val="22"/>
        </w:rPr>
        <w:t xml:space="preserve">Sobre a garantia dos serviços prestados e responsabilidade técnica da contratada, essa responderá nos termos do Art. 618 do Código Civil Brasileiro,  pela solidez e segurança dos serviços </w:t>
      </w:r>
      <w:r>
        <w:rPr>
          <w:rFonts w:ascii="Arial" w:hAnsi="Arial" w:eastAsia="Arial" w:cs="Arial"/>
          <w:sz w:val="22"/>
          <w:szCs w:val="22"/>
        </w:rPr>
        <w:t xml:space="preserve">de pavimentação em blocos intertravados (paver), abrangendo a infraestrutura (base e sub-base) e a superestrutura (assentamento e selagem), pelo prazo irrenunciável de 05 (cinco) anos, contado a partir da data de emissão do Termo de Recebimento Definitivo.</w:t>
      </w:r>
      <w:r>
        <w:rPr>
          <w:rFonts w:ascii="Arial" w:hAnsi="Arial" w:eastAsia="Arial" w:cs="Arial"/>
          <w:sz w:val="22"/>
          <w:szCs w:val="22"/>
        </w:rPr>
      </w:r>
      <w:r>
        <w:rPr>
          <w:rFonts w:ascii="Arial" w:hAnsi="Arial" w:cs="Arial"/>
          <w:sz w:val="22"/>
          <w:szCs w:val="22"/>
        </w:rPr>
      </w:r>
    </w:p>
    <w:p w14:paraId="65633CDC">
      <w:pPr>
        <w:widowControl w:val="false"/>
        <w:pBdr/>
        <w:tabs>
          <w:tab w:val="left" w:leader="none" w:pos="0"/>
          <w:tab w:val="clear" w:leader="none" w:pos="454"/>
        </w:tabs>
        <w:spacing w:line="360" w:lineRule="auto"/>
        <w:ind w:firstLine="0" w:left="0"/>
        <w:jc w:val="both"/>
        <w:rPr>
          <w:rFonts w:ascii="Arial" w:hAnsi="Arial" w:cs="Arial"/>
          <w:sz w:val="22"/>
          <w:szCs w:val="22"/>
        </w:rPr>
      </w:pPr>
      <w:r>
        <w:rPr>
          <w:rFonts w:ascii="Arial" w:hAnsi="Arial" w:eastAsia="Arial" w:cs="Arial"/>
          <w:b/>
          <w:bCs/>
          <w:sz w:val="22"/>
          <w:szCs w:val="22"/>
        </w:rPr>
        <w:t xml:space="preserve">12.4.</w:t>
      </w:r>
      <w:r>
        <w:rPr>
          <w:rFonts w:ascii="Arial" w:hAnsi="Arial" w:eastAsia="Arial" w:cs="Arial"/>
          <w:sz w:val="22"/>
          <w:szCs w:val="22"/>
        </w:rPr>
        <w:t xml:space="preserve"> Sem prejuízo do prazo legal de solidez, a CONTRATADA garante a perfeita funcionalidade da calçada/estacionamento pelo prazo de 24 (vinte e quatro) meses, obrigando-se a reparar, às suas expensas, vícios decorrentes de má execução, tais como:</w:t>
      </w:r>
      <w:r>
        <w:rPr>
          <w:rFonts w:ascii="Arial" w:hAnsi="Arial" w:eastAsia="Arial" w:cs="Arial"/>
          <w:sz w:val="22"/>
          <w:szCs w:val="22"/>
        </w:rPr>
      </w:r>
      <w:r>
        <w:rPr>
          <w:rFonts w:ascii="Arial" w:hAnsi="Arial" w:cs="Arial"/>
          <w:sz w:val="22"/>
          <w:szCs w:val="22"/>
        </w:rPr>
      </w:r>
    </w:p>
    <w:p w14:paraId="6806F5B9">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I. Afundamentos, trilhas de roda ou ondulações excessivas decorrentes de falha na compactação;</w:t>
      </w:r>
      <w:r>
        <w:rPr>
          <w:rFonts w:ascii="Arial" w:hAnsi="Arial" w:eastAsia="Arial" w:cs="Arial"/>
          <w:sz w:val="22"/>
          <w:szCs w:val="22"/>
        </w:rPr>
      </w:r>
      <w:r>
        <w:rPr>
          <w:rFonts w:ascii="Arial" w:hAnsi="Arial" w:cs="Arial"/>
          <w:sz w:val="22"/>
          <w:szCs w:val="22"/>
        </w:rPr>
      </w:r>
    </w:p>
    <w:p w14:paraId="72A58F96">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II. Desníveis que provoquem o acúmulo de águas pluviais (empoçamento) ou prejudiquem a acessibilidade;</w:t>
      </w:r>
      <w:r>
        <w:rPr>
          <w:rFonts w:ascii="Arial" w:hAnsi="Arial" w:eastAsia="Arial" w:cs="Arial"/>
          <w:sz w:val="22"/>
          <w:szCs w:val="22"/>
        </w:rPr>
      </w:r>
      <w:r>
        <w:rPr>
          <w:rFonts w:ascii="Arial" w:hAnsi="Arial" w:cs="Arial"/>
          <w:sz w:val="22"/>
          <w:szCs w:val="22"/>
        </w:rPr>
      </w:r>
    </w:p>
    <w:p w14:paraId="6A6FE3E1">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III. Quebra ou desagregação prematura das peças de paver por baixa resistência característica à compressão (fck), em desacordo com as normas da ABNT;</w:t>
      </w:r>
      <w:r>
        <w:rPr>
          <w:rFonts w:ascii="Arial" w:hAnsi="Arial" w:eastAsia="Arial" w:cs="Arial"/>
          <w:sz w:val="22"/>
          <w:szCs w:val="22"/>
        </w:rPr>
      </w:r>
      <w:r>
        <w:rPr>
          <w:rFonts w:ascii="Arial" w:hAnsi="Arial" w:cs="Arial"/>
          <w:sz w:val="22"/>
          <w:szCs w:val="22"/>
        </w:rPr>
      </w:r>
    </w:p>
    <w:p w14:paraId="62091DF5">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IV. Deslocamento ou soltura de blocos por falha no confinamento lateral ou na selagem das juntas.</w:t>
      </w:r>
      <w:r>
        <w:rPr>
          <w:rFonts w:ascii="Arial" w:hAnsi="Arial" w:eastAsia="Arial" w:cs="Arial"/>
          <w:sz w:val="22"/>
          <w:szCs w:val="22"/>
        </w:rPr>
      </w:r>
      <w:r>
        <w:rPr>
          <w:rFonts w:ascii="Arial" w:hAnsi="Arial" w:cs="Arial"/>
          <w:sz w:val="22"/>
          <w:szCs w:val="22"/>
        </w:rPr>
      </w:r>
    </w:p>
    <w:p w14:paraId="1B863727">
      <w:pPr>
        <w:widowControl w:val="false"/>
        <w:pBdr/>
        <w:tabs>
          <w:tab w:val="left" w:leader="none" w:pos="0"/>
        </w:tabs>
        <w:spacing w:line="360" w:lineRule="auto"/>
        <w:ind/>
        <w:jc w:val="both"/>
        <w:rPr>
          <w:rFonts w:ascii="Arial" w:hAnsi="Arial" w:cs="Arial"/>
          <w:sz w:val="22"/>
          <w:szCs w:val="22"/>
        </w:rPr>
      </w:pPr>
      <w:r>
        <w:rPr>
          <w:rFonts w:ascii="Arial" w:hAnsi="Arial" w:eastAsia="Arial" w:cs="Arial"/>
          <w:b/>
          <w:bCs/>
          <w:sz w:val="22"/>
          <w:szCs w:val="22"/>
        </w:rPr>
        <w:t xml:space="preserve">12.5. </w:t>
      </w:r>
      <w:r>
        <w:rPr>
          <w:rFonts w:ascii="Arial" w:hAnsi="Arial" w:eastAsia="Arial" w:cs="Arial"/>
          <w:sz w:val="22"/>
          <w:szCs w:val="22"/>
        </w:rPr>
        <w:t xml:space="preserve">Ocorrendo qualquer das irregularidades previstas nesta cláusula, a CONTRATADA será notificada pela Fiscalização e deverá:</w:t>
      </w:r>
      <w:r>
        <w:rPr>
          <w:rFonts w:ascii="Arial" w:hAnsi="Arial" w:eastAsia="Arial" w:cs="Arial"/>
          <w:sz w:val="22"/>
          <w:szCs w:val="22"/>
        </w:rPr>
      </w:r>
      <w:r>
        <w:rPr>
          <w:rFonts w:ascii="Arial" w:hAnsi="Arial" w:cs="Arial"/>
          <w:sz w:val="22"/>
          <w:szCs w:val="22"/>
        </w:rPr>
      </w:r>
    </w:p>
    <w:p w14:paraId="407AE3BD">
      <w:pPr>
        <w:widowControl w:val="false"/>
        <w:numPr>
          <w:ilvl w:val="0"/>
          <w:numId w:val="22"/>
        </w:numPr>
        <w:pBdr/>
        <w:tabs>
          <w:tab w:val="left" w:leader="none" w:pos="0"/>
          <w:tab w:val="clear" w:leader="none" w:pos="425"/>
        </w:tabs>
        <w:spacing w:line="360" w:lineRule="auto"/>
        <w:ind w:firstLine="400" w:left="0"/>
        <w:jc w:val="both"/>
        <w:rPr>
          <w:rFonts w:ascii="Arial" w:hAnsi="Arial" w:cs="Arial"/>
          <w:sz w:val="22"/>
          <w:szCs w:val="22"/>
        </w:rPr>
      </w:pPr>
      <w:r>
        <w:rPr>
          <w:rFonts w:ascii="Arial" w:hAnsi="Arial" w:eastAsia="Arial" w:cs="Arial"/>
          <w:sz w:val="22"/>
          <w:szCs w:val="22"/>
        </w:rPr>
        <w:t xml:space="preserve">Apresentar cronograma de reparos em até 05 (cinco) dias úteis;</w:t>
      </w:r>
      <w:r>
        <w:rPr>
          <w:rFonts w:ascii="Arial" w:hAnsi="Arial" w:eastAsia="Arial" w:cs="Arial"/>
          <w:sz w:val="22"/>
          <w:szCs w:val="22"/>
        </w:rPr>
      </w:r>
      <w:r>
        <w:rPr>
          <w:rFonts w:ascii="Arial" w:hAnsi="Arial" w:cs="Arial"/>
          <w:sz w:val="22"/>
          <w:szCs w:val="22"/>
        </w:rPr>
      </w:r>
    </w:p>
    <w:p w14:paraId="7E370476">
      <w:pPr>
        <w:widowControl w:val="false"/>
        <w:numPr>
          <w:ilvl w:val="0"/>
          <w:numId w:val="22"/>
        </w:numPr>
        <w:pBdr/>
        <w:tabs>
          <w:tab w:val="left" w:leader="none" w:pos="0"/>
          <w:tab w:val="clear" w:leader="none" w:pos="425"/>
        </w:tabs>
        <w:spacing w:line="360" w:lineRule="auto"/>
        <w:ind w:firstLine="400" w:left="0"/>
        <w:jc w:val="both"/>
        <w:rPr>
          <w:rFonts w:ascii="Arial" w:hAnsi="Arial" w:cs="Arial"/>
          <w:sz w:val="22"/>
          <w:szCs w:val="22"/>
        </w:rPr>
      </w:pPr>
      <w:r>
        <w:rPr>
          <w:rFonts w:ascii="Arial" w:hAnsi="Arial" w:eastAsia="Arial" w:cs="Arial"/>
          <w:sz w:val="22"/>
          <w:szCs w:val="22"/>
        </w:rPr>
        <w:t xml:space="preserve"> Concluir os serviços de correção sem qualquer ônus para a Administração Pública, sob pena de execução da garantia contratual e aplicação das sanções previstas na Lei nº 14.133/2021.</w:t>
      </w:r>
      <w:r>
        <w:rPr>
          <w:rFonts w:ascii="Arial" w:hAnsi="Arial" w:eastAsia="Arial" w:cs="Arial"/>
          <w:sz w:val="22"/>
          <w:szCs w:val="22"/>
        </w:rPr>
      </w:r>
      <w:r>
        <w:rPr>
          <w:rFonts w:ascii="Arial" w:hAnsi="Arial" w:cs="Arial"/>
          <w:sz w:val="22"/>
          <w:szCs w:val="22"/>
        </w:rPr>
      </w:r>
    </w:p>
    <w:p w14:paraId="3BE14EB1">
      <w:pPr>
        <w:widowControl w:val="false"/>
        <w:pBdr/>
        <w:tabs>
          <w:tab w:val="left" w:leader="none" w:pos="0"/>
        </w:tabs>
        <w:spacing w:line="360" w:lineRule="auto"/>
        <w:ind/>
        <w:jc w:val="both"/>
        <w:rPr>
          <w:rFonts w:ascii="Arial" w:hAnsi="Arial" w:cs="Arial"/>
          <w:sz w:val="22"/>
          <w:szCs w:val="22"/>
        </w:rPr>
      </w:pPr>
      <w:r>
        <w:rPr>
          <w:rFonts w:ascii="Arial" w:hAnsi="Arial" w:eastAsia="Arial" w:cs="Arial"/>
          <w:b/>
          <w:bCs/>
          <w:sz w:val="22"/>
          <w:szCs w:val="22"/>
        </w:rPr>
        <w:t xml:space="preserve">12.6.</w:t>
      </w:r>
      <w:r>
        <w:rPr>
          <w:rFonts w:ascii="Arial" w:hAnsi="Arial" w:eastAsia="Arial" w:cs="Arial"/>
          <w:sz w:val="22"/>
          <w:szCs w:val="22"/>
        </w:rPr>
        <w:t xml:space="preserve"> A garantia não cobrirá danos comprovadamente causados por:</w:t>
      </w:r>
      <w:r>
        <w:rPr>
          <w:rFonts w:ascii="Arial" w:hAnsi="Arial" w:eastAsia="Arial" w:cs="Arial"/>
          <w:sz w:val="22"/>
          <w:szCs w:val="22"/>
        </w:rPr>
      </w:r>
      <w:r>
        <w:rPr>
          <w:rFonts w:ascii="Arial" w:hAnsi="Arial" w:cs="Arial"/>
          <w:sz w:val="22"/>
          <w:szCs w:val="22"/>
        </w:rPr>
      </w:r>
    </w:p>
    <w:p w14:paraId="5636A1E1">
      <w:pPr>
        <w:widowControl w:val="false"/>
        <w:pBdr/>
        <w:tabs>
          <w:tab w:val="left" w:leader="none" w:pos="0"/>
        </w:tabs>
        <w:spacing w:line="360" w:lineRule="auto"/>
        <w:ind w:firstLine="398" w:left="0"/>
        <w:jc w:val="both"/>
        <w:rPr>
          <w:rFonts w:ascii="Arial" w:hAnsi="Arial" w:cs="Arial"/>
          <w:sz w:val="22"/>
          <w:szCs w:val="22"/>
        </w:rPr>
      </w:pPr>
      <w:r>
        <w:rPr>
          <w:rFonts w:ascii="Arial" w:hAnsi="Arial" w:eastAsia="Arial" w:cs="Arial"/>
          <w:sz w:val="22"/>
          <w:szCs w:val="22"/>
        </w:rPr>
        <w:t xml:space="preserve">I. Uso do pavimento por veículos com carga superior à capacidade de projeto especificada no Memorial Descritivo;</w:t>
      </w:r>
      <w:r>
        <w:rPr>
          <w:rFonts w:ascii="Arial" w:hAnsi="Arial" w:eastAsia="Arial" w:cs="Arial"/>
          <w:sz w:val="22"/>
          <w:szCs w:val="22"/>
        </w:rPr>
      </w:r>
      <w:r>
        <w:rPr>
          <w:rFonts w:ascii="Arial" w:hAnsi="Arial" w:cs="Arial"/>
          <w:sz w:val="22"/>
          <w:szCs w:val="22"/>
        </w:rPr>
      </w:r>
    </w:p>
    <w:p w14:paraId="461D2957">
      <w:pPr>
        <w:widowControl w:val="false"/>
        <w:pBdr/>
        <w:tabs>
          <w:tab w:val="left" w:leader="none" w:pos="0"/>
        </w:tabs>
        <w:spacing w:line="360" w:lineRule="auto"/>
        <w:ind w:firstLine="398" w:left="0"/>
        <w:jc w:val="both"/>
        <w:rPr>
          <w:rFonts w:ascii="Arial" w:hAnsi="Arial" w:cs="Arial"/>
          <w:sz w:val="22"/>
          <w:szCs w:val="22"/>
        </w:rPr>
      </w:pPr>
      <w:r>
        <w:rPr>
          <w:rFonts w:ascii="Arial" w:hAnsi="Arial" w:eastAsia="Arial" w:cs="Arial"/>
          <w:sz w:val="22"/>
          <w:szCs w:val="22"/>
        </w:rPr>
        <w:t xml:space="preserve">II. Intervenções de terceiros (concessionárias de água, energia, etc.) após a entrega da obra;</w:t>
      </w:r>
      <w:r>
        <w:rPr>
          <w:rFonts w:ascii="Arial" w:hAnsi="Arial" w:eastAsia="Arial" w:cs="Arial"/>
          <w:sz w:val="22"/>
          <w:szCs w:val="22"/>
        </w:rPr>
      </w:r>
      <w:r>
        <w:rPr>
          <w:rFonts w:ascii="Arial" w:hAnsi="Arial" w:cs="Arial"/>
          <w:sz w:val="22"/>
          <w:szCs w:val="22"/>
        </w:rPr>
      </w:r>
    </w:p>
    <w:p w14:paraId="4F41BFBE">
      <w:pPr>
        <w:widowControl w:val="false"/>
        <w:pBdr/>
        <w:tabs>
          <w:tab w:val="left" w:leader="none" w:pos="0"/>
        </w:tabs>
        <w:spacing w:line="360" w:lineRule="auto"/>
        <w:ind w:firstLine="398" w:left="0"/>
        <w:jc w:val="both"/>
        <w:rPr>
          <w:rFonts w:ascii="Arial" w:hAnsi="Arial" w:cs="Arial"/>
          <w:sz w:val="22"/>
          <w:szCs w:val="22"/>
        </w:rPr>
      </w:pPr>
      <w:r>
        <w:rPr>
          <w:rFonts w:ascii="Arial" w:hAnsi="Arial" w:eastAsia="Arial" w:cs="Arial"/>
          <w:sz w:val="22"/>
          <w:szCs w:val="22"/>
        </w:rPr>
        <w:t xml:space="preserve">III. Falta de manutençã</w:t>
      </w:r>
      <w:r>
        <w:rPr>
          <w:rFonts w:ascii="Arial" w:hAnsi="Arial" w:eastAsia="Arial" w:cs="Arial"/>
          <w:sz w:val="22"/>
          <w:szCs w:val="22"/>
        </w:rPr>
        <w:t xml:space="preserve">o básica por parte do Órgão , exemplos: proliferação de vegetação nas juntas, ausência de reposição de areia de selagem, limpeza com equipamentos de alta pressão inadequados, acúmulo de detritos e obstrução de drenagem, uso de produtos químicos agressivos.</w:t>
      </w:r>
      <w:r>
        <w:rPr>
          <w:rFonts w:ascii="Arial" w:hAnsi="Arial" w:eastAsia="Arial" w:cs="Arial"/>
          <w:sz w:val="22"/>
          <w:szCs w:val="22"/>
        </w:rPr>
        <w:t xml:space="preserve"> </w:t>
      </w:r>
      <w:r>
        <w:rPr>
          <w:rFonts w:ascii="Arial" w:hAnsi="Arial" w:eastAsia="Arial" w:cs="Arial"/>
          <w:sz w:val="22"/>
          <w:szCs w:val="22"/>
        </w:rPr>
      </w:r>
      <w:r>
        <w:rPr>
          <w:rFonts w:ascii="Arial" w:hAnsi="Arial" w:cs="Arial"/>
          <w:sz w:val="22"/>
          <w:szCs w:val="22"/>
        </w:rPr>
      </w:r>
    </w:p>
    <w:p w14:paraId="291BBF40">
      <w:pPr>
        <w:widowControl w:val="false"/>
        <w:pBdr/>
        <w:shd w:val="clear" w:color="auto"/>
        <w:tabs>
          <w:tab w:val="left" w:leader="none" w:pos="0"/>
        </w:tabs>
        <w:spacing w:line="360" w:lineRule="auto"/>
        <w:ind/>
        <w:jc w:val="both"/>
        <w:rPr>
          <w:rFonts w:ascii="Arial" w:hAnsi="Arial" w:cs="Arial"/>
          <w:sz w:val="22"/>
          <w:szCs w:val="22"/>
        </w:rPr>
      </w:pPr>
      <w:r>
        <w:rPr>
          <w:rFonts w:ascii="Arial" w:hAnsi="Arial" w:eastAsia="Arial" w:cs="Arial"/>
          <w:sz w:val="22"/>
          <w:szCs w:val="22"/>
        </w:rPr>
      </w:r>
      <w:r>
        <w:rPr>
          <w:rFonts w:ascii="Arial" w:hAnsi="Arial" w:eastAsia="Arial" w:cs="Arial"/>
          <w:sz w:val="22"/>
          <w:szCs w:val="22"/>
        </w:rPr>
      </w:r>
      <w:r>
        <w:rPr>
          <w:rFonts w:ascii="Arial" w:hAnsi="Arial" w:cs="Arial"/>
          <w:sz w:val="22"/>
          <w:szCs w:val="22"/>
        </w:rPr>
      </w:r>
    </w:p>
    <w:p w14:paraId="56D57AC3">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Décima Terceira</w:t>
      </w:r>
      <w:r>
        <w:rPr>
          <w:rFonts w:ascii="Arial" w:hAnsi="Arial" w:cs="Arial"/>
          <w:b/>
          <w:bCs/>
          <w:szCs w:val="22"/>
        </w:rPr>
      </w:r>
      <w:r>
        <w:rPr>
          <w:rFonts w:ascii="Arial" w:hAnsi="Arial" w:cs="Arial"/>
          <w:b/>
          <w:bCs/>
          <w:szCs w:val="22"/>
        </w:rPr>
      </w:r>
    </w:p>
    <w:p w14:paraId="56D37BC1">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DAS OBRIGAÇÕES</w:t>
      </w:r>
      <w:r>
        <w:rPr>
          <w:rFonts w:ascii="Arial" w:hAnsi="Arial" w:cs="Arial"/>
          <w:szCs w:val="22"/>
        </w:rPr>
        <w:t xml:space="preserve"> </w:t>
      </w:r>
      <w:r>
        <w:rPr>
          <w:rFonts w:ascii="Arial" w:hAnsi="Arial" w:cs="Arial"/>
          <w:b/>
          <w:bCs/>
          <w:szCs w:val="22"/>
        </w:rPr>
        <w:t xml:space="preserve">DA CONTRATANTE E DA CONTRATADA</w:t>
      </w:r>
      <w:r>
        <w:rPr>
          <w:rFonts w:ascii="Arial" w:hAnsi="Arial" w:cs="Arial"/>
          <w:szCs w:val="22"/>
        </w:rPr>
      </w:r>
      <w:r>
        <w:rPr>
          <w:rFonts w:ascii="Arial" w:hAnsi="Arial" w:cs="Arial"/>
          <w:szCs w:val="22"/>
        </w:rPr>
      </w:r>
    </w:p>
    <w:p w14:paraId="27B6E237">
      <w:pPr>
        <w:pStyle w:val="886"/>
        <w:pBdr/>
        <w:spacing w:after="240" w:before="240" w:line="360" w:lineRule="auto"/>
        <w:ind/>
        <w:rPr>
          <w:b/>
          <w:bCs/>
          <w:sz w:val="22"/>
          <w:szCs w:val="22"/>
          <w:u w:val="none"/>
        </w:rPr>
      </w:pPr>
      <w:r>
        <w:rPr>
          <w:b/>
          <w:bCs/>
          <w:sz w:val="22"/>
          <w:szCs w:val="22"/>
          <w:u w:val="none"/>
        </w:rPr>
        <w:t xml:space="preserve">13.1. São obrigações da Contratante:</w:t>
      </w:r>
      <w:r>
        <w:rPr>
          <w:b/>
          <w:bCs/>
          <w:sz w:val="22"/>
          <w:szCs w:val="22"/>
          <w:u w:val="none"/>
        </w:rPr>
      </w:r>
      <w:r>
        <w:rPr>
          <w:b/>
          <w:bCs/>
          <w:sz w:val="22"/>
          <w:szCs w:val="22"/>
          <w:u w:val="none"/>
        </w:rPr>
      </w:r>
    </w:p>
    <w:p w14:paraId="4866C4BF">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cs="Arial"/>
          <w:b/>
          <w:bCs/>
          <w:sz w:val="22"/>
          <w:szCs w:val="22"/>
        </w:rPr>
        <w:t xml:space="preserve">13.1.1.</w:t>
      </w:r>
      <w:r>
        <w:rPr>
          <w:rFonts w:ascii="Arial" w:hAnsi="Arial" w:cs="Arial"/>
          <w:bCs/>
          <w:sz w:val="22"/>
          <w:szCs w:val="22"/>
        </w:rPr>
        <w:t xml:space="preserve">  </w:t>
      </w:r>
      <w:r>
        <w:rPr>
          <w:rFonts w:ascii="Arial" w:hAnsi="Arial" w:eastAsia="Arial" w:cs="Arial"/>
          <w:b w:val="0"/>
          <w:bCs w:val="0"/>
          <w:sz w:val="22"/>
          <w:szCs w:val="22"/>
          <w:lang w:val="pt-BR"/>
        </w:rPr>
        <w:t xml:space="preserve"> Atestar nas Notas Fiscais e/ou fatura a efetiva entrega do objeto desta licitação.</w:t>
      </w:r>
      <w:r>
        <w:rPr>
          <w:rFonts w:ascii="Arial" w:hAnsi="Arial" w:cs="Arial"/>
          <w:b w:val="0"/>
          <w:bCs w:val="0"/>
          <w:sz w:val="22"/>
          <w:szCs w:val="22"/>
        </w:rPr>
      </w:r>
      <w:r>
        <w:rPr>
          <w:rFonts w:ascii="Arial" w:hAnsi="Arial" w:cs="Arial"/>
          <w:b w:val="0"/>
          <w:bCs w:val="0"/>
          <w:sz w:val="22"/>
          <w:szCs w:val="22"/>
        </w:rPr>
      </w:r>
    </w:p>
    <w:p w14:paraId="5953C764">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13.1.2.</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Promover o acompanhamento e a fiscalização da execução do objeto do presente Termo de Referência, sob o aspecto quantitativo e qualitativo, anotando em registro próprio as falhas e ocorrências detectadas.</w:t>
      </w:r>
      <w:r>
        <w:rPr>
          <w:rFonts w:ascii="Arial" w:hAnsi="Arial" w:cs="Arial"/>
          <w:b w:val="0"/>
          <w:bCs w:val="0"/>
          <w:sz w:val="22"/>
          <w:szCs w:val="22"/>
        </w:rPr>
      </w:r>
      <w:r>
        <w:rPr>
          <w:rFonts w:ascii="Arial" w:hAnsi="Arial" w:cs="Arial"/>
          <w:b w:val="0"/>
          <w:bCs w:val="0"/>
          <w:sz w:val="22"/>
          <w:szCs w:val="22"/>
        </w:rPr>
      </w:r>
    </w:p>
    <w:p w14:paraId="3C7FAA5A">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13.1.3. </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Comunicar prontamente qualquer anormalidade na execução do objeto, podendo recusar o recebimento, caso não esteja de acordo com as especificações e condições estabelecidas no presente Termo de Referência.</w:t>
      </w:r>
      <w:r>
        <w:rPr>
          <w:rFonts w:ascii="Arial" w:hAnsi="Arial" w:cs="Arial"/>
          <w:b w:val="0"/>
          <w:bCs w:val="0"/>
          <w:sz w:val="22"/>
          <w:szCs w:val="22"/>
        </w:rPr>
      </w:r>
      <w:r>
        <w:rPr>
          <w:rFonts w:ascii="Arial" w:hAnsi="Arial" w:cs="Arial"/>
          <w:b w:val="0"/>
          <w:bCs w:val="0"/>
          <w:sz w:val="22"/>
          <w:szCs w:val="22"/>
        </w:rPr>
      </w:r>
    </w:p>
    <w:p w14:paraId="021FABCE">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13.1.4.</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A Contratante não responderá por quaisquer compromissos assumidos pela Contratada com terceiros, bem como por qualquer dano causado a terceiros em decorrência de ato da Contratada, de seus empregados, prepostos ou subordinados.</w:t>
      </w:r>
      <w:r>
        <w:rPr>
          <w:rFonts w:ascii="Arial" w:hAnsi="Arial" w:cs="Arial"/>
          <w:b w:val="0"/>
          <w:bCs w:val="0"/>
          <w:sz w:val="22"/>
          <w:szCs w:val="22"/>
        </w:rPr>
      </w:r>
      <w:r>
        <w:rPr>
          <w:rFonts w:ascii="Arial" w:hAnsi="Arial" w:cs="Arial"/>
          <w:b w:val="0"/>
          <w:bCs w:val="0"/>
          <w:sz w:val="22"/>
          <w:szCs w:val="22"/>
        </w:rPr>
      </w:r>
    </w:p>
    <w:p w14:paraId="79F01F8F">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13.1.5. </w:t>
      </w:r>
      <w:r>
        <w:rPr>
          <w:rFonts w:ascii="Arial" w:hAnsi="Arial" w:eastAsia="Arial" w:cs="Arial"/>
          <w:b w:val="0"/>
          <w:bCs w:val="0"/>
          <w:sz w:val="22"/>
          <w:szCs w:val="22"/>
          <w:lang w:val="pt-BR"/>
        </w:rPr>
        <w:t xml:space="preserve">Fornece todo tipo de informação interna essencial à realização dos fornecimentos.</w:t>
      </w:r>
      <w:r>
        <w:rPr>
          <w:rFonts w:ascii="Arial" w:hAnsi="Arial" w:cs="Arial"/>
          <w:b w:val="0"/>
          <w:bCs w:val="0"/>
          <w:sz w:val="22"/>
          <w:szCs w:val="22"/>
        </w:rPr>
      </w:r>
      <w:r>
        <w:rPr>
          <w:rFonts w:ascii="Arial" w:hAnsi="Arial" w:cs="Arial"/>
          <w:b w:val="0"/>
          <w:bCs w:val="0"/>
          <w:sz w:val="22"/>
          <w:szCs w:val="22"/>
        </w:rPr>
      </w:r>
    </w:p>
    <w:p w14:paraId="7D9B550C">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13.1.6. </w:t>
      </w:r>
      <w:r>
        <w:rPr>
          <w:rFonts w:ascii="Arial" w:hAnsi="Arial" w:eastAsia="Arial" w:cs="Arial"/>
          <w:b w:val="0"/>
          <w:bCs w:val="0"/>
          <w:sz w:val="22"/>
          <w:szCs w:val="22"/>
          <w:lang w:val="pt-BR"/>
        </w:rPr>
        <w:t xml:space="preserve"> Conferir toda a documentação, especificação do produto, quantidade e qualidade técnica gerada e apresentada durante a execução do objeto, efetuando o seu atesto quando a mesma estiver em conformidade com os padrões de informação e qualidade exigidos.</w:t>
      </w:r>
      <w:r>
        <w:rPr>
          <w:rFonts w:ascii="Arial" w:hAnsi="Arial" w:cs="Arial"/>
          <w:b w:val="0"/>
          <w:bCs w:val="0"/>
          <w:sz w:val="22"/>
          <w:szCs w:val="22"/>
        </w:rPr>
      </w:r>
      <w:r>
        <w:rPr>
          <w:rFonts w:ascii="Arial" w:hAnsi="Arial" w:cs="Arial"/>
          <w:b w:val="0"/>
          <w:bCs w:val="0"/>
          <w:sz w:val="22"/>
          <w:szCs w:val="22"/>
        </w:rPr>
      </w:r>
    </w:p>
    <w:p w14:paraId="76E115E5">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13.1.7. </w:t>
      </w:r>
      <w:r>
        <w:rPr>
          <w:rFonts w:ascii="Arial" w:hAnsi="Arial" w:eastAsia="Arial" w:cs="Arial"/>
          <w:b w:val="0"/>
          <w:bCs w:val="0"/>
          <w:sz w:val="22"/>
          <w:szCs w:val="22"/>
          <w:lang w:val="pt-BR"/>
        </w:rPr>
        <w:t xml:space="preserve"> Efetuar o pagamento de acordo com o estabe</w:t>
      </w:r>
      <w:r>
        <w:rPr>
          <w:rFonts w:ascii="Arial" w:hAnsi="Arial" w:eastAsia="Arial" w:cs="Arial"/>
          <w:b w:val="0"/>
          <w:bCs w:val="0"/>
          <w:sz w:val="22"/>
          <w:szCs w:val="22"/>
          <w:lang w:val="pt-BR"/>
        </w:rPr>
        <w:t xml:space="preserve">lecido neste Termo de Referência e demais cominações legais, desde que atendidas todas as exigências e cumpridas as especificações e desde que devidamente atestadas as notas fiscais e relatórios feitos pelos fiscais e gestores da Ata de Registro de Preços.</w:t>
      </w:r>
      <w:r>
        <w:rPr>
          <w:rFonts w:ascii="Arial" w:hAnsi="Arial" w:cs="Arial"/>
          <w:b w:val="0"/>
          <w:bCs w:val="0"/>
          <w:sz w:val="22"/>
          <w:szCs w:val="22"/>
        </w:rPr>
      </w:r>
      <w:r>
        <w:rPr>
          <w:rFonts w:ascii="Arial" w:hAnsi="Arial" w:cs="Arial"/>
          <w:b w:val="0"/>
          <w:bCs w:val="0"/>
          <w:sz w:val="22"/>
          <w:szCs w:val="22"/>
        </w:rPr>
      </w:r>
    </w:p>
    <w:p w14:paraId="3D723C6C">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13.1.8. </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Aplicar à contratada as penalidades, quando for o caso.</w:t>
      </w:r>
      <w:r>
        <w:rPr>
          <w:rFonts w:ascii="Arial" w:hAnsi="Arial" w:cs="Arial"/>
          <w:b w:val="0"/>
          <w:bCs w:val="0"/>
          <w:sz w:val="22"/>
          <w:szCs w:val="22"/>
        </w:rPr>
      </w:r>
      <w:r>
        <w:rPr>
          <w:rFonts w:ascii="Arial" w:hAnsi="Arial" w:cs="Arial"/>
          <w:b w:val="0"/>
          <w:bCs w:val="0"/>
          <w:sz w:val="22"/>
          <w:szCs w:val="22"/>
        </w:rPr>
      </w:r>
    </w:p>
    <w:p w14:paraId="65D7745C">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13.1.9. </w:t>
      </w:r>
      <w:r>
        <w:rPr>
          <w:rFonts w:ascii="Arial" w:hAnsi="Arial" w:eastAsia="Arial" w:cs="Arial"/>
          <w:b/>
          <w:bCs/>
          <w:sz w:val="22"/>
          <w:szCs w:val="22"/>
          <w:lang w:val="pt-BR"/>
        </w:rPr>
        <w:t xml:space="preserve"> </w:t>
      </w:r>
      <w:r>
        <w:rPr>
          <w:rFonts w:ascii="Arial" w:hAnsi="Arial" w:eastAsia="Arial" w:cs="Arial"/>
          <w:b w:val="0"/>
          <w:bCs w:val="0"/>
          <w:sz w:val="22"/>
          <w:szCs w:val="22"/>
          <w:lang w:val="pt-BR"/>
        </w:rPr>
        <w:t xml:space="preserve">Notificar, por escrito, a contratada da aplicação de qualquer sanção.</w:t>
      </w:r>
      <w:r>
        <w:rPr>
          <w:rFonts w:ascii="Arial" w:hAnsi="Arial" w:cs="Arial"/>
          <w:b w:val="0"/>
          <w:bCs w:val="0"/>
          <w:sz w:val="22"/>
          <w:szCs w:val="22"/>
        </w:rPr>
      </w:r>
      <w:r>
        <w:rPr>
          <w:rFonts w:ascii="Arial" w:hAnsi="Arial" w:cs="Arial"/>
          <w:b w:val="0"/>
          <w:bCs w:val="0"/>
          <w:sz w:val="22"/>
          <w:szCs w:val="22"/>
        </w:rPr>
      </w:r>
    </w:p>
    <w:p w14:paraId="543E9519">
      <w:pPr>
        <w:pStyle w:val="1151"/>
        <w:widowControl w:val="false"/>
        <w:pBdr/>
        <w:tabs>
          <w:tab w:val="left" w:leader="none" w:pos="0"/>
          <w:tab w:val="left" w:leader="none" w:pos="567"/>
        </w:tabs>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13.1.10.</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Acompanhar, controlar e avaliar a prestação, através da unidade responsável por esta atribuição.</w:t>
      </w:r>
      <w:r>
        <w:rPr>
          <w:rFonts w:ascii="Arial" w:hAnsi="Arial" w:cs="Arial"/>
          <w:b w:val="0"/>
          <w:bCs w:val="0"/>
          <w:sz w:val="22"/>
          <w:szCs w:val="22"/>
        </w:rPr>
      </w:r>
      <w:r>
        <w:rPr>
          <w:rFonts w:ascii="Arial" w:hAnsi="Arial" w:cs="Arial"/>
          <w:b w:val="0"/>
          <w:bCs w:val="0"/>
          <w:sz w:val="22"/>
          <w:szCs w:val="22"/>
        </w:rPr>
      </w:r>
    </w:p>
    <w:p w14:paraId="134F0B45">
      <w:pPr>
        <w:pStyle w:val="1151"/>
        <w:widowControl w:val="false"/>
        <w:pBdr/>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13.1.11.</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Interromper os serviços que apresentarem irregularidades em sua prestação, comunicando o fato imediatamente à Contratada, bem como qualquer eventual ocorrência relevante relacionada com o mesmo.</w:t>
      </w:r>
      <w:r>
        <w:rPr>
          <w:rFonts w:ascii="Arial" w:hAnsi="Arial" w:cs="Arial"/>
          <w:b w:val="0"/>
          <w:bCs w:val="0"/>
          <w:sz w:val="22"/>
          <w:szCs w:val="22"/>
        </w:rPr>
      </w:r>
      <w:r>
        <w:rPr>
          <w:rFonts w:ascii="Arial" w:hAnsi="Arial" w:cs="Arial"/>
          <w:b w:val="0"/>
          <w:bCs w:val="0"/>
          <w:sz w:val="22"/>
          <w:szCs w:val="22"/>
        </w:rPr>
      </w:r>
    </w:p>
    <w:p w14:paraId="27A01F3C">
      <w:pPr>
        <w:pStyle w:val="1151"/>
        <w:widowControl w:val="false"/>
        <w:pBdr/>
        <w:tabs>
          <w:tab w:val="left" w:leader="none" w:pos="0"/>
          <w:tab w:val="left" w:leader="none" w:pos="567"/>
        </w:tabs>
        <w:spacing w:line="360" w:lineRule="auto"/>
        <w:ind w:right="0" w:firstLine="425" w:left="0"/>
        <w:jc w:val="both"/>
        <w:rPr>
          <w:rFonts w:ascii="Arial" w:hAnsi="Arial" w:cs="Arial"/>
          <w:sz w:val="22"/>
          <w:szCs w:val="22"/>
          <w:highlight w:val="none"/>
          <w:lang w:val="pt-BR"/>
        </w:rPr>
      </w:pPr>
      <w:r>
        <w:rPr>
          <w:rFonts w:ascii="Arial" w:hAnsi="Arial" w:cs="Arial"/>
          <w:bCs/>
          <w:sz w:val="22"/>
          <w:szCs w:val="22"/>
        </w:rPr>
      </w:r>
      <w:r>
        <w:rPr>
          <w:rFonts w:ascii="Arial" w:hAnsi="Arial" w:cs="Arial"/>
          <w:sz w:val="22"/>
          <w:szCs w:val="22"/>
          <w:highlight w:val="none"/>
          <w:lang w:val="pt-BR"/>
        </w:rPr>
      </w:r>
      <w:r>
        <w:rPr>
          <w:rFonts w:ascii="Arial" w:hAnsi="Arial" w:cs="Arial"/>
          <w:sz w:val="22"/>
          <w:szCs w:val="22"/>
          <w:highlight w:val="none"/>
          <w:lang w:val="pt-BR"/>
        </w:rPr>
      </w:r>
    </w:p>
    <w:p w14:paraId="48029EDC">
      <w:pPr>
        <w:pStyle w:val="1160"/>
        <w:numPr>
          <w:ilvl w:val="0"/>
          <w:numId w:val="0"/>
        </w:numPr>
        <w:pBdr/>
        <w:spacing w:line="360" w:lineRule="auto"/>
        <w:ind w:firstLine="0"/>
        <w:rPr>
          <w:rFonts w:ascii="Arial" w:hAnsi="Arial" w:cs="Arial"/>
          <w:b/>
          <w:bCs/>
          <w:sz w:val="22"/>
          <w:szCs w:val="22"/>
          <w:highlight w:val="none"/>
          <w:u w:val="none"/>
        </w:rPr>
      </w:pPr>
      <w:r>
        <w:rPr>
          <w:rFonts w:ascii="Arial"/>
          <w:b/>
          <w:bCs/>
          <w:u w:val="none"/>
        </w:rPr>
        <w:t xml:space="preserve"> </w:t>
      </w:r>
      <w:r>
        <w:rPr>
          <w:rFonts w:ascii="Arial" w:hAnsi="Arial" w:cs="Arial"/>
          <w:b/>
          <w:bCs/>
          <w:sz w:val="22"/>
          <w:szCs w:val="22"/>
          <w:u w:val="none"/>
        </w:rPr>
        <w:t xml:space="preserve">13.2. São obrigações da Contratada:</w:t>
      </w:r>
      <w:r>
        <w:rPr>
          <w:rFonts w:ascii="Arial" w:hAnsi="Arial" w:cs="Arial"/>
          <w:b/>
          <w:bCs/>
          <w:sz w:val="22"/>
          <w:szCs w:val="22"/>
          <w:highlight w:val="none"/>
          <w:u w:val="none"/>
        </w:rPr>
      </w:r>
      <w:r>
        <w:rPr>
          <w:rFonts w:ascii="Arial" w:hAnsi="Arial" w:cs="Arial"/>
          <w:b/>
          <w:bCs/>
          <w:sz w:val="22"/>
          <w:szCs w:val="22"/>
          <w:highlight w:val="none"/>
          <w:u w:val="none"/>
        </w:rPr>
      </w:r>
    </w:p>
    <w:p w14:paraId="5B2AFD9B">
      <w:pPr>
        <w:pStyle w:val="857"/>
        <w:pBdr/>
        <w:tabs>
          <w:tab w:val="clear" w:leader="none" w:pos="420"/>
        </w:tabs>
        <w:spacing w:before="93" w:line="360" w:lineRule="auto"/>
        <w:ind w:right="0" w:firstLine="425" w:left="0"/>
        <w:jc w:val="both"/>
        <w:rPr>
          <w:rFonts w:hint="default" w:ascii="Arial" w:hAnsi="Arial" w:eastAsia="SimSun" w:cs="Arial"/>
          <w:b w:val="0"/>
          <w:bCs w:val="0"/>
          <w:color w:val="auto"/>
          <w:sz w:val="22"/>
          <w:szCs w:val="22"/>
          <w:u w:val="none"/>
        </w:rPr>
      </w:pPr>
      <w:r>
        <w:rPr>
          <w:rFonts w:hint="default" w:ascii="Arial" w:hAnsi="Arial" w:cs="Arial"/>
          <w:b/>
          <w:bCs/>
          <w:sz w:val="22"/>
          <w:szCs w:val="22"/>
          <w:highlight w:val="none"/>
          <w:u w:val="none"/>
          <w:lang w:val="pt-BR"/>
        </w:rPr>
        <w:t xml:space="preserve">13.2.1.</w:t>
      </w:r>
      <w:r>
        <w:rPr>
          <w:rFonts w:hint="default" w:ascii="Arial" w:hAnsi="Arial" w:cs="Arial"/>
          <w:b w:val="0"/>
          <w:bCs w:val="0"/>
          <w:sz w:val="22"/>
          <w:szCs w:val="22"/>
          <w:highlight w:val="none"/>
          <w:u w:val="none"/>
          <w:lang w:val="pt-BR"/>
        </w:rPr>
        <w:t xml:space="preserve">  </w:t>
      </w:r>
      <w:r>
        <w:rPr>
          <w:rFonts w:hint="default" w:ascii="Arial" w:hAnsi="Arial" w:cs="Arial"/>
          <w:b w:val="0"/>
          <w:bCs w:val="0"/>
          <w:sz w:val="22"/>
          <w:szCs w:val="22"/>
          <w:highlight w:val="none"/>
          <w:u w:val="none"/>
        </w:rPr>
        <w:t xml:space="preserve">Executar nas obrigações e com a qualidade exigida.</w:t>
      </w:r>
      <w:r>
        <w:rPr>
          <w:rFonts w:hint="default" w:ascii="Arial" w:hAnsi="Arial" w:eastAsia="SimSun" w:cs="Arial"/>
          <w:b w:val="0"/>
          <w:bCs w:val="0"/>
          <w:color w:val="auto"/>
          <w:sz w:val="22"/>
          <w:szCs w:val="22"/>
          <w:u w:val="none"/>
        </w:rPr>
      </w:r>
      <w:r>
        <w:rPr>
          <w:rFonts w:hint="default" w:ascii="Arial" w:hAnsi="Arial" w:eastAsia="SimSun" w:cs="Arial"/>
          <w:b w:val="0"/>
          <w:bCs w:val="0"/>
          <w:color w:val="auto"/>
          <w:sz w:val="22"/>
          <w:szCs w:val="22"/>
          <w:u w:val="none"/>
        </w:rPr>
      </w:r>
    </w:p>
    <w:p w14:paraId="11B5E2E1">
      <w:pPr>
        <w:keepNext w:val="false"/>
        <w:keepLines w:val="false"/>
        <w:pageBreakBefore w:val="false"/>
        <w:widowControl w:val="false"/>
        <w:numPr>
          <w:ilvl w:val="0"/>
          <w:numId w:val="0"/>
        </w:numPr>
        <w:pBdr/>
        <w:bidi w:val="false"/>
        <w:spacing w:after="0" w:before="0" w:line="360" w:lineRule="auto"/>
        <w:ind w:right="0" w:firstLine="425"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13.2.2. </w:t>
      </w:r>
      <w:r>
        <w:rPr>
          <w:rFonts w:hint="default" w:ascii="Arial" w:hAnsi="Arial" w:cs="Arial"/>
          <w:sz w:val="22"/>
          <w:szCs w:val="22"/>
          <w:highlight w:val="none"/>
        </w:rPr>
        <w:t xml:space="preserve">Pagar todos os tributos, despesas e custos que incidem ou venham a incidir, direta ou indiretamente, sobre os produtos fornecidos. </w:t>
      </w:r>
      <w:r>
        <w:rPr>
          <w:rFonts w:hint="default" w:ascii="Arial" w:hAnsi="Arial" w:cs="Arial"/>
          <w:sz w:val="22"/>
          <w:szCs w:val="22"/>
          <w:highlight w:val="none"/>
        </w:rPr>
      </w:r>
      <w:r>
        <w:rPr>
          <w:rFonts w:hint="default" w:ascii="Arial" w:hAnsi="Arial" w:cs="Arial"/>
          <w:sz w:val="22"/>
          <w:szCs w:val="22"/>
          <w:highlight w:val="none"/>
        </w:rPr>
      </w:r>
    </w:p>
    <w:p w14:paraId="0CADA94E">
      <w:pPr>
        <w:keepNext w:val="false"/>
        <w:keepLines w:val="false"/>
        <w:pageBreakBefore w:val="false"/>
        <w:widowControl w:val="false"/>
        <w:numPr>
          <w:ilvl w:val="0"/>
          <w:numId w:val="0"/>
        </w:numPr>
        <w:pBdr/>
        <w:bidi w:val="false"/>
        <w:spacing w:after="0" w:before="0" w:line="360" w:lineRule="auto"/>
        <w:ind w:right="0" w:firstLine="425" w:left="0"/>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13.2.3. </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Manter, durante a validade d</w:t>
      </w:r>
      <w:r>
        <w:rPr>
          <w:rFonts w:hint="default" w:ascii="Arial" w:hAnsi="Arial" w:cs="Arial"/>
          <w:sz w:val="22"/>
          <w:szCs w:val="22"/>
          <w:highlight w:val="none"/>
          <w:lang w:val="pt-BR"/>
        </w:rPr>
        <w:t xml:space="preserve">o Contrato</w:t>
      </w:r>
      <w:r>
        <w:rPr>
          <w:rFonts w:hint="default" w:ascii="Arial" w:hAnsi="Arial" w:cs="Arial"/>
          <w:sz w:val="22"/>
          <w:szCs w:val="22"/>
          <w:highlight w:val="none"/>
        </w:rPr>
        <w:t xml:space="preserve">, as mesmas condições de habilitação</w:t>
      </w:r>
      <w:r>
        <w:rPr>
          <w:rFonts w:hint="default" w:ascii="Arial" w:hAnsi="Arial" w:cs="Arial"/>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50909B0">
      <w:pPr>
        <w:keepNext w:val="false"/>
        <w:keepLines w:val="false"/>
        <w:pageBreakBefore w:val="false"/>
        <w:widowControl w:val="false"/>
        <w:numPr>
          <w:ilvl w:val="0"/>
          <w:numId w:val="0"/>
        </w:numPr>
        <w:pBdr/>
        <w:bidi w:val="false"/>
        <w:spacing w:after="0" w:before="0" w:line="360" w:lineRule="auto"/>
        <w:ind w:right="0" w:firstLine="425"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13.2.4.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 A empresa deverá executar plenamente a obra/serviço contratado de acordo com </w:t>
      </w:r>
      <w:r>
        <w:rPr>
          <w:rFonts w:hint="default" w:ascii="Arial" w:hAnsi="Arial" w:cs="Arial"/>
          <w:sz w:val="22"/>
          <w:szCs w:val="22"/>
          <w:highlight w:val="none"/>
          <w:u w:val="none"/>
        </w:rPr>
        <w:t xml:space="preserve">projetos, memoriais descritivos, planilhas orçamentárias e cronograma físico-financeiro apresentados pela CONTRATANTE</w:t>
      </w:r>
      <w:r>
        <w:rPr>
          <w:rFonts w:hint="default" w:ascii="Arial" w:hAnsi="Arial" w:cs="Arial"/>
          <w:sz w:val="22"/>
          <w:szCs w:val="22"/>
          <w:highlight w:val="none"/>
          <w:u w:val="none"/>
        </w:rPr>
        <w:t xml:space="preserve">,</w:t>
      </w:r>
      <w:r>
        <w:rPr>
          <w:rFonts w:hint="default" w:ascii="Arial" w:hAnsi="Arial" w:cs="Arial"/>
          <w:b/>
          <w:sz w:val="22"/>
          <w:szCs w:val="22"/>
          <w:highlight w:val="none"/>
          <w:u w:val="none"/>
        </w:rPr>
        <w:t xml:space="preserve"> </w:t>
      </w:r>
      <w:r>
        <w:rPr>
          <w:rFonts w:hint="default" w:ascii="Arial" w:hAnsi="Arial" w:cs="Arial"/>
          <w:sz w:val="22"/>
          <w:szCs w:val="22"/>
          <w:highlight w:val="none"/>
          <w:u w:val="none"/>
        </w:rPr>
        <w:t xml:space="preserve">partes integrantes d</w:t>
      </w:r>
      <w:r>
        <w:rPr>
          <w:rFonts w:hint="default" w:ascii="Arial" w:hAnsi="Arial" w:cs="Arial"/>
          <w:sz w:val="22"/>
          <w:szCs w:val="22"/>
          <w:highlight w:val="none"/>
          <w:u w:val="none"/>
          <w:lang w:val="pt-BR"/>
        </w:rPr>
        <w:t xml:space="preserve">o</w:t>
      </w:r>
      <w:r>
        <w:rPr>
          <w:rFonts w:hint="default" w:ascii="Arial" w:hAnsi="Arial" w:cs="Arial"/>
          <w:sz w:val="22"/>
          <w:szCs w:val="22"/>
          <w:highlight w:val="none"/>
          <w:u w:val="none"/>
        </w:rPr>
        <w:t xml:space="preserve"> T</w:t>
      </w:r>
      <w:r>
        <w:rPr>
          <w:rFonts w:hint="default" w:ascii="Arial" w:hAnsi="Arial" w:cs="Arial"/>
          <w:sz w:val="22"/>
          <w:szCs w:val="22"/>
          <w:highlight w:val="none"/>
        </w:rPr>
        <w:t xml:space="preserve">ermo de Referência</w:t>
      </w:r>
      <w:r>
        <w:rPr>
          <w:rFonts w:hint="default" w:ascii="Arial" w:hAnsi="Arial" w:cs="Arial"/>
          <w:sz w:val="22"/>
          <w:szCs w:val="22"/>
          <w:highlight w:val="none"/>
          <w:lang w:val="pt-BR"/>
        </w:rPr>
        <w:t xml:space="preserve"> e Edital</w:t>
      </w:r>
      <w:r>
        <w:rPr>
          <w:rFonts w:hint="default" w:ascii="Arial" w:hAnsi="Arial" w:cs="Arial"/>
          <w:b/>
          <w:sz w:val="22"/>
          <w:szCs w:val="22"/>
          <w:highlight w:val="none"/>
        </w:rPr>
        <w:t xml:space="preserve">,</w:t>
      </w:r>
      <w:r>
        <w:rPr>
          <w:rFonts w:hint="default" w:ascii="Arial" w:hAnsi="Arial" w:cs="Arial"/>
          <w:sz w:val="22"/>
          <w:szCs w:val="22"/>
          <w:highlight w:val="none"/>
        </w:rPr>
        <w:t xml:space="preserve"> considerando que nos projetos e</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nos memoriais estão descritos como se dará a</w:t>
      </w:r>
      <w:r>
        <w:rPr>
          <w:rFonts w:hint="default" w:ascii="Arial" w:hAnsi="Arial" w:cs="Arial"/>
          <w:sz w:val="22"/>
          <w:szCs w:val="22"/>
          <w:highlight w:val="none"/>
          <w:lang w:val="pt-BR"/>
        </w:rPr>
        <w:t xml:space="preserve"> execução da </w:t>
      </w:r>
      <w:r>
        <w:rPr>
          <w:rFonts w:hint="default" w:ascii="Arial" w:hAnsi="Arial" w:eastAsia="Arial" w:cs="Arial"/>
          <w:color w:val="0d0d0d"/>
          <w:sz w:val="22"/>
          <w:szCs w:val="22"/>
          <w:shd w:val="clear" w:color="auto" w:fill="ffffff"/>
          <w:lang w:val="pt-BR"/>
        </w:rPr>
        <w:t xml:space="preserve"> </w:t>
      </w:r>
      <w:r>
        <w:rPr>
          <w:rFonts w:ascii="Arial" w:hAnsi="Arial" w:eastAsia="Arial" w:cs="Arial"/>
          <w:color w:val="0d0d0d"/>
          <w:sz w:val="22"/>
          <w:szCs w:val="22"/>
          <w:shd w:val="clear" w:color="auto" w:fill="ffffff"/>
        </w:rPr>
        <w:t xml:space="preserve"> FUTURA E EVENTUAL CONTRATAÇÃO DE EMPRESA ESPECIALIZADA NA EXECUÇÃO DE OBRAS DE INFRAESTRUTURA URBANA</w:t>
      </w:r>
      <w:r>
        <w:rPr>
          <w:rFonts w:ascii="Arial" w:hAnsi="Arial" w:eastAsia="Arial" w:cs="Arial"/>
          <w:color w:val="0d0d0d"/>
          <w:sz w:val="22"/>
          <w:szCs w:val="22"/>
          <w:shd w:val="clear" w:color="auto" w:fill="ffffff"/>
          <w:lang w:val="pt-BR"/>
        </w:rPr>
        <w:t xml:space="preserve"> E</w:t>
      </w:r>
      <w:r>
        <w:rPr>
          <w:rFonts w:ascii="Arial" w:hAnsi="Arial" w:eastAsia="Arial" w:cs="Arial"/>
          <w:color w:val="0d0d0d"/>
          <w:sz w:val="22"/>
          <w:szCs w:val="22"/>
          <w:shd w:val="clear" w:color="auto" w:fill="ffffff"/>
        </w:rPr>
        <w:t xml:space="preserve"> ACESSIBILIDADE NO MUNICÍPIO DE SINOP - MT</w:t>
      </w:r>
      <w:r>
        <w:rPr>
          <w:rFonts w:hint="default" w:ascii="Arial" w:hAnsi="Arial" w:eastAsia="SimSun" w:cs="Arial"/>
          <w:b w:val="0"/>
          <w:bCs w:val="0"/>
          <w:i w:val="0"/>
          <w:iCs w:val="0"/>
          <w:color w:val="000000"/>
          <w:sz w:val="22"/>
          <w:szCs w:val="22"/>
          <w:highlight w:val="none"/>
          <w:u w:val="none"/>
          <w:lang w:val="en-US" w:eastAsia="zh-CN" w:bidi="ar"/>
        </w:rPr>
        <w:t xml:space="preserve">,</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de acordo com os termos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especificações</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w:t>
      </w:r>
      <w:r>
        <w:rPr>
          <w:rFonts w:hint="default" w:ascii="Arial" w:hAnsi="Arial" w:cs="Arial"/>
          <w:b w:val="0"/>
          <w:bCs w:val="0"/>
          <w:sz w:val="22"/>
          <w:szCs w:val="22"/>
          <w:lang w:val="pt-BR"/>
        </w:rPr>
        <w:t xml:space="preserve">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edital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seus anexos.</w:t>
      </w:r>
      <w:r>
        <w:rPr>
          <w:rFonts w:hint="default" w:ascii="Arial" w:hAnsi="Arial" w:eastAsia="SimSun" w:cs="Arial"/>
          <w:b w:val="0"/>
          <w:bCs w:val="0"/>
          <w:i w:val="0"/>
          <w:iCs w:val="0"/>
          <w:color w:val="000000"/>
          <w:sz w:val="22"/>
          <w:szCs w:val="22"/>
          <w:highlight w:val="none"/>
          <w:u w:val="none"/>
          <w:lang w:val="en-US" w:eastAsia="zh-CN" w:bidi="ar"/>
        </w:rPr>
        <w:t xml:space="preserve">,</w:t>
      </w:r>
      <w:r>
        <w:rPr>
          <w:rFonts w:hint="default" w:ascii="Arial" w:hAnsi="Arial" w:cs="Arial"/>
          <w:b w:val="0"/>
          <w:bCs w:val="0"/>
          <w:sz w:val="22"/>
          <w:szCs w:val="22"/>
          <w:lang w:val="pt-BR"/>
        </w:rPr>
        <w:t xml:space="preserve"> </w:t>
      </w:r>
      <w:r>
        <w:rPr>
          <w:rFonts w:hint="default" w:ascii="Arial" w:hAnsi="Arial" w:eastAsia="SimSun" w:cs="Arial"/>
          <w:color w:val="000000"/>
          <w:sz w:val="22"/>
          <w:szCs w:val="22"/>
          <w:highlight w:val="none"/>
          <w:lang w:eastAsia="zh-CN" w:bidi="ar"/>
        </w:rPr>
        <w:t xml:space="preserve"> </w:t>
      </w:r>
      <w:r>
        <w:rPr>
          <w:rFonts w:hint="default" w:ascii="Arial" w:hAnsi="Arial" w:eastAsia="SimSun" w:cs="Arial"/>
          <w:color w:val="000000"/>
          <w:sz w:val="22"/>
          <w:szCs w:val="22"/>
          <w:highlight w:val="none"/>
          <w:lang w:val="pt-BR" w:eastAsia="zh-CN" w:bidi="ar"/>
        </w:rPr>
        <w:t xml:space="preserve">b</w:t>
      </w:r>
      <w:r>
        <w:rPr>
          <w:rFonts w:hint="default" w:ascii="Arial" w:hAnsi="Arial" w:cs="Arial"/>
          <w:sz w:val="22"/>
          <w:szCs w:val="22"/>
          <w:highlight w:val="none"/>
        </w:rPr>
        <w:t xml:space="preserve">em como apresentar/entregar todos os documentos exigidos legalmente pelas entidades profissionais competentes para a comprovação de execução da obra/serviço.</w:t>
      </w:r>
      <w:r>
        <w:rPr>
          <w:rFonts w:hint="default" w:ascii="Arial" w:hAnsi="Arial" w:cs="Arial"/>
          <w:sz w:val="22"/>
          <w:szCs w:val="22"/>
          <w:highlight w:val="none"/>
        </w:rPr>
      </w:r>
      <w:r>
        <w:rPr>
          <w:rFonts w:hint="default" w:ascii="Arial" w:hAnsi="Arial" w:cs="Arial"/>
          <w:sz w:val="22"/>
          <w:szCs w:val="22"/>
          <w:highlight w:val="none"/>
        </w:rPr>
      </w:r>
    </w:p>
    <w:p w14:paraId="54B489D5">
      <w:pPr>
        <w:pBdr/>
        <w:spacing w:line="360" w:lineRule="auto"/>
        <w:ind w:right="0" w:firstLine="425" w:left="0"/>
        <w:contextualSpacing w:val="true"/>
        <w:jc w:val="both"/>
        <w:rPr>
          <w:rFonts w:ascii="Arial" w:hAnsi="Arial" w:cs="Arial"/>
          <w:sz w:val="22"/>
          <w:szCs w:val="22"/>
        </w:rPr>
      </w:pPr>
      <w:r>
        <w:rPr>
          <w:rFonts w:ascii="Arial" w:hAnsi="Arial" w:eastAsia="Arial" w:cs="Arial"/>
          <w:b/>
          <w:bCs/>
          <w:sz w:val="22"/>
          <w:szCs w:val="22"/>
          <w:lang w:val="pt-BR"/>
        </w:rPr>
        <w:t xml:space="preserve">13.2.5. </w:t>
      </w:r>
      <w:r>
        <w:rPr>
          <w:rFonts w:ascii="Arial" w:hAnsi="Arial" w:eastAsia="Arial" w:cs="Arial"/>
          <w:sz w:val="22"/>
          <w:szCs w:val="22"/>
        </w:rPr>
        <w:t xml:space="preserve">Manter, durante toda a execução do contrato, em compatibilidade com obrigações por ela assumida, todas as condições de habilitação e qualificação exigidas na licitação;</w:t>
      </w:r>
      <w:r>
        <w:rPr>
          <w:rFonts w:ascii="Arial" w:hAnsi="Arial" w:cs="Arial"/>
          <w:sz w:val="22"/>
          <w:szCs w:val="22"/>
        </w:rPr>
      </w:r>
      <w:r>
        <w:rPr>
          <w:rFonts w:ascii="Arial" w:hAnsi="Arial" w:cs="Arial"/>
          <w:sz w:val="22"/>
          <w:szCs w:val="22"/>
        </w:rPr>
      </w:r>
    </w:p>
    <w:p w14:paraId="749778DB">
      <w:pPr>
        <w:pBdr/>
        <w:spacing w:line="360" w:lineRule="auto"/>
        <w:ind w:right="0" w:firstLine="425" w:left="0"/>
        <w:contextualSpacing w:val="true"/>
        <w:jc w:val="both"/>
        <w:rPr>
          <w:rFonts w:ascii="Arial" w:hAnsi="Arial" w:cs="Arial"/>
          <w:sz w:val="22"/>
          <w:szCs w:val="22"/>
        </w:rPr>
      </w:pPr>
      <w:r>
        <w:rPr>
          <w:rFonts w:ascii="Arial" w:hAnsi="Arial" w:eastAsia="Arial" w:cs="Arial"/>
          <w:b/>
          <w:bCs/>
          <w:sz w:val="22"/>
          <w:szCs w:val="22"/>
          <w:lang w:val="pt-BR"/>
        </w:rPr>
        <w:t xml:space="preserve">13.2.6.</w:t>
      </w:r>
      <w:r>
        <w:rPr>
          <w:rFonts w:ascii="Arial" w:hAnsi="Arial" w:eastAsia="Arial" w:cs="Arial"/>
          <w:sz w:val="22"/>
          <w:szCs w:val="22"/>
          <w:lang w:val="pt-BR"/>
        </w:rPr>
        <w:t xml:space="preserve"> </w:t>
      </w:r>
      <w:r>
        <w:rPr>
          <w:rFonts w:ascii="Arial" w:hAnsi="Arial" w:eastAsia="Arial" w:cs="Arial"/>
          <w:sz w:val="22"/>
          <w:szCs w:val="22"/>
        </w:rPr>
        <w:t xml:space="preserve">Atender a solicitações do Contratante para cancelamento dos materiais, independentemente de motivação e sem quaisquer ônus adicionais;</w:t>
      </w:r>
      <w:r>
        <w:rPr>
          <w:rFonts w:ascii="Arial" w:hAnsi="Arial" w:cs="Arial"/>
          <w:sz w:val="22"/>
          <w:szCs w:val="22"/>
        </w:rPr>
      </w:r>
      <w:r>
        <w:rPr>
          <w:rFonts w:ascii="Arial" w:hAnsi="Arial" w:cs="Arial"/>
          <w:sz w:val="22"/>
          <w:szCs w:val="22"/>
        </w:rPr>
      </w:r>
    </w:p>
    <w:p w14:paraId="76C4B0AD">
      <w:pPr>
        <w:pBdr/>
        <w:spacing w:line="360" w:lineRule="auto"/>
        <w:ind w:right="0" w:firstLine="425" w:left="0"/>
        <w:contextualSpacing w:val="true"/>
        <w:jc w:val="both"/>
        <w:rPr>
          <w:rFonts w:ascii="Arial" w:hAnsi="Arial" w:cs="Arial"/>
          <w:sz w:val="22"/>
          <w:szCs w:val="22"/>
        </w:rPr>
      </w:pPr>
      <w:r>
        <w:rPr>
          <w:rFonts w:ascii="Arial" w:hAnsi="Arial" w:eastAsia="Arial" w:cs="Arial"/>
          <w:b/>
          <w:bCs/>
          <w:sz w:val="22"/>
          <w:szCs w:val="22"/>
          <w:lang w:val="pt-BR"/>
        </w:rPr>
        <w:t xml:space="preserve">13.2.7.</w:t>
      </w:r>
      <w:r>
        <w:rPr>
          <w:rFonts w:ascii="Arial" w:hAnsi="Arial" w:eastAsia="Arial" w:cs="Arial"/>
          <w:b w:val="0"/>
          <w:bCs w:val="0"/>
          <w:sz w:val="22"/>
          <w:szCs w:val="22"/>
          <w:lang w:val="pt-BR"/>
        </w:rPr>
        <w:t xml:space="preserve"> </w:t>
      </w:r>
      <w:r>
        <w:rPr>
          <w:rFonts w:ascii="Arial" w:hAnsi="Arial" w:eastAsia="Arial" w:cs="Arial"/>
          <w:sz w:val="22"/>
          <w:szCs w:val="22"/>
        </w:rPr>
        <w:t xml:space="preserve">Especificar na fatura a descrição detalhada do material valor unitário e total.</w:t>
      </w:r>
      <w:r>
        <w:rPr>
          <w:rFonts w:ascii="Arial" w:hAnsi="Arial" w:cs="Arial"/>
          <w:sz w:val="22"/>
          <w:szCs w:val="22"/>
        </w:rPr>
      </w:r>
      <w:r>
        <w:rPr>
          <w:rFonts w:ascii="Arial" w:hAnsi="Arial" w:cs="Arial"/>
          <w:sz w:val="22"/>
          <w:szCs w:val="22"/>
        </w:rPr>
      </w:r>
    </w:p>
    <w:p w14:paraId="5D723EBE">
      <w:pPr>
        <w:pBdr/>
        <w:spacing w:line="360" w:lineRule="auto"/>
        <w:ind w:right="0" w:firstLine="425" w:left="0"/>
        <w:contextualSpacing w:val="true"/>
        <w:jc w:val="both"/>
        <w:rPr>
          <w:rFonts w:ascii="Arial" w:hAnsi="Arial" w:cs="Arial"/>
          <w:sz w:val="22"/>
          <w:szCs w:val="22"/>
        </w:rPr>
      </w:pPr>
      <w:r>
        <w:rPr>
          <w:rFonts w:ascii="Arial" w:hAnsi="Arial" w:eastAsia="Arial" w:cs="Arial"/>
          <w:b/>
          <w:bCs/>
          <w:sz w:val="22"/>
          <w:szCs w:val="22"/>
          <w:lang w:val="pt-BR"/>
        </w:rPr>
        <w:t xml:space="preserve">13.2.8. </w:t>
      </w:r>
      <w:r>
        <w:rPr>
          <w:rFonts w:ascii="Arial" w:hAnsi="Arial" w:eastAsia="Arial" w:cs="Arial"/>
          <w:b w:val="0"/>
          <w:bCs w:val="0"/>
          <w:sz w:val="22"/>
          <w:szCs w:val="22"/>
          <w:lang w:val="pt-BR"/>
        </w:rPr>
        <w:t xml:space="preserve"> </w:t>
      </w:r>
      <w:r>
        <w:rPr>
          <w:rFonts w:ascii="Arial" w:hAnsi="Arial" w:eastAsia="Arial" w:cs="Arial"/>
          <w:sz w:val="22"/>
          <w:szCs w:val="22"/>
        </w:rPr>
        <w:t xml:space="preserve">Providenciar imediata correção das deficiências apontadas pela Contratante quanto à perfeita execução do contrato;</w:t>
      </w:r>
      <w:r>
        <w:rPr>
          <w:rFonts w:ascii="Arial" w:hAnsi="Arial" w:cs="Arial"/>
          <w:sz w:val="22"/>
          <w:szCs w:val="22"/>
        </w:rPr>
      </w:r>
      <w:r>
        <w:rPr>
          <w:rFonts w:ascii="Arial" w:hAnsi="Arial" w:cs="Arial"/>
          <w:sz w:val="22"/>
          <w:szCs w:val="22"/>
        </w:rPr>
      </w:r>
    </w:p>
    <w:p w14:paraId="71A745B4">
      <w:pPr>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13.2.9. </w:t>
      </w:r>
      <w:r>
        <w:rPr>
          <w:rFonts w:ascii="Arial" w:hAnsi="Arial" w:eastAsia="Arial" w:cs="Arial"/>
          <w:b/>
          <w:bCs/>
          <w:sz w:val="22"/>
          <w:szCs w:val="22"/>
        </w:rPr>
        <w:t xml:space="preserve"> </w:t>
      </w:r>
      <w:r>
        <w:rPr>
          <w:rFonts w:ascii="Arial" w:hAnsi="Arial" w:eastAsia="Arial" w:cs="Arial"/>
          <w:b w:val="0"/>
          <w:bCs w:val="0"/>
          <w:sz w:val="22"/>
          <w:szCs w:val="22"/>
        </w:rPr>
        <w:t xml:space="preserve">Responder pelos danos causados diretamente à Administração ou ainda a terceiros, durante a execução do contrato, não excluindo ou reduzindo essa responsabilidade à fiscalização ou acompanhamento pelo CONTRATANTE;</w:t>
      </w:r>
      <w:r>
        <w:rPr>
          <w:rFonts w:ascii="Arial" w:hAnsi="Arial" w:cs="Arial"/>
          <w:b w:val="0"/>
          <w:bCs w:val="0"/>
          <w:sz w:val="22"/>
          <w:szCs w:val="22"/>
        </w:rPr>
      </w:r>
      <w:r>
        <w:rPr>
          <w:rFonts w:ascii="Arial" w:hAnsi="Arial" w:cs="Arial"/>
          <w:b w:val="0"/>
          <w:bCs w:val="0"/>
          <w:sz w:val="22"/>
          <w:szCs w:val="22"/>
        </w:rPr>
      </w:r>
    </w:p>
    <w:p w14:paraId="01F9735A">
      <w:pPr>
        <w:pBdr/>
        <w:spacing w:line="360" w:lineRule="auto"/>
        <w:ind w:right="0" w:firstLine="425" w:left="0"/>
        <w:contextualSpacing w:val="true"/>
        <w:jc w:val="both"/>
        <w:rPr>
          <w:rFonts w:ascii="Arial" w:hAnsi="Arial" w:cs="Arial"/>
          <w:b w:val="0"/>
          <w:bCs w:val="0"/>
          <w:sz w:val="22"/>
          <w:szCs w:val="22"/>
          <w:highlight w:val="yellow"/>
        </w:rPr>
      </w:pPr>
      <w:r>
        <w:rPr>
          <w:rFonts w:ascii="Arial" w:hAnsi="Arial" w:eastAsia="Arial" w:cs="Arial"/>
          <w:b/>
          <w:bCs/>
          <w:sz w:val="22"/>
          <w:szCs w:val="22"/>
          <w:lang w:val="pt-BR"/>
        </w:rPr>
        <w:t xml:space="preserve">13.2.10.</w:t>
      </w:r>
      <w:r>
        <w:rPr>
          <w:rFonts w:ascii="Arial" w:hAnsi="Arial" w:eastAsia="Arial" w:cs="Arial"/>
          <w:b w:val="0"/>
          <w:bCs w:val="0"/>
          <w:sz w:val="22"/>
          <w:szCs w:val="22"/>
          <w:lang w:val="pt-BR"/>
        </w:rPr>
        <w:t xml:space="preserve"> </w:t>
      </w:r>
      <w:r>
        <w:rPr>
          <w:rFonts w:ascii="Arial" w:hAnsi="Arial" w:eastAsia="Arial" w:cs="Arial"/>
          <w:b w:val="0"/>
          <w:bCs w:val="0"/>
          <w:sz w:val="22"/>
          <w:szCs w:val="22"/>
        </w:rPr>
        <w:t xml:space="preserve">Efetuar a entrega dos materiais em perfeitas condições de acordo com a referência do ETP, no prazo e local indicados pela Secretaria Municipa</w:t>
      </w:r>
      <w:r>
        <w:rPr>
          <w:rFonts w:ascii="Arial" w:hAnsi="Arial" w:eastAsia="Arial" w:cs="Arial"/>
          <w:b w:val="0"/>
          <w:bCs w:val="0"/>
          <w:sz w:val="22"/>
          <w:szCs w:val="22"/>
        </w:rPr>
        <w:t xml:space="preserve">l, cabendo a contratada o seu descarregamento e alocação do produto no local indicado pelo servidor que for receber o produto, em estrita observância das especificações constantes no termo de referência e da proposta, acompanhado da respectiva nota fiscal;</w:t>
      </w:r>
      <w:r>
        <w:rPr>
          <w:rFonts w:ascii="Arial" w:hAnsi="Arial" w:cs="Arial"/>
          <w:b w:val="0"/>
          <w:bCs w:val="0"/>
          <w:sz w:val="22"/>
          <w:szCs w:val="22"/>
          <w:highlight w:val="yellow"/>
        </w:rPr>
      </w:r>
      <w:r>
        <w:rPr>
          <w:rFonts w:ascii="Arial" w:hAnsi="Arial" w:cs="Arial"/>
          <w:b w:val="0"/>
          <w:bCs w:val="0"/>
          <w:sz w:val="22"/>
          <w:szCs w:val="22"/>
          <w:highlight w:val="yellow"/>
        </w:rPr>
      </w:r>
    </w:p>
    <w:p w14:paraId="33815087">
      <w:pPr>
        <w:pStyle w:val="1151"/>
        <w:widowControl w:val="false"/>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13.2.11.</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Responsabilizar-se pelas despesas dos tributos, encargos trabalhistas, previdenciário</w:t>
      </w:r>
      <w:r>
        <w:rPr>
          <w:rFonts w:ascii="Arial" w:hAnsi="Arial" w:eastAsia="Arial" w:cs="Arial"/>
          <w:b w:val="0"/>
          <w:bCs w:val="0"/>
          <w:sz w:val="22"/>
          <w:szCs w:val="22"/>
          <w:lang w:val="pt-BR"/>
        </w:rPr>
        <w:t xml:space="preserve">s, fiscais, comerciais, taxas, fretes, seguros, deslocamento de pessoal, prestação de garantia e quaisquer outras que incidam ou venham a incidir na execução da ata/contrato, inclusive nos casos de troca de item ou qualquer eventualidade que possa ocorrer;</w:t>
      </w:r>
      <w:r>
        <w:rPr>
          <w:rFonts w:ascii="Arial" w:hAnsi="Arial" w:cs="Arial"/>
          <w:b w:val="0"/>
          <w:bCs w:val="0"/>
          <w:sz w:val="22"/>
          <w:szCs w:val="22"/>
        </w:rPr>
      </w:r>
      <w:r>
        <w:rPr>
          <w:rFonts w:ascii="Arial" w:hAnsi="Arial" w:cs="Arial"/>
          <w:b w:val="0"/>
          <w:bCs w:val="0"/>
          <w:sz w:val="22"/>
          <w:szCs w:val="22"/>
        </w:rPr>
      </w:r>
    </w:p>
    <w:p w14:paraId="5FD7EBDB">
      <w:pPr>
        <w:pStyle w:val="1151"/>
        <w:widowControl w:val="false"/>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13.2.12.</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Arcar com </w:t>
      </w:r>
      <w:r>
        <w:rPr>
          <w:rFonts w:ascii="Arial" w:hAnsi="Arial" w:eastAsia="Arial" w:cs="Arial"/>
          <w:b w:val="0"/>
          <w:bCs w:val="0"/>
          <w:sz w:val="22"/>
          <w:szCs w:val="22"/>
          <w:lang w:val="pt-BR"/>
        </w:rPr>
        <w:t xml:space="preserve">toda e qualquer despesa relativa ao fornecimento ora pactuado, dentre elas, carga, transporte, descarga, frete, impostos, mão de obra, taxas, contribuições, encargos sociais, inclusive nos casos de troca de item ou qualquer eventualidade que possa ocorrer;</w:t>
      </w:r>
      <w:r>
        <w:rPr>
          <w:rFonts w:ascii="Arial" w:hAnsi="Arial" w:cs="Arial"/>
          <w:b w:val="0"/>
          <w:bCs w:val="0"/>
          <w:sz w:val="22"/>
          <w:szCs w:val="22"/>
        </w:rPr>
      </w:r>
      <w:r>
        <w:rPr>
          <w:rFonts w:ascii="Arial" w:hAnsi="Arial" w:cs="Arial"/>
          <w:b w:val="0"/>
          <w:bCs w:val="0"/>
          <w:sz w:val="22"/>
          <w:szCs w:val="22"/>
        </w:rPr>
      </w:r>
    </w:p>
    <w:p w14:paraId="47EEEF57">
      <w:pPr>
        <w:pStyle w:val="1151"/>
        <w:widowControl w:val="false"/>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13.2.13.  </w:t>
      </w:r>
      <w:r>
        <w:rPr>
          <w:rFonts w:ascii="Arial" w:hAnsi="Arial" w:eastAsia="Arial" w:cs="Arial"/>
          <w:b w:val="0"/>
          <w:bCs w:val="0"/>
          <w:sz w:val="22"/>
          <w:szCs w:val="22"/>
          <w:lang w:val="pt-BR"/>
        </w:rPr>
        <w:t xml:space="preserve">Manter, durante toda a execução da ata/contrato, em compatibilidade com as obrigações assumidas, todas as condições de habilitação e qualificação exigidas na licitação ou na contratação.</w:t>
      </w:r>
      <w:r>
        <w:rPr>
          <w:rFonts w:ascii="Arial" w:hAnsi="Arial" w:cs="Arial"/>
          <w:b w:val="0"/>
          <w:bCs w:val="0"/>
          <w:sz w:val="22"/>
          <w:szCs w:val="22"/>
        </w:rPr>
      </w:r>
      <w:r>
        <w:rPr>
          <w:rFonts w:ascii="Arial" w:hAnsi="Arial" w:cs="Arial"/>
          <w:b w:val="0"/>
          <w:bCs w:val="0"/>
          <w:sz w:val="22"/>
          <w:szCs w:val="22"/>
        </w:rPr>
      </w:r>
    </w:p>
    <w:p w14:paraId="13568616">
      <w:pPr>
        <w:pStyle w:val="1151"/>
        <w:widowControl w:val="false"/>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13.2.14. </w:t>
      </w:r>
      <w:r>
        <w:rPr>
          <w:rFonts w:ascii="Arial" w:hAnsi="Arial" w:eastAsia="Arial" w:cs="Arial"/>
          <w:b w:val="0"/>
          <w:bCs w:val="0"/>
          <w:sz w:val="22"/>
          <w:szCs w:val="22"/>
          <w:lang w:val="pt-BR"/>
        </w:rPr>
        <w:t xml:space="preserve"> Responsabilizar-se pelos vícios e danos decorrentes do objeto, de acordo com os artigos 12, 13 e 17 a 27, do Código de Defesa do Consumidor (Lei nº 8.078, de 1990);</w:t>
      </w:r>
      <w:r>
        <w:rPr>
          <w:rFonts w:ascii="Arial" w:hAnsi="Arial" w:cs="Arial"/>
          <w:b w:val="0"/>
          <w:bCs w:val="0"/>
          <w:sz w:val="22"/>
          <w:szCs w:val="22"/>
        </w:rPr>
      </w:r>
      <w:r>
        <w:rPr>
          <w:rFonts w:ascii="Arial" w:hAnsi="Arial" w:cs="Arial"/>
          <w:b w:val="0"/>
          <w:bCs w:val="0"/>
          <w:sz w:val="22"/>
          <w:szCs w:val="22"/>
        </w:rPr>
      </w:r>
    </w:p>
    <w:p w14:paraId="46427125">
      <w:pPr>
        <w:pStyle w:val="1151"/>
        <w:widowControl w:val="false"/>
        <w:pBdr/>
        <w:spacing w:line="360" w:lineRule="auto"/>
        <w:ind w:right="0" w:firstLine="425" w:left="0"/>
        <w:contextualSpacing w:val="true"/>
        <w:jc w:val="both"/>
        <w:rPr>
          <w:rStyle w:val="1171"/>
          <w:rFonts w:ascii="Arial" w:hAnsi="Arial" w:cs="Arial"/>
          <w:b w:val="0"/>
          <w:bCs w:val="0"/>
          <w:sz w:val="22"/>
          <w:szCs w:val="22"/>
        </w:rPr>
      </w:pPr>
      <w:r>
        <w:rPr>
          <w:rStyle w:val="1171"/>
          <w:rFonts w:ascii="Arial" w:hAnsi="Arial" w:eastAsia="Arial" w:cs="Arial"/>
          <w:b/>
          <w:bCs/>
          <w:sz w:val="22"/>
          <w:szCs w:val="22"/>
          <w:lang w:val="pt-BR"/>
        </w:rPr>
        <w:t xml:space="preserve">13.2.15. </w:t>
      </w:r>
      <w:r>
        <w:rPr>
          <w:rStyle w:val="1171"/>
          <w:rFonts w:ascii="Arial" w:hAnsi="Arial" w:eastAsia="Arial" w:cs="Arial"/>
          <w:b w:val="0"/>
          <w:bCs w:val="0"/>
          <w:sz w:val="22"/>
          <w:szCs w:val="22"/>
          <w:lang w:val="pt-BR"/>
        </w:rPr>
        <w:t xml:space="preserve">Reparar, corrigir, remover, reconstruir ou substituir, às suas expensas, no total ou em parte, no prazo máximo de </w:t>
      </w:r>
      <w:r>
        <w:rPr>
          <w:rStyle w:val="1171"/>
          <w:rFonts w:ascii="Arial" w:hAnsi="Arial" w:eastAsia="Arial" w:cs="Arial"/>
          <w:b w:val="0"/>
          <w:bCs w:val="0"/>
          <w:sz w:val="22"/>
          <w:szCs w:val="22"/>
          <w:lang w:val="pt-BR"/>
        </w:rPr>
        <w:t xml:space="preserve">5 (cinco) dias</w:t>
      </w:r>
      <w:r>
        <w:rPr>
          <w:rStyle w:val="1171"/>
          <w:rFonts w:ascii="Arial" w:hAnsi="Arial" w:eastAsia="Arial" w:cs="Arial"/>
          <w:b w:val="0"/>
          <w:bCs w:val="0"/>
          <w:sz w:val="22"/>
          <w:szCs w:val="22"/>
          <w:lang w:val="pt-BR"/>
        </w:rPr>
        <w:t xml:space="preserve">,</w:t>
      </w:r>
      <w:bookmarkStart w:id="1" w:name="_Hlk34297024"/>
      <w:r>
        <w:rPr>
          <w:rStyle w:val="1171"/>
          <w:rFonts w:ascii="Arial" w:hAnsi="Arial" w:eastAsia="Arial" w:cs="Arial"/>
          <w:b w:val="0"/>
          <w:bCs w:val="0"/>
          <w:sz w:val="22"/>
          <w:szCs w:val="22"/>
          <w:lang w:val="pt-BR"/>
        </w:rPr>
        <w:t xml:space="preserve"> a contar do recebimento da notificação do contratante, </w:t>
      </w:r>
      <w:bookmarkEnd w:id="1"/>
      <w:r>
        <w:rPr>
          <w:rStyle w:val="1171"/>
          <w:rFonts w:ascii="Arial" w:hAnsi="Arial" w:eastAsia="Arial" w:cs="Arial"/>
          <w:b w:val="0"/>
          <w:bCs w:val="0"/>
          <w:sz w:val="22"/>
          <w:szCs w:val="22"/>
          <w:lang w:val="pt-BR"/>
        </w:rPr>
        <w:t xml:space="preserve">o objeto do ajuste em que se verifiquem vícios, defeitos ou incorreções resultantes da execução ou de materiais empregados.</w:t>
      </w:r>
      <w:r>
        <w:rPr>
          <w:rStyle w:val="1171"/>
          <w:rFonts w:ascii="Arial" w:hAnsi="Arial" w:cs="Arial"/>
          <w:b w:val="0"/>
          <w:bCs w:val="0"/>
          <w:sz w:val="22"/>
          <w:szCs w:val="22"/>
        </w:rPr>
      </w:r>
      <w:r>
        <w:rPr>
          <w:rStyle w:val="1171"/>
          <w:rFonts w:ascii="Arial" w:hAnsi="Arial" w:cs="Arial"/>
          <w:b w:val="0"/>
          <w:bCs w:val="0"/>
          <w:sz w:val="22"/>
          <w:szCs w:val="22"/>
        </w:rPr>
      </w:r>
    </w:p>
    <w:p w14:paraId="4807053A">
      <w:pPr>
        <w:pStyle w:val="1151"/>
        <w:widowControl w:val="false"/>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13.2.16. </w:t>
      </w:r>
      <w:r>
        <w:rPr>
          <w:rFonts w:ascii="Arial" w:hAnsi="Arial" w:eastAsia="Arial" w:cs="Arial"/>
          <w:b w:val="0"/>
          <w:bCs w:val="0"/>
          <w:sz w:val="22"/>
          <w:szCs w:val="22"/>
          <w:lang w:val="pt-BR"/>
        </w:rPr>
        <w:t xml:space="preserve"> Atender prontamente a quaisquer exigências da Administração, inerentes ao objeto da presente licitação.</w:t>
      </w:r>
      <w:r>
        <w:rPr>
          <w:rFonts w:ascii="Arial" w:hAnsi="Arial" w:cs="Arial"/>
          <w:b w:val="0"/>
          <w:bCs w:val="0"/>
          <w:sz w:val="22"/>
          <w:szCs w:val="22"/>
        </w:rPr>
      </w:r>
      <w:r>
        <w:rPr>
          <w:rFonts w:ascii="Arial" w:hAnsi="Arial" w:cs="Arial"/>
          <w:b w:val="0"/>
          <w:bCs w:val="0"/>
          <w:sz w:val="22"/>
          <w:szCs w:val="22"/>
        </w:rPr>
      </w:r>
    </w:p>
    <w:p w14:paraId="600C32DC">
      <w:pPr>
        <w:pStyle w:val="1151"/>
        <w:widowControl w:val="false"/>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13.2.17. </w:t>
      </w:r>
      <w:r>
        <w:rPr>
          <w:rFonts w:ascii="Arial" w:hAnsi="Arial" w:eastAsia="Arial" w:cs="Arial"/>
          <w:b/>
          <w:bCs/>
          <w:sz w:val="22"/>
          <w:szCs w:val="22"/>
          <w:lang w:val="pt-BR"/>
        </w:rPr>
        <w:t xml:space="preserve"> </w:t>
      </w:r>
      <w:r>
        <w:rPr>
          <w:rFonts w:ascii="Arial" w:hAnsi="Arial" w:eastAsia="Arial" w:cs="Arial"/>
          <w:b w:val="0"/>
          <w:bCs w:val="0"/>
          <w:sz w:val="22"/>
          <w:szCs w:val="22"/>
          <w:lang w:val="pt-BR"/>
        </w:rPr>
        <w:t xml:space="preserve">Comunicar à Administração, no prazo máximo de </w:t>
      </w:r>
      <w:r>
        <w:rPr>
          <w:rFonts w:ascii="Arial" w:hAnsi="Arial" w:eastAsia="Arial" w:cs="Arial"/>
          <w:b w:val="0"/>
          <w:bCs w:val="0"/>
          <w:sz w:val="22"/>
          <w:szCs w:val="22"/>
          <w:lang w:val="pt-BR"/>
        </w:rPr>
        <w:t xml:space="preserve">5 (cinco) dias</w:t>
      </w:r>
      <w:r>
        <w:rPr>
          <w:rFonts w:ascii="Arial" w:hAnsi="Arial" w:eastAsia="Arial" w:cs="Arial"/>
          <w:b w:val="0"/>
          <w:bCs w:val="0"/>
          <w:sz w:val="22"/>
          <w:szCs w:val="22"/>
          <w:lang w:val="pt-BR"/>
        </w:rPr>
        <w:t xml:space="preserve"> que antecede a data da entrega, os motivos que impossibilitem o cumprimento do prazo previsto, com a devida comprovação;</w:t>
      </w:r>
      <w:r>
        <w:rPr>
          <w:rFonts w:ascii="Arial" w:hAnsi="Arial" w:cs="Arial"/>
          <w:b w:val="0"/>
          <w:bCs w:val="0"/>
          <w:sz w:val="22"/>
          <w:szCs w:val="22"/>
        </w:rPr>
      </w:r>
      <w:r>
        <w:rPr>
          <w:rFonts w:ascii="Arial" w:hAnsi="Arial" w:cs="Arial"/>
          <w:b w:val="0"/>
          <w:bCs w:val="0"/>
          <w:sz w:val="22"/>
          <w:szCs w:val="22"/>
        </w:rPr>
      </w:r>
    </w:p>
    <w:p w14:paraId="2C2C4208">
      <w:pPr>
        <w:pStyle w:val="1151"/>
        <w:widowControl w:val="false"/>
        <w:pBdr/>
        <w:spacing w:line="360" w:lineRule="auto"/>
        <w:ind w:right="0" w:firstLine="425" w:left="0"/>
        <w:contextualSpacing w:val="true"/>
        <w:jc w:val="both"/>
        <w:rPr>
          <w:rFonts w:ascii="Arial" w:hAnsi="Arial" w:cs="Arial"/>
          <w:b w:val="0"/>
          <w:bCs w:val="0"/>
          <w:sz w:val="22"/>
          <w:szCs w:val="22"/>
        </w:rPr>
      </w:pPr>
      <w:r>
        <w:rPr>
          <w:rFonts w:ascii="Arial" w:hAnsi="Arial" w:eastAsia="Arial" w:cs="Arial"/>
          <w:b/>
          <w:bCs/>
          <w:sz w:val="22"/>
          <w:szCs w:val="22"/>
          <w:lang w:val="pt-BR"/>
        </w:rPr>
        <w:t xml:space="preserve">13.2.18.</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Não transferir a terceiros, por qualquer forma, as obrigações assumidas, nem subcontratar qualquer das prestações a que está obrigada.</w:t>
      </w:r>
      <w:r>
        <w:rPr>
          <w:rFonts w:ascii="Arial" w:hAnsi="Arial" w:cs="Arial"/>
          <w:b w:val="0"/>
          <w:bCs w:val="0"/>
          <w:sz w:val="22"/>
          <w:szCs w:val="22"/>
        </w:rPr>
      </w:r>
      <w:r>
        <w:rPr>
          <w:rFonts w:ascii="Arial" w:hAnsi="Arial" w:cs="Arial"/>
          <w:b w:val="0"/>
          <w:bCs w:val="0"/>
          <w:sz w:val="22"/>
          <w:szCs w:val="22"/>
        </w:rPr>
      </w:r>
    </w:p>
    <w:p w14:paraId="74940D71">
      <w:pPr>
        <w:pStyle w:val="1151"/>
        <w:widowControl w:val="false"/>
        <w:pBdr/>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13.2.19. </w:t>
      </w:r>
      <w:r>
        <w:rPr>
          <w:rFonts w:ascii="Arial" w:hAnsi="Arial" w:eastAsia="Arial" w:cs="Arial"/>
          <w:b w:val="0"/>
          <w:bCs w:val="0"/>
          <w:sz w:val="22"/>
          <w:szCs w:val="22"/>
          <w:lang w:val="pt-BR"/>
        </w:rPr>
        <w:t xml:space="preserve">Destacar e discriminar a retenção a que está sujeita, informando de forma clara e inequívoca todos os impostos e alíquotas incidentes, cabendo a ela toda a responsabilidade pela eventual ausência dessa informação ou pela informação incorreta.</w:t>
      </w:r>
      <w:r>
        <w:rPr>
          <w:rFonts w:ascii="Arial" w:hAnsi="Arial" w:cs="Arial"/>
          <w:b w:val="0"/>
          <w:bCs w:val="0"/>
          <w:sz w:val="22"/>
          <w:szCs w:val="22"/>
        </w:rPr>
      </w:r>
      <w:r>
        <w:rPr>
          <w:rFonts w:ascii="Arial" w:hAnsi="Arial" w:cs="Arial"/>
          <w:b w:val="0"/>
          <w:bCs w:val="0"/>
          <w:sz w:val="22"/>
          <w:szCs w:val="22"/>
        </w:rPr>
      </w:r>
    </w:p>
    <w:p w14:paraId="27061EFF">
      <w:pPr>
        <w:pStyle w:val="1151"/>
        <w:widowControl w:val="false"/>
        <w:pBdr/>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13.2.20.</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As notas fiscais não poderão ter rasuras e de</w:t>
      </w:r>
      <w:r>
        <w:rPr>
          <w:rFonts w:ascii="Arial" w:hAnsi="Arial" w:eastAsia="Arial" w:cs="Arial"/>
          <w:b w:val="0"/>
          <w:bCs w:val="0"/>
          <w:sz w:val="22"/>
          <w:szCs w:val="22"/>
          <w:lang w:val="pt-BR"/>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b w:val="0"/>
          <w:bCs w:val="0"/>
          <w:sz w:val="22"/>
          <w:szCs w:val="22"/>
        </w:rPr>
      </w:r>
      <w:r>
        <w:rPr>
          <w:rFonts w:ascii="Arial" w:hAnsi="Arial" w:cs="Arial"/>
          <w:b w:val="0"/>
          <w:bCs w:val="0"/>
          <w:sz w:val="22"/>
          <w:szCs w:val="22"/>
        </w:rPr>
      </w:r>
    </w:p>
    <w:p w14:paraId="7EF3445A">
      <w:pPr>
        <w:pStyle w:val="1151"/>
        <w:widowControl w:val="false"/>
        <w:pBdr/>
        <w:tabs>
          <w:tab w:val="left" w:leader="none" w:pos="567"/>
        </w:tabs>
        <w:spacing w:after="10" w:before="10"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13.2.21.  </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As notas fiscais deverão ser encaminhadas à Prefeitura de Sinop, por meio do </w:t>
      </w:r>
      <w:r>
        <w:rPr>
          <w:rFonts w:ascii="Arial" w:hAnsi="Arial" w:eastAsia="Arial" w:cs="Arial"/>
          <w:b w:val="0"/>
          <w:bCs w:val="0"/>
          <w:i/>
          <w:iCs/>
          <w:sz w:val="22"/>
          <w:szCs w:val="22"/>
          <w:lang w:val="pt-BR"/>
        </w:rPr>
        <w:t xml:space="preserve">Portal do Fornecedor</w:t>
      </w:r>
      <w:r>
        <w:rPr>
          <w:rFonts w:ascii="Arial" w:hAnsi="Arial" w:eastAsia="Arial" w:cs="Arial"/>
          <w:b w:val="0"/>
          <w:bCs w:val="0"/>
          <w:sz w:val="22"/>
          <w:szCs w:val="22"/>
          <w:lang w:val="pt-BR"/>
        </w:rPr>
        <w:t xml:space="preserve">, disponível no endereço eletrônico:</w:t>
      </w:r>
      <w:r>
        <w:rPr>
          <w:rFonts w:ascii="Arial" w:hAnsi="Arial" w:eastAsia="Arial" w:cs="Arial"/>
          <w:b w:val="0"/>
          <w:bCs w:val="0"/>
          <w:color w:val="ff0000"/>
          <w:sz w:val="22"/>
          <w:szCs w:val="22"/>
          <w:lang w:val="pt-BR"/>
        </w:rPr>
        <w:t xml:space="preserve"> </w:t>
      </w:r>
      <w:r>
        <w:rPr>
          <w:rFonts w:ascii="Arial" w:hAnsi="Arial" w:eastAsia="Arial" w:cs="Arial"/>
          <w:b w:val="0"/>
          <w:bCs w:val="0"/>
          <w:sz w:val="22"/>
          <w:szCs w:val="22"/>
        </w:rPr>
        <w:fldChar w:fldCharType="begin"/>
      </w:r>
      <w:r>
        <w:rPr>
          <w:rFonts w:ascii="Arial" w:hAnsi="Arial" w:eastAsia="Arial" w:cs="Arial"/>
          <w:b w:val="0"/>
          <w:bCs w:val="0"/>
          <w:sz w:val="22"/>
          <w:szCs w:val="22"/>
        </w:rPr>
        <w:instrText xml:space="preserve"> HYPERLINK "https://www.gp.srv.br/portalfornecedor_sinop/servlet/home," </w:instrText>
      </w:r>
      <w:r>
        <w:rPr>
          <w:rFonts w:ascii="Arial" w:hAnsi="Arial" w:eastAsia="Arial" w:cs="Arial"/>
          <w:b w:val="0"/>
          <w:bCs w:val="0"/>
          <w:sz w:val="22"/>
          <w:szCs w:val="22"/>
        </w:rPr>
        <w:fldChar w:fldCharType="separate"/>
      </w:r>
      <w:r>
        <w:rPr>
          <w:rStyle w:val="872"/>
          <w:rFonts w:ascii="Arial" w:hAnsi="Arial" w:eastAsia="Arial" w:cs="Arial"/>
          <w:b w:val="0"/>
          <w:bCs w:val="0"/>
          <w:i/>
          <w:iCs/>
          <w:color w:val="000000"/>
          <w:sz w:val="22"/>
          <w:szCs w:val="22"/>
          <w:lang w:val="pt-BR"/>
        </w:rPr>
        <w:t xml:space="preserve">https://www.gp.srv.br/portalfornecedor_sinop/servlet/home</w:t>
      </w:r>
      <w:r>
        <w:rPr>
          <w:rStyle w:val="872"/>
          <w:rFonts w:ascii="Arial" w:hAnsi="Arial" w:eastAsia="Arial" w:cs="Arial"/>
          <w:b w:val="0"/>
          <w:bCs w:val="0"/>
          <w:sz w:val="22"/>
          <w:szCs w:val="22"/>
          <w:lang w:val="pt-BR"/>
        </w:rPr>
        <w:t xml:space="preserve">,</w:t>
      </w:r>
      <w:r>
        <w:rPr>
          <w:rStyle w:val="872"/>
          <w:rFonts w:ascii="Arial" w:hAnsi="Arial" w:eastAsia="Arial" w:cs="Arial"/>
          <w:b w:val="0"/>
          <w:bCs w:val="0"/>
          <w:sz w:val="22"/>
          <w:szCs w:val="22"/>
          <w:lang w:val="pt-BR"/>
        </w:rPr>
        <w:fldChar w:fldCharType="end"/>
      </w:r>
      <w:r>
        <w:rPr>
          <w:rFonts w:ascii="Arial" w:hAnsi="Arial" w:eastAsia="Arial" w:cs="Arial"/>
          <w:b w:val="0"/>
          <w:bCs w:val="0"/>
          <w:sz w:val="22"/>
          <w:szCs w:val="22"/>
          <w:lang w:val="pt-BR"/>
        </w:rPr>
        <w:t xml:space="preserve"> conforme Decreto 358/2024. </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O protocolo deverá ser realizado separadamente por Secretaria e Empenho/Nad;</w:t>
      </w:r>
      <w:r>
        <w:rPr>
          <w:rFonts w:ascii="Arial" w:hAnsi="Arial" w:cs="Arial"/>
          <w:b w:val="0"/>
          <w:bCs w:val="0"/>
          <w:sz w:val="22"/>
          <w:szCs w:val="22"/>
        </w:rPr>
      </w:r>
      <w:r>
        <w:rPr>
          <w:rFonts w:ascii="Arial" w:hAnsi="Arial" w:cs="Arial"/>
          <w:b w:val="0"/>
          <w:bCs w:val="0"/>
          <w:sz w:val="22"/>
          <w:szCs w:val="22"/>
        </w:rPr>
      </w:r>
    </w:p>
    <w:p w14:paraId="46894D3E">
      <w:pPr>
        <w:pStyle w:val="1151"/>
        <w:widowControl w:val="false"/>
        <w:pBdr/>
        <w:tabs>
          <w:tab w:val="left" w:leader="none" w:pos="567"/>
        </w:tabs>
        <w:spacing w:after="10" w:before="10"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13.2.22.</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As certidões deverão ser juntadas ao protocolo e são obrigatórias para a liquidação da despesa.</w:t>
      </w:r>
      <w:r>
        <w:rPr>
          <w:rFonts w:ascii="Arial" w:hAnsi="Arial" w:cs="Arial"/>
          <w:b w:val="0"/>
          <w:bCs w:val="0"/>
          <w:sz w:val="22"/>
          <w:szCs w:val="22"/>
        </w:rPr>
      </w:r>
      <w:r>
        <w:rPr>
          <w:rFonts w:ascii="Arial" w:hAnsi="Arial" w:cs="Arial"/>
          <w:b w:val="0"/>
          <w:bCs w:val="0"/>
          <w:sz w:val="22"/>
          <w:szCs w:val="22"/>
        </w:rPr>
      </w:r>
    </w:p>
    <w:p w14:paraId="78B6EB81">
      <w:pPr>
        <w:pStyle w:val="1151"/>
        <w:widowControl w:val="false"/>
        <w:pBdr/>
        <w:tabs>
          <w:tab w:val="left" w:leader="none" w:pos="567"/>
        </w:tabs>
        <w:spacing w:after="10" w:before="10"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13.2.23. </w:t>
      </w:r>
      <w:r>
        <w:rPr>
          <w:rFonts w:ascii="Arial" w:hAnsi="Arial" w:eastAsia="Arial" w:cs="Arial"/>
          <w:b w:val="0"/>
          <w:bCs w:val="0"/>
          <w:sz w:val="22"/>
          <w:szCs w:val="22"/>
          <w:lang w:val="pt-BR"/>
        </w:rPr>
        <w:t xml:space="preserve">Todos os documentos são obrigatórios, especialmente os citados no edital de licitação e os que constam na instrução normativa 038/2009, atualizada no decreto 118/2022.</w:t>
      </w:r>
      <w:r>
        <w:rPr>
          <w:rFonts w:ascii="Arial" w:hAnsi="Arial" w:cs="Arial"/>
          <w:b w:val="0"/>
          <w:bCs w:val="0"/>
          <w:sz w:val="22"/>
          <w:szCs w:val="22"/>
        </w:rPr>
      </w:r>
      <w:r>
        <w:rPr>
          <w:rFonts w:ascii="Arial" w:hAnsi="Arial" w:cs="Arial"/>
          <w:b w:val="0"/>
          <w:bCs w:val="0"/>
          <w:sz w:val="22"/>
          <w:szCs w:val="22"/>
        </w:rPr>
      </w:r>
    </w:p>
    <w:p w14:paraId="44C4C6F5">
      <w:pPr>
        <w:pStyle w:val="1151"/>
        <w:widowControl w:val="false"/>
        <w:pBdr/>
        <w:spacing w:line="360" w:lineRule="auto"/>
        <w:ind w:right="0" w:firstLine="425" w:left="0"/>
        <w:jc w:val="both"/>
        <w:rPr>
          <w:rFonts w:ascii="Arial" w:hAnsi="Arial" w:cs="Arial"/>
          <w:b w:val="0"/>
          <w:bCs w:val="0"/>
          <w:sz w:val="22"/>
          <w:szCs w:val="22"/>
        </w:rPr>
      </w:pPr>
      <w:r>
        <w:rPr>
          <w:rFonts w:ascii="Arial" w:hAnsi="Arial" w:eastAsia="Arial" w:cs="Arial"/>
          <w:b/>
          <w:bCs/>
          <w:sz w:val="22"/>
          <w:szCs w:val="22"/>
          <w:lang w:val="pt-BR"/>
        </w:rPr>
        <w:t xml:space="preserve">13.2.24. </w:t>
      </w:r>
      <w:r>
        <w:rPr>
          <w:rFonts w:ascii="Arial" w:hAnsi="Arial" w:eastAsia="Arial" w:cs="Arial"/>
          <w:b w:val="0"/>
          <w:bCs w:val="0"/>
          <w:sz w:val="22"/>
          <w:szCs w:val="22"/>
          <w:lang w:val="pt-BR"/>
        </w:rPr>
        <w:t xml:space="preserve">Caso o protocolo não esteja de acordo com o solicitado, o mesmo será devolvido para correção, sendo válida a data de protocolo corrigida para fins de prazo de pagamento.</w:t>
      </w:r>
      <w:r>
        <w:rPr>
          <w:rFonts w:ascii="Arial" w:hAnsi="Arial" w:cs="Arial"/>
          <w:b w:val="0"/>
          <w:bCs w:val="0"/>
          <w:sz w:val="22"/>
          <w:szCs w:val="22"/>
        </w:rPr>
      </w:r>
      <w:r>
        <w:rPr>
          <w:rFonts w:ascii="Arial" w:hAnsi="Arial" w:cs="Arial"/>
          <w:b w:val="0"/>
          <w:bCs w:val="0"/>
          <w:sz w:val="22"/>
          <w:szCs w:val="22"/>
        </w:rPr>
      </w:r>
    </w:p>
    <w:p w14:paraId="34C9F511">
      <w:pPr>
        <w:pBdr/>
        <w:tabs>
          <w:tab w:val="left" w:leader="none" w:pos="0"/>
        </w:tabs>
        <w:spacing w:line="360" w:lineRule="auto"/>
        <w:ind w:right="0" w:firstLine="425" w:left="0"/>
        <w:contextualSpacing w:val="true"/>
        <w:jc w:val="both"/>
        <w:rPr>
          <w:rFonts w:ascii="Arial" w:hAnsi="Arial" w:eastAsia="Arial" w:cs="Arial"/>
          <w:b w:val="0"/>
          <w:bCs w:val="0"/>
          <w:sz w:val="22"/>
          <w:szCs w:val="22"/>
          <w:highlight w:val="none"/>
        </w:rPr>
      </w:pPr>
      <w:r>
        <w:rPr>
          <w:rFonts w:ascii="Arial" w:hAnsi="Arial" w:eastAsia="Arial" w:cs="Arial"/>
          <w:b/>
          <w:bCs/>
          <w:sz w:val="22"/>
          <w:szCs w:val="22"/>
          <w:lang w:val="pt-BR"/>
        </w:rPr>
        <w:t xml:space="preserve">13.2.25. </w:t>
      </w:r>
      <w:r>
        <w:rPr>
          <w:rFonts w:ascii="Arial" w:hAnsi="Arial" w:eastAsia="Arial" w:cs="Arial"/>
          <w:b w:val="0"/>
          <w:bCs w:val="0"/>
          <w:sz w:val="22"/>
          <w:szCs w:val="22"/>
        </w:rPr>
        <w:t xml:space="preserve"> </w:t>
      </w:r>
      <w:r>
        <w:rPr>
          <w:rFonts w:ascii="Arial" w:hAnsi="Arial" w:eastAsia="Arial" w:cs="Arial"/>
          <w:b w:val="0"/>
          <w:bCs w:val="0"/>
          <w:sz w:val="22"/>
          <w:szCs w:val="22"/>
        </w:rPr>
        <w:t xml:space="preserve">A(s) licitante(s) vencedora(s) se obriga(m) a entregar os produtos desta licitação sem ônus, mediante a emissão de ordem de fornecimento pelas Secretarias Municipais, a partir da data da assinatura </w:t>
      </w:r>
      <w:r>
        <w:rPr>
          <w:rFonts w:ascii="Arial" w:hAnsi="Arial" w:eastAsia="Arial" w:cs="Arial"/>
          <w:b w:val="0"/>
          <w:bCs w:val="0"/>
          <w:sz w:val="22"/>
          <w:szCs w:val="22"/>
          <w:lang w:val="pt-BR"/>
        </w:rPr>
        <w:t xml:space="preserve">do Contrato.</w:t>
      </w:r>
      <w:r>
        <w:rPr>
          <w:rFonts w:ascii="Arial" w:hAnsi="Arial" w:eastAsia="Arial" w:cs="Arial"/>
          <w:b w:val="0"/>
          <w:bCs w:val="0"/>
          <w:sz w:val="22"/>
          <w:szCs w:val="22"/>
          <w:highlight w:val="none"/>
        </w:rPr>
      </w:r>
      <w:r>
        <w:rPr>
          <w:rFonts w:ascii="Arial" w:hAnsi="Arial" w:eastAsia="Arial" w:cs="Arial"/>
          <w:b w:val="0"/>
          <w:bCs w:val="0"/>
          <w:sz w:val="22"/>
          <w:szCs w:val="22"/>
          <w:highlight w:val="none"/>
        </w:rPr>
      </w:r>
    </w:p>
    <w:p w14:paraId="2827B571">
      <w:pPr>
        <w:pBdr/>
        <w:tabs>
          <w:tab w:val="left" w:leader="none" w:pos="960"/>
          <w:tab w:val="left" w:leader="none" w:pos="1276"/>
        </w:tabs>
        <w:spacing w:line="360" w:lineRule="auto"/>
        <w:ind w:firstLine="48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66884F3">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Décima Quarta</w:t>
      </w:r>
      <w:r>
        <w:rPr>
          <w:rFonts w:ascii="Arial" w:hAnsi="Arial" w:cs="Arial"/>
          <w:b/>
          <w:bCs/>
          <w:szCs w:val="22"/>
        </w:rPr>
      </w:r>
      <w:r>
        <w:rPr>
          <w:rFonts w:ascii="Arial" w:hAnsi="Arial" w:cs="Arial"/>
          <w:b/>
          <w:bCs/>
          <w:szCs w:val="22"/>
        </w:rPr>
      </w:r>
    </w:p>
    <w:p w14:paraId="42C10A09">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rPr>
      </w:pPr>
      <w:r>
        <w:rPr>
          <w:rFonts w:ascii="Arial" w:hAnsi="Arial" w:cs="Arial"/>
          <w:b/>
          <w:bCs/>
          <w:szCs w:val="22"/>
        </w:rPr>
        <w:t xml:space="preserve">DAS CONDIÇÕES GERAIS</w:t>
      </w:r>
      <w:r>
        <w:rPr>
          <w:rFonts w:ascii="Arial" w:hAnsi="Arial" w:cs="Arial"/>
          <w:szCs w:val="22"/>
        </w:rPr>
      </w:r>
      <w:r>
        <w:rPr>
          <w:rFonts w:ascii="Arial" w:hAnsi="Arial" w:cs="Arial"/>
          <w:szCs w:val="22"/>
        </w:rPr>
      </w:r>
    </w:p>
    <w:p w14:paraId="02AAD81C">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F315FAB">
      <w:pPr>
        <w:pStyle w:val="1146"/>
        <w:pBdr/>
        <w:tabs>
          <w:tab w:val="left" w:leader="none" w:pos="1701"/>
        </w:tabs>
        <w:spacing w:line="360" w:lineRule="auto"/>
        <w:ind/>
        <w:rPr>
          <w:rFonts w:ascii="Arial" w:hAnsi="Arial" w:cs="Arial"/>
          <w:szCs w:val="22"/>
        </w:rPr>
      </w:pPr>
      <w:r>
        <w:rPr>
          <w:rFonts w:ascii="Arial" w:hAnsi="Arial" w:cs="Arial"/>
          <w:b/>
          <w:szCs w:val="22"/>
        </w:rPr>
        <w:t xml:space="preserve">14.1.</w:t>
      </w:r>
      <w:r>
        <w:rPr>
          <w:rFonts w:ascii="Arial" w:hAnsi="Arial" w:cs="Arial"/>
          <w:szCs w:val="22"/>
        </w:rPr>
        <w:t xml:space="preserve"> Integram esta Ata de Registro de Preços, o Edital da Concorrência Eletrônica nº .../2026, o Termo de Referência e a Proposta de Preços da empresa classificada em primeiro lugar no certame retromencioando.</w:t>
      </w:r>
      <w:r>
        <w:rPr>
          <w:rFonts w:ascii="Arial" w:hAnsi="Arial" w:cs="Arial"/>
          <w:szCs w:val="22"/>
        </w:rPr>
      </w:r>
      <w:r>
        <w:rPr>
          <w:rFonts w:ascii="Arial" w:hAnsi="Arial" w:cs="Arial"/>
          <w:szCs w:val="22"/>
        </w:rPr>
      </w:r>
    </w:p>
    <w:p w14:paraId="5430177C">
      <w:pPr>
        <w:pStyle w:val="1162"/>
        <w:numPr>
          <w:ilvl w:val="0"/>
          <w:numId w:val="0"/>
        </w:numPr>
        <w:pBdr/>
        <w:spacing w:afterLines="50" w:beforeLines="50" w:line="360" w:lineRule="auto"/>
        <w:ind/>
        <w:rPr>
          <w:i w:val="0"/>
          <w:iCs w:val="0"/>
          <w:color w:val="auto"/>
          <w:sz w:val="22"/>
          <w:szCs w:val="22"/>
        </w:rPr>
      </w:pPr>
      <w:r>
        <w:rPr>
          <w:b/>
          <w:bCs/>
          <w:i w:val="0"/>
          <w:iCs w:val="0"/>
          <w:color w:val="auto"/>
          <w:sz w:val="22"/>
          <w:szCs w:val="22"/>
        </w:rPr>
        <w:t xml:space="preserve">14.2</w:t>
      </w:r>
      <w:r>
        <w:rPr>
          <w:i w:val="0"/>
          <w:iCs w:val="0"/>
          <w:color w:val="auto"/>
          <w:sz w:val="22"/>
          <w:szCs w:val="22"/>
        </w:rPr>
        <w:t xml:space="preserve"> Os casos omissos serão decididos pela Administração Pública, segundo as disposições contidas na </w:t>
      </w:r>
      <w:r>
        <w:fldChar w:fldCharType="begin"/>
      </w:r>
      <w:r>
        <w:instrText xml:space="preserve"> HYPERLINK "http://www.planalto.gov.br/ccivil_03/_ato2019-2022/2021/lei/L14133.htm" </w:instrText>
      </w:r>
      <w:r>
        <w:fldChar w:fldCharType="separate"/>
      </w:r>
      <w:r>
        <w:rPr>
          <w:rStyle w:val="872"/>
          <w:rFonts w:ascii="Arial" w:hAnsi="Arial" w:cs="Arial"/>
          <w:i w:val="0"/>
          <w:iCs w:val="0"/>
          <w:color w:val="auto"/>
          <w:sz w:val="22"/>
          <w:szCs w:val="22"/>
        </w:rPr>
        <w:t xml:space="preserve">Lei </w:t>
      </w:r>
      <w:r>
        <w:rPr>
          <w:rStyle w:val="872"/>
          <w:rFonts w:cs="Arial"/>
          <w:i w:val="0"/>
          <w:iCs w:val="0"/>
          <w:color w:val="auto"/>
          <w:sz w:val="22"/>
          <w:szCs w:val="22"/>
        </w:rPr>
        <w:t xml:space="preserve">Federal </w:t>
      </w:r>
      <w:r>
        <w:rPr>
          <w:rStyle w:val="872"/>
          <w:rFonts w:ascii="Arial" w:hAnsi="Arial" w:cs="Arial"/>
          <w:i w:val="0"/>
          <w:iCs w:val="0"/>
          <w:color w:val="auto"/>
          <w:sz w:val="22"/>
          <w:szCs w:val="22"/>
        </w:rPr>
        <w:t xml:space="preserve">n</w:t>
      </w:r>
      <w:r>
        <w:rPr>
          <w:rStyle w:val="872"/>
          <w:rFonts w:cs="Arial"/>
          <w:i w:val="0"/>
          <w:iCs w:val="0"/>
          <w:color w:val="auto"/>
          <w:sz w:val="22"/>
          <w:szCs w:val="22"/>
        </w:rPr>
        <w:t xml:space="preserve">.</w:t>
      </w:r>
      <w:r>
        <w:rPr>
          <w:rStyle w:val="872"/>
          <w:rFonts w:ascii="Arial" w:hAnsi="Arial" w:cs="Arial"/>
          <w:i w:val="0"/>
          <w:iCs w:val="0"/>
          <w:color w:val="auto"/>
          <w:sz w:val="22"/>
          <w:szCs w:val="22"/>
        </w:rPr>
        <w:t xml:space="preserve">º 14.133</w:t>
      </w:r>
      <w:r>
        <w:rPr>
          <w:rStyle w:val="872"/>
          <w:rFonts w:cs="Arial"/>
          <w:i w:val="0"/>
          <w:iCs w:val="0"/>
          <w:color w:val="auto"/>
          <w:sz w:val="22"/>
          <w:szCs w:val="22"/>
        </w:rPr>
        <w:t xml:space="preserve">/2</w:t>
      </w:r>
      <w:r>
        <w:rPr>
          <w:rStyle w:val="872"/>
          <w:rFonts w:ascii="Arial" w:hAnsi="Arial" w:cs="Arial"/>
          <w:i w:val="0"/>
          <w:iCs w:val="0"/>
          <w:color w:val="auto"/>
          <w:sz w:val="22"/>
          <w:szCs w:val="22"/>
        </w:rPr>
        <w:t xml:space="preserve">021</w:t>
      </w:r>
      <w:r>
        <w:rPr>
          <w:rStyle w:val="872"/>
          <w:rFonts w:ascii="Arial" w:hAnsi="Arial" w:cs="Arial"/>
          <w:i w:val="0"/>
          <w:iCs w:val="0"/>
          <w:color w:val="auto"/>
          <w:sz w:val="22"/>
          <w:szCs w:val="22"/>
        </w:rPr>
        <w:fldChar w:fldCharType="end"/>
      </w:r>
      <w:r>
        <w:rPr>
          <w:rStyle w:val="872"/>
          <w:rFonts w:ascii="Arial" w:hAnsi="Arial" w:cs="Arial"/>
          <w:i w:val="0"/>
          <w:iCs w:val="0"/>
          <w:color w:val="auto"/>
          <w:sz w:val="22"/>
          <w:szCs w:val="22"/>
        </w:rPr>
        <w:t xml:space="preserve"> </w:t>
      </w:r>
      <w:r>
        <w:rPr>
          <w:i w:val="0"/>
          <w:iCs w:val="0"/>
          <w:color w:val="auto"/>
          <w:sz w:val="22"/>
          <w:szCs w:val="22"/>
        </w:rPr>
        <w:t xml:space="preserve">e, subsidiariamente, segundo as disposições contidas na </w:t>
      </w:r>
      <w:r>
        <w:fldChar w:fldCharType="begin"/>
      </w:r>
      <w:r>
        <w:instrText xml:space="preserve"> HYPERLINK "https://www.planalto.gov.br/ccivil_03/leis/l8078compilado.htm" </w:instrText>
      </w:r>
      <w:r>
        <w:fldChar w:fldCharType="separate"/>
      </w:r>
      <w:r>
        <w:rPr>
          <w:rStyle w:val="872"/>
          <w:rFonts w:ascii="Arial" w:hAnsi="Arial" w:cs="Arial"/>
          <w:i w:val="0"/>
          <w:iCs w:val="0"/>
          <w:color w:val="auto"/>
          <w:sz w:val="22"/>
          <w:szCs w:val="22"/>
        </w:rPr>
        <w:t xml:space="preserve">Lei </w:t>
      </w:r>
      <w:r>
        <w:rPr>
          <w:rStyle w:val="872"/>
          <w:rFonts w:cs="Arial"/>
          <w:i w:val="0"/>
          <w:iCs w:val="0"/>
          <w:color w:val="auto"/>
          <w:sz w:val="22"/>
          <w:szCs w:val="22"/>
        </w:rPr>
        <w:t xml:space="preserve">Federal </w:t>
      </w:r>
      <w:r>
        <w:rPr>
          <w:rStyle w:val="872"/>
          <w:rFonts w:ascii="Arial" w:hAnsi="Arial" w:cs="Arial"/>
          <w:i w:val="0"/>
          <w:iCs w:val="0"/>
          <w:color w:val="auto"/>
          <w:sz w:val="22"/>
          <w:szCs w:val="22"/>
        </w:rPr>
        <w:t xml:space="preserve">n</w:t>
      </w:r>
      <w:r>
        <w:rPr>
          <w:rStyle w:val="872"/>
          <w:rFonts w:cs="Arial"/>
          <w:i w:val="0"/>
          <w:iCs w:val="0"/>
          <w:color w:val="auto"/>
          <w:sz w:val="22"/>
          <w:szCs w:val="22"/>
        </w:rPr>
        <w:t xml:space="preserve">.</w:t>
      </w:r>
      <w:r>
        <w:rPr>
          <w:rStyle w:val="872"/>
          <w:rFonts w:ascii="Arial" w:hAnsi="Arial" w:cs="Arial"/>
          <w:i w:val="0"/>
          <w:iCs w:val="0"/>
          <w:color w:val="auto"/>
          <w:sz w:val="22"/>
          <w:szCs w:val="22"/>
        </w:rPr>
        <w:t xml:space="preserve">º 8.078</w:t>
      </w:r>
      <w:r>
        <w:rPr>
          <w:rStyle w:val="872"/>
          <w:rFonts w:cs="Arial"/>
          <w:i w:val="0"/>
          <w:iCs w:val="0"/>
          <w:color w:val="auto"/>
          <w:sz w:val="22"/>
          <w:szCs w:val="22"/>
        </w:rPr>
        <w:t xml:space="preserve">/</w:t>
      </w:r>
      <w:r>
        <w:rPr>
          <w:rStyle w:val="872"/>
          <w:rFonts w:ascii="Arial" w:hAnsi="Arial" w:cs="Arial"/>
          <w:i w:val="0"/>
          <w:iCs w:val="0"/>
          <w:color w:val="auto"/>
          <w:sz w:val="22"/>
          <w:szCs w:val="22"/>
        </w:rPr>
        <w:t xml:space="preserve">1990 – Código de Defesa do Consumidor</w:t>
      </w:r>
      <w:r>
        <w:rPr>
          <w:rStyle w:val="872"/>
          <w:rFonts w:ascii="Arial" w:hAnsi="Arial" w:cs="Arial"/>
          <w:i w:val="0"/>
          <w:iCs w:val="0"/>
          <w:color w:val="auto"/>
          <w:sz w:val="22"/>
          <w:szCs w:val="22"/>
        </w:rPr>
        <w:fldChar w:fldCharType="end"/>
      </w:r>
      <w:r>
        <w:rPr>
          <w:i w:val="0"/>
          <w:iCs w:val="0"/>
          <w:color w:val="auto"/>
          <w:sz w:val="22"/>
          <w:szCs w:val="22"/>
        </w:rPr>
        <w:t xml:space="preserve"> – e normas e Princípios Gerais dos Contratos.</w:t>
      </w:r>
      <w:r>
        <w:rPr>
          <w:i w:val="0"/>
          <w:iCs w:val="0"/>
          <w:color w:val="auto"/>
          <w:sz w:val="22"/>
          <w:szCs w:val="22"/>
        </w:rPr>
      </w:r>
      <w:r>
        <w:rPr>
          <w:i w:val="0"/>
          <w:iCs w:val="0"/>
          <w:color w:val="auto"/>
          <w:sz w:val="22"/>
          <w:szCs w:val="22"/>
        </w:rPr>
      </w:r>
    </w:p>
    <w:p w14:paraId="5401E442">
      <w:pPr>
        <w:pStyle w:val="1169"/>
        <w:pBdr/>
        <w:tabs>
          <w:tab w:val="left" w:leader="none" w:pos="180"/>
        </w:tabs>
        <w:spacing w:after="120" w:afterLines="50" w:before="120" w:beforeLines="50" w:line="360" w:lineRule="auto"/>
        <w:ind w:right="-1" w:firstLine="0"/>
        <w:rPr>
          <w:rFonts w:ascii="Arial" w:hAnsi="Arial" w:cs="Arial"/>
          <w:sz w:val="22"/>
          <w:szCs w:val="22"/>
        </w:rPr>
      </w:pPr>
      <w:r>
        <w:rPr>
          <w:rFonts w:ascii="Arial" w:hAnsi="Arial" w:cs="Arial"/>
          <w:b/>
          <w:bCs/>
          <w:sz w:val="22"/>
          <w:szCs w:val="22"/>
        </w:rPr>
        <w:t xml:space="preserve">14.3</w:t>
      </w:r>
      <w:r>
        <w:rPr>
          <w:rFonts w:ascii="Arial" w:hAnsi="Arial" w:cs="Arial"/>
          <w:sz w:val="22"/>
          <w:szCs w:val="22"/>
        </w:rPr>
        <w:t xml:space="preserve"> Todas as alterações que se fizerem necessárias serão registradas por intermédio de lavratura de Termo Aditivo a presente Ata de Registro de Preços.</w:t>
      </w:r>
      <w:r>
        <w:rPr>
          <w:rFonts w:ascii="Arial" w:hAnsi="Arial" w:cs="Arial"/>
          <w:sz w:val="22"/>
          <w:szCs w:val="22"/>
        </w:rPr>
      </w:r>
      <w:r>
        <w:rPr>
          <w:rFonts w:ascii="Arial" w:hAnsi="Arial" w:cs="Arial"/>
          <w:sz w:val="22"/>
          <w:szCs w:val="22"/>
        </w:rPr>
      </w:r>
    </w:p>
    <w:p w14:paraId="679EAD9D">
      <w:pPr>
        <w:pStyle w:val="1160"/>
        <w:numPr>
          <w:ilvl w:val="0"/>
          <w:numId w:val="0"/>
        </w:numPr>
        <w:pBdr/>
        <w:spacing w:afterLines="50" w:beforeLines="50" w:line="360" w:lineRule="auto"/>
        <w:ind/>
        <w:rPr>
          <w:color w:val="auto"/>
          <w:sz w:val="22"/>
          <w:szCs w:val="22"/>
        </w:rPr>
      </w:pPr>
      <w:r>
        <w:rPr>
          <w:b/>
          <w:bCs/>
          <w:color w:val="auto"/>
          <w:sz w:val="22"/>
          <w:szCs w:val="22"/>
        </w:rPr>
        <w:t xml:space="preserve">14.4</w:t>
      </w:r>
      <w:r>
        <w:rPr>
          <w:color w:val="auto"/>
          <w:sz w:val="22"/>
          <w:szCs w:val="22"/>
        </w:rPr>
        <w:t xml:space="preserve"> Incumbirá à Administração Pública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872"/>
          <w:rFonts w:ascii="Arial" w:hAnsi="Arial" w:cs="Arial"/>
          <w:color w:val="auto"/>
          <w:sz w:val="22"/>
          <w:szCs w:val="22"/>
        </w:rPr>
        <w:t xml:space="preserve">art. 94 da Lei </w:t>
      </w:r>
      <w:r>
        <w:rPr>
          <w:rStyle w:val="872"/>
          <w:rFonts w:cs="Arial"/>
          <w:color w:val="auto"/>
          <w:sz w:val="22"/>
          <w:szCs w:val="22"/>
        </w:rPr>
        <w:t xml:space="preserve">Federal n.°</w:t>
      </w:r>
      <w:r>
        <w:rPr>
          <w:rStyle w:val="872"/>
          <w:rFonts w:ascii="Arial" w:hAnsi="Arial" w:cs="Arial"/>
          <w:color w:val="auto"/>
          <w:sz w:val="22"/>
          <w:szCs w:val="22"/>
        </w:rPr>
        <w:t xml:space="preserve">14.133</w:t>
      </w:r>
      <w:r>
        <w:rPr>
          <w:rStyle w:val="872"/>
          <w:rFonts w:cs="Arial"/>
          <w:color w:val="auto"/>
          <w:sz w:val="22"/>
          <w:szCs w:val="22"/>
        </w:rPr>
        <w:t xml:space="preserve">/</w:t>
      </w:r>
      <w:r>
        <w:rPr>
          <w:rStyle w:val="872"/>
          <w:rFonts w:ascii="Arial" w:hAnsi="Arial" w:cs="Arial"/>
          <w:color w:val="auto"/>
          <w:sz w:val="22"/>
          <w:szCs w:val="22"/>
        </w:rPr>
        <w:t xml:space="preserve">2021</w:t>
      </w:r>
      <w:r>
        <w:rPr>
          <w:rStyle w:val="872"/>
          <w:rFonts w:ascii="Arial" w:hAnsi="Arial" w:cs="Arial"/>
          <w:color w:val="auto"/>
          <w:sz w:val="22"/>
          <w:szCs w:val="22"/>
        </w:rPr>
        <w:fldChar w:fldCharType="end"/>
      </w:r>
      <w:r>
        <w:rPr>
          <w:color w:val="auto"/>
          <w:sz w:val="22"/>
          <w:szCs w:val="22"/>
        </w:rPr>
        <w:t xml:space="preserve">, bem como no respectivo sítio oficial na Internet, assim como no Diário Oficial do Estado de Mato Grosso e Diário Oficial do Tribunal de Contas do Estado de Mato Grosso.</w:t>
      </w:r>
      <w:r>
        <w:rPr>
          <w:color w:val="auto"/>
          <w:sz w:val="22"/>
          <w:szCs w:val="22"/>
        </w:rPr>
      </w:r>
      <w:r>
        <w:rPr>
          <w:color w:val="auto"/>
          <w:sz w:val="22"/>
          <w:szCs w:val="22"/>
        </w:rPr>
      </w:r>
    </w:p>
    <w:p w14:paraId="4D77409E">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Décima Quinta</w:t>
      </w:r>
      <w:r>
        <w:rPr>
          <w:rFonts w:ascii="Arial" w:hAnsi="Arial" w:cs="Arial"/>
          <w:b/>
          <w:bCs/>
          <w:szCs w:val="22"/>
        </w:rPr>
      </w:r>
      <w:r>
        <w:rPr>
          <w:rFonts w:ascii="Arial" w:hAnsi="Arial" w:cs="Arial"/>
          <w:b/>
          <w:bCs/>
          <w:szCs w:val="22"/>
        </w:rPr>
      </w:r>
    </w:p>
    <w:p w14:paraId="72F6CC68">
      <w:pPr>
        <w:pStyle w:val="1146"/>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DO FORO</w:t>
      </w:r>
      <w:r>
        <w:rPr>
          <w:rFonts w:ascii="Arial" w:hAnsi="Arial" w:cs="Arial"/>
          <w:b/>
          <w:bCs/>
          <w:szCs w:val="22"/>
        </w:rPr>
      </w:r>
      <w:r>
        <w:rPr>
          <w:rFonts w:ascii="Arial" w:hAnsi="Arial" w:cs="Arial"/>
          <w:b/>
          <w:bCs/>
          <w:szCs w:val="22"/>
        </w:rPr>
      </w:r>
    </w:p>
    <w:p w14:paraId="010C97EA">
      <w:pPr>
        <w:pStyle w:val="894"/>
        <w:pBdr/>
        <w:spacing w:after="240" w:before="240" w:line="360" w:lineRule="auto"/>
        <w:ind/>
        <w:jc w:val="both"/>
        <w:rPr>
          <w:rFonts w:ascii="Arial" w:hAnsi="Arial" w:cs="Arial"/>
          <w:sz w:val="22"/>
          <w:szCs w:val="22"/>
        </w:rPr>
      </w:pPr>
      <w:r>
        <w:rPr>
          <w:rFonts w:ascii="Arial" w:hAnsi="Arial" w:cs="Arial"/>
          <w:b/>
          <w:sz w:val="22"/>
          <w:szCs w:val="22"/>
        </w:rPr>
        <w:t xml:space="preserve">15.1.</w:t>
      </w:r>
      <w:r>
        <w:rPr>
          <w:rFonts w:ascii="Arial" w:hAnsi="Arial" w:cs="Arial"/>
          <w:sz w:val="22"/>
          <w:szCs w:val="22"/>
        </w:rPr>
        <w:t xml:space="preserve"> As partes elegem o foro da comarca de Sinop, Estado de Mato Grosso, como único competente para dirimir quaisquer ações oriundas desta Ata de Registro de Preços com exclusão de qualquer outro, por mais privilegiado que seja.</w:t>
      </w:r>
      <w:r>
        <w:rPr>
          <w:rFonts w:ascii="Arial" w:hAnsi="Arial" w:cs="Arial"/>
          <w:sz w:val="22"/>
          <w:szCs w:val="22"/>
        </w:rPr>
      </w:r>
      <w:r>
        <w:rPr>
          <w:rFonts w:ascii="Arial" w:hAnsi="Arial" w:cs="Arial"/>
          <w:sz w:val="22"/>
          <w:szCs w:val="22"/>
        </w:rPr>
      </w:r>
    </w:p>
    <w:p w14:paraId="342397C8">
      <w:pPr>
        <w:pStyle w:val="894"/>
        <w:pBdr/>
        <w:spacing w:after="240" w:before="240" w:line="360" w:lineRule="auto"/>
        <w:ind/>
        <w:jc w:val="both"/>
        <w:rPr>
          <w:rFonts w:ascii="Arial" w:hAnsi="Arial" w:cs="Arial"/>
          <w:sz w:val="22"/>
          <w:szCs w:val="22"/>
        </w:rPr>
      </w:pPr>
      <w:r>
        <w:rPr>
          <w:rFonts w:ascii="Arial" w:hAnsi="Arial" w:cs="Arial"/>
          <w:sz w:val="22"/>
          <w:szCs w:val="22"/>
        </w:rPr>
        <w:t xml:space="preserve">Sinop/MT, ... de ,,,,,, de 2026.</w:t>
      </w:r>
      <w:r>
        <w:rPr>
          <w:rFonts w:ascii="Arial" w:hAnsi="Arial" w:cs="Arial"/>
          <w:sz w:val="22"/>
          <w:szCs w:val="22"/>
        </w:rPr>
      </w:r>
      <w:r>
        <w:rPr>
          <w:rFonts w:ascii="Arial" w:hAnsi="Arial" w:cs="Arial"/>
          <w:sz w:val="22"/>
          <w:szCs w:val="22"/>
        </w:rPr>
      </w:r>
    </w:p>
    <w:p w14:paraId="608C165A">
      <w:pPr>
        <w:pStyle w:val="894"/>
        <w:pBdr/>
        <w:spacing w:after="240" w:before="240" w:line="36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B2C8F4C">
      <w:pPr>
        <w:pStyle w:val="894"/>
        <w:pBdr/>
        <w:spacing w:after="240" w:before="240" w:line="36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78245A7">
      <w:pPr>
        <w:pStyle w:val="1146"/>
        <w:pBdr/>
        <w:spacing w:line="360" w:lineRule="auto"/>
        <w:ind/>
        <w:jc w:val="center"/>
        <w:rPr>
          <w:rFonts w:ascii="Arial" w:hAnsi="Arial" w:cs="Arial"/>
          <w:b/>
          <w:szCs w:val="22"/>
        </w:rPr>
      </w:pPr>
      <w:r>
        <w:rPr>
          <w:rFonts w:ascii="Arial" w:hAnsi="Arial" w:cs="Arial"/>
          <w:b/>
          <w:szCs w:val="22"/>
        </w:rPr>
        <w:t xml:space="preserve">PREFEITURA MUNICIPAL DE SINOP</w:t>
      </w:r>
      <w:r>
        <w:rPr>
          <w:rFonts w:ascii="Arial" w:hAnsi="Arial" w:cs="Arial"/>
          <w:b/>
          <w:szCs w:val="22"/>
        </w:rPr>
      </w:r>
      <w:r>
        <w:rPr>
          <w:rFonts w:ascii="Arial" w:hAnsi="Arial" w:cs="Arial"/>
          <w:b/>
          <w:szCs w:val="22"/>
        </w:rPr>
      </w:r>
    </w:p>
    <w:p w14:paraId="3BB70451">
      <w:pPr>
        <w:pStyle w:val="1146"/>
        <w:pBdr/>
        <w:spacing w:line="360" w:lineRule="auto"/>
        <w:ind/>
        <w:jc w:val="center"/>
        <w:rPr>
          <w:rFonts w:ascii="Arial" w:hAnsi="Arial" w:cs="Arial"/>
          <w:b/>
          <w:szCs w:val="22"/>
        </w:rPr>
      </w:pPr>
      <w:r>
        <w:rPr>
          <w:rFonts w:ascii="Arial" w:hAnsi="Arial" w:cs="Arial"/>
          <w:b/>
          <w:szCs w:val="22"/>
        </w:rPr>
        <w:t xml:space="preserve">ROBERTO DORNER</w:t>
      </w:r>
      <w:r>
        <w:rPr>
          <w:rFonts w:ascii="Arial" w:hAnsi="Arial" w:cs="Arial"/>
          <w:b/>
          <w:szCs w:val="22"/>
        </w:rPr>
      </w:r>
      <w:r>
        <w:rPr>
          <w:rFonts w:ascii="Arial" w:hAnsi="Arial" w:cs="Arial"/>
          <w:b/>
          <w:szCs w:val="22"/>
        </w:rPr>
      </w:r>
    </w:p>
    <w:p w14:paraId="772D596F">
      <w:pPr>
        <w:pStyle w:val="1146"/>
        <w:pBdr/>
        <w:spacing w:line="360" w:lineRule="auto"/>
        <w:ind/>
        <w:jc w:val="center"/>
        <w:rPr>
          <w:rFonts w:ascii="Arial" w:hAnsi="Arial" w:cs="Arial"/>
          <w:b/>
          <w:szCs w:val="22"/>
        </w:rPr>
      </w:pPr>
      <w:r>
        <w:rPr>
          <w:rFonts w:ascii="Arial" w:hAnsi="Arial" w:cs="Arial"/>
          <w:b/>
          <w:szCs w:val="22"/>
        </w:rPr>
        <w:t xml:space="preserve">Prefeito Municipal </w:t>
      </w:r>
      <w:r>
        <w:rPr>
          <w:rFonts w:ascii="Arial" w:hAnsi="Arial" w:cs="Arial"/>
          <w:b/>
          <w:szCs w:val="22"/>
        </w:rPr>
      </w:r>
      <w:r>
        <w:rPr>
          <w:rFonts w:ascii="Arial" w:hAnsi="Arial" w:cs="Arial"/>
          <w:b/>
          <w:szCs w:val="22"/>
        </w:rPr>
      </w:r>
    </w:p>
    <w:p w14:paraId="79E51162">
      <w:pPr>
        <w:pStyle w:val="1146"/>
        <w:pBdr/>
        <w:spacing w:line="360"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14:paraId="21CCF881">
      <w:pPr>
        <w:pStyle w:val="1146"/>
        <w:pBdr/>
        <w:spacing w:line="360"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14:paraId="4F662608">
      <w:pPr>
        <w:pBdr/>
        <w:spacing w:line="360" w:lineRule="auto"/>
        <w:ind/>
        <w:jc w:val="center"/>
        <w:rPr>
          <w:rFonts w:ascii="Arial" w:hAnsi="Arial" w:cs="Arial"/>
          <w:b/>
          <w:sz w:val="22"/>
          <w:szCs w:val="22"/>
        </w:rPr>
      </w:pPr>
      <w:r>
        <w:rPr>
          <w:rFonts w:ascii="Arial" w:hAnsi="Arial" w:cs="Arial"/>
          <w:b/>
          <w:sz w:val="22"/>
          <w:szCs w:val="22"/>
        </w:rPr>
        <w:t xml:space="preserve">EMPRESA DETENTORA DO PREÇO REGISTRADO</w:t>
      </w:r>
      <w:r>
        <w:rPr>
          <w:rFonts w:ascii="Arial" w:hAnsi="Arial" w:cs="Arial"/>
          <w:b/>
          <w:sz w:val="22"/>
          <w:szCs w:val="22"/>
        </w:rPr>
      </w:r>
      <w:r>
        <w:rPr>
          <w:rFonts w:ascii="Arial" w:hAnsi="Arial" w:cs="Arial"/>
          <w:b/>
          <w:sz w:val="22"/>
          <w:szCs w:val="22"/>
        </w:rPr>
      </w:r>
    </w:p>
    <w:p w14:paraId="1CCDF173">
      <w:pPr>
        <w:pStyle w:val="1146"/>
        <w:pBdr/>
        <w:spacing w:line="360" w:lineRule="auto"/>
        <w:ind/>
        <w:jc w:val="center"/>
        <w:rPr>
          <w:rFonts w:ascii="Arial" w:hAnsi="Arial" w:cs="Arial"/>
          <w:b/>
          <w:szCs w:val="22"/>
        </w:rPr>
      </w:pPr>
      <w:r>
        <w:rPr>
          <w:rFonts w:ascii="Arial" w:hAnsi="Arial" w:cs="Arial"/>
          <w:b/>
          <w:szCs w:val="22"/>
        </w:rPr>
        <w:t xml:space="preserve">(Futura contratada)</w:t>
      </w:r>
      <w:r>
        <w:rPr>
          <w:rFonts w:ascii="Arial" w:hAnsi="Arial" w:cs="Arial"/>
          <w:b/>
          <w:szCs w:val="22"/>
        </w:rPr>
      </w:r>
      <w:r>
        <w:rPr>
          <w:rFonts w:ascii="Arial" w:hAnsi="Arial" w:cs="Arial"/>
          <w:b/>
          <w:szCs w:val="22"/>
        </w:rPr>
      </w:r>
    </w:p>
    <w:p w14:paraId="6535DC26">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3B221BC">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55C06AA8">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568784CE">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5F9926B9">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0DC03B09">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07A700AB">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2764935A">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0EE8265C">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5D0BD5E9">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3DC5EDDC">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77EE692E">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0F41CC8A">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5C869048">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6FF4C678">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12BE4D87">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p w14:paraId="3B84DB6F">
      <w:pPr>
        <w:pStyle w:val="857"/>
        <w:pBdr>
          <w:top w:val="single" w:color="000000" w:sz="4" w:space="0"/>
          <w:left w:val="single" w:color="000000" w:sz="4" w:space="3"/>
          <w:bottom w:val="single" w:color="000000" w:sz="4" w:space="0"/>
          <w:right w:val="single" w:color="000000" w:sz="4" w:space="3"/>
        </w:pBdr>
        <w:shd w:val="clear" w:color="auto" w:fill="d9d9d9"/>
        <w:spacing w:line="240" w:lineRule="auto"/>
        <w:ind/>
        <w:jc w:val="center"/>
        <w:rPr>
          <w:rFonts w:hint="default" w:ascii="Arial" w:hAnsi="Arial" w:cs="Arial"/>
          <w:bCs/>
          <w:color w:val="auto"/>
          <w:sz w:val="22"/>
          <w:szCs w:val="22"/>
          <w:u w:val="none"/>
          <w:lang w:val="pt-BR"/>
        </w:rPr>
      </w:pPr>
      <w:r>
        <w:rPr>
          <w:rFonts w:hint="default" w:ascii="Arial" w:hAnsi="Arial" w:cs="Arial"/>
          <w:bCs/>
          <w:color w:val="auto"/>
          <w:sz w:val="22"/>
          <w:szCs w:val="22"/>
          <w:u w:val="none"/>
          <w:lang w:val="pt-BR"/>
        </w:rPr>
      </w:r>
      <w:r>
        <w:rPr>
          <w:rFonts w:hint="default" w:ascii="Arial" w:hAnsi="Arial" w:cs="Arial"/>
          <w:bCs/>
          <w:color w:val="auto"/>
          <w:sz w:val="22"/>
          <w:szCs w:val="22"/>
          <w:u w:val="none"/>
          <w:lang w:val="pt-BR"/>
        </w:rPr>
      </w:r>
      <w:r>
        <w:rPr>
          <w:rFonts w:hint="default" w:ascii="Arial" w:hAnsi="Arial" w:cs="Arial"/>
          <w:bCs/>
          <w:color w:val="auto"/>
          <w:sz w:val="22"/>
          <w:szCs w:val="22"/>
          <w:u w:val="none"/>
          <w:lang w:val="pt-BR"/>
        </w:rPr>
      </w:r>
    </w:p>
    <w:p w14:paraId="74769A7C">
      <w:pPr>
        <w:pStyle w:val="857"/>
        <w:pBdr>
          <w:top w:val="single" w:color="000000" w:sz="4" w:space="0"/>
          <w:left w:val="single" w:color="000000" w:sz="4" w:space="3"/>
          <w:bottom w:val="single" w:color="000000" w:sz="4" w:space="0"/>
          <w:right w:val="single" w:color="000000" w:sz="4" w:space="3"/>
        </w:pBdr>
        <w:shd w:val="clear" w:color="auto" w:fill="d9d9d9"/>
        <w:spacing w:line="240" w:lineRule="auto"/>
        <w:ind/>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r>
        <w:rPr>
          <w:rFonts w:ascii="Arial" w:hAnsi="Arial" w:cs="Arial"/>
          <w:bCs/>
          <w:color w:val="auto"/>
          <w:sz w:val="22"/>
          <w:szCs w:val="22"/>
          <w:u w:val="none"/>
        </w:rPr>
      </w:r>
      <w:r>
        <w:rPr>
          <w:rFonts w:ascii="Arial" w:hAnsi="Arial" w:cs="Arial"/>
          <w:bCs/>
          <w:color w:val="auto"/>
          <w:sz w:val="22"/>
          <w:szCs w:val="22"/>
          <w:u w:val="none"/>
        </w:rPr>
      </w:r>
    </w:p>
    <w:p w14:paraId="66E85052">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224D1E61">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7E833674">
      <w:pPr>
        <w:widowControl w:val="false"/>
        <w:numPr>
          <w:ilvl w:val="1"/>
          <w:numId w:val="16"/>
        </w:numPr>
        <w:pBdr/>
        <w:spacing w:line="360" w:lineRule="auto"/>
        <w:ind w:right="-3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aceitaram cotar os itens com preços iguais ao adjudicatário:</w:t>
      </w:r>
      <w:r>
        <w:rPr>
          <w:rFonts w:hint="default" w:ascii="Arial" w:hAnsi="Arial" w:cs="Arial"/>
          <w:color w:val="auto"/>
          <w:sz w:val="22"/>
          <w:szCs w:val="22"/>
        </w:rPr>
      </w:r>
      <w:r>
        <w:rPr>
          <w:rFonts w:hint="default" w:ascii="Arial" w:hAnsi="Arial" w:cs="Arial"/>
          <w:color w:val="auto"/>
          <w:sz w:val="22"/>
          <w:szCs w:val="22"/>
        </w:rPr>
      </w:r>
    </w:p>
    <w:p w14:paraId="222BBCFD">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866"/>
        <w:tblInd w:w="-112" w:type="dxa"/>
        <w:tblW w:w="9270" w:type="dxa"/>
        <w:tblCellMar>
          <w:left w:w="10" w:type="dxa"/>
          <w:top w:w="0" w:type="dxa"/>
          <w:right w:w="1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1363"/>
        <w:gridCol w:w="1015"/>
        <w:gridCol w:w="1145"/>
        <w:gridCol w:w="1170"/>
        <w:gridCol w:w="1215"/>
        <w:gridCol w:w="960"/>
        <w:gridCol w:w="675"/>
        <w:gridCol w:w="900"/>
      </w:tblGrid>
      <w:tr>
        <w:trPr>
          <w:trHeight w:val="511"/>
        </w:trPr>
        <w:tc>
          <w:tcPr>
            <w:tcBorders/>
            <w:tcW w:w="827" w:type="dxa"/>
            <w:vAlign w:val="center"/>
            <w:noWrap w:val="false"/>
          </w:tcPr>
          <w:p w14:paraId="7ED98498">
            <w:pPr>
              <w:widowControl w:val="false"/>
              <w:pBdr/>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 xml:space="preserve">ITE</w:t>
            </w:r>
            <w:r>
              <w:rPr>
                <w:rFonts w:hint="default" w:ascii="Arial" w:hAnsi="Arial" w:cs="Arial"/>
                <w:b/>
                <w:bCs/>
                <w:i w:val="0"/>
                <w:iCs w:val="0"/>
                <w:sz w:val="22"/>
                <w:szCs w:val="22"/>
                <w:lang w:val="pt-BR"/>
              </w:rPr>
              <w:t xml:space="preserve">M</w:t>
            </w:r>
            <w:r>
              <w:rPr>
                <w:rFonts w:hint="default" w:ascii="Arial" w:hAnsi="Arial" w:cs="Arial"/>
                <w:b/>
                <w:bCs/>
                <w:i w:val="0"/>
                <w:iCs w:val="0"/>
                <w:sz w:val="22"/>
                <w:szCs w:val="22"/>
                <w:lang w:val="pt-BR"/>
              </w:rPr>
            </w:r>
            <w:r>
              <w:rPr>
                <w:rFonts w:hint="default" w:ascii="Arial" w:hAnsi="Arial" w:cs="Arial"/>
                <w:b/>
                <w:bCs/>
                <w:i w:val="0"/>
                <w:iCs w:val="0"/>
                <w:sz w:val="22"/>
                <w:szCs w:val="22"/>
                <w:lang w:val="pt-BR"/>
              </w:rPr>
            </w:r>
          </w:p>
          <w:p w14:paraId="6D554706">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443" w:type="dxa"/>
            <w:vAlign w:val="top"/>
            <w:noWrap w:val="false"/>
          </w:tcPr>
          <w:p w14:paraId="676018DA">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827" w:type="dxa"/>
            <w:vAlign w:val="center"/>
            <w:noWrap w:val="false"/>
          </w:tcPr>
          <w:p w14:paraId="4374B318">
            <w:pPr>
              <w:widowControl w:val="false"/>
              <w:pBdr/>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 xml:space="preserve">1</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1363" w:type="dxa"/>
            <w:vAlign w:val="top"/>
            <w:noWrap w:val="false"/>
          </w:tcPr>
          <w:p w14:paraId="0BD46B1D">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015" w:type="dxa"/>
            <w:vAlign w:val="top"/>
            <w:noWrap w:val="false"/>
          </w:tcPr>
          <w:p w14:paraId="32606571">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10123146">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45" w:type="dxa"/>
            <w:vAlign w:val="top"/>
            <w:noWrap w:val="false"/>
          </w:tcPr>
          <w:p w14:paraId="03C22FB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0360A5E1">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70" w:type="dxa"/>
            <w:vAlign w:val="top"/>
            <w:noWrap w:val="false"/>
          </w:tcPr>
          <w:p w14:paraId="05F41FA3">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5" w:type="dxa"/>
            <w:vAlign w:val="top"/>
            <w:noWrap w:val="false"/>
          </w:tcPr>
          <w:p w14:paraId="72F9882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1C631319">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960" w:type="dxa"/>
            <w:vAlign w:val="top"/>
            <w:noWrap w:val="false"/>
          </w:tcPr>
          <w:p w14:paraId="4E28262B">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675" w:type="dxa"/>
            <w:vAlign w:val="top"/>
            <w:noWrap w:val="false"/>
          </w:tcPr>
          <w:p w14:paraId="3EF2B320">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900" w:type="dxa"/>
            <w:vAlign w:val="top"/>
            <w:noWrap w:val="false"/>
          </w:tcPr>
          <w:p w14:paraId="2D2C87B4">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827" w:type="dxa"/>
            <w:vAlign w:val="top"/>
            <w:noWrap w:val="false"/>
          </w:tcPr>
          <w:p w14:paraId="0209A99A">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363" w:type="dxa"/>
            <w:vAlign w:val="top"/>
            <w:noWrap w:val="false"/>
          </w:tcPr>
          <w:p w14:paraId="007AF44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15" w:type="dxa"/>
            <w:vAlign w:val="top"/>
            <w:noWrap w:val="false"/>
          </w:tcPr>
          <w:p w14:paraId="2B7E0BE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45" w:type="dxa"/>
            <w:vAlign w:val="top"/>
            <w:noWrap w:val="false"/>
          </w:tcPr>
          <w:p w14:paraId="3D67487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70" w:type="dxa"/>
            <w:vAlign w:val="top"/>
            <w:noWrap w:val="false"/>
          </w:tcPr>
          <w:p w14:paraId="2269A7F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5" w:type="dxa"/>
            <w:vAlign w:val="top"/>
            <w:noWrap w:val="false"/>
          </w:tcPr>
          <w:p w14:paraId="243F287C">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960" w:type="dxa"/>
            <w:vAlign w:val="top"/>
            <w:noWrap w:val="false"/>
          </w:tcPr>
          <w:p w14:paraId="3FF58C3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675" w:type="dxa"/>
            <w:vAlign w:val="top"/>
            <w:noWrap w:val="false"/>
          </w:tcPr>
          <w:p w14:paraId="7CB0B25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900" w:type="dxa"/>
            <w:vAlign w:val="top"/>
            <w:noWrap w:val="false"/>
          </w:tcPr>
          <w:p w14:paraId="631A5DC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3C3C5041">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1471C296">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3BF3C527">
      <w:pPr>
        <w:widowControl w:val="false"/>
        <w:numPr>
          <w:ilvl w:val="1"/>
          <w:numId w:val="16"/>
        </w:numPr>
        <w:pBdr/>
        <w:spacing w:line="360" w:lineRule="auto"/>
        <w:ind w:right="-30" w:firstLine="0" w:left="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mantiveram sua proposta original:</w:t>
      </w:r>
      <w:r>
        <w:rPr>
          <w:rFonts w:hint="default" w:ascii="Arial" w:hAnsi="Arial" w:cs="Arial"/>
          <w:color w:val="auto"/>
          <w:sz w:val="22"/>
          <w:szCs w:val="22"/>
        </w:rPr>
      </w:r>
      <w:r>
        <w:rPr>
          <w:rFonts w:hint="default" w:ascii="Arial" w:hAnsi="Arial" w:cs="Arial"/>
          <w:color w:val="auto"/>
          <w:sz w:val="22"/>
          <w:szCs w:val="22"/>
        </w:rPr>
      </w:r>
    </w:p>
    <w:p w14:paraId="3E4D5423">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866"/>
        <w:tblInd w:w="-112" w:type="dxa"/>
        <w:tblW w:w="9315" w:type="dxa"/>
        <w:tblCellMar>
          <w:left w:w="10" w:type="dxa"/>
          <w:top w:w="0" w:type="dxa"/>
          <w:right w:w="1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8"/>
        <w:gridCol w:w="1404"/>
        <w:gridCol w:w="933"/>
        <w:gridCol w:w="1115"/>
        <w:gridCol w:w="1200"/>
        <w:gridCol w:w="1230"/>
        <w:gridCol w:w="975"/>
        <w:gridCol w:w="660"/>
        <w:gridCol w:w="930"/>
      </w:tblGrid>
      <w:tr>
        <w:trPr>
          <w:trHeight w:val="511"/>
        </w:trPr>
        <w:tc>
          <w:tcPr>
            <w:tcBorders/>
            <w:tcW w:w="868" w:type="dxa"/>
            <w:vAlign w:val="center"/>
            <w:noWrap w:val="false"/>
          </w:tcPr>
          <w:p w14:paraId="6C3E1A77">
            <w:pPr>
              <w:widowControl w:val="false"/>
              <w:pBdr/>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 xml:space="preserve">ITE</w:t>
            </w:r>
            <w:r>
              <w:rPr>
                <w:rFonts w:hint="default" w:ascii="Arial" w:hAnsi="Arial" w:cs="Arial"/>
                <w:b/>
                <w:bCs/>
                <w:i w:val="0"/>
                <w:iCs w:val="0"/>
                <w:sz w:val="22"/>
                <w:szCs w:val="22"/>
                <w:lang w:val="pt-BR"/>
              </w:rPr>
              <w:t xml:space="preserve">M</w:t>
            </w:r>
            <w:r>
              <w:rPr>
                <w:rFonts w:hint="default" w:ascii="Arial" w:hAnsi="Arial" w:cs="Arial"/>
                <w:b/>
                <w:bCs/>
                <w:i w:val="0"/>
                <w:iCs w:val="0"/>
                <w:sz w:val="22"/>
                <w:szCs w:val="22"/>
                <w:lang w:val="pt-BR"/>
              </w:rPr>
            </w:r>
            <w:r>
              <w:rPr>
                <w:rFonts w:hint="default" w:ascii="Arial" w:hAnsi="Arial" w:cs="Arial"/>
                <w:b/>
                <w:bCs/>
                <w:i w:val="0"/>
                <w:iCs w:val="0"/>
                <w:sz w:val="22"/>
                <w:szCs w:val="22"/>
                <w:lang w:val="pt-BR"/>
              </w:rPr>
            </w:r>
          </w:p>
          <w:p w14:paraId="0268B70F">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447" w:type="dxa"/>
            <w:vAlign w:val="top"/>
            <w:noWrap w:val="false"/>
          </w:tcPr>
          <w:p w14:paraId="6D93276A">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868" w:type="dxa"/>
            <w:vAlign w:val="center"/>
            <w:noWrap w:val="false"/>
          </w:tcPr>
          <w:p w14:paraId="0569D99D">
            <w:pPr>
              <w:widowControl w:val="false"/>
              <w:pBdr/>
              <w:spacing w:line="360" w:lineRule="auto"/>
              <w:ind w:right="-30"/>
              <w:jc w:val="center"/>
              <w:rPr>
                <w:rFonts w:ascii="Arial" w:hAnsi="Arial" w:cs="Arial"/>
                <w:i w:val="0"/>
                <w:iCs w:val="0"/>
                <w:sz w:val="22"/>
                <w:szCs w:val="22"/>
              </w:rPr>
            </w:pPr>
            <w:r>
              <w:rPr>
                <w:rFonts w:hint="default" w:ascii="Arial" w:hAnsi="Arial" w:cs="Arial"/>
                <w:i w:val="0"/>
                <w:iCs w:val="0"/>
                <w:sz w:val="22"/>
                <w:szCs w:val="22"/>
                <w:lang w:val="pt-BR"/>
              </w:rPr>
              <w:t xml:space="preserve">1</w:t>
            </w:r>
            <w:r>
              <w:rPr>
                <w:rFonts w:ascii="Arial" w:hAnsi="Arial" w:cs="Arial"/>
                <w:i w:val="0"/>
                <w:iCs w:val="0"/>
                <w:sz w:val="22"/>
                <w:szCs w:val="22"/>
              </w:rPr>
            </w:r>
            <w:r>
              <w:rPr>
                <w:rFonts w:ascii="Arial" w:hAnsi="Arial" w:cs="Arial"/>
                <w:i w:val="0"/>
                <w:iCs w:val="0"/>
                <w:sz w:val="22"/>
                <w:szCs w:val="22"/>
              </w:rPr>
            </w:r>
          </w:p>
        </w:tc>
        <w:tc>
          <w:tcPr>
            <w:tcBorders/>
            <w:tcW w:w="1404" w:type="dxa"/>
            <w:vAlign w:val="top"/>
            <w:noWrap w:val="false"/>
          </w:tcPr>
          <w:p w14:paraId="67D53A57">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933" w:type="dxa"/>
            <w:vAlign w:val="top"/>
            <w:noWrap w:val="false"/>
          </w:tcPr>
          <w:p w14:paraId="3879430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538B3A6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15" w:type="dxa"/>
            <w:vAlign w:val="top"/>
            <w:noWrap w:val="false"/>
          </w:tcPr>
          <w:p w14:paraId="33C68874">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75EB853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00" w:type="dxa"/>
            <w:vAlign w:val="top"/>
            <w:noWrap w:val="false"/>
          </w:tcPr>
          <w:p w14:paraId="0E8C751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30" w:type="dxa"/>
            <w:vAlign w:val="top"/>
            <w:noWrap w:val="false"/>
          </w:tcPr>
          <w:p w14:paraId="17E09576">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57A2D7C4">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975" w:type="dxa"/>
            <w:vAlign w:val="top"/>
            <w:noWrap w:val="false"/>
          </w:tcPr>
          <w:p w14:paraId="6E86956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660" w:type="dxa"/>
            <w:vAlign w:val="top"/>
            <w:noWrap w:val="false"/>
          </w:tcPr>
          <w:p w14:paraId="45A0BF87">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930" w:type="dxa"/>
            <w:vAlign w:val="top"/>
            <w:noWrap w:val="false"/>
          </w:tcPr>
          <w:p w14:paraId="1511544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868" w:type="dxa"/>
            <w:vAlign w:val="top"/>
            <w:noWrap w:val="false"/>
          </w:tcPr>
          <w:p w14:paraId="3C985717">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04" w:type="dxa"/>
            <w:vAlign w:val="top"/>
            <w:noWrap w:val="false"/>
          </w:tcPr>
          <w:p w14:paraId="22750EA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933" w:type="dxa"/>
            <w:vAlign w:val="top"/>
            <w:noWrap w:val="false"/>
          </w:tcPr>
          <w:p w14:paraId="338494B6">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15" w:type="dxa"/>
            <w:vAlign w:val="top"/>
            <w:noWrap w:val="false"/>
          </w:tcPr>
          <w:p w14:paraId="2C45564D">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00" w:type="dxa"/>
            <w:vAlign w:val="top"/>
            <w:noWrap w:val="false"/>
          </w:tcPr>
          <w:p w14:paraId="5E611FC3">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30" w:type="dxa"/>
            <w:vAlign w:val="top"/>
            <w:noWrap w:val="false"/>
          </w:tcPr>
          <w:p w14:paraId="3D5360F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975" w:type="dxa"/>
            <w:vAlign w:val="top"/>
            <w:noWrap w:val="false"/>
          </w:tcPr>
          <w:p w14:paraId="2BAA49B7">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660" w:type="dxa"/>
            <w:vAlign w:val="top"/>
            <w:noWrap w:val="false"/>
          </w:tcPr>
          <w:p w14:paraId="19F5D212">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930" w:type="dxa"/>
            <w:vAlign w:val="top"/>
            <w:noWrap w:val="false"/>
          </w:tcPr>
          <w:p w14:paraId="0CC86E83">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1881CB81">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265CCD64">
      <w:pPr>
        <w:pBdr/>
        <w:spacing w:line="360" w:lineRule="auto"/>
        <w:ind/>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19FAF32B">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1A022B3">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6D5F577">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C511303">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901F2B5">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A467846">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3B49BE0">
      <w:pPr>
        <w:pBdr/>
        <w:spacing/>
        <w:ind/>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sectPr>
      <w:headerReference w:type="default" r:id="rId9"/>
      <w:footerReference w:type="default" r:id="rId10"/>
      <w:footerReference w:type="even" r:id="rId11"/>
      <w:footnotePr/>
      <w:endnotePr/>
      <w:type w:val="nextPage"/>
      <w:pgSz w:h="16840" w:orient="portrait" w:w="11907"/>
      <w:pgMar w:top="1951" w:right="1275" w:bottom="1283" w:left="1658" w:header="180" w:footer="149"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Wingdings">
    <w:panose1 w:val="05000000000000000000"/>
  </w:font>
  <w:font w:name="Lohit Hindi">
    <w:panose1 w:val="05040102010807070707"/>
  </w:font>
  <w:font w:name="Ecofont_Spranq_eco_Sans">
    <w:panose1 w:val="05040102010807070707"/>
  </w:font>
  <w:font w:name="Calibri">
    <w:panose1 w:val="020F0502020204030204"/>
  </w:font>
  <w:font w:name="SimSun">
    <w:panose1 w:val="02010600030101010101"/>
  </w:font>
  <w:font w:name="WenQuanYi Micro Hei">
    <w:panose1 w:val="05040102010807070707"/>
  </w:font>
  <w:font w:name="Verdana">
    <w:panose1 w:val="020B0604030504040204"/>
  </w:font>
  <w:font w:name="Tahoma">
    <w:panose1 w:val="020B0604030504040204"/>
  </w:font>
  <w:font w:name="Arial Unicode MS">
    <w:panose1 w:val="020B0604020202020204"/>
  </w:font>
  <w:font w:name="Arial">
    <w:panose1 w:val="020B0604020202020204"/>
  </w:font>
  <w:font w:name="TimesNewRomanPS-BoldMT">
    <w:panose1 w:val="020206030504050203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3070291">
    <w:pPr>
      <w:pStyle w:val="889"/>
      <w:framePr w:hAnchor="margin" w:vAnchor="text" w:wrap="around" w:xAlign="right" w:y="1"/>
      <w:pBdr/>
      <w:spacing/>
      <w:ind/>
      <w:rPr>
        <w:rStyle w:val="873"/>
      </w:rPr>
    </w:pPr>
    <w:r>
      <w:rPr>
        <w:rStyle w:val="873"/>
      </w:rPr>
      <w:fldChar w:fldCharType="begin"/>
    </w:r>
    <w:r>
      <w:rPr>
        <w:rStyle w:val="873"/>
      </w:rPr>
      <w:instrText xml:space="preserve">PAGE  </w:instrText>
    </w:r>
    <w:r>
      <w:rPr>
        <w:rStyle w:val="873"/>
      </w:rPr>
      <w:fldChar w:fldCharType="separate"/>
    </w:r>
    <w:r>
      <w:rPr>
        <w:rStyle w:val="873"/>
      </w:rPr>
      <w:t xml:space="preserve">59</w:t>
    </w:r>
    <w:r>
      <w:rPr>
        <w:rStyle w:val="873"/>
      </w:rPr>
      <w:fldChar w:fldCharType="end"/>
    </w:r>
    <w:r>
      <w:rPr>
        <w:rStyle w:val="873"/>
      </w:rPr>
    </w:r>
    <w:r>
      <w:rPr>
        <w:rStyle w:val="873"/>
      </w:rPr>
    </w:r>
  </w:p>
  <w:p w14:paraId="7EFA6032">
    <w:pPr>
      <w:pStyle w:val="1155"/>
      <w:pBdr/>
      <w:spacing/>
      <w:ind/>
      <w:jc w:val="center"/>
      <w:rPr>
        <w:b/>
      </w:rPr>
    </w:pPr>
    <w:r>
      <w:rPr>
        <w:b/>
      </w:rPr>
    </w:r>
    <w:r>
      <w:rPr>
        <w:b/>
      </w:rPr>
    </w:r>
    <w:r>
      <w:rPr>
        <w:b/>
      </w:rPr>
    </w:r>
  </w:p>
  <w:p w14:paraId="6649511A">
    <w:pPr>
      <w:pStyle w:val="1155"/>
      <w:pBdr/>
      <w:spacing/>
      <w:ind/>
      <w:jc w:val="center"/>
      <w:rPr>
        <w:b/>
      </w:rPr>
    </w:pPr>
    <w:r>
      <w:rPr>
        <w:b/>
      </w:rPr>
      <w:t xml:space="preserve">Av. das Embaúbas, nº 1386, Setor Comercial, Sinop/MT, CEP 78550-206, Caixa Postal 500</w:t>
    </w:r>
    <w:r>
      <w:rPr>
        <w:b/>
      </w:rPr>
    </w:r>
    <w:r>
      <w:rPr>
        <w:b/>
      </w:rPr>
    </w:r>
  </w:p>
  <w:p w14:paraId="25B944DD">
    <w:pPr>
      <w:pStyle w:val="1155"/>
      <w:pBdr/>
      <w:spacing/>
      <w:ind/>
      <w:jc w:val="center"/>
      <w:rPr>
        <w:b/>
      </w:rPr>
    </w:pPr>
    <w:r>
      <w:rPr>
        <w:b/>
      </w:rPr>
      <w:t xml:space="preserve">Telefones: (066)3517-5298/3520-7272/3520-7523/3520-7267</w:t>
    </w:r>
    <w:r>
      <w:rPr>
        <w:b/>
      </w:rPr>
    </w:r>
    <w:r>
      <w:rPr>
        <w:b/>
      </w:rPr>
    </w:r>
  </w:p>
  <w:p w14:paraId="4F9393C6">
    <w:pPr>
      <w:pStyle w:val="1155"/>
      <w:pBdr/>
      <w:spacing/>
      <w:ind/>
      <w:jc w:val="center"/>
      <w:rPr/>
    </w:pPr>
    <w:r>
      <w:rPr>
        <w:b/>
      </w:rPr>
      <w:t xml:space="preserve">E-mail: </w:t>
    </w:r>
    <w:r>
      <w:fldChar w:fldCharType="begin"/>
    </w:r>
    <w:r>
      <w:instrText xml:space="preserve"> HYPERLINK "mailto:licitacao@sinop.mt.gov.br" </w:instrText>
    </w:r>
    <w:r>
      <w:fldChar w:fldCharType="separate"/>
    </w:r>
    <w:r>
      <w:rPr>
        <w:rStyle w:val="872"/>
        <w:rFonts w:ascii="Arial" w:hAnsi="Arial" w:eastAsia="Calibri" w:cs="Arial"/>
        <w:b/>
        <w:sz w:val="20"/>
        <w:szCs w:val="20"/>
      </w:rPr>
      <w:t xml:space="preserve">licitacao@sinop.mt.gov.br</w:t>
    </w:r>
    <w:r>
      <w:rPr>
        <w:rStyle w:val="872"/>
        <w:rFonts w:ascii="Arial" w:hAnsi="Arial" w:eastAsia="Calibri" w:cs="Arial"/>
        <w:b/>
        <w:sz w:val="20"/>
        <w:szCs w:val="20"/>
      </w:rPr>
      <w:fldChar w:fldCharType="end"/>
    </w:r>
    <w:r/>
  </w:p>
  <w:p w14:paraId="6B98E353">
    <w:pPr>
      <w:pStyle w:val="1155"/>
      <w:pBdr/>
      <w:spacing/>
      <w:ind/>
      <w:jc w:val="center"/>
      <w:rPr>
        <w:b/>
      </w:rPr>
    </w:pPr>
    <w:r>
      <w:rPr>
        <w:b/>
      </w:rPr>
    </w:r>
    <w:r>
      <w:rPr>
        <w:b/>
      </w:rPr>
    </w:r>
    <w:r>
      <w:rPr>
        <w:b/>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5FAA500">
    <w:pPr>
      <w:pStyle w:val="889"/>
      <w:framePr w:hAnchor="margin" w:vAnchor="text" w:wrap="around" w:xAlign="right" w:y="1"/>
      <w:pBdr/>
      <w:spacing/>
      <w:ind/>
      <w:rPr>
        <w:rStyle w:val="873"/>
      </w:rPr>
    </w:pPr>
    <w:r>
      <w:rPr>
        <w:rStyle w:val="873"/>
      </w:rPr>
      <w:fldChar w:fldCharType="begin"/>
    </w:r>
    <w:r>
      <w:rPr>
        <w:rStyle w:val="873"/>
      </w:rPr>
      <w:instrText xml:space="preserve">PAGE  </w:instrText>
    </w:r>
    <w:r>
      <w:rPr>
        <w:rStyle w:val="873"/>
      </w:rPr>
      <w:fldChar w:fldCharType="end"/>
    </w:r>
    <w:r>
      <w:rPr>
        <w:rStyle w:val="873"/>
      </w:rPr>
    </w:r>
    <w:r>
      <w:rPr>
        <w:rStyle w:val="873"/>
      </w:rPr>
    </w:r>
  </w:p>
  <w:p w14:paraId="3B98C153">
    <w:pPr>
      <w:pStyle w:val="889"/>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FDD535A">
    <w:pPr>
      <w:pStyle w:val="888"/>
      <w:pBdr/>
      <w:spacing/>
      <w:ind/>
      <w:jc w:val="center"/>
      <w:rPr/>
    </w:pPr>
    <w:r/>
    <w:r/>
  </w:p>
  <w:p w14:paraId="38D354A0">
    <w:pPr>
      <w:pStyle w:val="888"/>
      <w:pBdr/>
      <w:spacing/>
      <w:ind/>
      <w:jc w:val="center"/>
      <w:rPr/>
    </w:pPr>
    <w:r>
      <mc:AlternateContent>
        <mc:Choice Requires="wpg">
          <w:drawing>
            <wp:inline xmlns:wp="http://schemas.openxmlformats.org/drawingml/2006/wordprocessingDrawing" distT="0" distB="0" distL="0" distR="0">
              <wp:extent cx="886460" cy="800735"/>
              <wp:effectExtent l="0" t="0" r="8890" b="1841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r/>
                    </pic:nvPicPr>
                    <pic:blipFill rotWithShape="1">
                      <a:blip r:embed="rId1"/>
                      <a:stretch/>
                    </pic:blipFill>
                    <pic:spPr bwMode="auto">
                      <a:xfrm>
                        <a:off x="0" y="0"/>
                        <a:ext cx="886460" cy="80073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69.80pt;height:63.05pt;mso-wrap-distance-left:0.00pt;mso-wrap-distance-top:0.00pt;mso-wrap-distance-right:0.00pt;mso-wrap-distance-bottom:0.00pt;z-index:1;" stroked="f">
              <v:imagedata r:id="rId1"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5067935</wp:posOffset>
              </wp:positionH>
              <wp:positionV relativeFrom="margin">
                <wp:posOffset>-1009650</wp:posOffset>
              </wp:positionV>
              <wp:extent cx="1083310" cy="922020"/>
              <wp:effectExtent l="0" t="0" r="2540" b="11430"/>
              <wp:wrapNone/>
              <wp:docPr id="2" name="WordPictureWatermark21446"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21446" descr="teste3"/>
                      <pic:cNvPicPr>
                        <a:picLocks noChangeAspect="1"/>
                      </pic:cNvPicPr>
                      <pic:nvPr/>
                    </pic:nvPicPr>
                    <pic:blipFill rotWithShape="1">
                      <a:blip r:embed="rId2"/>
                      <a:stretch/>
                    </pic:blipFill>
                    <pic:spPr bwMode="auto">
                      <a:xfrm>
                        <a:off x="0" y="0"/>
                        <a:ext cx="1083310" cy="9220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446" o:spid="_x0000_s1" type="#_x0000_t75" style="position:absolute;z-index:-251662336;o:allowoverlap:true;o:allowincell:true;mso-position-horizontal-relative:margin;margin-left:399.05pt;mso-position-horizontal:absolute;mso-position-vertical-relative:margin;margin-top:-79.50pt;mso-position-vertical:absolute;width:85.30pt;height:72.60pt;mso-wrap-distance-left:9.00pt;mso-wrap-distance-top:0.00pt;mso-wrap-distance-right:9.00pt;mso-wrap-distance-bottom:0.00pt;z-index:1;" stroked="false">
              <v:imagedata r:id="rId2" o:title=""/>
              <o:lock v:ext="edit" rotation="t"/>
            </v:shape>
          </w:pict>
        </mc:Fallback>
      </mc:AlternateContent>
    </w:r>
    <w:r/>
  </w:p>
  <w:p w14:paraId="1E62600F">
    <w:pPr>
      <w:pStyle w:val="888"/>
      <w:pBdr/>
      <w:spacing/>
      <w:ind/>
      <w:jc w:val="center"/>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6684A22"/>
    <w:lvl w:ilvl="0">
      <w:isLgl w:val="false"/>
      <w:lvlJc w:val="left"/>
      <w:lvlText w:val="%1."/>
      <w:numFmt w:val="upperRoman"/>
      <w:pPr>
        <w:pBdr/>
        <w:tabs>
          <w:tab w:val="left" w:leader="none" w:pos="425"/>
        </w:tabs>
        <w:spacing/>
        <w:ind w:hanging="425" w:left="425"/>
      </w:pPr>
      <w:rPr>
        <w:rFonts w:hint="default"/>
        <w:b w:val="0"/>
        <w:bCs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C886ADEC"/>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Arial" w:hAnsi="Arial" w:cs="Arial"/>
        <w:b/>
        <w:bCs/>
        <w:sz w:val="22"/>
        <w:szCs w:val="22"/>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2">
    <w:nsid w:val="D9DE0074"/>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052937E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4">
    <w:nsid w:val="09101A4D"/>
    <w:lvl w:ilvl="0">
      <w:isLgl w:val="false"/>
      <w:lvlJc w:val="left"/>
      <w:lvlText w:val="%1)"/>
      <w:numFmt w:val="lowerLetter"/>
      <w:pPr>
        <w:pBdr/>
        <w:tabs>
          <w:tab w:val="left" w:leader="none" w:pos="0"/>
        </w:tabs>
        <w:spacing/>
        <w:ind w:hanging="360" w:left="720"/>
      </w:pPr>
      <w:rPr>
        <w:rFonts w:hint="default" w:ascii="Arial" w:hAnsi="Arial" w:cs="Arial"/>
        <w:b/>
        <w:bCs/>
        <w:sz w:val="22"/>
        <w:szCs w:val="22"/>
      </w:rPr>
      <w:start w:val="1"/>
      <w:suff w:val="tab"/>
    </w:lvl>
    <w:lvl w:ilvl="1">
      <w:isLgl w:val="false"/>
      <w:lvlJc w:val="left"/>
      <w:lvlText w:val="%2."/>
      <w:numFmt w:val="lowerLetter"/>
      <w:pPr>
        <w:pBdr/>
        <w:tabs>
          <w:tab w:val="left" w:leader="none" w:pos="0"/>
        </w:tabs>
        <w:spacing/>
        <w:ind w:hanging="360" w:left="1440"/>
      </w:pPr>
      <w:rPr/>
      <w:start w:val="1"/>
      <w:suff w:val="tab"/>
    </w:lvl>
    <w:lvl w:ilvl="2">
      <w:isLgl w:val="false"/>
      <w:lvlJc w:val="right"/>
      <w:lvlText w:val="%3."/>
      <w:numFmt w:val="lowerRoman"/>
      <w:pPr>
        <w:pBdr/>
        <w:tabs>
          <w:tab w:val="left" w:leader="none" w:pos="0"/>
        </w:tabs>
        <w:spacing/>
        <w:ind w:hanging="180" w:left="2160"/>
      </w:pPr>
      <w:rPr/>
      <w:start w:val="1"/>
      <w:suff w:val="tab"/>
    </w:lvl>
    <w:lvl w:ilvl="3">
      <w:isLgl w:val="false"/>
      <w:lvlJc w:val="left"/>
      <w:lvlText w:val="%4."/>
      <w:numFmt w:val="decimal"/>
      <w:pPr>
        <w:pBdr/>
        <w:tabs>
          <w:tab w:val="left" w:leader="none" w:pos="0"/>
        </w:tabs>
        <w:spacing/>
        <w:ind w:hanging="360" w:left="2880"/>
      </w:pPr>
      <w:rPr/>
      <w:start w:val="1"/>
      <w:suff w:val="tab"/>
    </w:lvl>
    <w:lvl w:ilvl="4">
      <w:isLgl w:val="false"/>
      <w:lvlJc w:val="left"/>
      <w:lvlText w:val="%5."/>
      <w:numFmt w:val="lowerLetter"/>
      <w:pPr>
        <w:pBdr/>
        <w:tabs>
          <w:tab w:val="left" w:leader="none" w:pos="0"/>
        </w:tabs>
        <w:spacing/>
        <w:ind w:hanging="360" w:left="3600"/>
      </w:pPr>
      <w:rPr/>
      <w:start w:val="1"/>
      <w:suff w:val="tab"/>
    </w:lvl>
    <w:lvl w:ilvl="5">
      <w:isLgl w:val="false"/>
      <w:lvlJc w:val="right"/>
      <w:lvlText w:val="%6."/>
      <w:numFmt w:val="lowerRoman"/>
      <w:pPr>
        <w:pBdr/>
        <w:tabs>
          <w:tab w:val="left" w:leader="none" w:pos="0"/>
        </w:tabs>
        <w:spacing/>
        <w:ind w:hanging="180" w:left="4320"/>
      </w:pPr>
      <w:rPr/>
      <w:start w:val="1"/>
      <w:suff w:val="tab"/>
    </w:lvl>
    <w:lvl w:ilvl="6">
      <w:isLgl w:val="false"/>
      <w:lvlJc w:val="left"/>
      <w:lvlText w:val="%7."/>
      <w:numFmt w:val="decimal"/>
      <w:pPr>
        <w:pBdr/>
        <w:tabs>
          <w:tab w:val="left" w:leader="none" w:pos="0"/>
        </w:tabs>
        <w:spacing/>
        <w:ind w:hanging="360" w:left="5040"/>
      </w:pPr>
      <w:rPr/>
      <w:start w:val="1"/>
      <w:suff w:val="tab"/>
    </w:lvl>
    <w:lvl w:ilvl="7">
      <w:isLgl w:val="false"/>
      <w:lvlJc w:val="left"/>
      <w:lvlText w:val="%8."/>
      <w:numFmt w:val="lowerLetter"/>
      <w:pPr>
        <w:pBdr/>
        <w:tabs>
          <w:tab w:val="left" w:leader="none" w:pos="0"/>
        </w:tabs>
        <w:spacing/>
        <w:ind w:hanging="360" w:left="5760"/>
      </w:pPr>
      <w:rPr/>
      <w:start w:val="1"/>
      <w:suff w:val="tab"/>
    </w:lvl>
    <w:lvl w:ilvl="8">
      <w:isLgl w:val="false"/>
      <w:lvlJc w:val="right"/>
      <w:lvlText w:val="%9."/>
      <w:numFmt w:val="lowerRoman"/>
      <w:pPr>
        <w:pBdr/>
        <w:tabs>
          <w:tab w:val="left" w:leader="none" w:pos="0"/>
        </w:tabs>
        <w:spacing/>
        <w:ind w:hanging="180" w:left="6480"/>
      </w:pPr>
      <w:rPr/>
      <w:start w:val="1"/>
      <w:suff w:val="tab"/>
    </w:lvl>
  </w:abstractNum>
  <w:abstractNum w:abstractNumId="5">
    <w:nsid w:val="0CAC4764"/>
    <w:lvl w:ilvl="0">
      <w:isLgl w:val="false"/>
      <w:lvlJc w:val="left"/>
      <w:lvlText w:val="%1)"/>
      <w:numFmt w:val="lowerLetter"/>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1BD024ED"/>
    <w:lvl w:ilvl="0">
      <w:isLgl w:val="false"/>
      <w:lvlJc w:val="left"/>
      <w:lvlText w:val="%1."/>
      <w:numFmt w:val="decimal"/>
      <w:pPr>
        <w:pBdr/>
        <w:spacing/>
        <w:ind w:hanging="360" w:left="1080"/>
      </w:pPr>
      <w:rPr>
        <w:rFonts w:hint="default"/>
        <w:b/>
        <w:color w:val="auto"/>
        <w:sz w:val="22"/>
        <w:szCs w:val="22"/>
      </w:rPr>
      <w:start w:val="8"/>
      <w:suff w:val="tab"/>
    </w:lvl>
    <w:lvl w:ilvl="1">
      <w:isLgl w:val="true"/>
      <w:lvlJc w:val="left"/>
      <w:lvlText w:val="%1.%2"/>
      <w:numFmt w:val="decimal"/>
      <w:pPr>
        <w:pBdr/>
        <w:spacing/>
        <w:ind w:hanging="480" w:left="1200"/>
      </w:pPr>
      <w:rPr>
        <w:rFonts w:hint="default"/>
        <w:b/>
      </w:rPr>
      <w:start w:val="5"/>
      <w:suff w:val="tab"/>
    </w:lvl>
    <w:lvl w:ilvl="2">
      <w:isLgl w:val="true"/>
      <w:lvlJc w:val="left"/>
      <w:lvlText w:val="%1.%2.%3"/>
      <w:numFmt w:val="decimal"/>
      <w:pPr>
        <w:pBdr/>
        <w:spacing/>
        <w:ind w:hanging="720" w:left="1440"/>
      </w:pPr>
      <w:rPr>
        <w:rFonts w:hint="default"/>
        <w:b/>
      </w:rPr>
      <w:start w:val="2"/>
      <w:suff w:val="tab"/>
    </w:lvl>
    <w:lvl w:ilvl="3">
      <w:isLgl w:val="true"/>
      <w:lvlJc w:val="left"/>
      <w:lvlText w:val="%1.%2.%3.%4"/>
      <w:numFmt w:val="decimal"/>
      <w:pPr>
        <w:pBdr/>
        <w:spacing/>
        <w:ind w:hanging="720" w:left="1440"/>
      </w:pPr>
      <w:rPr>
        <w:rFonts w:hint="default"/>
        <w:b w:val="0"/>
      </w:rPr>
      <w:start w:val="1"/>
      <w:suff w:val="tab"/>
    </w:lvl>
    <w:lvl w:ilvl="4">
      <w:isLgl w:val="true"/>
      <w:lvlJc w:val="left"/>
      <w:lvlText w:val="%1.%2.%3.%4.%5"/>
      <w:numFmt w:val="decimal"/>
      <w:pPr>
        <w:pBdr/>
        <w:spacing/>
        <w:ind w:hanging="1080" w:left="1800"/>
      </w:pPr>
      <w:rPr>
        <w:rFonts w:hint="default"/>
        <w:b w:val="0"/>
      </w:rPr>
      <w:start w:val="1"/>
      <w:suff w:val="tab"/>
    </w:lvl>
    <w:lvl w:ilvl="5">
      <w:isLgl w:val="true"/>
      <w:lvlJc w:val="left"/>
      <w:lvlText w:val="%1.%2.%3.%4.%5.%6"/>
      <w:numFmt w:val="decimal"/>
      <w:pPr>
        <w:pBdr/>
        <w:spacing/>
        <w:ind w:hanging="1080" w:left="1800"/>
      </w:pPr>
      <w:rPr>
        <w:rFonts w:hint="default"/>
        <w:b w:val="0"/>
      </w:rPr>
      <w:start w:val="1"/>
      <w:suff w:val="tab"/>
    </w:lvl>
    <w:lvl w:ilvl="6">
      <w:isLgl w:val="true"/>
      <w:lvlJc w:val="left"/>
      <w:lvlText w:val="%1.%2.%3.%4.%5.%6.%7"/>
      <w:numFmt w:val="decimal"/>
      <w:pPr>
        <w:pBdr/>
        <w:spacing/>
        <w:ind w:hanging="1440" w:left="2160"/>
      </w:pPr>
      <w:rPr>
        <w:rFonts w:hint="default"/>
        <w:b w:val="0"/>
      </w:rPr>
      <w:start w:val="1"/>
      <w:suff w:val="tab"/>
    </w:lvl>
    <w:lvl w:ilvl="7">
      <w:isLgl w:val="true"/>
      <w:lvlJc w:val="left"/>
      <w:lvlText w:val="%1.%2.%3.%4.%5.%6.%7.%8"/>
      <w:numFmt w:val="decimal"/>
      <w:pPr>
        <w:pBdr/>
        <w:spacing/>
        <w:ind w:hanging="1440" w:left="2160"/>
      </w:pPr>
      <w:rPr>
        <w:rFonts w:hint="default"/>
        <w:b w:val="0"/>
      </w:rPr>
      <w:start w:val="1"/>
      <w:suff w:val="tab"/>
    </w:lvl>
    <w:lvl w:ilvl="8">
      <w:isLgl w:val="true"/>
      <w:lvlJc w:val="left"/>
      <w:lvlText w:val="%1.%2.%3.%4.%5.%6.%7.%8.%9"/>
      <w:numFmt w:val="decimal"/>
      <w:pPr>
        <w:pBdr/>
        <w:spacing/>
        <w:ind w:hanging="1800" w:left="2520"/>
      </w:pPr>
      <w:rPr>
        <w:rFonts w:hint="default"/>
        <w:b w:val="0"/>
      </w:rPr>
      <w:start w:val="1"/>
      <w:suff w:val="tab"/>
    </w:lvl>
  </w:abstractNum>
  <w:abstractNum w:abstractNumId="7">
    <w:nsid w:val="1D5C100D"/>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999"/>
      </w:pPr>
      <w:pStyle w:val="1160"/>
      <w:rPr>
        <w:rFonts w:hint="default" w:ascii="Arial" w:hAnsi="Arial" w:cs="Arial"/>
        <w:b/>
        <w:bCs/>
        <w:i w:val="0"/>
        <w:strike w:val="0"/>
        <w:color w:val="auto"/>
        <w:sz w:val="22"/>
        <w:szCs w:val="22"/>
        <w:highlight w:val="white"/>
        <w:u w:val="none"/>
      </w:rPr>
      <w:start w:val="1"/>
      <w:suff w:val="tab"/>
    </w:lvl>
    <w:lvl w:ilvl="2">
      <w:isLgl w:val="false"/>
      <w:lvlJc w:val="left"/>
      <w:lvlText w:val="%1.%2.%3."/>
      <w:numFmt w:val="decimal"/>
      <w:pPr>
        <w:pBdr/>
        <w:spacing/>
        <w:ind w:hanging="504" w:left="1550"/>
      </w:pPr>
      <w:pStyle w:val="1159"/>
      <w:rPr>
        <w:rFonts w:hint="default" w:ascii="Arial" w:hAnsi="Arial"/>
        <w:b/>
        <w:bCs/>
        <w:i w:val="0"/>
        <w:strike w:val="0"/>
        <w:color w:val="auto"/>
        <w:sz w:val="20"/>
        <w:szCs w:val="20"/>
      </w:rPr>
      <w:start w:val="1"/>
      <w:suff w:val="tab"/>
    </w:lvl>
    <w:lvl w:ilvl="3">
      <w:isLgl w:val="false"/>
      <w:lvlJc w:val="left"/>
      <w:lvlText w:val="%1.%2.%3.%4."/>
      <w:numFmt w:val="decimal"/>
      <w:pPr>
        <w:pBdr/>
        <w:spacing/>
        <w:ind w:hanging="648" w:left="2404"/>
      </w:pPr>
      <w:pStyle w:val="1168"/>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8">
    <w:nsid w:val="1F7E555B"/>
    <w:lvl w:ilvl="0">
      <w:isLgl w:val="false"/>
      <w:lvlJc w:val="left"/>
      <w:lvlText w:val="%1."/>
      <w:numFmt w:val="decimal"/>
      <w:pPr>
        <w:pBdr/>
        <w:spacing/>
        <w:ind w:hanging="540" w:left="540"/>
      </w:pPr>
      <w:rPr>
        <w:rFonts w:hint="default"/>
      </w:rPr>
      <w:start w:val="3"/>
      <w:suff w:val="tab"/>
    </w:lvl>
    <w:lvl w:ilvl="1">
      <w:isLgl w:val="false"/>
      <w:lvlJc w:val="left"/>
      <w:lvlText w:val="%1.%2."/>
      <w:numFmt w:val="decimal"/>
      <w:pPr>
        <w:pBdr/>
        <w:spacing/>
        <w:ind w:hanging="720" w:left="862"/>
      </w:pPr>
      <w:rPr>
        <w:rFonts w:hint="default"/>
        <w:b/>
      </w:rPr>
      <w:start w:val="2"/>
      <w:suff w:val="tab"/>
    </w:lvl>
    <w:lvl w:ilvl="2">
      <w:isLgl w:val="false"/>
      <w:lvlJc w:val="left"/>
      <w:lvlText w:val="%1.%2.%3."/>
      <w:numFmt w:val="decimal"/>
      <w:pPr>
        <w:pBdr/>
        <w:spacing/>
        <w:ind w:hanging="720" w:left="1286"/>
      </w:pPr>
      <w:rPr>
        <w:rFonts w:hint="default"/>
        <w:b/>
      </w:rPr>
      <w:start w:val="7"/>
      <w:suff w:val="tab"/>
    </w:lvl>
    <w:lvl w:ilvl="3">
      <w:isLgl w:val="false"/>
      <w:lvlJc w:val="left"/>
      <w:lvlText w:val="%1.%2.%3.%4."/>
      <w:numFmt w:val="decimal"/>
      <w:pPr>
        <w:pBdr/>
        <w:spacing/>
        <w:ind w:hanging="1080" w:left="192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440" w:left="285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800" w:left="378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9">
    <w:nsid w:val="299916C0"/>
    <w:lvl w:ilvl="0">
      <w:isLgl w:val="false"/>
      <w:lvlJc w:val="left"/>
      <w:lvlText w:val="%1."/>
      <w:numFmt w:val="decimal"/>
      <w:pPr>
        <w:pBdr/>
        <w:spacing/>
        <w:ind w:hanging="360" w:left="720"/>
      </w:pPr>
      <w:rPr>
        <w:rFonts w:hint="default"/>
        <w:b/>
        <w:color w:val="auto"/>
      </w:rPr>
      <w:start w:val="1"/>
      <w:suff w:val="tab"/>
    </w:lvl>
    <w:lvl w:ilvl="1">
      <w:isLgl w:val="true"/>
      <w:lvlJc w:val="left"/>
      <w:lvlText w:val="%1.%2"/>
      <w:numFmt w:val="decimal"/>
      <w:pPr>
        <w:pBdr/>
        <w:spacing/>
        <w:ind w:hanging="480" w:left="840"/>
      </w:pPr>
      <w:rPr>
        <w:rFonts w:hint="default"/>
        <w:b/>
      </w:rPr>
      <w:start w:val="1"/>
      <w:suff w:val="tab"/>
    </w:lvl>
    <w:lvl w:ilvl="2">
      <w:isLgl w:val="true"/>
      <w:lvlJc w:val="left"/>
      <w:lvlText w:val="%1.%2.%3"/>
      <w:numFmt w:val="decimal"/>
      <w:pPr>
        <w:pBdr/>
        <w:spacing/>
        <w:ind w:hanging="720" w:left="1080"/>
      </w:pPr>
      <w:rPr>
        <w:rFonts w:hint="default"/>
        <w:b/>
      </w:rPr>
      <w:start w:val="1"/>
      <w:suff w:val="tab"/>
    </w:lvl>
    <w:lvl w:ilvl="3">
      <w:isLgl w:val="true"/>
      <w:lvlJc w:val="left"/>
      <w:lvlText w:val="%1.%2.%3.%4"/>
      <w:numFmt w:val="decimal"/>
      <w:pPr>
        <w:pBdr/>
        <w:spacing/>
        <w:ind w:hanging="720" w:left="1080"/>
      </w:pPr>
      <w:rPr>
        <w:rFonts w:hint="default"/>
        <w:b/>
      </w:rPr>
      <w:start w:val="1"/>
      <w:suff w:val="tab"/>
    </w:lvl>
    <w:lvl w:ilvl="4">
      <w:isLgl w:val="true"/>
      <w:lvlJc w:val="left"/>
      <w:lvlText w:val="%1.%2.%3.%4.%5"/>
      <w:numFmt w:val="decimal"/>
      <w:pPr>
        <w:pBdr/>
        <w:spacing/>
        <w:ind w:hanging="1080" w:left="1440"/>
      </w:pPr>
      <w:rPr>
        <w:rFonts w:hint="default"/>
        <w:b/>
      </w:rPr>
      <w:start w:val="1"/>
      <w:suff w:val="tab"/>
    </w:lvl>
    <w:lvl w:ilvl="5">
      <w:isLgl w:val="true"/>
      <w:lvlJc w:val="left"/>
      <w:lvlText w:val="%1.%2.%3.%4.%5.%6"/>
      <w:numFmt w:val="decimal"/>
      <w:pPr>
        <w:pBdr/>
        <w:spacing/>
        <w:ind w:hanging="1080" w:left="1440"/>
      </w:pPr>
      <w:rPr>
        <w:rFonts w:hint="default"/>
        <w:b/>
      </w:rPr>
      <w:start w:val="1"/>
      <w:suff w:val="tab"/>
    </w:lvl>
    <w:lvl w:ilvl="6">
      <w:isLgl w:val="true"/>
      <w:lvlJc w:val="left"/>
      <w:lvlText w:val="%1.%2.%3.%4.%5.%6.%7"/>
      <w:numFmt w:val="decimal"/>
      <w:pPr>
        <w:pBdr/>
        <w:spacing/>
        <w:ind w:hanging="1440" w:left="1800"/>
      </w:pPr>
      <w:rPr>
        <w:rFonts w:hint="default"/>
        <w:b/>
      </w:rPr>
      <w:start w:val="1"/>
      <w:suff w:val="tab"/>
    </w:lvl>
    <w:lvl w:ilvl="7">
      <w:isLgl w:val="true"/>
      <w:lvlJc w:val="left"/>
      <w:lvlText w:val="%1.%2.%3.%4.%5.%6.%7.%8"/>
      <w:numFmt w:val="decimal"/>
      <w:pPr>
        <w:pBdr/>
        <w:spacing/>
        <w:ind w:hanging="1440" w:left="1800"/>
      </w:pPr>
      <w:rPr>
        <w:rFonts w:hint="default"/>
        <w:b/>
      </w:rPr>
      <w:start w:val="1"/>
      <w:suff w:val="tab"/>
    </w:lvl>
    <w:lvl w:ilvl="8">
      <w:isLgl w:val="true"/>
      <w:lvlJc w:val="left"/>
      <w:lvlText w:val="%1.%2.%3.%4.%5.%6.%7.%8.%9"/>
      <w:numFmt w:val="decimal"/>
      <w:pPr>
        <w:pBdr/>
        <w:spacing/>
        <w:ind w:hanging="1800" w:left="2160"/>
      </w:pPr>
      <w:rPr>
        <w:rFonts w:hint="default"/>
        <w:b/>
      </w:rPr>
      <w:start w:val="1"/>
      <w:suff w:val="tab"/>
    </w:lvl>
  </w:abstractNum>
  <w:abstractNum w:abstractNumId="10">
    <w:nsid w:val="2A8F537B"/>
    <w:lvl w:ilvl="0">
      <w:isLgl w:val="false"/>
      <w:lvlJc w:val="left"/>
      <w:lvlText w:val="%1"/>
      <w:numFmt w:val="decimal"/>
      <w:pPr>
        <w:pBdr/>
        <w:spacing/>
        <w:ind w:hanging="468" w:left="1701"/>
      </w:pPr>
      <w:rPr>
        <w:lang w:val="pt-PT" w:eastAsia="en-US" w:bidi="ar-SA"/>
      </w:rPr>
      <w:start w:val="12"/>
      <w:suff w:val="tab"/>
    </w:lvl>
    <w:lvl w:ilvl="1">
      <w:isLgl w:val="false"/>
      <w:lvlJc w:val="left"/>
      <w:lvlText w:val="%1.%2"/>
      <w:numFmt w:val="decimal"/>
      <w:pPr>
        <w:pBdr/>
        <w:spacing/>
        <w:ind w:hanging="468"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735"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4)"/>
      <w:numFmt w:val="lowerLetter"/>
      <w:pPr>
        <w:pBdr/>
        <w:spacing/>
        <w:ind w:hanging="250" w:left="3119"/>
      </w:pPr>
      <w:rPr>
        <w:rFonts w:hint="default" w:ascii="Arial" w:hAnsi="Arial" w:eastAsia="Times New Roman" w:cs="Arial"/>
        <w:b/>
        <w:bCs/>
        <w:sz w:val="22"/>
        <w:szCs w:val="22"/>
        <w:lang w:val="pt-PT" w:eastAsia="en-US" w:bidi="ar-SA"/>
      </w:rPr>
      <w:start w:val="1"/>
      <w:suff w:val="tab"/>
    </w:lvl>
    <w:lvl w:ilvl="4">
      <w:isLgl w:val="false"/>
      <w:lvlJc w:val="left"/>
      <w:lvlText w:val="%4.%5)"/>
      <w:numFmt w:val="decimal"/>
      <w:pPr>
        <w:pBdr/>
        <w:spacing/>
        <w:ind w:hanging="478" w:left="3686"/>
      </w:pPr>
      <w:rPr>
        <w:rFonts w:hint="default" w:ascii="Times New Roman" w:hAnsi="Times New Roman" w:eastAsia="Times New Roman" w:cs="Times New Roman"/>
        <w:b/>
        <w:bCs/>
        <w:sz w:val="24"/>
        <w:szCs w:val="24"/>
        <w:lang w:val="pt-PT" w:eastAsia="en-US" w:bidi="ar-SA"/>
      </w:rPr>
      <w:start w:val="1"/>
      <w:suff w:val="tab"/>
    </w:lvl>
    <w:lvl w:ilvl="5">
      <w:isLgl w:val="false"/>
      <w:lvlJc w:val="left"/>
      <w:lvlText w:val="%4.%5.%6)"/>
      <w:numFmt w:val="decimal"/>
      <w:pPr>
        <w:pBdr/>
        <w:spacing/>
        <w:ind w:hanging="1018" w:left="4252"/>
      </w:pPr>
      <w:rPr>
        <w:rFonts w:hint="default" w:ascii="Times New Roman" w:hAnsi="Times New Roman" w:eastAsia="Times New Roman" w:cs="Times New Roman"/>
        <w:b/>
        <w:bCs/>
        <w:spacing w:val="0"/>
        <w:sz w:val="24"/>
        <w:szCs w:val="24"/>
        <w:lang w:val="pt-PT" w:eastAsia="en-US" w:bidi="ar-SA"/>
      </w:rPr>
      <w:start w:val="1"/>
      <w:suff w:val="tab"/>
    </w:lvl>
    <w:lvl w:ilvl="6">
      <w:isLgl w:val="false"/>
      <w:lvlJc w:val="left"/>
      <w:lvlText w:val="•"/>
      <w:numFmt w:val="bullet"/>
      <w:pPr>
        <w:pBdr/>
        <w:spacing/>
        <w:ind w:hanging="1018" w:left="3120"/>
      </w:pPr>
      <w:rPr>
        <w:lang w:val="pt-PT" w:eastAsia="en-US" w:bidi="ar-SA"/>
      </w:rPr>
      <w:start w:val="0"/>
      <w:suff w:val="tab"/>
    </w:lvl>
    <w:lvl w:ilvl="7">
      <w:isLgl w:val="false"/>
      <w:lvlJc w:val="left"/>
      <w:lvlText w:val="•"/>
      <w:numFmt w:val="bullet"/>
      <w:pPr>
        <w:pBdr/>
        <w:spacing/>
        <w:ind w:hanging="1018" w:left="3260"/>
      </w:pPr>
      <w:rPr>
        <w:lang w:val="pt-PT" w:eastAsia="en-US" w:bidi="ar-SA"/>
      </w:rPr>
      <w:start w:val="0"/>
      <w:suff w:val="tab"/>
    </w:lvl>
    <w:lvl w:ilvl="8">
      <w:isLgl w:val="false"/>
      <w:lvlJc w:val="left"/>
      <w:lvlText w:val="•"/>
      <w:numFmt w:val="bullet"/>
      <w:pPr>
        <w:pBdr/>
        <w:spacing/>
        <w:ind w:hanging="1018" w:left="3540"/>
      </w:pPr>
      <w:rPr>
        <w:lang w:val="pt-PT" w:eastAsia="en-US" w:bidi="ar-SA"/>
      </w:rPr>
      <w:start w:val="0"/>
      <w:suff w:val="tab"/>
    </w:lvl>
  </w:abstractNum>
  <w:abstractNum w:abstractNumId="11">
    <w:nsid w:val="2ACC7FD2"/>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12">
    <w:nsid w:val="36895CF6"/>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1080"/>
      </w:pPr>
      <w:rPr>
        <w:rFonts w:hint="default" w:ascii="Arial" w:hAnsi="Arial" w:cs="Arial"/>
        <w:b/>
        <w:i w:val="0"/>
        <w:iCs w:val="0"/>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3">
    <w:nsid w:val="425566AA"/>
    <w:lvl w:ilvl="0">
      <w:isLgl w:val="false"/>
      <w:lvlJc w:val="left"/>
      <w:lvlText w:val="%1)"/>
      <w:numFmt w:val="lowerLetter"/>
      <w:pPr>
        <w:pBdr/>
        <w:tabs>
          <w:tab w:val="left" w:leader="none" w:pos="1494"/>
        </w:tabs>
        <w:spacing/>
        <w:ind w:hanging="360" w:left="1494"/>
      </w:pPr>
      <w:rPr>
        <w:rFonts w:hint="default"/>
      </w:rPr>
      <w:start w:val="1"/>
      <w:suff w:val="tab"/>
    </w:lvl>
    <w:lvl w:ilvl="1">
      <w:isLgl w:val="false"/>
      <w:lvlJc w:val="left"/>
      <w:lvlText w:val="%2."/>
      <w:numFmt w:val="lowerLetter"/>
      <w:pPr>
        <w:pBdr/>
        <w:tabs>
          <w:tab w:val="left" w:leader="none" w:pos="2214"/>
        </w:tabs>
        <w:spacing/>
        <w:ind w:hanging="360" w:left="2214"/>
      </w:pPr>
      <w:rPr/>
      <w:start w:val="1"/>
      <w:suff w:val="tab"/>
    </w:lvl>
    <w:lvl w:ilvl="2">
      <w:isLgl w:val="false"/>
      <w:lvlJc w:val="right"/>
      <w:lvlText w:val="%3."/>
      <w:numFmt w:val="lowerRoman"/>
      <w:pPr>
        <w:pBdr/>
        <w:tabs>
          <w:tab w:val="left" w:leader="none" w:pos="2934"/>
        </w:tabs>
        <w:spacing/>
        <w:ind w:hanging="180" w:left="2934"/>
      </w:pPr>
      <w:rPr/>
      <w:start w:val="1"/>
      <w:suff w:val="tab"/>
    </w:lvl>
    <w:lvl w:ilvl="3">
      <w:isLgl w:val="false"/>
      <w:lvlJc w:val="left"/>
      <w:lvlText w:val="%4."/>
      <w:numFmt w:val="decimal"/>
      <w:pPr>
        <w:pBdr/>
        <w:tabs>
          <w:tab w:val="left" w:leader="none" w:pos="3654"/>
        </w:tabs>
        <w:spacing/>
        <w:ind w:hanging="360" w:left="3654"/>
      </w:pPr>
      <w:rPr/>
      <w:start w:val="1"/>
      <w:suff w:val="tab"/>
    </w:lvl>
    <w:lvl w:ilvl="4">
      <w:isLgl w:val="false"/>
      <w:lvlJc w:val="left"/>
      <w:lvlText w:val="%5."/>
      <w:numFmt w:val="lowerLetter"/>
      <w:pPr>
        <w:pBdr/>
        <w:tabs>
          <w:tab w:val="left" w:leader="none" w:pos="4374"/>
        </w:tabs>
        <w:spacing/>
        <w:ind w:hanging="360" w:left="4374"/>
      </w:pPr>
      <w:rPr/>
      <w:start w:val="1"/>
      <w:suff w:val="tab"/>
    </w:lvl>
    <w:lvl w:ilvl="5">
      <w:isLgl w:val="false"/>
      <w:lvlJc w:val="right"/>
      <w:lvlText w:val="%6."/>
      <w:numFmt w:val="lowerRoman"/>
      <w:pPr>
        <w:pBdr/>
        <w:tabs>
          <w:tab w:val="left" w:leader="none" w:pos="5094"/>
        </w:tabs>
        <w:spacing/>
        <w:ind w:hanging="180" w:left="5094"/>
      </w:pPr>
      <w:rPr/>
      <w:start w:val="1"/>
      <w:suff w:val="tab"/>
    </w:lvl>
    <w:lvl w:ilvl="6">
      <w:isLgl w:val="false"/>
      <w:lvlJc w:val="left"/>
      <w:lvlText w:val="%7."/>
      <w:numFmt w:val="decimal"/>
      <w:pPr>
        <w:pBdr/>
        <w:tabs>
          <w:tab w:val="left" w:leader="none" w:pos="5814"/>
        </w:tabs>
        <w:spacing/>
        <w:ind w:hanging="360" w:left="5814"/>
      </w:pPr>
      <w:rPr/>
      <w:start w:val="1"/>
      <w:suff w:val="tab"/>
    </w:lvl>
    <w:lvl w:ilvl="7">
      <w:isLgl w:val="false"/>
      <w:lvlJc w:val="left"/>
      <w:lvlText w:val="%8."/>
      <w:numFmt w:val="lowerLetter"/>
      <w:pPr>
        <w:pBdr/>
        <w:tabs>
          <w:tab w:val="left" w:leader="none" w:pos="6534"/>
        </w:tabs>
        <w:spacing/>
        <w:ind w:hanging="360" w:left="6534"/>
      </w:pPr>
      <w:rPr/>
      <w:start w:val="1"/>
      <w:suff w:val="tab"/>
    </w:lvl>
    <w:lvl w:ilvl="8">
      <w:isLgl w:val="false"/>
      <w:lvlJc w:val="right"/>
      <w:lvlText w:val="%9."/>
      <w:numFmt w:val="lowerRoman"/>
      <w:pPr>
        <w:pBdr/>
        <w:tabs>
          <w:tab w:val="left" w:leader="none" w:pos="7254"/>
        </w:tabs>
        <w:spacing/>
        <w:ind w:hanging="180" w:left="7254"/>
      </w:pPr>
      <w:pStyle w:val="1147"/>
      <w:rPr/>
      <w:start w:val="1"/>
      <w:suff w:val="tab"/>
    </w:lvl>
  </w:abstractNum>
  <w:abstractNum w:abstractNumId="14">
    <w:nsid w:val="53371A00"/>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720" w:left="1080"/>
      </w:pPr>
      <w:rPr>
        <w:rFonts w:hint="default"/>
        <w:b/>
        <w:color w:val="000000" w:themeColor="text1"/>
        <w14:textFill>
          <w14:solidFill>
            <w14:schemeClr w14:val="tx1"/>
          </w14:solidFill>
        </w14:textFill>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5">
    <w:nsid w:val="63796A6B"/>
    <w:lvl w:ilvl="0">
      <w:isLgl w:val="false"/>
      <w:lvlJc w:val="left"/>
      <w:lvlText w:val="%1."/>
      <w:numFmt w:val="decimal"/>
      <w:pPr>
        <w:pBdr/>
        <w:spacing/>
        <w:ind w:hanging="540" w:left="540"/>
      </w:pPr>
      <w:rPr>
        <w:rFonts w:hint="default"/>
      </w:rPr>
      <w:start w:val="8"/>
      <w:suff w:val="tab"/>
    </w:lvl>
    <w:lvl w:ilvl="1">
      <w:isLgl w:val="false"/>
      <w:lvlJc w:val="left"/>
      <w:lvlText w:val="%1.%2."/>
      <w:numFmt w:val="decimal"/>
      <w:pPr>
        <w:pBdr/>
        <w:spacing/>
        <w:ind w:hanging="720" w:left="1145"/>
      </w:pPr>
      <w:rPr>
        <w:rFonts w:hint="default"/>
        <w:b/>
      </w:rPr>
      <w:start w:val="2"/>
      <w:suff w:val="tab"/>
    </w:lvl>
    <w:lvl w:ilvl="2">
      <w:isLgl w:val="false"/>
      <w:lvlJc w:val="left"/>
      <w:lvlText w:val="%1.%2.%3."/>
      <w:numFmt w:val="decimal"/>
      <w:pPr>
        <w:pBdr/>
        <w:spacing/>
        <w:ind w:hanging="720" w:left="1570"/>
      </w:pPr>
      <w:rPr>
        <w:rFonts w:hint="default"/>
        <w:b/>
      </w:rPr>
      <w:start w:val="3"/>
      <w:suff w:val="tab"/>
    </w:lvl>
    <w:lvl w:ilvl="3">
      <w:isLgl w:val="false"/>
      <w:lvlJc w:val="left"/>
      <w:lvlText w:val="%1.%2.%3.%4."/>
      <w:numFmt w:val="decimal"/>
      <w:pPr>
        <w:pBdr/>
        <w:spacing/>
        <w:ind w:hanging="1080" w:left="2355"/>
      </w:pPr>
      <w:rPr>
        <w:rFonts w:hint="default"/>
      </w:rPr>
      <w:start w:val="1"/>
      <w:suff w:val="tab"/>
    </w:lvl>
    <w:lvl w:ilvl="4">
      <w:isLgl w:val="false"/>
      <w:lvlJc w:val="left"/>
      <w:lvlText w:val="%1.%2.%3.%4.%5."/>
      <w:numFmt w:val="decimal"/>
      <w:pPr>
        <w:pBdr/>
        <w:spacing/>
        <w:ind w:hanging="1080" w:left="2780"/>
      </w:pPr>
      <w:rPr>
        <w:rFonts w:hint="default"/>
      </w:rPr>
      <w:start w:val="1"/>
      <w:suff w:val="tab"/>
    </w:lvl>
    <w:lvl w:ilvl="5">
      <w:isLgl w:val="false"/>
      <w:lvlJc w:val="left"/>
      <w:lvlText w:val="%1.%2.%3.%4.%5.%6."/>
      <w:numFmt w:val="decimal"/>
      <w:pPr>
        <w:pBdr/>
        <w:spacing/>
        <w:ind w:hanging="1440" w:left="3565"/>
      </w:pPr>
      <w:rPr>
        <w:rFonts w:hint="default"/>
      </w:rPr>
      <w:start w:val="1"/>
      <w:suff w:val="tab"/>
    </w:lvl>
    <w:lvl w:ilvl="6">
      <w:isLgl w:val="false"/>
      <w:lvlJc w:val="left"/>
      <w:lvlText w:val="%1.%2.%3.%4.%5.%6.%7."/>
      <w:numFmt w:val="decimal"/>
      <w:pPr>
        <w:pBdr/>
        <w:spacing/>
        <w:ind w:hanging="1440" w:left="3990"/>
      </w:pPr>
      <w:rPr>
        <w:rFonts w:hint="default"/>
      </w:rPr>
      <w:start w:val="1"/>
      <w:suff w:val="tab"/>
    </w:lvl>
    <w:lvl w:ilvl="7">
      <w:isLgl w:val="false"/>
      <w:lvlJc w:val="left"/>
      <w:lvlText w:val="%1.%2.%3.%4.%5.%6.%7.%8."/>
      <w:numFmt w:val="decimal"/>
      <w:pPr>
        <w:pBdr/>
        <w:spacing/>
        <w:ind w:hanging="1800" w:left="4775"/>
      </w:pPr>
      <w:rPr>
        <w:rFonts w:hint="default"/>
      </w:rPr>
      <w:start w:val="1"/>
      <w:suff w:val="tab"/>
    </w:lvl>
    <w:lvl w:ilvl="8">
      <w:isLgl w:val="false"/>
      <w:lvlJc w:val="left"/>
      <w:lvlText w:val="%1.%2.%3.%4.%5.%6.%7.%8.%9."/>
      <w:numFmt w:val="decimal"/>
      <w:pPr>
        <w:pBdr/>
        <w:spacing/>
        <w:ind w:hanging="1800" w:left="5200"/>
      </w:pPr>
      <w:rPr>
        <w:rFonts w:hint="default"/>
      </w:rPr>
      <w:start w:val="1"/>
      <w:suff w:val="tab"/>
    </w:lvl>
  </w:abstractNum>
  <w:abstractNum w:abstractNumId="16">
    <w:nsid w:val="72031F72"/>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432" w:left="4969"/>
      </w:pPr>
      <w:rPr>
        <w:rFonts w:hint="default" w:ascii="Arial" w:hAnsi="Arial" w:cs="Arial"/>
        <w:b/>
        <w:bCs/>
        <w:i w:val="0"/>
        <w:iCs/>
        <w:strike w:val="0"/>
        <w:color w:val="auto"/>
        <w:sz w:val="22"/>
        <w:szCs w:val="22"/>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7">
    <w:nsid w:val="79185DC2"/>
    <w:lvl w:ilvl="0">
      <w:isLgl w:val="false"/>
      <w:lvlJc w:val="left"/>
      <w:lvlText w:val=""/>
      <w:numFmt w:val="bullet"/>
      <w:pPr>
        <w:pBdr/>
        <w:spacing/>
        <w:ind w:hanging="360" w:left="1854"/>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18">
    <w:nsid w:val="349EF346"/>
    <w:lvl w:ilvl="0">
      <w:isLgl w:val="false"/>
      <w:lvlJc w:val="left"/>
      <w:lvlText w:val=""/>
      <w:numFmt w:val="bullet"/>
      <w:pPr>
        <w:pBdr/>
        <w:tabs>
          <w:tab w:val="left" w:leader="none" w:pos="420"/>
        </w:tabs>
        <w:spacing/>
        <w:ind w:hanging="420" w:left="420"/>
      </w:pPr>
      <w:rPr>
        <w:rFonts w:hint="default" w:ascii="Wingdings" w:hAnsi="Wingdings"/>
        <w:u w:val="none"/>
      </w:rPr>
      <w:start w:val="1"/>
      <w:suff w:val="tab"/>
    </w:lvl>
    <w:lvl w:ilvl="1">
      <w:isLgl w:val="false"/>
      <w:lvlJc w:val="left"/>
      <w:lvlText w:val=""/>
      <w:numFmt w:val="bullet"/>
      <w:pPr>
        <w:pBdr/>
        <w:tabs>
          <w:tab w:val="left" w:leader="none" w:pos="840"/>
        </w:tabs>
        <w:spacing/>
        <w:ind w:hanging="420" w:left="840"/>
      </w:pPr>
      <w:rPr>
        <w:rFonts w:hint="default" w:ascii="Wingdings" w:hAnsi="Wingdings"/>
      </w:rPr>
      <w:start w:val="1"/>
      <w:suff w:val="tab"/>
    </w:lvl>
    <w:lvl w:ilvl="2">
      <w:isLgl w:val="false"/>
      <w:lvlJc w:val="left"/>
      <w:lvlText w:val=""/>
      <w:numFmt w:val="bullet"/>
      <w:pPr>
        <w:pBdr/>
        <w:tabs>
          <w:tab w:val="left" w:leader="none" w:pos="1260"/>
        </w:tabs>
        <w:spacing/>
        <w:ind w:hanging="420" w:left="1260"/>
      </w:pPr>
      <w:rPr>
        <w:rFonts w:hint="default" w:ascii="Wingdings" w:hAnsi="Wingdings"/>
      </w:rPr>
      <w:start w:val="1"/>
      <w:suff w:val="tab"/>
    </w:lvl>
    <w:lvl w:ilvl="3">
      <w:isLgl w:val="false"/>
      <w:lvlJc w:val="left"/>
      <w:lvlText w:val=""/>
      <w:numFmt w:val="bullet"/>
      <w:pPr>
        <w:pBdr/>
        <w:tabs>
          <w:tab w:val="left" w:leader="none" w:pos="1680"/>
        </w:tabs>
        <w:spacing/>
        <w:ind w:hanging="420" w:left="1680"/>
      </w:pPr>
      <w:rPr>
        <w:rFonts w:hint="default" w:ascii="Wingdings" w:hAnsi="Wingdings"/>
      </w:rPr>
      <w:start w:val="1"/>
      <w:suff w:val="tab"/>
    </w:lvl>
    <w:lvl w:ilvl="4">
      <w:isLgl w:val="false"/>
      <w:lvlJc w:val="left"/>
      <w:lvlText w:val=""/>
      <w:numFmt w:val="bullet"/>
      <w:pPr>
        <w:pBdr/>
        <w:tabs>
          <w:tab w:val="left" w:leader="none" w:pos="2100"/>
        </w:tabs>
        <w:spacing/>
        <w:ind w:hanging="420" w:left="2100"/>
      </w:pPr>
      <w:rPr>
        <w:rFonts w:hint="default" w:ascii="Wingdings" w:hAnsi="Wingdings"/>
      </w:rPr>
      <w:start w:val="1"/>
      <w:suff w:val="tab"/>
    </w:lvl>
    <w:lvl w:ilvl="5">
      <w:isLgl w:val="false"/>
      <w:lvlJc w:val="left"/>
      <w:lvlText w:val=""/>
      <w:numFmt w:val="bullet"/>
      <w:pPr>
        <w:pBdr/>
        <w:tabs>
          <w:tab w:val="left" w:leader="none" w:pos="2520"/>
        </w:tabs>
        <w:spacing/>
        <w:ind w:hanging="420" w:left="2520"/>
      </w:pPr>
      <w:rPr>
        <w:rFonts w:hint="default" w:ascii="Wingdings" w:hAnsi="Wingdings"/>
      </w:rPr>
      <w:start w:val="1"/>
      <w:suff w:val="tab"/>
    </w:lvl>
    <w:lvl w:ilvl="6">
      <w:isLgl w:val="false"/>
      <w:lvlJc w:val="left"/>
      <w:lvlText w:val=""/>
      <w:numFmt w:val="bullet"/>
      <w:pPr>
        <w:pBdr/>
        <w:tabs>
          <w:tab w:val="left" w:leader="none" w:pos="2940"/>
        </w:tabs>
        <w:spacing/>
        <w:ind w:hanging="420" w:left="2940"/>
      </w:pPr>
      <w:rPr>
        <w:rFonts w:hint="default" w:ascii="Wingdings" w:hAnsi="Wingdings"/>
      </w:rPr>
      <w:start w:val="1"/>
      <w:suff w:val="tab"/>
    </w:lvl>
    <w:lvl w:ilvl="7">
      <w:isLgl w:val="false"/>
      <w:lvlJc w:val="left"/>
      <w:lvlText w:val=""/>
      <w:numFmt w:val="bullet"/>
      <w:pPr>
        <w:pBdr/>
        <w:tabs>
          <w:tab w:val="left" w:leader="none" w:pos="3360"/>
        </w:tabs>
        <w:spacing/>
        <w:ind w:hanging="420" w:left="3360"/>
      </w:pPr>
      <w:rPr>
        <w:rFonts w:hint="default" w:ascii="Wingdings" w:hAnsi="Wingdings"/>
      </w:rPr>
      <w:start w:val="1"/>
      <w:suff w:val="tab"/>
    </w:lvl>
    <w:lvl w:ilvl="8">
      <w:isLgl w:val="false"/>
      <w:lvlJc w:val="left"/>
      <w:lvlText w:val=""/>
      <w:numFmt w:val="bullet"/>
      <w:pPr>
        <w:pBdr/>
        <w:tabs>
          <w:tab w:val="left" w:leader="none" w:pos="3780"/>
        </w:tabs>
        <w:spacing/>
        <w:ind w:hanging="420" w:left="3780"/>
      </w:pPr>
      <w:rPr>
        <w:rFonts w:hint="default" w:ascii="Wingdings" w:hAnsi="Wingdings"/>
      </w:rPr>
      <w:start w:val="1"/>
      <w:suff w:val="tab"/>
    </w:lvl>
  </w:abstractNum>
  <w:abstractNum w:abstractNumId="19">
    <w:nsid w:val="D11B607F"/>
    <w:lvl w:ilvl="0">
      <w:isLgl w:val="false"/>
      <w:lvlJc w:val="left"/>
      <w:lvlText w:val="6.3.%1."/>
      <w:numFmt w:val="decimal"/>
      <w:pPr>
        <w:pBdr/>
        <w:tabs>
          <w:tab w:val="left" w:leader="none" w:pos="454"/>
        </w:tabs>
        <w:spacing/>
        <w:ind w:hanging="454" w:left="454"/>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0">
    <w:nsid w:val="CDF5C7CB"/>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1">
    <w:nsid w:val="E5797223"/>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num w:numId="1">
    <w:abstractNumId w:val="13"/>
  </w:num>
  <w:num w:numId="2">
    <w:abstractNumId w:val="7"/>
  </w:num>
  <w:num w:numId="3">
    <w:abstractNumId w:val="9"/>
  </w:num>
  <w:num w:numId="4">
    <w:abstractNumId w:val="12"/>
  </w:num>
  <w:num w:numId="5">
    <w:abstractNumId w:val="14"/>
  </w:num>
  <w:num w:numId="6">
    <w:abstractNumId w:val="8"/>
  </w:num>
  <w:num w:numId="7">
    <w:abstractNumId w:val="6"/>
  </w:num>
  <w:num w:numId="8">
    <w:abstractNumId w:val="15"/>
  </w:num>
  <w:num w:numId="9">
    <w:abstractNumId w:val="10"/>
  </w:num>
  <w:num w:numId="10">
    <w:abstractNumId w:val="2"/>
  </w:num>
  <w:num w:numId="11">
    <w:abstractNumId w:val="5"/>
  </w:num>
  <w:num w:numId="12">
    <w:abstractNumId w:val="0"/>
  </w:num>
  <w:num w:numId="13">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4"/>
  </w:num>
  <w:num w:numId="20">
    <w:abstractNumId w:val="18"/>
  </w:num>
  <w:num w:numId="21">
    <w:abstractNumId w:val="19"/>
  </w:num>
  <w:num w:numId="22">
    <w:abstractNumId w:val="2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854" w:default="1">
    <w:name w:val="No List"/>
    <w:uiPriority w:val="99"/>
    <w:semiHidden/>
    <w:unhideWhenUsed/>
    <w:pPr>
      <w:pBdr/>
      <w:spacing/>
      <w:ind/>
    </w:pPr>
  </w:style>
  <w:style w:type="paragraph" w:styleId="855" w:default="1">
    <w:name w:val="Normal"/>
    <w:uiPriority w:val="0"/>
    <w:qFormat/>
    <w:pPr>
      <w:pBdr/>
      <w:spacing/>
      <w:ind/>
    </w:pPr>
    <w:rPr>
      <w:rFonts w:ascii="Times New Roman" w:hAnsi="Times New Roman" w:eastAsia="Times New Roman" w:cs="Times New Roman"/>
      <w:sz w:val="24"/>
      <w:szCs w:val="24"/>
      <w:lang w:val="pt-BR" w:eastAsia="pt-BR" w:bidi="ar-SA"/>
    </w:rPr>
  </w:style>
  <w:style w:type="paragraph" w:styleId="856">
    <w:name w:val="Heading 1"/>
    <w:basedOn w:val="855"/>
    <w:next w:val="855"/>
    <w:link w:val="1051"/>
    <w:uiPriority w:val="0"/>
    <w:qFormat/>
    <w:pPr>
      <w:keepNext w:val="true"/>
      <w:pBdr/>
      <w:spacing/>
      <w:ind/>
      <w:jc w:val="center"/>
      <w:outlineLvl w:val="0"/>
    </w:pPr>
    <w:rPr>
      <w:rFonts w:ascii="Arial" w:hAnsi="Arial"/>
      <w:color w:val="000080"/>
      <w:sz w:val="28"/>
      <w:szCs w:val="20"/>
    </w:rPr>
  </w:style>
  <w:style w:type="paragraph" w:styleId="857">
    <w:name w:val="Heading 2"/>
    <w:basedOn w:val="855"/>
    <w:link w:val="1052"/>
    <w:uiPriority w:val="0"/>
    <w:qFormat/>
    <w:pPr>
      <w:keepNext w:val="true"/>
      <w:pBdr/>
      <w:spacing/>
      <w:ind/>
      <w:jc w:val="both"/>
      <w:outlineLvl w:val="1"/>
    </w:pPr>
    <w:rPr>
      <w:b/>
      <w:u w:val="single"/>
    </w:rPr>
  </w:style>
  <w:style w:type="paragraph" w:styleId="858">
    <w:name w:val="Heading 3"/>
    <w:basedOn w:val="857"/>
    <w:next w:val="855"/>
    <w:uiPriority w:val="0"/>
    <w:qFormat/>
    <w:pPr>
      <w:pBdr/>
      <w:spacing/>
      <w:ind/>
      <w:jc w:val="center"/>
      <w:outlineLvl w:val="2"/>
    </w:pPr>
    <w:rPr>
      <w:rFonts w:ascii="Arial Narrow" w:hAnsi="Arial Narrow"/>
      <w:i/>
      <w:sz w:val="32"/>
      <w:szCs w:val="20"/>
    </w:rPr>
  </w:style>
  <w:style w:type="paragraph" w:styleId="859">
    <w:name w:val="Heading 4"/>
    <w:basedOn w:val="855"/>
    <w:next w:val="855"/>
    <w:link w:val="1053"/>
    <w:uiPriority w:val="0"/>
    <w:qFormat/>
    <w:pPr>
      <w:keepNext w:val="true"/>
      <w:pBdr/>
      <w:spacing w:after="60" w:before="240"/>
      <w:ind/>
      <w:outlineLvl w:val="3"/>
    </w:pPr>
    <w:rPr>
      <w:b/>
      <w:bCs/>
      <w:sz w:val="28"/>
      <w:szCs w:val="28"/>
    </w:rPr>
  </w:style>
  <w:style w:type="paragraph" w:styleId="860">
    <w:name w:val="Heading 5"/>
    <w:basedOn w:val="855"/>
    <w:next w:val="855"/>
    <w:uiPriority w:val="0"/>
    <w:qFormat/>
    <w:pPr>
      <w:keepNext w:val="true"/>
      <w:pBdr/>
      <w:spacing/>
      <w:ind/>
      <w:jc w:val="center"/>
      <w:outlineLvl w:val="4"/>
    </w:pPr>
    <w:rPr>
      <w:rFonts w:ascii="Arial" w:hAnsi="Arial"/>
      <w:b/>
      <w:szCs w:val="20"/>
    </w:rPr>
  </w:style>
  <w:style w:type="paragraph" w:styleId="861">
    <w:name w:val="Heading 6"/>
    <w:basedOn w:val="855"/>
    <w:next w:val="855"/>
    <w:uiPriority w:val="0"/>
    <w:qFormat/>
    <w:pPr>
      <w:pBdr/>
      <w:spacing w:after="60" w:before="240"/>
      <w:ind/>
      <w:outlineLvl w:val="5"/>
    </w:pPr>
    <w:rPr>
      <w:b/>
      <w:bCs/>
      <w:sz w:val="22"/>
      <w:szCs w:val="22"/>
    </w:rPr>
  </w:style>
  <w:style w:type="paragraph" w:styleId="862">
    <w:name w:val="Heading 7"/>
    <w:basedOn w:val="855"/>
    <w:next w:val="855"/>
    <w:link w:val="1031"/>
    <w:uiPriority w:val="9"/>
    <w:unhideWhenUsed/>
    <w:qFormat/>
    <w:pPr>
      <w:keepNext w:val="true"/>
      <w:keepLines w:val="true"/>
      <w:pBdr/>
      <w:spacing w:after="0" w:before="40"/>
      <w:ind/>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863">
    <w:name w:val="Heading 8"/>
    <w:basedOn w:val="855"/>
    <w:next w:val="855"/>
    <w:link w:val="1032"/>
    <w:uiPriority w:val="9"/>
    <w:unhideWhenUsed/>
    <w:qFormat/>
    <w:pPr>
      <w:keepNext w:val="true"/>
      <w:keepLines w:val="true"/>
      <w:pBdr/>
      <w:spacing w:after="0"/>
      <w:ind/>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864">
    <w:name w:val="Heading 9"/>
    <w:basedOn w:val="855"/>
    <w:next w:val="855"/>
    <w:uiPriority w:val="0"/>
    <w:qFormat/>
    <w:pPr>
      <w:pBdr/>
      <w:spacing w:after="60" w:before="240"/>
      <w:ind/>
      <w:outlineLvl w:val="8"/>
    </w:pPr>
    <w:rPr>
      <w:rFonts w:ascii="Arial" w:hAnsi="Arial" w:cs="Arial"/>
      <w:sz w:val="22"/>
      <w:szCs w:val="22"/>
    </w:rPr>
  </w:style>
  <w:style w:type="character" w:styleId="865" w:default="1">
    <w:name w:val="Default Paragraph Font"/>
    <w:uiPriority w:val="1"/>
    <w:semiHidden/>
    <w:unhideWhenUsed/>
    <w:qFormat/>
    <w:pPr>
      <w:pBdr/>
      <w:spacing/>
      <w:ind/>
    </w:pPr>
  </w:style>
  <w:style w:type="table" w:styleId="866" w:default="1">
    <w:name w:val="Normal Table"/>
    <w:uiPriority w:val="99"/>
    <w:semiHidden/>
    <w:unhideWhenUsed/>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67">
    <w:name w:val="endnote reference"/>
    <w:basedOn w:val="865"/>
    <w:uiPriority w:val="99"/>
    <w:semiHidden/>
    <w:unhideWhenUsed/>
    <w:qFormat/>
    <w:pPr>
      <w:pBdr/>
      <w:spacing/>
      <w:ind/>
    </w:pPr>
    <w:rPr>
      <w:vertAlign w:val="superscript"/>
    </w:rPr>
  </w:style>
  <w:style w:type="character" w:styleId="868">
    <w:name w:val="Strong"/>
    <w:basedOn w:val="865"/>
    <w:uiPriority w:val="0"/>
    <w:qFormat/>
    <w:pPr>
      <w:pBdr/>
      <w:spacing/>
      <w:ind/>
    </w:pPr>
    <w:rPr>
      <w:b/>
      <w:bCs/>
    </w:rPr>
  </w:style>
  <w:style w:type="character" w:styleId="869">
    <w:name w:val="FollowedHyperlink"/>
    <w:basedOn w:val="865"/>
    <w:uiPriority w:val="99"/>
    <w:semiHidden/>
    <w:unhideWhenUsed/>
    <w:qFormat/>
    <w:pPr>
      <w:pBdr/>
      <w:spacing/>
      <w:ind/>
    </w:pPr>
    <w:rPr>
      <w:color w:val="800080" w:themeColor="followedHyperlink"/>
      <w:u w:val="single"/>
      <w14:textFill>
        <w14:solidFill>
          <w14:schemeClr w14:val="folHlink"/>
        </w14:solidFill>
      </w14:textFill>
    </w:rPr>
  </w:style>
  <w:style w:type="character" w:styleId="870">
    <w:name w:val="Emphasis"/>
    <w:basedOn w:val="865"/>
    <w:uiPriority w:val="20"/>
    <w:qFormat/>
    <w:pPr>
      <w:pBdr/>
      <w:spacing/>
      <w:ind/>
    </w:pPr>
    <w:rPr>
      <w:i/>
      <w:iCs/>
    </w:rPr>
  </w:style>
  <w:style w:type="character" w:styleId="871">
    <w:name w:val="footnote reference"/>
    <w:basedOn w:val="865"/>
    <w:uiPriority w:val="99"/>
    <w:semiHidden/>
    <w:unhideWhenUsed/>
    <w:qFormat/>
    <w:pPr>
      <w:pBdr/>
      <w:spacing/>
      <w:ind/>
    </w:pPr>
    <w:rPr>
      <w:vertAlign w:val="superscript"/>
    </w:rPr>
  </w:style>
  <w:style w:type="character" w:styleId="872">
    <w:name w:val="Hyperlink"/>
    <w:basedOn w:val="865"/>
    <w:uiPriority w:val="99"/>
    <w:qFormat/>
    <w:pPr>
      <w:pBdr/>
      <w:spacing/>
      <w:ind/>
    </w:pPr>
    <w:rPr>
      <w:rFonts w:ascii="Times New Roman" w:hAnsi="Times New Roman" w:eastAsia="Times New Roman" w:cs="Times New Roman"/>
      <w:sz w:val="24"/>
      <w:szCs w:val="24"/>
      <w:lang w:val="pt-BR" w:eastAsia="pt-BR" w:bidi="ar-SA"/>
    </w:rPr>
  </w:style>
  <w:style w:type="character" w:styleId="873">
    <w:name w:val="page number"/>
    <w:basedOn w:val="865"/>
    <w:uiPriority w:val="0"/>
    <w:qFormat/>
    <w:pPr>
      <w:pBdr/>
      <w:spacing/>
      <w:ind/>
    </w:pPr>
  </w:style>
  <w:style w:type="paragraph" w:styleId="874">
    <w:name w:val="toc 2"/>
    <w:basedOn w:val="855"/>
    <w:next w:val="855"/>
    <w:uiPriority w:val="39"/>
    <w:unhideWhenUsed/>
    <w:qFormat/>
    <w:pPr>
      <w:pBdr/>
      <w:spacing w:after="100"/>
      <w:ind w:left="220"/>
    </w:pPr>
  </w:style>
  <w:style w:type="paragraph" w:styleId="875">
    <w:name w:val="toc 9"/>
    <w:basedOn w:val="855"/>
    <w:next w:val="855"/>
    <w:uiPriority w:val="39"/>
    <w:unhideWhenUsed/>
    <w:qFormat/>
    <w:pPr>
      <w:pBdr/>
      <w:spacing w:after="100"/>
      <w:ind w:left="1760"/>
    </w:pPr>
  </w:style>
  <w:style w:type="paragraph" w:styleId="876">
    <w:name w:val="Body Text"/>
    <w:basedOn w:val="855"/>
    <w:uiPriority w:val="0"/>
    <w:qFormat/>
    <w:pPr>
      <w:pBdr/>
      <w:spacing/>
      <w:ind/>
      <w:jc w:val="both"/>
    </w:pPr>
    <w:rPr>
      <w:szCs w:val="20"/>
    </w:rPr>
  </w:style>
  <w:style w:type="paragraph" w:styleId="877">
    <w:name w:val="toc 6"/>
    <w:basedOn w:val="855"/>
    <w:next w:val="855"/>
    <w:uiPriority w:val="39"/>
    <w:unhideWhenUsed/>
    <w:qFormat/>
    <w:pPr>
      <w:pBdr/>
      <w:spacing w:after="100"/>
      <w:ind w:left="1100"/>
    </w:pPr>
  </w:style>
  <w:style w:type="paragraph" w:styleId="878">
    <w:name w:val="toc 5"/>
    <w:basedOn w:val="855"/>
    <w:next w:val="855"/>
    <w:uiPriority w:val="39"/>
    <w:unhideWhenUsed/>
    <w:qFormat/>
    <w:pPr>
      <w:pBdr/>
      <w:spacing w:after="100"/>
      <w:ind w:left="880"/>
    </w:pPr>
  </w:style>
  <w:style w:type="paragraph" w:styleId="879">
    <w:name w:val="Body Text Indent 2"/>
    <w:basedOn w:val="855"/>
    <w:uiPriority w:val="0"/>
    <w:qFormat/>
    <w:pPr>
      <w:pBdr/>
      <w:spacing/>
      <w:ind w:firstLine="1416"/>
      <w:jc w:val="both"/>
    </w:pPr>
    <w:rPr>
      <w:sz w:val="20"/>
      <w:szCs w:val="20"/>
    </w:rPr>
  </w:style>
  <w:style w:type="paragraph" w:styleId="880">
    <w:name w:val="table of figures"/>
    <w:basedOn w:val="855"/>
    <w:next w:val="855"/>
    <w:uiPriority w:val="99"/>
    <w:unhideWhenUsed/>
    <w:qFormat/>
    <w:pPr>
      <w:pBdr/>
      <w:spacing w:after="0" w:afterAutospacing="0"/>
      <w:ind/>
    </w:pPr>
  </w:style>
  <w:style w:type="paragraph" w:styleId="881">
    <w:name w:val="Title"/>
    <w:basedOn w:val="855"/>
    <w:uiPriority w:val="0"/>
    <w:qFormat/>
    <w:pPr>
      <w:pBdr/>
      <w:spacing/>
      <w:ind/>
      <w:jc w:val="center"/>
    </w:pPr>
    <w:rPr>
      <w:b/>
      <w:bCs/>
      <w:sz w:val="22"/>
    </w:rPr>
  </w:style>
  <w:style w:type="paragraph" w:styleId="882">
    <w:name w:val="endnote text"/>
    <w:basedOn w:val="855"/>
    <w:link w:val="1048"/>
    <w:uiPriority w:val="99"/>
    <w:semiHidden/>
    <w:unhideWhenUsed/>
    <w:qFormat/>
    <w:pPr>
      <w:pBdr/>
      <w:spacing w:after="0" w:line="240" w:lineRule="auto"/>
      <w:ind/>
    </w:pPr>
    <w:rPr>
      <w:sz w:val="20"/>
      <w:szCs w:val="20"/>
    </w:rPr>
  </w:style>
  <w:style w:type="paragraph" w:styleId="883">
    <w:name w:val="Normal (Web)"/>
    <w:basedOn w:val="855"/>
    <w:uiPriority w:val="0"/>
    <w:qFormat/>
    <w:pPr>
      <w:pBdr/>
      <w:spacing w:after="100" w:afterAutospacing="1" w:before="100" w:beforeAutospacing="1"/>
      <w:ind/>
    </w:pPr>
  </w:style>
  <w:style w:type="paragraph" w:styleId="884">
    <w:name w:val="toc 4"/>
    <w:basedOn w:val="855"/>
    <w:next w:val="855"/>
    <w:uiPriority w:val="39"/>
    <w:unhideWhenUsed/>
    <w:qFormat/>
    <w:pPr>
      <w:pBdr/>
      <w:spacing w:after="100"/>
      <w:ind w:left="660"/>
    </w:pPr>
  </w:style>
  <w:style w:type="paragraph" w:styleId="885">
    <w:name w:val="toc 8"/>
    <w:basedOn w:val="855"/>
    <w:next w:val="855"/>
    <w:uiPriority w:val="39"/>
    <w:unhideWhenUsed/>
    <w:qFormat/>
    <w:pPr>
      <w:pBdr/>
      <w:spacing w:after="100"/>
      <w:ind w:left="1540"/>
    </w:pPr>
  </w:style>
  <w:style w:type="paragraph" w:styleId="886">
    <w:name w:val="Body Text 3"/>
    <w:basedOn w:val="855"/>
    <w:uiPriority w:val="0"/>
    <w:qFormat/>
    <w:pPr>
      <w:pBdr/>
      <w:spacing/>
      <w:ind/>
      <w:jc w:val="both"/>
    </w:pPr>
    <w:rPr>
      <w:rFonts w:ascii="Arial" w:hAnsi="Arial" w:cs="Arial"/>
      <w:sz w:val="20"/>
    </w:rPr>
  </w:style>
  <w:style w:type="paragraph" w:styleId="887">
    <w:name w:val="Body Text 2"/>
    <w:basedOn w:val="855"/>
    <w:uiPriority w:val="0"/>
    <w:qFormat/>
    <w:pPr>
      <w:pBdr/>
      <w:spacing/>
      <w:ind/>
      <w:jc w:val="both"/>
    </w:pPr>
    <w:rPr>
      <w:b/>
      <w:szCs w:val="20"/>
    </w:rPr>
  </w:style>
  <w:style w:type="paragraph" w:styleId="888">
    <w:name w:val="Header"/>
    <w:basedOn w:val="855"/>
    <w:link w:val="1054"/>
    <w:uiPriority w:val="0"/>
    <w:qFormat/>
    <w:pPr>
      <w:pBdr/>
      <w:tabs>
        <w:tab w:val="center" w:leader="none" w:pos="4419"/>
        <w:tab w:val="right" w:leader="none" w:pos="8838"/>
      </w:tabs>
      <w:spacing/>
      <w:ind/>
    </w:pPr>
  </w:style>
  <w:style w:type="paragraph" w:styleId="889">
    <w:name w:val="Footer"/>
    <w:basedOn w:val="855"/>
    <w:link w:val="1055"/>
    <w:uiPriority w:val="0"/>
    <w:qFormat/>
    <w:pPr>
      <w:pBdr/>
      <w:tabs>
        <w:tab w:val="center" w:leader="none" w:pos="4419"/>
        <w:tab w:val="right" w:leader="none" w:pos="8838"/>
      </w:tabs>
      <w:spacing/>
      <w:ind/>
    </w:pPr>
  </w:style>
  <w:style w:type="paragraph" w:styleId="890">
    <w:name w:val="Caption"/>
    <w:basedOn w:val="855"/>
    <w:next w:val="855"/>
    <w:uiPriority w:val="35"/>
    <w:unhideWhenUsed/>
    <w:qFormat/>
    <w:pPr>
      <w:pBdr/>
      <w:spacing w:after="200" w:line="240" w:lineRule="auto"/>
      <w:ind/>
    </w:pPr>
    <w:rPr>
      <w:i/>
      <w:iCs/>
      <w:color w:val="1f497d" w:themeColor="text2"/>
      <w:sz w:val="18"/>
      <w:szCs w:val="18"/>
      <w14:textFill>
        <w14:solidFill>
          <w14:schemeClr w14:val="tx2"/>
        </w14:solidFill>
      </w14:textFill>
    </w:rPr>
  </w:style>
  <w:style w:type="paragraph" w:styleId="891">
    <w:name w:val="toc 7"/>
    <w:basedOn w:val="855"/>
    <w:next w:val="855"/>
    <w:uiPriority w:val="39"/>
    <w:unhideWhenUsed/>
    <w:qFormat/>
    <w:pPr>
      <w:pBdr/>
      <w:spacing w:after="100"/>
      <w:ind w:left="1320"/>
    </w:pPr>
  </w:style>
  <w:style w:type="paragraph" w:styleId="892">
    <w:name w:val="Body Text Indent 3"/>
    <w:basedOn w:val="855"/>
    <w:link w:val="1056"/>
    <w:uiPriority w:val="0"/>
    <w:qFormat/>
    <w:pPr>
      <w:pBdr/>
      <w:spacing/>
      <w:ind w:firstLine="1418"/>
      <w:jc w:val="both"/>
    </w:pPr>
    <w:rPr>
      <w:szCs w:val="20"/>
    </w:rPr>
  </w:style>
  <w:style w:type="paragraph" w:styleId="893">
    <w:name w:val="toc 3"/>
    <w:basedOn w:val="855"/>
    <w:next w:val="855"/>
    <w:uiPriority w:val="39"/>
    <w:unhideWhenUsed/>
    <w:qFormat/>
    <w:pPr>
      <w:pBdr/>
      <w:spacing w:after="100"/>
      <w:ind w:left="440"/>
    </w:pPr>
  </w:style>
  <w:style w:type="paragraph" w:styleId="894">
    <w:name w:val="Balloon Text"/>
    <w:basedOn w:val="855"/>
    <w:uiPriority w:val="0"/>
    <w:semiHidden/>
    <w:qFormat/>
    <w:pPr>
      <w:pBdr/>
      <w:spacing/>
      <w:ind/>
    </w:pPr>
    <w:rPr>
      <w:rFonts w:ascii="Tahoma" w:hAnsi="Tahoma" w:cs="Tahoma"/>
      <w:sz w:val="16"/>
      <w:szCs w:val="16"/>
    </w:rPr>
  </w:style>
  <w:style w:type="paragraph" w:styleId="895">
    <w:name w:val="Subtitle"/>
    <w:basedOn w:val="855"/>
    <w:next w:val="855"/>
    <w:link w:val="1035"/>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896">
    <w:name w:val="footnote text"/>
    <w:basedOn w:val="855"/>
    <w:link w:val="1047"/>
    <w:uiPriority w:val="99"/>
    <w:semiHidden/>
    <w:unhideWhenUsed/>
    <w:qFormat/>
    <w:pPr>
      <w:pBdr/>
      <w:spacing w:after="0" w:line="240" w:lineRule="auto"/>
      <w:ind/>
    </w:pPr>
    <w:rPr>
      <w:sz w:val="20"/>
      <w:szCs w:val="20"/>
    </w:rPr>
  </w:style>
  <w:style w:type="paragraph" w:styleId="897">
    <w:name w:val="toc 1"/>
    <w:basedOn w:val="855"/>
    <w:next w:val="855"/>
    <w:uiPriority w:val="39"/>
    <w:unhideWhenUsed/>
    <w:qFormat/>
    <w:pPr>
      <w:pBdr/>
      <w:spacing w:after="100"/>
      <w:ind/>
    </w:pPr>
  </w:style>
  <w:style w:type="paragraph" w:styleId="898">
    <w:name w:val="Body Text Indent"/>
    <w:basedOn w:val="855"/>
    <w:uiPriority w:val="0"/>
    <w:qFormat/>
    <w:pPr>
      <w:pBdr/>
      <w:spacing/>
      <w:ind w:left="708"/>
      <w:jc w:val="both"/>
    </w:pPr>
    <w:rPr>
      <w:sz w:val="22"/>
      <w:szCs w:val="20"/>
    </w:rPr>
  </w:style>
  <w:style w:type="table" w:styleId="899">
    <w:name w:val="Table Grid"/>
    <w:basedOn w:val="866"/>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Table Grid Light"/>
    <w:basedOn w:val="866"/>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Plain Table 1"/>
    <w:basedOn w:val="866"/>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Plain Table 2"/>
    <w:basedOn w:val="866"/>
    <w:uiPriority w:val="59"/>
    <w:qFormat/>
    <w:pPr>
      <w:pBdr/>
      <w:spacing w:after="0" w:line="240" w:lineRule="auto"/>
      <w:ind/>
    </w:pPr>
    <w:tblPr>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Plain Table 3"/>
    <w:basedOn w:val="866"/>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Plain Table 4"/>
    <w:basedOn w:val="866"/>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Plain Table 5"/>
    <w:basedOn w:val="866"/>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Grid Table 1 Light"/>
    <w:basedOn w:val="866"/>
    <w:uiPriority w:val="99"/>
    <w:qFormat/>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Grid Table 1 Light - Accent 1"/>
    <w:basedOn w:val="866"/>
    <w:uiPriority w:val="99"/>
    <w:qFormat/>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8b5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Grid Table 1 Light - Accent 2"/>
    <w:basedOn w:val="866"/>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Grid Table 1 Light - Accent 3"/>
    <w:basedOn w:val="866"/>
    <w:uiPriority w:val="99"/>
    <w:qFormat/>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e"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Grid Table 1 Light - Accent 4"/>
    <w:basedOn w:val="866"/>
    <w:uiPriority w:val="99"/>
    <w:qFormat/>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Grid Table 1 Light - Accent 5"/>
    <w:basedOn w:val="866"/>
    <w:uiPriority w:val="99"/>
    <w:qFormat/>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Grid Table 1 Light - Accent 6"/>
    <w:basedOn w:val="866"/>
    <w:uiPriority w:val="99"/>
    <w:qFormat/>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Grid Table 2"/>
    <w:basedOn w:val="866"/>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Grid Table 2 - Accent 1"/>
    <w:basedOn w:val="866"/>
    <w:uiPriority w:val="99"/>
    <w:qFormat/>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Grid Table 2 - Accent 2"/>
    <w:basedOn w:val="866"/>
    <w:uiPriority w:val="99"/>
    <w:qFormat/>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Grid Table 2 - Accent 3"/>
    <w:basedOn w:val="866"/>
    <w:uiPriority w:val="99"/>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Grid Table 2 - Accent 4"/>
    <w:basedOn w:val="866"/>
    <w:uiPriority w:val="99"/>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Grid Table 2 - Accent 5"/>
    <w:basedOn w:val="866"/>
    <w:uiPriority w:val="99"/>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Grid Table 2 - Accent 6"/>
    <w:basedOn w:val="866"/>
    <w:uiPriority w:val="99"/>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Grid Table 3"/>
    <w:basedOn w:val="866"/>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Grid Table 3 - Accent 1"/>
    <w:basedOn w:val="866"/>
    <w:uiPriority w:val="99"/>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Grid Table 3 - Accent 2"/>
    <w:basedOn w:val="866"/>
    <w:uiPriority w:val="99"/>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Grid Table 3 - Accent 3"/>
    <w:basedOn w:val="866"/>
    <w:uiPriority w:val="99"/>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Grid Table 3 - Accent 4"/>
    <w:basedOn w:val="866"/>
    <w:uiPriority w:val="99"/>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Grid Table 3 - Accent 5"/>
    <w:basedOn w:val="866"/>
    <w:uiPriority w:val="99"/>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Grid Table 3 - Accent 6"/>
    <w:basedOn w:val="866"/>
    <w:uiPriority w:val="99"/>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Grid Table 4"/>
    <w:basedOn w:val="866"/>
    <w:uiPriority w:val="59"/>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Grid Table 4 - Accent 1"/>
    <w:basedOn w:val="866"/>
    <w:uiPriority w:val="59"/>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b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Grid Table 4 - Accent 2"/>
    <w:basedOn w:val="866"/>
    <w:uiPriority w:val="59"/>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Grid Table 4 - Accent 3"/>
    <w:basedOn w:val="866"/>
    <w:uiPriority w:val="59"/>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Grid Table 4 - Accent 4"/>
    <w:basedOn w:val="866"/>
    <w:uiPriority w:val="59"/>
    <w:qFormat/>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Grid Table 4 - Accent 5"/>
    <w:basedOn w:val="866"/>
    <w:uiPriority w:val="59"/>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4 - Accent 6"/>
    <w:basedOn w:val="866"/>
    <w:uiPriority w:val="59"/>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5 Dark"/>
    <w:basedOn w:val="866"/>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5 Dark- Accent 1"/>
    <w:basedOn w:val="866"/>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ec5e0" w:themeColor="accent1" w:themeTint="75" w:fill="aec5e0" w:themeFill="accent1" w:themeFillTint="75"/>
        <w:tcBorders/>
      </w:tcPr>
    </w:tblStylePr>
    <w:tblStylePr w:type="band1Vert">
      <w:pPr>
        <w:pBdr/>
        <w:spacing/>
        <w:ind/>
      </w:pPr>
      <w:tblPr>
        <w:tblBorders/>
      </w:tblPr>
      <w:tcPr>
        <w:shd w:val="clear" w:color="aec5e0" w:themeColor="accent1" w:themeTint="75" w:fill="ae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5 Dark - Accent 2"/>
    <w:basedOn w:val="866"/>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5 Dark - Accent 3"/>
    <w:basedOn w:val="866"/>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1dfb2" w:themeColor="accent3" w:themeTint="75" w:fill="d1dfb2" w:themeFill="accent3" w:themeFillTint="75"/>
        <w:tcBorders/>
      </w:tcPr>
    </w:tblStylePr>
    <w:tblStylePr w:type="band1Vert">
      <w:pPr>
        <w:pBdr/>
        <w:spacing/>
        <w:ind/>
      </w:pPr>
      <w:tblPr>
        <w:tblBorders/>
      </w:tblPr>
      <w:tcPr>
        <w:shd w:val="clear" w:color="d1dfb2"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Grid Table 5 Dark- Accent 4"/>
    <w:basedOn w:val="866"/>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5 Dark - Accent 5"/>
    <w:basedOn w:val="866"/>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5 Dark - Accent 6"/>
    <w:basedOn w:val="866"/>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6 Colorful"/>
    <w:basedOn w:val="866"/>
    <w:uiPriority w:val="99"/>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6 Colorful - Accent 1"/>
    <w:basedOn w:val="866"/>
    <w:uiPriority w:val="99"/>
    <w:pPr>
      <w:pBdr/>
      <w:spacing w:after="0" w:line="240" w:lineRule="auto"/>
      <w:ind/>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7c0de" w:themeColor="accent1" w:themeTint="80"/>
        <w14:textFill>
          <w14:solidFill>
            <w14:schemeClr w14:val="accent1">
              <w14:lumMod w14:val="50000"/>
              <w14:lumOff w14:val="50000"/>
            </w14:schemeClr>
          </w14:solidFill>
        </w14:textFill>
      </w:rPr>
      <w:pPr>
        <w:pBdr/>
        <w:spacing/>
        <w:ind/>
      </w:pPr>
      <w:tblPr>
        <w:tblBorders/>
      </w:tbl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6 Colorful - Accent 2"/>
    <w:basedOn w:val="866"/>
    <w:uiPriority w:val="99"/>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6 Colorful - Accent 3"/>
    <w:basedOn w:val="866"/>
    <w:uiPriority w:val="99"/>
    <w:pPr>
      <w:pBdr/>
      <w:spacing w:after="0" w:line="240" w:lineRule="auto"/>
      <w:ind/>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9bbb59" w:themeColor="accent3" w:themeTint="FF"/>
        <w14:textFill>
          <w14:solidFill>
            <w14:schemeClr w14:val="accent3">
              <w14:lumMod w14:val="100000"/>
              <w14:lumOff w14:val="0"/>
            </w14:schemeClr>
          </w14:solidFill>
        </w14:textFill>
      </w:rPr>
      <w:pPr>
        <w:pBdr/>
        <w:spacing/>
        <w:ind/>
      </w:pPr>
      <w:tblPr>
        <w:tblBorders/>
      </w:tbl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Grid Table 6 Colorful - Accent 4"/>
    <w:basedOn w:val="866"/>
    <w:uiPriority w:val="99"/>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Grid Table 6 Colorful - Accent 5"/>
    <w:basedOn w:val="866"/>
    <w:uiPriority w:val="99"/>
    <w:pPr>
      <w:pBdr/>
      <w:spacing w:after="0" w:line="240" w:lineRule="auto"/>
      <w:ind/>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4bacc6" w:themeColor="accent5"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Grid Table 6 Colorful - Accent 6"/>
    <w:basedOn w:val="866"/>
    <w:uiPriority w:val="99"/>
    <w:pPr>
      <w:pBdr/>
      <w:spacing w:after="0" w:line="240" w:lineRule="auto"/>
      <w:ind/>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8" w:themeColor="accent5"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f79646" w:themeColor="accent6"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Grid Table 7 Colorful"/>
    <w:basedOn w:val="866"/>
    <w:uiPriority w:val="99"/>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Grid Table 7 Colorful - Accent 1"/>
    <w:basedOn w:val="866"/>
    <w:uiPriority w:val="99"/>
    <w:pPr>
      <w:pBdr/>
      <w:spacing w:after="0" w:line="240" w:lineRule="auto"/>
      <w:ind/>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Grid Table 7 Colorful - Accent 2"/>
    <w:basedOn w:val="866"/>
    <w:uiPriority w:val="99"/>
    <w:pPr>
      <w:pBdr/>
      <w:spacing w:after="0" w:line="240" w:lineRule="auto"/>
      <w:ind/>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Grid Table 7 Colorful - Accent 3"/>
    <w:basedOn w:val="866"/>
    <w:uiPriority w:val="99"/>
    <w:pPr>
      <w:pBdr/>
      <w:spacing w:after="0" w:line="240" w:lineRule="auto"/>
      <w:ind/>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Grid Table 7 Colorful - Accent 4"/>
    <w:basedOn w:val="866"/>
    <w:uiPriority w:val="99"/>
    <w:pPr>
      <w:pBdr/>
      <w:spacing w:after="0" w:line="240" w:lineRule="auto"/>
      <w:ind/>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Grid Table 7 Colorful - Accent 5"/>
    <w:basedOn w:val="866"/>
    <w:uiPriority w:val="99"/>
    <w:pPr>
      <w:pBdr/>
      <w:spacing w:after="0" w:line="240" w:lineRule="auto"/>
      <w:ind/>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8"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pPr>
        <w:pBdr/>
        <w:spacing/>
        <w:ind/>
      </w:pPr>
      <w:tblPr>
        <w:tblBorders/>
      </w:tbl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pPr>
        <w:pBdr/>
        <w:spacing/>
        <w:ind/>
      </w:pPr>
      <w:tblPr>
        <w:tblBorders/>
      </w:tbl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Grid Table 7 Colorful - Accent 6"/>
    <w:basedOn w:val="866"/>
    <w:uiPriority w:val="99"/>
    <w:pPr>
      <w:pBdr/>
      <w:spacing w:after="0" w:line="240" w:lineRule="auto"/>
      <w:ind/>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05408" w:themeColor="accent6"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b05408"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408"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pPr>
        <w:pBdr/>
        <w:spacing/>
        <w:ind/>
      </w:pPr>
      <w:tblPr>
        <w:tblBorders/>
      </w:tbl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pPr>
        <w:pBdr/>
        <w:spacing/>
        <w:ind/>
      </w:pPr>
      <w:tblPr>
        <w:tblBorders/>
      </w:tbl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List Table 1 Light"/>
    <w:basedOn w:val="866"/>
    <w:uiPriority w:val="99"/>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List Table 1 Light - Accent 1"/>
    <w:basedOn w:val="866"/>
    <w:uiPriority w:val="99"/>
    <w:pPr>
      <w:pBdr/>
      <w:spacing w:after="0" w:line="240" w:lineRule="auto"/>
      <w:ind/>
    </w:pPr>
    <w:tblPr>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List Table 1 Light - Accent 2"/>
    <w:basedOn w:val="866"/>
    <w:uiPriority w:val="99"/>
    <w:pPr>
      <w:pBdr/>
      <w:spacing w:after="0" w:line="240" w:lineRule="auto"/>
      <w:ind/>
    </w:pPr>
    <w:tblPr>
      <w:tblBorders/>
    </w:tblPr>
    <w:tcPr>
      <w:tcBorders/>
    </w:tcPr>
    <w:tblStylePr w:type="band1Horz">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List Table 1 Light - Accent 3"/>
    <w:basedOn w:val="866"/>
    <w:uiPriority w:val="99"/>
    <w:pPr>
      <w:pBdr/>
      <w:spacing w:after="0" w:line="240" w:lineRule="auto"/>
      <w:ind/>
    </w:pPr>
    <w:tblPr>
      <w:tblBorders/>
    </w:tblPr>
    <w:tcPr>
      <w:tcBorders/>
    </w:tcPr>
    <w:tblStylePr w:type="band1Horz">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List Table 1 Light - Accent 4"/>
    <w:basedOn w:val="866"/>
    <w:uiPriority w:val="99"/>
    <w:pPr>
      <w:pBdr/>
      <w:spacing w:after="0" w:line="240" w:lineRule="auto"/>
      <w:ind/>
    </w:pPr>
    <w:tblPr>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List Table 1 Light - Accent 5"/>
    <w:basedOn w:val="866"/>
    <w:uiPriority w:val="99"/>
    <w:pPr>
      <w:pBdr/>
      <w:spacing w:after="0" w:line="240" w:lineRule="auto"/>
      <w:ind/>
    </w:pPr>
    <w:tblPr>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List Table 1 Light - Accent 6"/>
    <w:basedOn w:val="866"/>
    <w:uiPriority w:val="99"/>
    <w:pPr>
      <w:pBdr/>
      <w:spacing w:after="0" w:line="240" w:lineRule="auto"/>
      <w:ind/>
    </w:pPr>
    <w:tblPr>
      <w:tblBorders/>
    </w:tblPr>
    <w:tcPr>
      <w:tcBorders/>
    </w:tcPr>
    <w:tblStylePr w:type="band1Horz">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List Table 2"/>
    <w:basedOn w:val="866"/>
    <w:uiPriority w:val="99"/>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List Table 2 - Accent 1"/>
    <w:basedOn w:val="866"/>
    <w:uiPriority w:val="99"/>
    <w:pPr>
      <w:pBdr/>
      <w:spacing w:after="0" w:line="240" w:lineRule="auto"/>
      <w:ind/>
    </w:pPr>
    <w:tblPr>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List Table 2 - Accent 2"/>
    <w:basedOn w:val="866"/>
    <w:uiPriority w:val="99"/>
    <w:pPr>
      <w:pBdr/>
      <w:spacing w:after="0" w:line="240" w:lineRule="auto"/>
      <w:ind/>
    </w:pPr>
    <w:tblPr>
      <w:tblBorders>
        <w:top w:val="single" w:color="db9c9a" w:themeColor="accent2" w:themeTint="90" w:sz="4" w:space="0"/>
        <w:bottom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List Table 2 - Accent 3"/>
    <w:basedOn w:val="866"/>
    <w:uiPriority w:val="99"/>
    <w:pPr>
      <w:pBdr/>
      <w:spacing w:after="0" w:line="240" w:lineRule="auto"/>
      <w:ind/>
    </w:pPr>
    <w:tblPr>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List Table 2 - Accent 4"/>
    <w:basedOn w:val="866"/>
    <w:uiPriority w:val="99"/>
    <w:pPr>
      <w:pBdr/>
      <w:spacing w:after="0" w:line="240" w:lineRule="auto"/>
      <w:ind/>
    </w:pPr>
    <w:tblPr>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List Table 2 - Accent 5"/>
    <w:basedOn w:val="866"/>
    <w:uiPriority w:val="99"/>
    <w:pPr>
      <w:pBdr/>
      <w:spacing w:after="0" w:line="240" w:lineRule="auto"/>
      <w:ind/>
    </w:pPr>
    <w:tblPr>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List Table 2 - Accent 6"/>
    <w:basedOn w:val="866"/>
    <w:uiPriority w:val="99"/>
    <w:pPr>
      <w:pBdr/>
      <w:spacing w:after="0" w:line="240" w:lineRule="auto"/>
      <w:ind/>
    </w:pPr>
    <w:tblPr>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List Table 3"/>
    <w:basedOn w:val="866"/>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st Table 3 - Accent 1"/>
    <w:basedOn w:val="866"/>
    <w:uiPriority w:val="99"/>
    <w:pPr>
      <w:pBdr/>
      <w:spacing w:after="0" w:line="240" w:lineRule="auto"/>
      <w:ind/>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3 - Accent 2"/>
    <w:basedOn w:val="866"/>
    <w:uiPriority w:val="99"/>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pPr>
        <w:pBdr/>
        <w:spacing/>
        <w:ind/>
      </w:pPr>
      <w:tblPr>
        <w:tblBorders/>
      </w:tblPr>
      <w:tcPr>
        <w:tcBorders>
          <w:left w:val="single" w:color="d99795" w:themeColor="accent2" w:themeTint="97" w:sz="4" w:space="0"/>
          <w:right w:val="single" w:color="d997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3 - Accent 3"/>
    <w:basedOn w:val="866"/>
    <w:uiPriority w:val="99"/>
    <w:pPr>
      <w:pBdr/>
      <w:spacing w:after="0" w:line="240" w:lineRule="auto"/>
      <w:ind/>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pPr>
        <w:pBdr/>
        <w:spacing/>
        <w:ind/>
      </w:pPr>
      <w:tblPr>
        <w:tblBorders/>
      </w:tblPr>
      <w:tcPr>
        <w:tcBorders>
          <w:left w:val="single" w:color="c3d69c" w:themeColor="accent3" w:themeTint="98" w:sz="4" w:space="0"/>
          <w:right w:val="single" w:color="c3d69c"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c"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st Table 3 - Accent 4"/>
    <w:basedOn w:val="866"/>
    <w:uiPriority w:val="99"/>
    <w:qFormat/>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3 - Accent 5"/>
    <w:basedOn w:val="866"/>
    <w:uiPriority w:val="99"/>
    <w:pPr>
      <w:pBdr/>
      <w:spacing w:after="0" w:line="240" w:lineRule="auto"/>
      <w:ind/>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3 - Accent 6"/>
    <w:basedOn w:val="866"/>
    <w:uiPriority w:val="99"/>
    <w:pPr>
      <w:pBdr/>
      <w:spacing w:after="0" w:line="240" w:lineRule="auto"/>
      <w:ind/>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4"/>
    <w:basedOn w:val="866"/>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4 - Accent 1"/>
    <w:basedOn w:val="866"/>
    <w:uiPriority w:val="99"/>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st Table 4 - Accent 2"/>
    <w:basedOn w:val="866"/>
    <w:uiPriority w:val="99"/>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st Table 4 - Accent 3"/>
    <w:basedOn w:val="866"/>
    <w:uiPriority w:val="99"/>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List Table 4 - Accent 4"/>
    <w:basedOn w:val="866"/>
    <w:uiPriority w:val="99"/>
    <w:qFormat/>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st Table 4 - Accent 5"/>
    <w:basedOn w:val="866"/>
    <w:uiPriority w:val="99"/>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4 - Accent 6"/>
    <w:basedOn w:val="866"/>
    <w:uiPriority w:val="99"/>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5 Dark"/>
    <w:basedOn w:val="866"/>
    <w:uiPriority w:val="99"/>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5 Dark - Accent 1"/>
    <w:basedOn w:val="866"/>
    <w:uiPriority w:val="99"/>
    <w:qFormat/>
    <w:pPr>
      <w:pBdr/>
      <w:spacing w:after="0" w:line="240" w:lineRule="auto"/>
      <w:ind/>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5 Dark - Accent 2"/>
    <w:basedOn w:val="866"/>
    <w:uiPriority w:val="99"/>
    <w:pPr>
      <w:pBdr/>
      <w:spacing w:after="0" w:line="240" w:lineRule="auto"/>
      <w:ind/>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cPr>
      <w:tcBorders/>
    </w:tcPr>
    <w:tblStylePr w:type="band1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5 Dark - Accent 3"/>
    <w:basedOn w:val="866"/>
    <w:uiPriority w:val="99"/>
    <w:qFormat/>
    <w:pPr>
      <w:pBdr/>
      <w:spacing w:after="0" w:line="240" w:lineRule="auto"/>
      <w:ind/>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cPr>
      <w:tcBorders/>
    </w:tcPr>
    <w:tblStylePr w:type="band1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List Table 5 Dark - Accent 4"/>
    <w:basedOn w:val="866"/>
    <w:uiPriority w:val="99"/>
    <w:pPr>
      <w:pBdr/>
      <w:spacing w:after="0" w:line="240" w:lineRule="auto"/>
      <w:ind/>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5 Dark - Accent 5"/>
    <w:basedOn w:val="866"/>
    <w:uiPriority w:val="99"/>
    <w:pPr>
      <w:pBdr/>
      <w:spacing w:after="0" w:line="240" w:lineRule="auto"/>
      <w:ind/>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5 Dark - Accent 6"/>
    <w:basedOn w:val="866"/>
    <w:uiPriority w:val="99"/>
    <w:pPr>
      <w:pBdr/>
      <w:spacing w:after="0" w:line="240" w:lineRule="auto"/>
      <w:ind/>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6 Colorful"/>
    <w:basedOn w:val="866"/>
    <w:uiPriority w:val="99"/>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6 Colorful - Accent 1"/>
    <w:basedOn w:val="866"/>
    <w:uiPriority w:val="99"/>
    <w:pPr>
      <w:pBdr/>
      <w:spacing w:after="0" w:line="240" w:lineRule="auto"/>
      <w:ind/>
    </w:pPr>
    <w:tblPr>
      <w:tblBorders>
        <w:top w:val="single" w:color="4f81bd" w:themeColor="accent1" w:sz="4" w:space="0"/>
        <w:bottom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4"/>
      </w:rPr>
      <w:pPr>
        <w:pBdr/>
        <w:spacing/>
        <w:ind/>
      </w:pPr>
      <w:tblPr>
        <w:tblBorders/>
      </w:tblPr>
      <w:tcPr>
        <w:tcBorders/>
      </w:tcPr>
    </w:tblStylePr>
    <w:tblStylePr w:type="firstRow">
      <w:rPr>
        <w:b/>
        <w:color w:val="2a4b71" w:themeColor="accent1" w:themeShade="94"/>
      </w:rPr>
      <w:pPr>
        <w:pBdr/>
        <w:spacing/>
        <w:ind/>
      </w:pPr>
      <w:tblPr>
        <w:tblBorders/>
      </w:tblPr>
      <w:tcPr>
        <w:tcBorders>
          <w:bottom w:val="single" w:color="4f81bd" w:themeColor="accent1" w:sz="4" w:space="0"/>
        </w:tcBorders>
      </w:tcPr>
    </w:tblStylePr>
    <w:tblStylePr w:type="lastCol">
      <w:rPr>
        <w:b/>
        <w:color w:val="2a4b71" w:themeColor="accent1" w:themeShade="94"/>
      </w:rPr>
      <w:pPr>
        <w:pBdr/>
        <w:spacing/>
        <w:ind/>
      </w:pPr>
      <w:tblPr>
        <w:tblBorders/>
      </w:tblPr>
      <w:tcPr>
        <w:tcBorders/>
      </w:tcPr>
    </w:tblStylePr>
    <w:tblStylePr w:type="lastRow">
      <w:rPr>
        <w:b/>
        <w:color w:val="2a4b71" w:themeColor="accent1" w:themeShade="94"/>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6 Colorful - Accent 2"/>
    <w:basedOn w:val="866"/>
    <w:uiPriority w:val="99"/>
    <w:qFormat/>
    <w:pPr>
      <w:pBdr/>
      <w:spacing w:after="0" w:line="240" w:lineRule="auto"/>
      <w:ind/>
    </w:pPr>
    <w:tblPr>
      <w:tblBorders>
        <w:top w:val="single" w:color="d99795" w:themeColor="accent2" w:themeTint="97" w:sz="4" w:space="0"/>
        <w:bottom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6 Colorful - Accent 3"/>
    <w:basedOn w:val="866"/>
    <w:uiPriority w:val="99"/>
    <w:pPr>
      <w:pBdr/>
      <w:spacing w:after="0" w:line="240" w:lineRule="auto"/>
      <w:ind/>
    </w:pPr>
    <w:tblPr>
      <w:tblBorders>
        <w:top w:val="single" w:color="c3d69c" w:themeColor="accent3" w:themeTint="98" w:sz="4" w:space="0"/>
        <w:bottom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3d69b" w:themeColor="accent3" w:themeTint="99"/>
        <w14:textFill>
          <w14:solidFill>
            <w14:schemeClr w14:val="accent3">
              <w14:lumMod w14:val="60000"/>
              <w14:lumOff w14:val="40000"/>
            </w14:schemeClr>
          </w14:solidFill>
        </w14:textFill>
      </w:rPr>
      <w:pPr>
        <w:pBdr/>
        <w:spacing/>
        <w:ind/>
      </w:pPr>
      <w:tblPr>
        <w:tblBorders/>
      </w:tbl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3d69b" w:themeColor="accent3" w:themeTint="99"/>
        <w14:textFill>
          <w14:solidFill>
            <w14:schemeClr w14:val="accent3">
              <w14:lumMod w14:val="60000"/>
              <w14:lumOff w14:val="40000"/>
            </w14:schemeClr>
          </w14:solidFill>
        </w14:textFill>
      </w:rPr>
      <w:pPr>
        <w:pBdr/>
        <w:spacing/>
        <w:ind/>
      </w:pPr>
      <w:tblPr>
        <w:tblBorders/>
      </w:tblPr>
      <w:tcPr>
        <w:tcBorders>
          <w:top w:val="single" w:color="c3d69c"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st Table 6 Colorful - Accent 4"/>
    <w:basedOn w:val="866"/>
    <w:uiPriority w:val="99"/>
    <w:pPr>
      <w:pBdr/>
      <w:spacing w:after="0" w:line="240" w:lineRule="auto"/>
      <w:ind/>
    </w:pPr>
    <w:tblPr>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st Table 6 Colorful - Accent 5"/>
    <w:basedOn w:val="866"/>
    <w:uiPriority w:val="99"/>
    <w:pPr>
      <w:pBdr/>
      <w:spacing w:after="0" w:line="240" w:lineRule="auto"/>
      <w:ind/>
    </w:pPr>
    <w:tblPr>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93cddd" w:themeColor="accent5" w:themeTint="99"/>
        <w14:textFill>
          <w14:solidFill>
            <w14:schemeClr w14:val="accent5">
              <w14:lumMod w14:val="60000"/>
              <w14:lumOff w14:val="40000"/>
            </w14:schemeClr>
          </w14:solidFill>
        </w14:textFill>
      </w:rPr>
      <w:pPr>
        <w:pBdr/>
        <w:spacing/>
        <w:ind/>
      </w:pPr>
      <w:tblPr>
        <w:tblBorders/>
      </w:tbl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93cddd" w:themeColor="accent5" w:themeTint="99"/>
        <w14:textFill>
          <w14:solidFill>
            <w14:schemeClr w14:val="accent5">
              <w14:lumMod w14:val="60000"/>
              <w14:lumOff w14:val="40000"/>
            </w14:schemeClr>
          </w14:solidFill>
        </w14:textFill>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st Table 6 Colorful - Accent 6"/>
    <w:basedOn w:val="866"/>
    <w:uiPriority w:val="99"/>
    <w:pPr>
      <w:pBdr/>
      <w:spacing w:after="0" w:line="240" w:lineRule="auto"/>
      <w:ind/>
    </w:pPr>
    <w:tblPr>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fac090" w:themeColor="accent6" w:themeTint="99"/>
        <w14:textFill>
          <w14:solidFill>
            <w14:schemeClr w14:val="accent6">
              <w14:lumMod w14:val="60000"/>
              <w14:lumOff w14:val="40000"/>
            </w14:schemeClr>
          </w14:solidFill>
        </w14:textFill>
      </w:rPr>
      <w:pPr>
        <w:pBdr/>
        <w:spacing/>
        <w:ind/>
      </w:pPr>
      <w:tblPr>
        <w:tblBorders/>
      </w:tbl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fac090" w:themeColor="accent6" w:themeTint="99"/>
        <w14:textFill>
          <w14:solidFill>
            <w14:schemeClr w14:val="accent6">
              <w14:lumMod w14:val="60000"/>
              <w14:lumOff w14:val="40000"/>
            </w14:schemeClr>
          </w14:solidFill>
        </w14:textFill>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st Table 7 Colorful"/>
    <w:basedOn w:val="866"/>
    <w:uiPriority w:val="99"/>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st Table 7 Colorful - Accent 1"/>
    <w:basedOn w:val="866"/>
    <w:uiPriority w:val="99"/>
    <w:pPr>
      <w:pBdr/>
      <w:spacing w:after="0" w:line="240" w:lineRule="auto"/>
      <w:ind/>
    </w:pPr>
    <w:tblPr>
      <w:tblBorders>
        <w:right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pPr>
        <w:pBdr/>
        <w:spacing/>
        <w:ind/>
      </w:pPr>
      <w:tblPr>
        <w:tblBorders/>
      </w:tbl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pPr>
        <w:pBdr/>
        <w:spacing/>
        <w:ind/>
      </w:pPr>
      <w:tblPr>
        <w:tblBorders/>
      </w:tbl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st Table 7 Colorful - Accent 2"/>
    <w:basedOn w:val="866"/>
    <w:uiPriority w:val="99"/>
    <w:qFormat/>
    <w:pPr>
      <w:pBdr/>
      <w:spacing w:after="0" w:line="240" w:lineRule="auto"/>
      <w:ind/>
    </w:pPr>
    <w:tblPr>
      <w:tblBorders>
        <w:right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st Table 7 Colorful - Accent 3"/>
    <w:basedOn w:val="866"/>
    <w:uiPriority w:val="99"/>
    <w:pPr>
      <w:pBdr/>
      <w:spacing w:after="0" w:line="240" w:lineRule="auto"/>
      <w:ind/>
    </w:pPr>
    <w:tblPr>
      <w:tblBorders>
        <w:right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st Table 7 Colorful - Accent 4"/>
    <w:basedOn w:val="866"/>
    <w:uiPriority w:val="99"/>
    <w:qFormat/>
    <w:pPr>
      <w:pBdr/>
      <w:spacing w:after="0" w:line="240" w:lineRule="auto"/>
      <w:ind/>
    </w:pPr>
    <w:tblPr>
      <w:tblBorders>
        <w:right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List Table 7 Colorful - Accent 5"/>
    <w:basedOn w:val="866"/>
    <w:uiPriority w:val="99"/>
    <w:qFormat/>
    <w:pPr>
      <w:pBdr/>
      <w:spacing w:after="0" w:line="240" w:lineRule="auto"/>
      <w:ind/>
    </w:pPr>
    <w:tblPr>
      <w:tblBorders>
        <w:right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List Table 7 Colorful - Accent 6"/>
    <w:basedOn w:val="866"/>
    <w:uiPriority w:val="99"/>
    <w:qFormat/>
    <w:pPr>
      <w:pBdr/>
      <w:spacing w:after="0" w:line="240" w:lineRule="auto"/>
      <w:ind/>
    </w:pPr>
    <w:tblPr>
      <w:tblBorders>
        <w:right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Lined - Accent"/>
    <w:basedOn w:val="866"/>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Lined - Accent 1"/>
    <w:basedOn w:val="866"/>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Lined - Accent 2"/>
    <w:basedOn w:val="866"/>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Lined - Accent 3"/>
    <w:basedOn w:val="866"/>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Lined - Accent 4"/>
    <w:basedOn w:val="866"/>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Lined - Accent 5"/>
    <w:basedOn w:val="866"/>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Lined - Accent 6"/>
    <w:basedOn w:val="866"/>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Bordered &amp; Lined - Accent"/>
    <w:basedOn w:val="866"/>
    <w:uiPriority w:val="99"/>
    <w:qFormat/>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Bordered &amp; Lined - Accent 1"/>
    <w:basedOn w:val="866"/>
    <w:uiPriority w:val="99"/>
    <w:qFormat/>
    <w:pPr>
      <w:pBdr/>
      <w:spacing w:after="0" w:line="240" w:lineRule="auto"/>
      <w:ind/>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Bordered &amp; Lined - Accent 2"/>
    <w:basedOn w:val="866"/>
    <w:uiPriority w:val="99"/>
    <w:qFormat/>
    <w:pPr>
      <w:pBdr/>
      <w:spacing w:after="0" w:line="240" w:lineRule="auto"/>
      <w:ind/>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Bordered &amp; Lined - Accent 3"/>
    <w:basedOn w:val="866"/>
    <w:uiPriority w:val="99"/>
    <w:qFormat/>
    <w:pPr>
      <w:pBdr/>
      <w:spacing w:after="0" w:line="240" w:lineRule="auto"/>
      <w:ind/>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Bordered &amp; Lined - Accent 4"/>
    <w:basedOn w:val="866"/>
    <w:uiPriority w:val="99"/>
    <w:qFormat/>
    <w:pPr>
      <w:pBdr/>
      <w:spacing w:after="0" w:line="240" w:lineRule="auto"/>
      <w:ind/>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Bordered &amp; Lined - Accent 5"/>
    <w:basedOn w:val="866"/>
    <w:uiPriority w:val="99"/>
    <w:qFormat/>
    <w:pPr>
      <w:pBdr/>
      <w:spacing w:after="0" w:line="240" w:lineRule="auto"/>
      <w:ind/>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Bordered &amp; Lined - Accent 6"/>
    <w:basedOn w:val="866"/>
    <w:uiPriority w:val="99"/>
    <w:qFormat/>
    <w:pPr>
      <w:pBdr/>
      <w:spacing w:after="0" w:line="240" w:lineRule="auto"/>
      <w:ind/>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Bordered"/>
    <w:basedOn w:val="866"/>
    <w:uiPriority w:val="99"/>
    <w:qFormat/>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Bordered - Accent 1"/>
    <w:basedOn w:val="866"/>
    <w:uiPriority w:val="99"/>
    <w:qFormat/>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Bordered - Accent 2"/>
    <w:basedOn w:val="866"/>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795" w:themeColor="accent2" w:themeTint="97" w:sz="12" w:space="0"/>
        </w:tcBorders>
      </w:tcPr>
    </w:tblStylePr>
    <w:tblStylePr w:type="lastCol">
      <w:rPr>
        <w:rFonts w:ascii="Arial" w:hAnsi="Arial"/>
        <w:color w:val="404040"/>
        <w:sz w:val="22"/>
      </w:rPr>
      <w:pPr>
        <w:pBdr/>
        <w:spacing/>
        <w:ind/>
      </w:pPr>
      <w:tblPr>
        <w:tblBorders/>
      </w:tblPr>
      <w:tcPr>
        <w:tcBorders>
          <w:left w:val="single" w:color="d99795" w:themeColor="accent2" w:themeTint="97" w:sz="12" w:space="0"/>
        </w:tcBorders>
      </w:tcPr>
    </w:tblStylePr>
    <w:tblStylePr w:type="lastRow">
      <w:rPr>
        <w:rFonts w:ascii="Arial" w:hAnsi="Arial"/>
        <w:color w:val="404040"/>
        <w:sz w:val="22"/>
      </w:rPr>
      <w:pPr>
        <w:pBdr/>
        <w:spacing/>
        <w:ind/>
      </w:pPr>
      <w:tblPr>
        <w:tblBorders/>
      </w:tblPr>
      <w:tcPr>
        <w:tcBorders>
          <w:top w:val="single" w:color="d997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Bordered - Accent 3"/>
    <w:basedOn w:val="866"/>
    <w:uiPriority w:val="99"/>
    <w:qFormat/>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c" w:themeColor="accent3" w:themeTint="98" w:sz="12" w:space="0"/>
        </w:tcBorders>
      </w:tcPr>
    </w:tblStylePr>
    <w:tblStylePr w:type="lastCol">
      <w:rPr>
        <w:rFonts w:ascii="Arial" w:hAnsi="Arial"/>
        <w:color w:val="404040"/>
        <w:sz w:val="22"/>
      </w:rPr>
      <w:pPr>
        <w:pBdr/>
        <w:spacing/>
        <w:ind/>
      </w:pPr>
      <w:tblPr>
        <w:tblBorders/>
      </w:tblPr>
      <w:tcPr>
        <w:tcBorders>
          <w:left w:val="single" w:color="c3d69c" w:themeColor="accent3" w:themeTint="98" w:sz="12" w:space="0"/>
        </w:tcBorders>
      </w:tcPr>
    </w:tblStylePr>
    <w:tblStylePr w:type="lastRow">
      <w:rPr>
        <w:rFonts w:ascii="Arial" w:hAnsi="Arial"/>
        <w:color w:val="404040"/>
        <w:sz w:val="22"/>
      </w:rPr>
      <w:pPr>
        <w:pBdr/>
        <w:spacing/>
        <w:ind/>
      </w:pPr>
      <w:tblPr>
        <w:tblBorders/>
      </w:tblPr>
      <w:tcPr>
        <w:tcBorders>
          <w:top w:val="single" w:color="c3d69c"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Bordered - Accent 4"/>
    <w:basedOn w:val="866"/>
    <w:uiPriority w:val="99"/>
    <w:qFormat/>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Bordered - Accent 5"/>
    <w:basedOn w:val="866"/>
    <w:uiPriority w:val="99"/>
    <w:qFormat/>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Bordered - Accent 6"/>
    <w:basedOn w:val="866"/>
    <w:uiPriority w:val="99"/>
    <w:qFormat/>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25" w:customStyle="1">
    <w:name w:val="Heading 1 Char"/>
    <w:basedOn w:val="865"/>
    <w:uiPriority w:val="9"/>
    <w:qFormat/>
    <w:pPr>
      <w:pBdr/>
      <w:spacing/>
      <w:ind/>
    </w:pPr>
    <w:rPr>
      <w:rFonts w:ascii="Arial" w:hAnsi="Arial" w:eastAsia="Arial" w:cs="Arial"/>
      <w:color w:val="376092" w:themeColor="accent1" w:themeShade="BF"/>
      <w:sz w:val="40"/>
      <w:szCs w:val="40"/>
    </w:rPr>
  </w:style>
  <w:style w:type="character" w:styleId="1026" w:customStyle="1">
    <w:name w:val="Heading 2 Char"/>
    <w:basedOn w:val="865"/>
    <w:uiPriority w:val="9"/>
    <w:qFormat/>
    <w:pPr>
      <w:pBdr/>
      <w:spacing/>
      <w:ind/>
    </w:pPr>
    <w:rPr>
      <w:rFonts w:ascii="Arial" w:hAnsi="Arial" w:eastAsia="Arial" w:cs="Arial"/>
      <w:color w:val="376092" w:themeColor="accent1" w:themeShade="BF"/>
      <w:sz w:val="32"/>
      <w:szCs w:val="32"/>
    </w:rPr>
  </w:style>
  <w:style w:type="character" w:styleId="1027" w:customStyle="1">
    <w:name w:val="Heading 3 Char"/>
    <w:basedOn w:val="865"/>
    <w:uiPriority w:val="9"/>
    <w:qFormat/>
    <w:pPr>
      <w:pBdr/>
      <w:spacing/>
      <w:ind/>
    </w:pPr>
    <w:rPr>
      <w:rFonts w:ascii="Arial" w:hAnsi="Arial" w:eastAsia="Arial" w:cs="Arial"/>
      <w:color w:val="376092" w:themeColor="accent1" w:themeShade="BF"/>
      <w:sz w:val="28"/>
      <w:szCs w:val="28"/>
    </w:rPr>
  </w:style>
  <w:style w:type="character" w:styleId="1028" w:customStyle="1">
    <w:name w:val="Heading 4 Char"/>
    <w:basedOn w:val="865"/>
    <w:uiPriority w:val="9"/>
    <w:qFormat/>
    <w:pPr>
      <w:pBdr/>
      <w:spacing/>
      <w:ind/>
    </w:pPr>
    <w:rPr>
      <w:rFonts w:ascii="Arial" w:hAnsi="Arial" w:eastAsia="Arial" w:cs="Arial"/>
      <w:i/>
      <w:iCs/>
      <w:color w:val="376092" w:themeColor="accent1" w:themeShade="BF"/>
    </w:rPr>
  </w:style>
  <w:style w:type="character" w:styleId="1029" w:customStyle="1">
    <w:name w:val="Heading 5 Char"/>
    <w:basedOn w:val="865"/>
    <w:uiPriority w:val="9"/>
    <w:qFormat/>
    <w:pPr>
      <w:pBdr/>
      <w:spacing/>
      <w:ind/>
    </w:pPr>
    <w:rPr>
      <w:rFonts w:ascii="Arial" w:hAnsi="Arial" w:eastAsia="Arial" w:cs="Arial"/>
      <w:color w:val="376092" w:themeColor="accent1" w:themeShade="BF"/>
    </w:rPr>
  </w:style>
  <w:style w:type="character" w:styleId="1030" w:customStyle="1">
    <w:name w:val="Heading 6 Char"/>
    <w:basedOn w:val="865"/>
    <w:uiPriority w:val="9"/>
    <w:qFormat/>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31" w:customStyle="1">
    <w:name w:val="Heading 7 Char"/>
    <w:basedOn w:val="865"/>
    <w:link w:val="862"/>
    <w:uiPriority w:val="9"/>
    <w:qFormat/>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32" w:customStyle="1">
    <w:name w:val="Heading 8 Char"/>
    <w:basedOn w:val="865"/>
    <w:link w:val="863"/>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33" w:customStyle="1">
    <w:name w:val="Heading 9 Char"/>
    <w:basedOn w:val="865"/>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34" w:customStyle="1">
    <w:name w:val="Title Char"/>
    <w:basedOn w:val="865"/>
    <w:uiPriority w:val="10"/>
    <w:qFormat/>
    <w:pPr>
      <w:pBdr/>
      <w:spacing/>
      <w:ind/>
    </w:pPr>
    <w:rPr>
      <w:rFonts w:ascii="Arial" w:hAnsi="Arial" w:eastAsia="Arial" w:cs="Arial"/>
      <w:spacing w:val="-10"/>
      <w:sz w:val="56"/>
      <w:szCs w:val="56"/>
    </w:rPr>
  </w:style>
  <w:style w:type="character" w:styleId="1035" w:customStyle="1">
    <w:name w:val="Subtitle Char"/>
    <w:basedOn w:val="865"/>
    <w:link w:val="895"/>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036">
    <w:name w:val="Quote"/>
    <w:basedOn w:val="855"/>
    <w:next w:val="855"/>
    <w:link w:val="1037"/>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037" w:customStyle="1">
    <w:name w:val="Quote Char"/>
    <w:basedOn w:val="865"/>
    <w:link w:val="1036"/>
    <w:uiPriority w:val="29"/>
    <w:qFormat/>
    <w:pPr>
      <w:pBdr/>
      <w:spacing/>
      <w:ind/>
    </w:pPr>
    <w:rPr>
      <w:i/>
      <w:iCs/>
      <w:color w:val="404040" w:themeColor="text1" w:themeTint="BF"/>
      <w14:textFill>
        <w14:solidFill>
          <w14:schemeClr w14:val="tx1">
            <w14:lumMod w14:val="75000"/>
            <w14:lumOff w14:val="25000"/>
          </w14:schemeClr>
        </w14:solidFill>
      </w14:textFill>
    </w:rPr>
  </w:style>
  <w:style w:type="character" w:styleId="1038" w:customStyle="1">
    <w:name w:val="Intense Emphasis"/>
    <w:basedOn w:val="865"/>
    <w:uiPriority w:val="21"/>
    <w:qFormat/>
    <w:pPr>
      <w:pBdr/>
      <w:spacing/>
      <w:ind/>
    </w:pPr>
    <w:rPr>
      <w:i/>
      <w:iCs/>
      <w:color w:val="376092" w:themeColor="accent1" w:themeShade="BF"/>
    </w:rPr>
  </w:style>
  <w:style w:type="paragraph" w:styleId="1039">
    <w:name w:val="Intense Quote"/>
    <w:basedOn w:val="855"/>
    <w:next w:val="855"/>
    <w:link w:val="1040"/>
    <w:uiPriority w:val="30"/>
    <w:qFormat/>
    <w:pPr>
      <w:pBdr>
        <w:top w:val="single" w:color="366091" w:themeColor="accent1" w:themeShade="BF" w:sz="4" w:space="10"/>
        <w:bottom w:val="single" w:color="366091" w:themeColor="accent1" w:themeShade="BF" w:sz="4" w:space="10"/>
      </w:pBdr>
      <w:spacing w:after="360" w:before="360"/>
      <w:ind w:right="864" w:left="864"/>
      <w:jc w:val="center"/>
    </w:pPr>
    <w:rPr>
      <w:i/>
      <w:iCs/>
      <w:color w:val="376092" w:themeColor="accent1" w:themeShade="BF"/>
    </w:rPr>
  </w:style>
  <w:style w:type="character" w:styleId="1040" w:customStyle="1">
    <w:name w:val="Intense Quote Char"/>
    <w:basedOn w:val="865"/>
    <w:link w:val="1039"/>
    <w:uiPriority w:val="30"/>
    <w:qFormat/>
    <w:pPr>
      <w:pBdr/>
      <w:spacing/>
      <w:ind/>
    </w:pPr>
    <w:rPr>
      <w:i/>
      <w:iCs/>
      <w:color w:val="376092" w:themeColor="accent1" w:themeShade="BF"/>
    </w:rPr>
  </w:style>
  <w:style w:type="character" w:styleId="1041" w:customStyle="1">
    <w:name w:val="Intense Reference"/>
    <w:basedOn w:val="865"/>
    <w:uiPriority w:val="32"/>
    <w:qFormat/>
    <w:pPr>
      <w:pBdr/>
      <w:spacing/>
      <w:ind/>
    </w:pPr>
    <w:rPr>
      <w:b/>
      <w:bCs/>
      <w:smallCaps/>
      <w:color w:val="376092" w:themeColor="accent1" w:themeShade="BF"/>
      <w:spacing w:val="5"/>
    </w:rPr>
  </w:style>
  <w:style w:type="character" w:styleId="1042" w:customStyle="1">
    <w:name w:val="Subtle Emphasis"/>
    <w:basedOn w:val="865"/>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043" w:customStyle="1">
    <w:name w:val="Subtle Reference"/>
    <w:basedOn w:val="865"/>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044" w:customStyle="1">
    <w:name w:val="Book Title"/>
    <w:basedOn w:val="865"/>
    <w:uiPriority w:val="33"/>
    <w:qFormat/>
    <w:pPr>
      <w:pBdr/>
      <w:spacing/>
      <w:ind/>
    </w:pPr>
    <w:rPr>
      <w:b/>
      <w:bCs/>
      <w:i/>
      <w:iCs/>
      <w:spacing w:val="5"/>
    </w:rPr>
  </w:style>
  <w:style w:type="character" w:styleId="1045" w:customStyle="1">
    <w:name w:val="Header Char"/>
    <w:basedOn w:val="865"/>
    <w:uiPriority w:val="99"/>
    <w:qFormat/>
    <w:pPr>
      <w:pBdr/>
      <w:spacing/>
      <w:ind/>
    </w:pPr>
  </w:style>
  <w:style w:type="character" w:styleId="1046" w:customStyle="1">
    <w:name w:val="Footer Char"/>
    <w:basedOn w:val="865"/>
    <w:uiPriority w:val="99"/>
    <w:qFormat/>
    <w:pPr>
      <w:pBdr/>
      <w:spacing/>
      <w:ind/>
    </w:pPr>
  </w:style>
  <w:style w:type="character" w:styleId="1047" w:customStyle="1">
    <w:name w:val="Footnote Text Char"/>
    <w:basedOn w:val="865"/>
    <w:link w:val="896"/>
    <w:uiPriority w:val="99"/>
    <w:semiHidden/>
    <w:qFormat/>
    <w:pPr>
      <w:pBdr/>
      <w:spacing/>
      <w:ind/>
    </w:pPr>
    <w:rPr>
      <w:sz w:val="20"/>
      <w:szCs w:val="20"/>
    </w:rPr>
  </w:style>
  <w:style w:type="character" w:styleId="1048" w:customStyle="1">
    <w:name w:val="Endnote Text Char"/>
    <w:basedOn w:val="865"/>
    <w:link w:val="882"/>
    <w:uiPriority w:val="99"/>
    <w:semiHidden/>
    <w:qFormat/>
    <w:pPr>
      <w:pBdr/>
      <w:spacing/>
      <w:ind/>
    </w:pPr>
    <w:rPr>
      <w:sz w:val="20"/>
      <w:szCs w:val="20"/>
    </w:rPr>
  </w:style>
  <w:style w:type="character" w:styleId="1049">
    <w:name w:val="Placeholder Text"/>
    <w:basedOn w:val="865"/>
    <w:uiPriority w:val="99"/>
    <w:semiHidden/>
    <w:qFormat/>
    <w:pPr>
      <w:pBdr/>
      <w:spacing/>
      <w:ind/>
    </w:pPr>
    <w:rPr>
      <w:color w:val="666666"/>
    </w:rPr>
  </w:style>
  <w:style w:type="paragraph" w:styleId="1050" w:customStyle="1">
    <w:name w:val="TOC Heading"/>
    <w:uiPriority w:val="39"/>
    <w:unhideWhenUsed/>
    <w:qFormat/>
    <w:pPr>
      <w:pBdr/>
      <w:spacing/>
      <w:ind/>
    </w:pPr>
    <w:rPr>
      <w:sz w:val="21"/>
      <w:szCs w:val="22"/>
    </w:rPr>
  </w:style>
  <w:style w:type="character" w:styleId="1051" w:customStyle="1">
    <w:name w:val="Título 1 Char"/>
    <w:basedOn w:val="865"/>
    <w:link w:val="856"/>
    <w:uiPriority w:val="0"/>
    <w:qFormat/>
    <w:pPr>
      <w:pBdr/>
      <w:spacing/>
      <w:ind/>
    </w:pPr>
    <w:rPr>
      <w:rFonts w:ascii="Arial" w:hAnsi="Arial"/>
      <w:color w:val="000080"/>
      <w:sz w:val="28"/>
    </w:rPr>
  </w:style>
  <w:style w:type="character" w:styleId="1052" w:customStyle="1">
    <w:name w:val="Título 2 Char"/>
    <w:basedOn w:val="865"/>
    <w:link w:val="857"/>
    <w:uiPriority w:val="0"/>
    <w:qFormat/>
    <w:pPr>
      <w:pBdr/>
      <w:spacing/>
      <w:ind/>
    </w:pPr>
    <w:rPr>
      <w:b/>
      <w:sz w:val="24"/>
      <w:szCs w:val="24"/>
      <w:u w:val="single"/>
    </w:rPr>
  </w:style>
  <w:style w:type="character" w:styleId="1053" w:customStyle="1">
    <w:name w:val="Título 4 Char"/>
    <w:basedOn w:val="865"/>
    <w:link w:val="859"/>
    <w:uiPriority w:val="0"/>
    <w:qFormat/>
    <w:pPr>
      <w:pBdr/>
      <w:spacing/>
      <w:ind/>
    </w:pPr>
    <w:rPr>
      <w:b/>
      <w:bCs/>
      <w:sz w:val="28"/>
      <w:szCs w:val="28"/>
    </w:rPr>
  </w:style>
  <w:style w:type="character" w:styleId="1054" w:customStyle="1">
    <w:name w:val="Cabeçalho Char"/>
    <w:basedOn w:val="865"/>
    <w:link w:val="888"/>
    <w:uiPriority w:val="0"/>
    <w:qFormat/>
    <w:pPr>
      <w:pBdr/>
      <w:spacing/>
      <w:ind/>
    </w:pPr>
    <w:rPr>
      <w:sz w:val="24"/>
      <w:szCs w:val="24"/>
    </w:rPr>
  </w:style>
  <w:style w:type="character" w:styleId="1055" w:customStyle="1">
    <w:name w:val="Rodapé Char"/>
    <w:basedOn w:val="865"/>
    <w:link w:val="889"/>
    <w:uiPriority w:val="0"/>
    <w:qFormat/>
    <w:pPr>
      <w:pBdr/>
      <w:spacing/>
      <w:ind/>
    </w:pPr>
    <w:rPr>
      <w:sz w:val="24"/>
      <w:szCs w:val="24"/>
    </w:rPr>
  </w:style>
  <w:style w:type="character" w:styleId="1056" w:customStyle="1">
    <w:name w:val="Recuo de corpo de texto 3 Char"/>
    <w:basedOn w:val="865"/>
    <w:link w:val="892"/>
    <w:uiPriority w:val="0"/>
    <w:qFormat/>
    <w:pPr>
      <w:pBdr/>
      <w:spacing/>
      <w:ind/>
    </w:pPr>
    <w:rPr>
      <w:sz w:val="24"/>
    </w:rPr>
  </w:style>
  <w:style w:type="paragraph" w:styleId="1057" w:customStyle="1">
    <w:name w:val="xl24"/>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8" w:customStyle="1">
    <w:name w:val="xl25"/>
    <w:basedOn w:val="855"/>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rPr>
  </w:style>
  <w:style w:type="paragraph" w:styleId="1059" w:customStyle="1">
    <w:name w:val="xl26"/>
    <w:basedOn w:val="855"/>
    <w:uiPriority w:val="0"/>
    <w:qFormat/>
    <w:pPr>
      <w:pBdr>
        <w:top w:val="single" w:color="000000" w:sz="4" w:space="0"/>
        <w:bottom w:val="single" w:color="000000" w:sz="4" w:space="0"/>
      </w:pBdr>
      <w:spacing w:after="100" w:afterAutospacing="1" w:before="100" w:beforeAutospacing="1"/>
      <w:ind/>
      <w:jc w:val="center"/>
    </w:pPr>
    <w:rPr>
      <w:rFonts w:eastAsia="Arial Unicode MS"/>
      <w:b/>
      <w:bCs/>
    </w:rPr>
  </w:style>
  <w:style w:type="paragraph" w:styleId="1060" w:customStyle="1">
    <w:name w:val="xl27"/>
    <w:basedOn w:val="855"/>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61" w:customStyle="1">
    <w:name w:val="xl28"/>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62" w:customStyle="1">
    <w:name w:val="xl29"/>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63" w:customStyle="1">
    <w:name w:val="xl30"/>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64" w:customStyle="1">
    <w:name w:val="xl31"/>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5" w:customStyle="1">
    <w:name w:val="xl32"/>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6" w:customStyle="1">
    <w:name w:val="xl33"/>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7" w:customStyle="1">
    <w:name w:val="xl34"/>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8" w:customStyle="1">
    <w:name w:val="xl35"/>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9" w:customStyle="1">
    <w:name w:val="xl36"/>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0" w:customStyle="1">
    <w:name w:val="xl37"/>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1" w:customStyle="1">
    <w:name w:val="xl38"/>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72" w:customStyle="1">
    <w:name w:val="xl39"/>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73" w:customStyle="1">
    <w:name w:val="xl40"/>
    <w:basedOn w:val="855"/>
    <w:uiPriority w:val="0"/>
    <w:qFormat/>
    <w:pPr>
      <w:pBdr>
        <w:bottom w:val="single" w:color="000000" w:sz="4" w:space="0"/>
      </w:pBdr>
      <w:spacing w:after="100" w:afterAutospacing="1" w:before="100" w:beforeAutospacing="1"/>
      <w:ind/>
    </w:pPr>
    <w:rPr>
      <w:rFonts w:eastAsia="Arial Unicode MS"/>
      <w:sz w:val="18"/>
      <w:szCs w:val="18"/>
    </w:rPr>
  </w:style>
  <w:style w:type="paragraph" w:styleId="1074" w:customStyle="1">
    <w:name w:val="xl41"/>
    <w:basedOn w:val="855"/>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5" w:customStyle="1">
    <w:name w:val="xl42"/>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6" w:customStyle="1">
    <w:name w:val="xl43"/>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7" w:customStyle="1">
    <w:name w:val="xl44"/>
    <w:basedOn w:val="855"/>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78" w:customStyle="1">
    <w:name w:val="xl45"/>
    <w:basedOn w:val="855"/>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9" w:customStyle="1">
    <w:name w:val="xl46"/>
    <w:basedOn w:val="855"/>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80" w:customStyle="1">
    <w:name w:val="xl47"/>
    <w:basedOn w:val="855"/>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1" w:customStyle="1">
    <w:name w:val="xl48"/>
    <w:basedOn w:val="855"/>
    <w:uiPriority w:val="0"/>
    <w:qFormat/>
    <w:pPr>
      <w:pBdr>
        <w:bottom w:val="single" w:color="000000" w:sz="4" w:space="0"/>
      </w:pBdr>
      <w:spacing w:after="100" w:afterAutospacing="1" w:before="100" w:beforeAutospacing="1"/>
      <w:ind/>
    </w:pPr>
    <w:rPr>
      <w:rFonts w:eastAsia="Arial Unicode MS"/>
      <w:sz w:val="18"/>
      <w:szCs w:val="18"/>
    </w:rPr>
  </w:style>
  <w:style w:type="paragraph" w:styleId="1082" w:customStyle="1">
    <w:name w:val="xl49"/>
    <w:basedOn w:val="855"/>
    <w:uiPriority w:val="0"/>
    <w:qFormat/>
    <w:pPr>
      <w:pBdr>
        <w:bottom w:val="single" w:color="000000" w:sz="4" w:space="0"/>
      </w:pBdr>
      <w:spacing w:after="100" w:afterAutospacing="1" w:before="100" w:beforeAutospacing="1"/>
      <w:ind/>
    </w:pPr>
    <w:rPr>
      <w:rFonts w:eastAsia="Arial Unicode MS"/>
      <w:b/>
      <w:bCs/>
      <w:color w:val="0000ff"/>
      <w:sz w:val="18"/>
      <w:szCs w:val="18"/>
    </w:rPr>
  </w:style>
  <w:style w:type="paragraph" w:styleId="1083" w:customStyle="1">
    <w:name w:val="xl50"/>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84" w:customStyle="1">
    <w:name w:val="xl51"/>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85" w:customStyle="1">
    <w:name w:val="xl52"/>
    <w:basedOn w:val="855"/>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86" w:customStyle="1">
    <w:name w:val="xl53"/>
    <w:basedOn w:val="855"/>
    <w:uiPriority w:val="0"/>
    <w:qFormat/>
    <w:pPr>
      <w:pBdr>
        <w:top w:val="single" w:color="000000" w:sz="4" w:space="0"/>
        <w:bottom w:val="single" w:color="000000" w:sz="4" w:space="0"/>
      </w:pBdr>
      <w:spacing w:after="100" w:afterAutospacing="1" w:before="100" w:beforeAutospacing="1"/>
      <w:ind/>
    </w:pPr>
    <w:rPr>
      <w:rFonts w:eastAsia="Arial Unicode MS"/>
      <w:b/>
      <w:bCs/>
      <w:color w:val="0000ff"/>
      <w:sz w:val="18"/>
      <w:szCs w:val="18"/>
    </w:rPr>
  </w:style>
  <w:style w:type="paragraph" w:styleId="1087" w:customStyle="1">
    <w:name w:val="xl54"/>
    <w:basedOn w:val="855"/>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88" w:customStyle="1">
    <w:name w:val="xl55"/>
    <w:basedOn w:val="855"/>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9" w:customStyle="1">
    <w:name w:val="xl56"/>
    <w:basedOn w:val="855"/>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90" w:customStyle="1">
    <w:name w:val="xl57"/>
    <w:basedOn w:val="855"/>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91" w:customStyle="1">
    <w:name w:val="xl58"/>
    <w:basedOn w:val="855"/>
    <w:uiPriority w:val="0"/>
    <w:qFormat/>
    <w:pPr>
      <w:pBdr>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92" w:customStyle="1">
    <w:name w:val="xl59"/>
    <w:basedOn w:val="855"/>
    <w:uiPriority w:val="0"/>
    <w:qFormat/>
    <w:pPr>
      <w:pBdr/>
      <w:spacing w:after="100" w:afterAutospacing="1" w:before="100" w:beforeAutospacing="1"/>
      <w:ind/>
    </w:pPr>
    <w:rPr>
      <w:rFonts w:eastAsia="Arial Unicode MS"/>
      <w:b/>
      <w:bCs/>
      <w:color w:val="0000ff"/>
      <w:sz w:val="18"/>
      <w:szCs w:val="18"/>
    </w:rPr>
  </w:style>
  <w:style w:type="paragraph" w:styleId="1093" w:customStyle="1">
    <w:name w:val="xl60"/>
    <w:basedOn w:val="855"/>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94" w:customStyle="1">
    <w:name w:val="xl61"/>
    <w:basedOn w:val="855"/>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95" w:customStyle="1">
    <w:name w:val="xl62"/>
    <w:basedOn w:val="855"/>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96" w:customStyle="1">
    <w:name w:val="xl63"/>
    <w:basedOn w:val="855"/>
    <w:uiPriority w:val="0"/>
    <w:qFormat/>
    <w:pPr>
      <w:pBdr>
        <w:top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97" w:customStyle="1">
    <w:name w:val="xl64"/>
    <w:basedOn w:val="855"/>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sz w:val="18"/>
      <w:szCs w:val="18"/>
    </w:rPr>
  </w:style>
  <w:style w:type="paragraph" w:styleId="1098" w:customStyle="1">
    <w:name w:val="xl65"/>
    <w:basedOn w:val="855"/>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b/>
      <w:bCs/>
      <w:sz w:val="18"/>
      <w:szCs w:val="18"/>
    </w:rPr>
  </w:style>
  <w:style w:type="paragraph" w:styleId="1099" w:customStyle="1">
    <w:name w:val="Corpo de texto 21"/>
    <w:basedOn w:val="855"/>
    <w:uiPriority w:val="0"/>
    <w:qFormat/>
    <w:pPr>
      <w:widowControl w:val="false"/>
      <w:pBdr/>
      <w:spacing/>
      <w:ind/>
      <w:jc w:val="both"/>
    </w:pPr>
    <w:rPr>
      <w:rFonts w:ascii="Arial" w:hAnsi="Arial"/>
      <w:szCs w:val="20"/>
    </w:rPr>
  </w:style>
  <w:style w:type="character" w:styleId="1100" w:customStyle="1">
    <w:name w:val="texto31"/>
    <w:basedOn w:val="865"/>
    <w:uiPriority w:val="0"/>
    <w:qFormat/>
    <w:pPr>
      <w:pBdr/>
      <w:spacing/>
      <w:ind/>
    </w:pPr>
    <w:rPr>
      <w:rFonts w:hint="default" w:ascii="Verdana" w:hAnsi="Verdana"/>
      <w:color w:val="61676c"/>
      <w:sz w:val="18"/>
      <w:szCs w:val="18"/>
    </w:rPr>
  </w:style>
  <w:style w:type="character" w:styleId="1101" w:customStyle="1">
    <w:name w:val="titulo1"/>
    <w:basedOn w:val="865"/>
    <w:uiPriority w:val="0"/>
    <w:qFormat/>
    <w:pPr>
      <w:pBdr/>
      <w:spacing/>
      <w:ind/>
    </w:pPr>
    <w:rPr>
      <w:rFonts w:hint="default" w:ascii="Tahoma" w:hAnsi="Tahoma" w:cs="Tahoma"/>
      <w:b/>
      <w:bCs/>
      <w:color w:val="ce8c51"/>
      <w:sz w:val="17"/>
      <w:szCs w:val="17"/>
    </w:rPr>
  </w:style>
  <w:style w:type="character" w:styleId="1102" w:customStyle="1">
    <w:name w:val="item2"/>
    <w:basedOn w:val="865"/>
    <w:uiPriority w:val="0"/>
    <w:qFormat/>
    <w:pPr>
      <w:pBdr/>
      <w:spacing/>
      <w:ind/>
    </w:pPr>
    <w:rPr>
      <w:rFonts w:hint="default" w:ascii="Tahoma" w:hAnsi="Tahoma" w:cs="Tahoma"/>
      <w:color w:val="9e9e9e"/>
      <w:sz w:val="17"/>
      <w:szCs w:val="17"/>
    </w:rPr>
  </w:style>
  <w:style w:type="character" w:styleId="1103" w:customStyle="1">
    <w:name w:val="item3"/>
    <w:basedOn w:val="865"/>
    <w:uiPriority w:val="0"/>
    <w:qFormat/>
    <w:pPr>
      <w:pBdr/>
      <w:spacing/>
      <w:ind/>
    </w:pPr>
    <w:rPr>
      <w:rFonts w:hint="default" w:ascii="Tahoma" w:hAnsi="Tahoma" w:cs="Tahoma"/>
      <w:color w:val="9e9e9e"/>
      <w:sz w:val="17"/>
      <w:szCs w:val="17"/>
    </w:rPr>
  </w:style>
  <w:style w:type="character" w:styleId="1104" w:customStyle="1">
    <w:name w:val="item4"/>
    <w:basedOn w:val="865"/>
    <w:uiPriority w:val="0"/>
    <w:qFormat/>
    <w:pPr>
      <w:pBdr/>
      <w:spacing/>
      <w:ind/>
    </w:pPr>
    <w:rPr>
      <w:rFonts w:hint="default" w:ascii="Tahoma" w:hAnsi="Tahoma" w:cs="Tahoma"/>
      <w:color w:val="9e9e9e"/>
      <w:sz w:val="17"/>
      <w:szCs w:val="17"/>
    </w:rPr>
  </w:style>
  <w:style w:type="character" w:styleId="1105" w:customStyle="1">
    <w:name w:val="item5"/>
    <w:basedOn w:val="865"/>
    <w:uiPriority w:val="0"/>
    <w:qFormat/>
    <w:pPr>
      <w:pBdr/>
      <w:spacing/>
      <w:ind/>
    </w:pPr>
    <w:rPr>
      <w:rFonts w:hint="default" w:ascii="Tahoma" w:hAnsi="Tahoma" w:cs="Tahoma"/>
      <w:color w:val="9e9e9e"/>
      <w:sz w:val="17"/>
      <w:szCs w:val="17"/>
    </w:rPr>
  </w:style>
  <w:style w:type="character" w:styleId="1106" w:customStyle="1">
    <w:name w:val="item6"/>
    <w:basedOn w:val="865"/>
    <w:uiPriority w:val="0"/>
    <w:qFormat/>
    <w:pPr>
      <w:pBdr/>
      <w:spacing/>
      <w:ind/>
    </w:pPr>
    <w:rPr>
      <w:rFonts w:hint="default" w:ascii="Tahoma" w:hAnsi="Tahoma" w:cs="Tahoma"/>
      <w:color w:val="9e9e9e"/>
      <w:sz w:val="17"/>
      <w:szCs w:val="17"/>
    </w:rPr>
  </w:style>
  <w:style w:type="character" w:styleId="1107" w:customStyle="1">
    <w:name w:val="item7"/>
    <w:basedOn w:val="865"/>
    <w:uiPriority w:val="0"/>
    <w:qFormat/>
    <w:pPr>
      <w:pBdr/>
      <w:spacing/>
      <w:ind/>
    </w:pPr>
    <w:rPr>
      <w:rFonts w:hint="default" w:ascii="Tahoma" w:hAnsi="Tahoma" w:cs="Tahoma"/>
      <w:color w:val="9e9e9e"/>
      <w:sz w:val="17"/>
      <w:szCs w:val="17"/>
    </w:rPr>
  </w:style>
  <w:style w:type="character" w:styleId="1108" w:customStyle="1">
    <w:name w:val="item8"/>
    <w:basedOn w:val="865"/>
    <w:uiPriority w:val="0"/>
    <w:qFormat/>
    <w:pPr>
      <w:pBdr/>
      <w:spacing/>
      <w:ind/>
    </w:pPr>
    <w:rPr>
      <w:rFonts w:hint="default" w:ascii="Tahoma" w:hAnsi="Tahoma" w:cs="Tahoma"/>
      <w:color w:val="9e9e9e"/>
      <w:sz w:val="17"/>
      <w:szCs w:val="17"/>
    </w:rPr>
  </w:style>
  <w:style w:type="character" w:styleId="1109" w:customStyle="1">
    <w:name w:val="item9"/>
    <w:basedOn w:val="865"/>
    <w:uiPriority w:val="0"/>
    <w:qFormat/>
    <w:pPr>
      <w:pBdr/>
      <w:spacing/>
      <w:ind/>
    </w:pPr>
    <w:rPr>
      <w:rFonts w:hint="default" w:ascii="Tahoma" w:hAnsi="Tahoma" w:cs="Tahoma"/>
      <w:color w:val="9e9e9e"/>
      <w:sz w:val="17"/>
      <w:szCs w:val="17"/>
    </w:rPr>
  </w:style>
  <w:style w:type="character" w:styleId="1110" w:customStyle="1">
    <w:name w:val="item10"/>
    <w:basedOn w:val="865"/>
    <w:uiPriority w:val="0"/>
    <w:qFormat/>
    <w:pPr>
      <w:pBdr/>
      <w:spacing/>
      <w:ind/>
    </w:pPr>
    <w:rPr>
      <w:rFonts w:hint="default" w:ascii="Tahoma" w:hAnsi="Tahoma" w:cs="Tahoma"/>
      <w:color w:val="9e9e9e"/>
      <w:sz w:val="17"/>
      <w:szCs w:val="17"/>
    </w:rPr>
  </w:style>
  <w:style w:type="character" w:styleId="1111" w:customStyle="1">
    <w:name w:val="item11"/>
    <w:basedOn w:val="865"/>
    <w:uiPriority w:val="0"/>
    <w:qFormat/>
    <w:pPr>
      <w:pBdr/>
      <w:spacing/>
      <w:ind/>
    </w:pPr>
    <w:rPr>
      <w:rFonts w:hint="default" w:ascii="Tahoma" w:hAnsi="Tahoma" w:cs="Tahoma"/>
      <w:color w:val="9e9e9e"/>
      <w:sz w:val="17"/>
      <w:szCs w:val="17"/>
    </w:rPr>
  </w:style>
  <w:style w:type="character" w:styleId="1112" w:customStyle="1">
    <w:name w:val="item12"/>
    <w:basedOn w:val="865"/>
    <w:uiPriority w:val="0"/>
    <w:qFormat/>
    <w:pPr>
      <w:pBdr/>
      <w:spacing/>
      <w:ind/>
    </w:pPr>
    <w:rPr>
      <w:rFonts w:hint="default" w:ascii="Tahoma" w:hAnsi="Tahoma" w:cs="Tahoma"/>
      <w:color w:val="9e9e9e"/>
      <w:sz w:val="17"/>
      <w:szCs w:val="17"/>
    </w:rPr>
  </w:style>
  <w:style w:type="character" w:styleId="1113" w:customStyle="1">
    <w:name w:val="item13"/>
    <w:basedOn w:val="865"/>
    <w:uiPriority w:val="0"/>
    <w:qFormat/>
    <w:pPr>
      <w:pBdr/>
      <w:spacing/>
      <w:ind/>
    </w:pPr>
    <w:rPr>
      <w:rFonts w:hint="default" w:ascii="Tahoma" w:hAnsi="Tahoma" w:cs="Tahoma"/>
      <w:color w:val="9e9e9e"/>
      <w:sz w:val="17"/>
      <w:szCs w:val="17"/>
    </w:rPr>
  </w:style>
  <w:style w:type="character" w:styleId="1114" w:customStyle="1">
    <w:name w:val="item14"/>
    <w:basedOn w:val="865"/>
    <w:uiPriority w:val="0"/>
    <w:qFormat/>
    <w:pPr>
      <w:pBdr/>
      <w:spacing/>
      <w:ind/>
    </w:pPr>
    <w:rPr>
      <w:rFonts w:hint="default" w:ascii="Tahoma" w:hAnsi="Tahoma" w:cs="Tahoma"/>
      <w:color w:val="9e9e9e"/>
      <w:sz w:val="17"/>
      <w:szCs w:val="17"/>
    </w:rPr>
  </w:style>
  <w:style w:type="character" w:styleId="1115" w:customStyle="1">
    <w:name w:val="item15"/>
    <w:basedOn w:val="865"/>
    <w:uiPriority w:val="0"/>
    <w:qFormat/>
    <w:pPr>
      <w:pBdr/>
      <w:spacing/>
      <w:ind/>
    </w:pPr>
    <w:rPr>
      <w:rFonts w:hint="default" w:ascii="Tahoma" w:hAnsi="Tahoma" w:cs="Tahoma"/>
      <w:color w:val="9e9e9e"/>
      <w:sz w:val="17"/>
      <w:szCs w:val="17"/>
    </w:rPr>
  </w:style>
  <w:style w:type="character" w:styleId="1116" w:customStyle="1">
    <w:name w:val="item16"/>
    <w:basedOn w:val="865"/>
    <w:uiPriority w:val="0"/>
    <w:qFormat/>
    <w:pPr>
      <w:pBdr/>
      <w:spacing/>
      <w:ind/>
    </w:pPr>
    <w:rPr>
      <w:rFonts w:hint="default" w:ascii="Tahoma" w:hAnsi="Tahoma" w:cs="Tahoma"/>
      <w:color w:val="9e9e9e"/>
      <w:sz w:val="17"/>
      <w:szCs w:val="17"/>
    </w:rPr>
  </w:style>
  <w:style w:type="character" w:styleId="1117" w:customStyle="1">
    <w:name w:val="item17"/>
    <w:basedOn w:val="865"/>
    <w:uiPriority w:val="0"/>
    <w:qFormat/>
    <w:pPr>
      <w:pBdr/>
      <w:spacing/>
      <w:ind/>
    </w:pPr>
    <w:rPr>
      <w:rFonts w:hint="default" w:ascii="Tahoma" w:hAnsi="Tahoma" w:cs="Tahoma"/>
      <w:color w:val="9e9e9e"/>
      <w:sz w:val="17"/>
      <w:szCs w:val="17"/>
    </w:rPr>
  </w:style>
  <w:style w:type="character" w:styleId="1118" w:customStyle="1">
    <w:name w:val="item18"/>
    <w:basedOn w:val="865"/>
    <w:uiPriority w:val="0"/>
    <w:qFormat/>
    <w:pPr>
      <w:pBdr/>
      <w:spacing/>
      <w:ind/>
    </w:pPr>
    <w:rPr>
      <w:rFonts w:hint="default" w:ascii="Tahoma" w:hAnsi="Tahoma" w:cs="Tahoma"/>
      <w:color w:val="9e9e9e"/>
      <w:sz w:val="17"/>
      <w:szCs w:val="17"/>
    </w:rPr>
  </w:style>
  <w:style w:type="character" w:styleId="1119" w:customStyle="1">
    <w:name w:val="item19"/>
    <w:basedOn w:val="865"/>
    <w:uiPriority w:val="0"/>
    <w:qFormat/>
    <w:pPr>
      <w:pBdr/>
      <w:spacing/>
      <w:ind/>
    </w:pPr>
    <w:rPr>
      <w:rFonts w:hint="default" w:ascii="Tahoma" w:hAnsi="Tahoma" w:cs="Tahoma"/>
      <w:color w:val="9e9e9e"/>
      <w:sz w:val="17"/>
      <w:szCs w:val="17"/>
    </w:rPr>
  </w:style>
  <w:style w:type="character" w:styleId="1120" w:customStyle="1">
    <w:name w:val="item20"/>
    <w:basedOn w:val="865"/>
    <w:uiPriority w:val="0"/>
    <w:qFormat/>
    <w:pPr>
      <w:pBdr/>
      <w:spacing/>
      <w:ind/>
    </w:pPr>
    <w:rPr>
      <w:rFonts w:hint="default" w:ascii="Tahoma" w:hAnsi="Tahoma" w:cs="Tahoma"/>
      <w:color w:val="9e9e9e"/>
      <w:sz w:val="17"/>
      <w:szCs w:val="17"/>
    </w:rPr>
  </w:style>
  <w:style w:type="character" w:styleId="1121" w:customStyle="1">
    <w:name w:val="item21"/>
    <w:basedOn w:val="865"/>
    <w:uiPriority w:val="0"/>
    <w:qFormat/>
    <w:pPr>
      <w:pBdr/>
      <w:spacing/>
      <w:ind/>
    </w:pPr>
    <w:rPr>
      <w:rFonts w:hint="default" w:ascii="Tahoma" w:hAnsi="Tahoma" w:cs="Tahoma"/>
      <w:color w:val="9e9e9e"/>
      <w:sz w:val="17"/>
      <w:szCs w:val="17"/>
    </w:rPr>
  </w:style>
  <w:style w:type="character" w:styleId="1122" w:customStyle="1">
    <w:name w:val="item22"/>
    <w:basedOn w:val="865"/>
    <w:uiPriority w:val="0"/>
    <w:qFormat/>
    <w:pPr>
      <w:pBdr/>
      <w:spacing/>
      <w:ind/>
    </w:pPr>
    <w:rPr>
      <w:rFonts w:hint="default" w:ascii="Tahoma" w:hAnsi="Tahoma" w:cs="Tahoma"/>
      <w:color w:val="9e9e9e"/>
      <w:sz w:val="17"/>
      <w:szCs w:val="17"/>
    </w:rPr>
  </w:style>
  <w:style w:type="character" w:styleId="1123" w:customStyle="1">
    <w:name w:val="item23"/>
    <w:basedOn w:val="865"/>
    <w:uiPriority w:val="0"/>
    <w:qFormat/>
    <w:pPr>
      <w:pBdr/>
      <w:spacing/>
      <w:ind/>
    </w:pPr>
    <w:rPr>
      <w:rFonts w:hint="default" w:ascii="Tahoma" w:hAnsi="Tahoma" w:cs="Tahoma"/>
      <w:color w:val="9e9e9e"/>
      <w:sz w:val="17"/>
      <w:szCs w:val="17"/>
    </w:rPr>
  </w:style>
  <w:style w:type="character" w:styleId="1124" w:customStyle="1">
    <w:name w:val="item24"/>
    <w:basedOn w:val="865"/>
    <w:uiPriority w:val="0"/>
    <w:qFormat/>
    <w:pPr>
      <w:pBdr/>
      <w:spacing/>
      <w:ind/>
    </w:pPr>
    <w:rPr>
      <w:rFonts w:hint="default" w:ascii="Tahoma" w:hAnsi="Tahoma" w:cs="Tahoma"/>
      <w:color w:val="9e9e9e"/>
      <w:sz w:val="17"/>
      <w:szCs w:val="17"/>
    </w:rPr>
  </w:style>
  <w:style w:type="character" w:styleId="1125" w:customStyle="1">
    <w:name w:val="item25"/>
    <w:basedOn w:val="865"/>
    <w:uiPriority w:val="0"/>
    <w:qFormat/>
    <w:pPr>
      <w:pBdr/>
      <w:spacing/>
      <w:ind/>
    </w:pPr>
    <w:rPr>
      <w:rFonts w:hint="default" w:ascii="Tahoma" w:hAnsi="Tahoma" w:cs="Tahoma"/>
      <w:color w:val="9e9e9e"/>
      <w:sz w:val="17"/>
      <w:szCs w:val="17"/>
    </w:rPr>
  </w:style>
  <w:style w:type="character" w:styleId="1126" w:customStyle="1">
    <w:name w:val="item26"/>
    <w:basedOn w:val="865"/>
    <w:uiPriority w:val="0"/>
    <w:qFormat/>
    <w:pPr>
      <w:pBdr/>
      <w:spacing/>
      <w:ind/>
    </w:pPr>
    <w:rPr>
      <w:rFonts w:hint="default" w:ascii="Tahoma" w:hAnsi="Tahoma" w:cs="Tahoma"/>
      <w:color w:val="9e9e9e"/>
      <w:sz w:val="17"/>
      <w:szCs w:val="17"/>
    </w:rPr>
  </w:style>
  <w:style w:type="character" w:styleId="1127" w:customStyle="1">
    <w:name w:val="item27"/>
    <w:basedOn w:val="865"/>
    <w:uiPriority w:val="0"/>
    <w:qFormat/>
    <w:pPr>
      <w:pBdr/>
      <w:spacing/>
      <w:ind/>
    </w:pPr>
    <w:rPr>
      <w:rFonts w:hint="default" w:ascii="Tahoma" w:hAnsi="Tahoma" w:cs="Tahoma"/>
      <w:color w:val="9e9e9e"/>
      <w:sz w:val="17"/>
      <w:szCs w:val="17"/>
    </w:rPr>
  </w:style>
  <w:style w:type="character" w:styleId="1128" w:customStyle="1">
    <w:name w:val="item28"/>
    <w:basedOn w:val="865"/>
    <w:uiPriority w:val="0"/>
    <w:qFormat/>
    <w:pPr>
      <w:pBdr/>
      <w:spacing/>
      <w:ind/>
    </w:pPr>
    <w:rPr>
      <w:rFonts w:hint="default" w:ascii="Tahoma" w:hAnsi="Tahoma" w:cs="Tahoma"/>
      <w:color w:val="9e9e9e"/>
      <w:sz w:val="17"/>
      <w:szCs w:val="17"/>
    </w:rPr>
  </w:style>
  <w:style w:type="character" w:styleId="1129" w:customStyle="1">
    <w:name w:val="item30"/>
    <w:basedOn w:val="865"/>
    <w:uiPriority w:val="0"/>
    <w:qFormat/>
    <w:pPr>
      <w:pBdr/>
      <w:spacing/>
      <w:ind/>
    </w:pPr>
    <w:rPr>
      <w:rFonts w:hint="default" w:ascii="Tahoma" w:hAnsi="Tahoma" w:cs="Tahoma"/>
      <w:color w:val="9e9e9e"/>
      <w:sz w:val="17"/>
      <w:szCs w:val="17"/>
    </w:rPr>
  </w:style>
  <w:style w:type="character" w:styleId="1130" w:customStyle="1">
    <w:name w:val="item31"/>
    <w:basedOn w:val="865"/>
    <w:uiPriority w:val="0"/>
    <w:qFormat/>
    <w:pPr>
      <w:pBdr/>
      <w:spacing/>
      <w:ind/>
    </w:pPr>
    <w:rPr>
      <w:rFonts w:hint="default" w:ascii="Tahoma" w:hAnsi="Tahoma" w:cs="Tahoma"/>
      <w:color w:val="9e9e9e"/>
      <w:sz w:val="17"/>
      <w:szCs w:val="17"/>
    </w:rPr>
  </w:style>
  <w:style w:type="character" w:styleId="1131" w:customStyle="1">
    <w:name w:val="item32"/>
    <w:basedOn w:val="865"/>
    <w:uiPriority w:val="0"/>
    <w:qFormat/>
    <w:pPr>
      <w:pBdr/>
      <w:spacing/>
      <w:ind/>
    </w:pPr>
    <w:rPr>
      <w:rFonts w:hint="default" w:ascii="Tahoma" w:hAnsi="Tahoma" w:cs="Tahoma"/>
      <w:color w:val="9e9e9e"/>
      <w:sz w:val="17"/>
      <w:szCs w:val="17"/>
    </w:rPr>
  </w:style>
  <w:style w:type="character" w:styleId="1132" w:customStyle="1">
    <w:name w:val="item33"/>
    <w:basedOn w:val="865"/>
    <w:uiPriority w:val="0"/>
    <w:qFormat/>
    <w:pPr>
      <w:pBdr/>
      <w:spacing/>
      <w:ind/>
    </w:pPr>
    <w:rPr>
      <w:rFonts w:hint="default" w:ascii="Tahoma" w:hAnsi="Tahoma" w:cs="Tahoma"/>
      <w:color w:val="9e9e9e"/>
      <w:sz w:val="17"/>
      <w:szCs w:val="17"/>
    </w:rPr>
  </w:style>
  <w:style w:type="character" w:styleId="1133" w:customStyle="1">
    <w:name w:val="item34"/>
    <w:basedOn w:val="865"/>
    <w:uiPriority w:val="0"/>
    <w:qFormat/>
    <w:pPr>
      <w:pBdr/>
      <w:spacing/>
      <w:ind/>
    </w:pPr>
    <w:rPr>
      <w:rFonts w:hint="default" w:ascii="Tahoma" w:hAnsi="Tahoma" w:cs="Tahoma"/>
      <w:color w:val="9e9e9e"/>
      <w:sz w:val="17"/>
      <w:szCs w:val="17"/>
    </w:rPr>
  </w:style>
  <w:style w:type="character" w:styleId="1134" w:customStyle="1">
    <w:name w:val="item35"/>
    <w:basedOn w:val="865"/>
    <w:uiPriority w:val="0"/>
    <w:qFormat/>
    <w:pPr>
      <w:pBdr/>
      <w:spacing/>
      <w:ind/>
    </w:pPr>
    <w:rPr>
      <w:rFonts w:hint="default" w:ascii="Tahoma" w:hAnsi="Tahoma" w:cs="Tahoma"/>
      <w:color w:val="9e9e9e"/>
      <w:sz w:val="17"/>
      <w:szCs w:val="17"/>
    </w:rPr>
  </w:style>
  <w:style w:type="character" w:styleId="1135" w:customStyle="1">
    <w:name w:val="item36"/>
    <w:basedOn w:val="865"/>
    <w:uiPriority w:val="0"/>
    <w:qFormat/>
    <w:pPr>
      <w:pBdr/>
      <w:spacing/>
      <w:ind/>
    </w:pPr>
    <w:rPr>
      <w:rFonts w:hint="default" w:ascii="Tahoma" w:hAnsi="Tahoma" w:cs="Tahoma"/>
      <w:color w:val="9e9e9e"/>
      <w:sz w:val="17"/>
      <w:szCs w:val="17"/>
    </w:rPr>
  </w:style>
  <w:style w:type="character" w:styleId="1136" w:customStyle="1">
    <w:name w:val="item37"/>
    <w:basedOn w:val="865"/>
    <w:uiPriority w:val="0"/>
    <w:qFormat/>
    <w:pPr>
      <w:pBdr/>
      <w:spacing/>
      <w:ind/>
    </w:pPr>
    <w:rPr>
      <w:rFonts w:hint="default" w:ascii="Tahoma" w:hAnsi="Tahoma" w:cs="Tahoma"/>
      <w:color w:val="9e9e9e"/>
      <w:sz w:val="17"/>
      <w:szCs w:val="17"/>
    </w:rPr>
  </w:style>
  <w:style w:type="character" w:styleId="1137" w:customStyle="1">
    <w:name w:val="item38"/>
    <w:basedOn w:val="865"/>
    <w:uiPriority w:val="0"/>
    <w:qFormat/>
    <w:pPr>
      <w:pBdr/>
      <w:spacing/>
      <w:ind/>
    </w:pPr>
    <w:rPr>
      <w:rFonts w:hint="default" w:ascii="Tahoma" w:hAnsi="Tahoma" w:cs="Tahoma"/>
      <w:color w:val="9e9e9e"/>
      <w:sz w:val="17"/>
      <w:szCs w:val="17"/>
    </w:rPr>
  </w:style>
  <w:style w:type="character" w:styleId="1138" w:customStyle="1">
    <w:name w:val="item39"/>
    <w:basedOn w:val="865"/>
    <w:uiPriority w:val="0"/>
    <w:qFormat/>
    <w:pPr>
      <w:pBdr/>
      <w:spacing/>
      <w:ind/>
    </w:pPr>
    <w:rPr>
      <w:rFonts w:hint="default" w:ascii="Tahoma" w:hAnsi="Tahoma" w:cs="Tahoma"/>
      <w:color w:val="9e9e9e"/>
      <w:sz w:val="17"/>
      <w:szCs w:val="17"/>
    </w:rPr>
  </w:style>
  <w:style w:type="character" w:styleId="1139" w:customStyle="1">
    <w:name w:val="item40"/>
    <w:basedOn w:val="865"/>
    <w:uiPriority w:val="0"/>
    <w:qFormat/>
    <w:pPr>
      <w:pBdr/>
      <w:spacing/>
      <w:ind/>
    </w:pPr>
    <w:rPr>
      <w:rFonts w:hint="default" w:ascii="Tahoma" w:hAnsi="Tahoma" w:cs="Tahoma"/>
      <w:color w:val="9e9e9e"/>
      <w:sz w:val="17"/>
      <w:szCs w:val="17"/>
    </w:rPr>
  </w:style>
  <w:style w:type="character" w:styleId="1140" w:customStyle="1">
    <w:name w:val="item41"/>
    <w:basedOn w:val="865"/>
    <w:uiPriority w:val="0"/>
    <w:qFormat/>
    <w:pPr>
      <w:pBdr/>
      <w:spacing/>
      <w:ind/>
    </w:pPr>
    <w:rPr>
      <w:rFonts w:hint="default" w:ascii="Tahoma" w:hAnsi="Tahoma" w:cs="Tahoma"/>
      <w:color w:val="9e9e9e"/>
      <w:sz w:val="17"/>
      <w:szCs w:val="17"/>
    </w:rPr>
  </w:style>
  <w:style w:type="character" w:styleId="1141" w:customStyle="1">
    <w:name w:val="Corpo de texto Char"/>
    <w:basedOn w:val="865"/>
    <w:uiPriority w:val="0"/>
    <w:qFormat/>
    <w:pPr>
      <w:pBdr/>
      <w:spacing/>
      <w:ind/>
    </w:pPr>
    <w:rPr>
      <w:lang w:val="pt-BR" w:eastAsia="pt-BR" w:bidi="ar-SA"/>
    </w:rPr>
  </w:style>
  <w:style w:type="paragraph" w:styleId="1142" w:customStyle="1">
    <w:name w:val="Conteúdo da tabela"/>
    <w:basedOn w:val="876"/>
    <w:uiPriority w:val="0"/>
    <w:qFormat/>
    <w:pPr>
      <w:suppressLineNumbers w:val="true"/>
      <w:pBdr/>
      <w:spacing/>
      <w:ind/>
    </w:pPr>
    <w:rPr>
      <w:rFonts w:ascii="Arial" w:hAnsi="Arial" w:cs="Arial"/>
      <w:sz w:val="22"/>
      <w:szCs w:val="22"/>
    </w:rPr>
  </w:style>
  <w:style w:type="paragraph" w:styleId="1143" w:customStyle="1">
    <w:name w:val="WW-Corpo de texto 2"/>
    <w:basedOn w:val="855"/>
    <w:uiPriority w:val="0"/>
    <w:qFormat/>
    <w:pPr>
      <w:pBdr/>
      <w:spacing/>
      <w:ind/>
      <w:jc w:val="both"/>
    </w:pPr>
    <w:rPr>
      <w:rFonts w:ascii="Arial" w:hAnsi="Arial" w:cs="Arial"/>
      <w:color w:val="000000"/>
      <w:sz w:val="22"/>
      <w:szCs w:val="22"/>
    </w:rPr>
  </w:style>
  <w:style w:type="paragraph" w:styleId="1144" w:customStyle="1">
    <w:name w:val="WW-Corpo de texto 22"/>
    <w:basedOn w:val="855"/>
    <w:uiPriority w:val="0"/>
    <w:qFormat/>
    <w:pPr>
      <w:widowControl w:val="false"/>
      <w:pBdr/>
      <w:tabs>
        <w:tab w:val="left" w:leader="none" w:pos="2410"/>
      </w:tabs>
      <w:spacing/>
      <w:ind/>
      <w:jc w:val="both"/>
    </w:pPr>
    <w:rPr>
      <w:rFonts w:ascii="Arial" w:hAnsi="Arial" w:cs="Arial"/>
    </w:rPr>
  </w:style>
  <w:style w:type="paragraph" w:styleId="1145" w:customStyle="1">
    <w:name w:val="Conteúdo de tabela"/>
    <w:basedOn w:val="876"/>
    <w:uiPriority w:val="0"/>
    <w:qFormat/>
    <w:pPr>
      <w:pBdr/>
      <w:spacing/>
      <w:ind/>
    </w:pPr>
    <w:rPr>
      <w:rFonts w:ascii="Arial" w:hAnsi="Arial"/>
      <w:sz w:val="22"/>
    </w:rPr>
  </w:style>
  <w:style w:type="paragraph" w:styleId="1146" w:customStyle="1">
    <w:name w:val="Corpo de texto1"/>
    <w:basedOn w:val="855"/>
    <w:uiPriority w:val="0"/>
    <w:qFormat/>
    <w:pPr>
      <w:pBdr/>
      <w:spacing/>
      <w:ind/>
      <w:jc w:val="both"/>
    </w:pPr>
    <w:rPr>
      <w:sz w:val="22"/>
      <w:szCs w:val="20"/>
    </w:rPr>
  </w:style>
  <w:style w:type="paragraph" w:styleId="1147" w:customStyle="1">
    <w:name w:val="Título 91"/>
    <w:basedOn w:val="855"/>
    <w:next w:val="855"/>
    <w:uiPriority w:val="0"/>
    <w:qFormat/>
    <w:pPr>
      <w:keepNext w:val="true"/>
      <w:numPr>
        <w:ilvl w:val="8"/>
        <w:numId w:val="1"/>
      </w:numPr>
      <w:pBdr/>
      <w:spacing/>
      <w:ind w:hanging="283" w:left="2547"/>
    </w:pPr>
    <w:rPr>
      <w:b/>
      <w:sz w:val="16"/>
      <w:szCs w:val="20"/>
    </w:rPr>
  </w:style>
  <w:style w:type="paragraph" w:styleId="1148" w:customStyle="1">
    <w:name w:val="Corpo do texto"/>
    <w:basedOn w:val="855"/>
    <w:uiPriority w:val="0"/>
    <w:qFormat/>
    <w:pPr>
      <w:widowControl w:val="false"/>
      <w:pBdr/>
      <w:spacing w:after="120"/>
      <w:ind/>
    </w:pPr>
    <w:rPr>
      <w:szCs w:val="20"/>
    </w:rPr>
  </w:style>
  <w:style w:type="paragraph" w:styleId="1149" w:customStyle="1">
    <w:name w:val="Padrão"/>
    <w:uiPriority w:val="0"/>
    <w:qFormat/>
    <w:pPr>
      <w:widowControl w:val="false"/>
      <w:pBdr/>
      <w:spacing/>
      <w:ind/>
    </w:pPr>
    <w:rPr>
      <w:rFonts w:ascii="Arial Unicode MS" w:hAnsi="Arial Unicode MS" w:eastAsia="Times New Roman" w:cs="Times New Roman"/>
      <w:color w:val="000000"/>
      <w:sz w:val="24"/>
      <w:szCs w:val="24"/>
      <w:lang w:val="pt-PT" w:eastAsia="pt-BR" w:bidi="ar-SA"/>
    </w:rPr>
  </w:style>
  <w:style w:type="character" w:styleId="1150" w:customStyle="1">
    <w:name w:val="conteudo2nivel1"/>
    <w:basedOn w:val="865"/>
    <w:uiPriority w:val="0"/>
    <w:qFormat/>
    <w:pPr>
      <w:pBdr/>
      <w:spacing/>
      <w:ind/>
    </w:pPr>
    <w:rPr>
      <w:rFonts w:hint="default" w:ascii="Verdana" w:hAnsi="Verdana"/>
      <w:color w:val="666666"/>
      <w:sz w:val="17"/>
      <w:szCs w:val="17"/>
    </w:rPr>
  </w:style>
  <w:style w:type="paragraph" w:styleId="1151">
    <w:name w:val="List Paragraph"/>
    <w:basedOn w:val="855"/>
    <w:uiPriority w:val="34"/>
    <w:qFormat/>
    <w:pPr>
      <w:pBdr/>
      <w:spacing/>
      <w:ind w:left="708"/>
    </w:pPr>
  </w:style>
  <w:style w:type="paragraph" w:styleId="1152" w:customStyle="1">
    <w:name w:val="Corpo de texto111"/>
    <w:basedOn w:val="855"/>
    <w:uiPriority w:val="0"/>
    <w:qFormat/>
    <w:pPr>
      <w:pBdr/>
      <w:spacing/>
      <w:ind/>
      <w:jc w:val="both"/>
    </w:pPr>
    <w:rPr>
      <w:sz w:val="22"/>
      <w:szCs w:val="20"/>
    </w:rPr>
  </w:style>
  <w:style w:type="paragraph" w:styleId="1153" w:customStyle="1">
    <w:name w:val="Body Text 21"/>
    <w:basedOn w:val="855"/>
    <w:uiPriority w:val="0"/>
    <w:qFormat/>
    <w:pPr>
      <w:pBdr/>
      <w:spacing/>
      <w:ind/>
      <w:jc w:val="both"/>
    </w:pPr>
    <w:rPr>
      <w:rFonts w:eastAsia="SimSun"/>
      <w:sz w:val="20"/>
      <w:szCs w:val="20"/>
      <w:lang w:eastAsia="zh-CN"/>
    </w:rPr>
  </w:style>
  <w:style w:type="paragraph" w:styleId="1154" w:customStyle="1">
    <w:name w:val="Corpo de texto 31"/>
    <w:basedOn w:val="855"/>
    <w:uiPriority w:val="0"/>
    <w:qFormat/>
    <w:pPr>
      <w:pBdr/>
      <w:spacing/>
      <w:ind/>
      <w:jc w:val="center"/>
    </w:pPr>
    <w:rPr>
      <w:rFonts w:ascii="Arial" w:hAnsi="Arial"/>
      <w:sz w:val="28"/>
      <w:szCs w:val="20"/>
      <w:lang w:eastAsia="ar-SA"/>
    </w:rPr>
  </w:style>
  <w:style w:type="paragraph" w:styleId="1155">
    <w:name w:val="No Spacing"/>
    <w:uiPriority w:val="1"/>
    <w:qFormat/>
    <w:pPr>
      <w:pBdr/>
      <w:spacing/>
      <w:ind/>
      <w:jc w:val="both"/>
    </w:pPr>
    <w:rPr>
      <w:rFonts w:ascii="Calibri" w:hAnsi="Calibri" w:eastAsia="Calibri" w:cs="Times New Roman"/>
      <w:sz w:val="22"/>
      <w:szCs w:val="22"/>
      <w:lang w:val="pt-BR" w:eastAsia="en-US" w:bidi="ar-SA"/>
    </w:rPr>
  </w:style>
  <w:style w:type="paragraph" w:styleId="1156" w:customStyle="1">
    <w:name w:val="No Spacing1"/>
    <w:uiPriority w:val="0"/>
    <w:qFormat/>
    <w:pPr>
      <w:pBdr/>
      <w:spacing/>
      <w:ind/>
    </w:pPr>
    <w:rPr>
      <w:rFonts w:ascii="Calibri" w:hAnsi="Calibri" w:eastAsia="Calibri" w:cs="Times New Roman"/>
      <w:sz w:val="22"/>
      <w:szCs w:val="22"/>
      <w:lang w:val="pt-BR" w:eastAsia="ar-SA" w:bidi="ar-SA"/>
    </w:rPr>
  </w:style>
  <w:style w:type="paragraph" w:styleId="1157" w:customStyle="1">
    <w:name w:val="textbody"/>
    <w:basedOn w:val="855"/>
    <w:uiPriority w:val="0"/>
    <w:qFormat/>
    <w:pPr>
      <w:pBdr/>
      <w:spacing w:after="100" w:afterAutospacing="1" w:before="100" w:beforeAutospacing="1"/>
      <w:ind/>
    </w:pPr>
  </w:style>
  <w:style w:type="paragraph" w:styleId="1158" w:customStyle="1">
    <w:name w:val="PADRÃO"/>
    <w:uiPriority w:val="0"/>
    <w:qFormat/>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 w:val="21"/>
      <w:szCs w:val="24"/>
      <w:lang w:val="pt-BR" w:eastAsia="zh-CN" w:bidi="hi-IN"/>
    </w:rPr>
  </w:style>
  <w:style w:type="paragraph" w:styleId="1159" w:customStyle="1">
    <w:name w:val="Nivel 3"/>
    <w:basedOn w:val="855"/>
    <w:uiPriority w:val="0"/>
    <w:qFormat/>
    <w:pPr>
      <w:numPr>
        <w:ilvl w:val="2"/>
        <w:numId w:val="2"/>
      </w:numPr>
      <w:pBdr/>
      <w:spacing w:after="120" w:before="120" w:line="276" w:lineRule="auto"/>
      <w:ind w:firstLine="0" w:left="284"/>
      <w:jc w:val="both"/>
    </w:pPr>
    <w:rPr>
      <w:rFonts w:ascii="Arial" w:hAnsi="Arial" w:cs="Arial"/>
      <w:color w:val="000000"/>
      <w:sz w:val="20"/>
      <w:szCs w:val="20"/>
    </w:rPr>
  </w:style>
  <w:style w:type="paragraph" w:styleId="1160" w:customStyle="1">
    <w:name w:val="Nivel 2"/>
    <w:basedOn w:val="855"/>
    <w:uiPriority w:val="0"/>
    <w:qFormat/>
    <w:pPr>
      <w:numPr>
        <w:ilvl w:val="1"/>
        <w:numId w:val="2"/>
      </w:numPr>
      <w:pBdr/>
      <w:spacing w:after="120" w:before="120" w:line="276" w:lineRule="auto"/>
      <w:ind w:firstLine="0" w:left="0"/>
      <w:jc w:val="both"/>
    </w:pPr>
    <w:rPr>
      <w:rFonts w:ascii="Arial" w:hAnsi="Arial" w:cs="Arial"/>
      <w:color w:val="000000"/>
      <w:sz w:val="20"/>
      <w:szCs w:val="20"/>
    </w:rPr>
  </w:style>
  <w:style w:type="paragraph" w:styleId="1161" w:customStyle="1">
    <w:name w:val="Nível 3-R"/>
    <w:basedOn w:val="1159"/>
    <w:uiPriority w:val="0"/>
    <w:qFormat/>
    <w:pPr>
      <w:pBdr/>
      <w:spacing/>
      <w:ind/>
    </w:pPr>
    <w:rPr>
      <w:i/>
      <w:iCs/>
      <w:color w:val="ff0000"/>
    </w:rPr>
  </w:style>
  <w:style w:type="paragraph" w:styleId="1162" w:customStyle="1">
    <w:name w:val="Nível 2 -Red"/>
    <w:basedOn w:val="1160"/>
    <w:uiPriority w:val="0"/>
    <w:qFormat/>
    <w:pPr>
      <w:pBdr/>
      <w:spacing/>
      <w:ind/>
    </w:pPr>
    <w:rPr>
      <w:i/>
      <w:iCs/>
      <w:color w:val="ff0000"/>
    </w:rPr>
  </w:style>
  <w:style w:type="paragraph" w:styleId="1163" w:customStyle="1">
    <w:name w:val="Nivel 4"/>
    <w:basedOn w:val="1159"/>
    <w:uiPriority w:val="0"/>
    <w:qFormat/>
    <w:pPr>
      <w:numPr>
        <w:ilvl w:val="0"/>
        <w:numId w:val="0"/>
      </w:numPr>
      <w:pBdr/>
      <w:spacing/>
      <w:ind w:left="567"/>
    </w:pPr>
    <w:rPr>
      <w:color w:val="auto"/>
    </w:rPr>
  </w:style>
  <w:style w:type="paragraph" w:styleId="1164" w:customStyle="1">
    <w:name w:val="Default"/>
    <w:uiPriority w:val="0"/>
    <w:qFormat/>
    <w:pPr>
      <w:pBdr/>
      <w:spacing w:before="200"/>
      <w:ind/>
    </w:pPr>
    <w:rPr>
      <w:rFonts w:ascii="Calibri" w:hAnsi="Calibri" w:eastAsia="SimSun" w:cs="Calibri"/>
      <w:color w:val="000000"/>
      <w:sz w:val="24"/>
      <w:szCs w:val="24"/>
      <w:lang w:val="pt-BR" w:eastAsia="en-US" w:bidi="ar-SA"/>
    </w:rPr>
  </w:style>
  <w:style w:type="character" w:styleId="1165" w:customStyle="1">
    <w:name w:val="markedcontent"/>
    <w:basedOn w:val="865"/>
    <w:uiPriority w:val="0"/>
    <w:qFormat/>
    <w:pPr>
      <w:pBdr/>
      <w:spacing/>
      <w:ind/>
    </w:pPr>
  </w:style>
  <w:style w:type="paragraph" w:styleId="1166" w:customStyle="1">
    <w:name w:val="SubTitNN"/>
    <w:basedOn w:val="855"/>
    <w:uiPriority w:val="0"/>
    <w:qFormat/>
    <w:pPr>
      <w:pBdr/>
      <w:spacing w:after="120" w:before="240" w:line="276" w:lineRule="auto"/>
      <w:ind/>
      <w:jc w:val="both"/>
    </w:pPr>
    <w:rPr>
      <w:rFonts w:ascii="Arial" w:hAnsi="Arial" w:cs="Arial"/>
      <w:b/>
      <w:bCs/>
      <w:iCs/>
      <w:sz w:val="20"/>
      <w:szCs w:val="20"/>
    </w:rPr>
  </w:style>
  <w:style w:type="paragraph" w:styleId="1167" w:customStyle="1">
    <w:name w:val="Nível 3"/>
    <w:basedOn w:val="1161"/>
    <w:uiPriority w:val="0"/>
    <w:qFormat/>
    <w:pPr>
      <w:pBdr/>
      <w:spacing/>
      <w:ind/>
    </w:pPr>
    <w:rPr>
      <w:i w:val="0"/>
      <w:iCs w:val="0"/>
      <w:color w:val="auto"/>
    </w:rPr>
  </w:style>
  <w:style w:type="paragraph" w:styleId="1168" w:customStyle="1">
    <w:name w:val="Nível 4"/>
    <w:basedOn w:val="1167"/>
    <w:uiPriority w:val="0"/>
    <w:qFormat/>
    <w:pPr>
      <w:numPr>
        <w:ilvl w:val="3"/>
      </w:numPr>
      <w:pBdr/>
      <w:spacing/>
      <w:ind w:firstLine="0" w:left="567"/>
    </w:pPr>
  </w:style>
  <w:style w:type="paragraph" w:styleId="1169" w:customStyle="1">
    <w:name w:val="Corpo de texto 22"/>
    <w:basedOn w:val="855"/>
    <w:uiPriority w:val="0"/>
    <w:qFormat/>
    <w:pPr>
      <w:widowControl w:val="false"/>
      <w:pBdr/>
      <w:spacing/>
      <w:ind w:firstLine="708"/>
      <w:jc w:val="both"/>
    </w:pPr>
  </w:style>
  <w:style w:type="paragraph" w:styleId="1170" w:customStyle="1">
    <w:name w:val="Corpo de texto11"/>
    <w:basedOn w:val="855"/>
    <w:uiPriority w:val="0"/>
    <w:qFormat/>
    <w:pPr>
      <w:pBdr/>
      <w:spacing/>
      <w:ind/>
      <w:jc w:val="both"/>
    </w:pPr>
    <w:rPr>
      <w:sz w:val="22"/>
      <w:szCs w:val="20"/>
    </w:rPr>
  </w:style>
  <w:style w:type="character" w:styleId="1171" w:customStyle="1">
    <w:name w:val="Fonte parág. padrão6"/>
    <w:uiPriority w:val="0"/>
    <w:qFormat/>
    <w:pPr>
      <w:pBdr/>
      <w:spacing/>
      <w:ind/>
    </w:pPr>
  </w:style>
  <w:style w:type="paragraph" w:styleId="1172" w:customStyle="1">
    <w:name w:val="Table Paragraph"/>
    <w:basedOn w:val="855"/>
    <w:uiPriority w:val="1"/>
    <w:qFormat/>
    <w:pPr>
      <w:framePr w:hAnchor="page" w:hSpace="180" w:vAnchor="text" w:wrap="around" w:x="1686" w:y="133"/>
      <w:pBdr/>
      <w:spacing w:before="1" w:line="255" w:lineRule="exact"/>
      <w:ind w:left="31"/>
      <w:jc w:val="center"/>
    </w:pPr>
    <w:rPr>
      <w:lang w:val="pt-PT" w:eastAsia="en-US"/>
    </w:rPr>
  </w:style>
  <w:style w:type="character" w:styleId="1173" w:customStyle="1">
    <w:name w:val="fontstyle01"/>
    <w:basedOn w:val="865"/>
    <w:uiPriority w:val="0"/>
    <w:qFormat/>
    <w:pPr>
      <w:pBdr/>
      <w:spacing/>
      <w:ind/>
    </w:pPr>
    <w:rPr>
      <w:rFonts w:hint="default" w:ascii="TimesNewRomanPS-BoldMT" w:hAnsi="TimesNewRomanPS-BoldMT"/>
      <w:b/>
      <w:bCs/>
      <w:color w:val="000000"/>
      <w:sz w:val="24"/>
      <w:szCs w:val="24"/>
    </w:rPr>
  </w:style>
  <w:style w:type="paragraph" w:styleId="1174" w:customStyle="1">
    <w:name w:val="Nível 02"/>
    <w:basedOn w:val="1039"/>
    <w:uiPriority w:val="0"/>
    <w:qFormat/>
    <w:pPr>
      <w:keepNext w:val="false"/>
      <w:keepLines w:val="false"/>
      <w:pageBreakBefore w:val="false"/>
      <w:widowControl w:val="true"/>
      <w:numPr>
        <w:ilvl w:val="1"/>
        <w:numId w:val="0"/>
      </w:numPr>
      <w:suppressLineNumbers w:val="false"/>
      <w:pBdr>
        <w:top w:val="none" w:color="000000" w:sz="0" w:space="0"/>
        <w:left w:val="none" w:color="000000" w:sz="0" w:space="0"/>
        <w:bottom w:val="none" w:color="000000" w:sz="0" w:space="0"/>
        <w:right w:val="none" w:color="000000" w:sz="0" w:space="0"/>
        <w:between w:val="none" w:color="000000" w:sz="0" w:space="0"/>
      </w:pBdr>
      <w:shd w:val="clear" w:color="auto" w:fill="auto"/>
      <w:bidi w:val="false"/>
      <w:spacing w:after="120" w:afterAutospacing="0" w:before="120" w:beforeAutospacing="0" w:line="276" w:lineRule="auto"/>
      <w:ind w:right="0" w:firstLine="0" w:left="0"/>
      <w:contextualSpacing w:val="false"/>
      <w:jc w:val="both"/>
    </w:pPr>
    <w:rPr>
      <w:rFonts w:ascii="Arial" w:hAnsi="Arial" w:eastAsia="Arial" w:cs="Arial"/>
      <w:i w:val="0"/>
      <w:color w:val="auto"/>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5F_x005F_x005F_x005F_x005F_x005F_x005F_x005F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Hewlett-Packard Company</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revision>64</cp:revision>
  <dcterms:created xsi:type="dcterms:W3CDTF">2020-06-17T12:25:00Z</dcterms:created>
  <dcterms:modified xsi:type="dcterms:W3CDTF">2026-10-01T15:43:17Z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0EDCD109F5EC469BBF36CC400FAC3328_13</vt:lpwstr>
  </property>
  <property fmtid="{D5CDD505-2E9C-101B-9397-08002B2CF9AE}" pid="4" name="KSOTemplateDocerSaveRecord">
    <vt:lpwstr>eyJoZGlkIjoiMTgwM2NjZmQxZDAwMjM3OTE1YTM3ZTBiMTExZTY1YzIifQ==</vt:lpwstr>
  </property>
</Properties>
</file>